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EABD9" w14:textId="77777777" w:rsidR="008D33B0" w:rsidRPr="00DB4F65" w:rsidRDefault="008D33B0" w:rsidP="00E86771">
      <w:pPr>
        <w:pStyle w:val="Title"/>
        <w:spacing w:line="360" w:lineRule="auto"/>
        <w:rPr>
          <w:rFonts w:ascii="Calibri" w:hAnsi="Calibri"/>
        </w:rPr>
      </w:pPr>
      <w:bookmarkStart w:id="0" w:name="_Toc308300681"/>
      <w:bookmarkStart w:id="1" w:name="_Toc311366488"/>
      <w:bookmarkStart w:id="2" w:name="_GoBack"/>
      <w:bookmarkEnd w:id="2"/>
      <w:r w:rsidRPr="00DB4F65">
        <w:rPr>
          <w:rFonts w:ascii="Calibri" w:hAnsi="Calibri"/>
        </w:rPr>
        <w:t>Models of care for the delivery of secondary fracture prevention after hip fracture: a health service cost, clinical outcomes and cost-effectiveness study within a region of England</w:t>
      </w:r>
      <w:bookmarkEnd w:id="0"/>
      <w:bookmarkEnd w:id="1"/>
    </w:p>
    <w:p w14:paraId="61B346F9" w14:textId="77777777" w:rsidR="00D8677B" w:rsidRPr="00591BFC" w:rsidRDefault="00D8677B" w:rsidP="00E86771">
      <w:pPr>
        <w:spacing w:line="360" w:lineRule="auto"/>
        <w:rPr>
          <w:b/>
          <w:sz w:val="28"/>
        </w:rPr>
      </w:pPr>
    </w:p>
    <w:p w14:paraId="35B69F91" w14:textId="037251B0" w:rsidR="00D8677B" w:rsidRPr="00591BFC" w:rsidRDefault="00D8677B" w:rsidP="00E86771">
      <w:pPr>
        <w:spacing w:line="360" w:lineRule="auto"/>
        <w:rPr>
          <w:b/>
        </w:rPr>
      </w:pPr>
      <w:r w:rsidRPr="00591BFC">
        <w:rPr>
          <w:b/>
        </w:rPr>
        <w:t>Andrew Judge</w:t>
      </w:r>
      <w:r w:rsidR="00864D85" w:rsidRPr="00A86360">
        <w:rPr>
          <w:vertAlign w:val="superscript"/>
        </w:rPr>
        <w:t>1</w:t>
      </w:r>
      <w:r w:rsidR="00864D85">
        <w:rPr>
          <w:vertAlign w:val="superscript"/>
        </w:rPr>
        <w:t>,2</w:t>
      </w:r>
      <w:r w:rsidRPr="00591BFC">
        <w:rPr>
          <w:b/>
        </w:rPr>
        <w:t xml:space="preserve">, </w:t>
      </w:r>
      <w:r w:rsidR="002A2953" w:rsidRPr="00591BFC">
        <w:rPr>
          <w:b/>
        </w:rPr>
        <w:t xml:space="preserve">M </w:t>
      </w:r>
      <w:r w:rsidR="006B1068" w:rsidRPr="00591BFC">
        <w:rPr>
          <w:b/>
        </w:rPr>
        <w:t>Kassim Javaid</w:t>
      </w:r>
      <w:r w:rsidR="00864D85" w:rsidRPr="00A86360">
        <w:rPr>
          <w:vertAlign w:val="superscript"/>
        </w:rPr>
        <w:t>1</w:t>
      </w:r>
      <w:r w:rsidR="00864D85">
        <w:rPr>
          <w:vertAlign w:val="superscript"/>
        </w:rPr>
        <w:t>,2</w:t>
      </w:r>
      <w:r w:rsidR="006B1068" w:rsidRPr="00591BFC">
        <w:rPr>
          <w:b/>
        </w:rPr>
        <w:t>,</w:t>
      </w:r>
      <w:r w:rsidRPr="00591BFC">
        <w:rPr>
          <w:b/>
        </w:rPr>
        <w:t xml:space="preserve"> </w:t>
      </w:r>
      <w:r w:rsidR="00B21B76" w:rsidRPr="00591BFC">
        <w:rPr>
          <w:b/>
        </w:rPr>
        <w:t>Jose Leal</w:t>
      </w:r>
      <w:r w:rsidR="00864D85">
        <w:rPr>
          <w:vertAlign w:val="superscript"/>
        </w:rPr>
        <w:t>3</w:t>
      </w:r>
      <w:r w:rsidR="00B21B76" w:rsidRPr="00591BFC">
        <w:rPr>
          <w:b/>
        </w:rPr>
        <w:t>, Samuel Hawley</w:t>
      </w:r>
      <w:r w:rsidR="00864D85" w:rsidRPr="00A86360">
        <w:rPr>
          <w:vertAlign w:val="superscript"/>
        </w:rPr>
        <w:t>1</w:t>
      </w:r>
      <w:r w:rsidR="00B21B76" w:rsidRPr="00591BFC">
        <w:rPr>
          <w:b/>
        </w:rPr>
        <w:t>, Sarah Drew</w:t>
      </w:r>
      <w:r w:rsidR="00864D85" w:rsidRPr="00A86360">
        <w:rPr>
          <w:vertAlign w:val="superscript"/>
        </w:rPr>
        <w:t>1</w:t>
      </w:r>
      <w:r w:rsidR="00B21B76" w:rsidRPr="00591BFC">
        <w:rPr>
          <w:b/>
        </w:rPr>
        <w:t>, Sally Sheard</w:t>
      </w:r>
      <w:r w:rsidR="00864D85" w:rsidRPr="00A86360">
        <w:rPr>
          <w:vertAlign w:val="superscript"/>
        </w:rPr>
        <w:t>1</w:t>
      </w:r>
      <w:r w:rsidR="00B21B76" w:rsidRPr="00591BFC">
        <w:rPr>
          <w:b/>
        </w:rPr>
        <w:t xml:space="preserve">, </w:t>
      </w:r>
      <w:r w:rsidRPr="00591BFC">
        <w:rPr>
          <w:b/>
        </w:rPr>
        <w:t>Daniel Prieto-Alhambra</w:t>
      </w:r>
      <w:r w:rsidR="00864D85" w:rsidRPr="00A86360">
        <w:rPr>
          <w:vertAlign w:val="superscript"/>
        </w:rPr>
        <w:t>1</w:t>
      </w:r>
      <w:r w:rsidR="00864D85">
        <w:rPr>
          <w:vertAlign w:val="superscript"/>
        </w:rPr>
        <w:t>,2</w:t>
      </w:r>
      <w:r w:rsidR="007458E2">
        <w:rPr>
          <w:vertAlign w:val="superscript"/>
        </w:rPr>
        <w:t>,4</w:t>
      </w:r>
      <w:r w:rsidRPr="00591BFC">
        <w:rPr>
          <w:b/>
        </w:rPr>
        <w:t>, Rachael Gooberman-Hill</w:t>
      </w:r>
      <w:r w:rsidR="00C65561">
        <w:rPr>
          <w:vertAlign w:val="superscript"/>
        </w:rPr>
        <w:t>5</w:t>
      </w:r>
      <w:r w:rsidRPr="00591BFC">
        <w:rPr>
          <w:b/>
        </w:rPr>
        <w:t xml:space="preserve">, </w:t>
      </w:r>
      <w:r w:rsidR="00B21B76" w:rsidRPr="00591BFC">
        <w:rPr>
          <w:b/>
        </w:rPr>
        <w:t>Janet Lippett</w:t>
      </w:r>
      <w:r w:rsidR="00761E64">
        <w:rPr>
          <w:vertAlign w:val="superscript"/>
        </w:rPr>
        <w:t>6</w:t>
      </w:r>
      <w:r w:rsidR="00B21B76" w:rsidRPr="00591BFC">
        <w:rPr>
          <w:b/>
        </w:rPr>
        <w:t xml:space="preserve">, </w:t>
      </w:r>
      <w:r w:rsidRPr="00591BFC">
        <w:rPr>
          <w:b/>
        </w:rPr>
        <w:t>Andrew Farmer</w:t>
      </w:r>
      <w:r w:rsidR="00596CA3">
        <w:rPr>
          <w:vertAlign w:val="superscript"/>
        </w:rPr>
        <w:t>7</w:t>
      </w:r>
      <w:r w:rsidRPr="00591BFC">
        <w:rPr>
          <w:b/>
        </w:rPr>
        <w:t>, Nigel Arden</w:t>
      </w:r>
      <w:r w:rsidR="00864D85" w:rsidRPr="00A86360">
        <w:rPr>
          <w:vertAlign w:val="superscript"/>
        </w:rPr>
        <w:t>1</w:t>
      </w:r>
      <w:r w:rsidR="00864D85">
        <w:rPr>
          <w:vertAlign w:val="superscript"/>
        </w:rPr>
        <w:t>,2</w:t>
      </w:r>
      <w:r w:rsidRPr="00591BFC">
        <w:rPr>
          <w:b/>
        </w:rPr>
        <w:t>, A</w:t>
      </w:r>
      <w:r w:rsidR="00EF39FB" w:rsidRPr="00591BFC">
        <w:rPr>
          <w:b/>
        </w:rPr>
        <w:t>l</w:t>
      </w:r>
      <w:r w:rsidR="006C1591" w:rsidRPr="00591BFC">
        <w:rPr>
          <w:b/>
        </w:rPr>
        <w:t>a</w:t>
      </w:r>
      <w:r w:rsidR="00EF39FB" w:rsidRPr="00591BFC">
        <w:rPr>
          <w:b/>
        </w:rPr>
        <w:t>stair Gray</w:t>
      </w:r>
      <w:r w:rsidR="00864D85">
        <w:rPr>
          <w:vertAlign w:val="superscript"/>
        </w:rPr>
        <w:t>3</w:t>
      </w:r>
      <w:r w:rsidR="00EF39FB" w:rsidRPr="00591BFC">
        <w:rPr>
          <w:b/>
        </w:rPr>
        <w:t>, Michael Goldacre</w:t>
      </w:r>
      <w:r w:rsidR="00596CA3">
        <w:rPr>
          <w:vertAlign w:val="superscript"/>
        </w:rPr>
        <w:t>8</w:t>
      </w:r>
      <w:r w:rsidR="00444401" w:rsidRPr="00591BFC">
        <w:rPr>
          <w:b/>
        </w:rPr>
        <w:t xml:space="preserve">, </w:t>
      </w:r>
      <w:r w:rsidR="006B1068" w:rsidRPr="00591BFC">
        <w:rPr>
          <w:b/>
        </w:rPr>
        <w:t>Antonella Delmestri</w:t>
      </w:r>
      <w:r w:rsidR="00864D85" w:rsidRPr="00A86360">
        <w:rPr>
          <w:vertAlign w:val="superscript"/>
        </w:rPr>
        <w:t>1</w:t>
      </w:r>
      <w:r w:rsidR="006B1068" w:rsidRPr="00591BFC">
        <w:rPr>
          <w:b/>
        </w:rPr>
        <w:t>, Cyrus Cooper</w:t>
      </w:r>
      <w:r w:rsidR="00864D85" w:rsidRPr="00A86360">
        <w:rPr>
          <w:vertAlign w:val="superscript"/>
        </w:rPr>
        <w:t>1</w:t>
      </w:r>
      <w:r w:rsidR="00864D85">
        <w:rPr>
          <w:vertAlign w:val="superscript"/>
        </w:rPr>
        <w:t>,2</w:t>
      </w:r>
    </w:p>
    <w:p w14:paraId="3A1440BD" w14:textId="77777777" w:rsidR="00864D85" w:rsidRPr="00C43F88" w:rsidRDefault="00864D85" w:rsidP="00864D85">
      <w:pPr>
        <w:spacing w:line="360" w:lineRule="auto"/>
      </w:pPr>
      <w:r w:rsidRPr="00C43F88">
        <w:rPr>
          <w:vertAlign w:val="superscript"/>
        </w:rPr>
        <w:t>1</w:t>
      </w:r>
      <w:r>
        <w:t xml:space="preserve"> </w:t>
      </w:r>
      <w:r w:rsidRPr="00C43F88">
        <w:t>Oxford NIHR Musculoskeletal Biomedical Research Unit, Nuffield Department of Orthopaedics, Rheumatology and Musculoskeletal Sciences, University of Oxford, Windmill Road, Headington, Oxford, OX3 7LD, UK</w:t>
      </w:r>
    </w:p>
    <w:p w14:paraId="36045BF1" w14:textId="77777777" w:rsidR="00864D85" w:rsidRDefault="00864D85" w:rsidP="00864D85">
      <w:pPr>
        <w:spacing w:line="360" w:lineRule="auto"/>
      </w:pPr>
      <w:r>
        <w:rPr>
          <w:vertAlign w:val="superscript"/>
        </w:rPr>
        <w:t>2</w:t>
      </w:r>
      <w:r w:rsidRPr="00C43F88">
        <w:t xml:space="preserve"> MRC Lifecourse Epidemiology Unit, University of Southampton, Southampton General Hospital, Southampton, SO16 6YD, UK</w:t>
      </w:r>
    </w:p>
    <w:p w14:paraId="6047F8C0" w14:textId="77777777" w:rsidR="00864D85" w:rsidRPr="00C43F88" w:rsidRDefault="00864D85" w:rsidP="00864D85">
      <w:pPr>
        <w:spacing w:line="360" w:lineRule="auto"/>
      </w:pPr>
      <w:r>
        <w:rPr>
          <w:vertAlign w:val="superscript"/>
        </w:rPr>
        <w:t xml:space="preserve">3 </w:t>
      </w:r>
      <w:r w:rsidRPr="00A86360">
        <w:t>Health Economics Research Centre, Nuffield Department of Population Health, University of Oxford, Old Road Campus, Headington, Oxford, OX3 7LF, UK</w:t>
      </w:r>
    </w:p>
    <w:p w14:paraId="441ED38A" w14:textId="77777777" w:rsidR="00864D85" w:rsidRDefault="00864D85" w:rsidP="00864D85">
      <w:pPr>
        <w:spacing w:line="360" w:lineRule="auto"/>
      </w:pPr>
      <w:r>
        <w:rPr>
          <w:vertAlign w:val="superscript"/>
        </w:rPr>
        <w:t>4</w:t>
      </w:r>
      <w:r w:rsidRPr="00C43F88">
        <w:t xml:space="preserve"> GREMPAL Research Group (Idiap Jordi Gol) and Musculoskeletal Research Unit (Fundació IMIM-Parc Salut Mar), Universitat Autònoma de Barcelona, Barcelona, Spain</w:t>
      </w:r>
    </w:p>
    <w:p w14:paraId="6DA61D49" w14:textId="77777777" w:rsidR="00C65561" w:rsidRDefault="00C65561" w:rsidP="00864D85">
      <w:pPr>
        <w:spacing w:line="360" w:lineRule="auto"/>
      </w:pPr>
      <w:r>
        <w:rPr>
          <w:vertAlign w:val="superscript"/>
        </w:rPr>
        <w:t xml:space="preserve">5 </w:t>
      </w:r>
      <w:r>
        <w:t>School of Clinical Sciences, University of Bristol, Learning and Research Building, Level 1, Southmead Hospital, Bristol BS10 5NB, UK</w:t>
      </w:r>
    </w:p>
    <w:p w14:paraId="18BE76A7" w14:textId="77777777" w:rsidR="00761E64" w:rsidRPr="00C43F88" w:rsidRDefault="00761E64" w:rsidP="00864D85">
      <w:pPr>
        <w:spacing w:line="360" w:lineRule="auto"/>
      </w:pPr>
      <w:r>
        <w:rPr>
          <w:vertAlign w:val="superscript"/>
        </w:rPr>
        <w:t>6</w:t>
      </w:r>
      <w:r>
        <w:t xml:space="preserve"> Elderly Care Unit, Royal Berkshire Hospital, Reading, RG1 5AN</w:t>
      </w:r>
      <w:r w:rsidR="00B5300B">
        <w:t>, UK</w:t>
      </w:r>
    </w:p>
    <w:p w14:paraId="5DDAA554" w14:textId="77777777" w:rsidR="00C65561" w:rsidRDefault="00761E64" w:rsidP="00C65561">
      <w:pPr>
        <w:spacing w:line="360" w:lineRule="auto"/>
      </w:pPr>
      <w:r>
        <w:rPr>
          <w:vertAlign w:val="superscript"/>
        </w:rPr>
        <w:t>7</w:t>
      </w:r>
      <w:r w:rsidR="00C65561">
        <w:t xml:space="preserve"> Nuffield Department of Primary Care Health Sciences, Radcliffe Observatory Quarter, Oxford, OX2 6GG, UK</w:t>
      </w:r>
    </w:p>
    <w:p w14:paraId="28057E5B" w14:textId="77777777" w:rsidR="00D50A5E" w:rsidRDefault="00761E64" w:rsidP="00D50A5E">
      <w:pPr>
        <w:spacing w:line="360" w:lineRule="auto"/>
      </w:pPr>
      <w:r>
        <w:rPr>
          <w:vertAlign w:val="superscript"/>
        </w:rPr>
        <w:t>8</w:t>
      </w:r>
      <w:r w:rsidR="00D50A5E">
        <w:t xml:space="preserve"> Unit of Health Care Epidemiology, Nuffield Department of Population Health, University of Oxford, Oxford, OX3 7LF</w:t>
      </w:r>
      <w:r w:rsidR="00DE7538">
        <w:t>, UK</w:t>
      </w:r>
    </w:p>
    <w:p w14:paraId="75CD1FAE" w14:textId="77777777" w:rsidR="00D8677B" w:rsidRPr="00DB4F65" w:rsidRDefault="00D8677B" w:rsidP="00E86771">
      <w:pPr>
        <w:spacing w:line="360" w:lineRule="auto"/>
      </w:pPr>
    </w:p>
    <w:p w14:paraId="59454002" w14:textId="77777777" w:rsidR="00D8677B" w:rsidRPr="00591BFC" w:rsidRDefault="00D8677B" w:rsidP="00E86771">
      <w:pPr>
        <w:spacing w:line="360" w:lineRule="auto"/>
        <w:rPr>
          <w:sz w:val="20"/>
        </w:rPr>
      </w:pPr>
      <w:r w:rsidRPr="00591BFC">
        <w:rPr>
          <w:sz w:val="20"/>
        </w:rPr>
        <w:t>Declared competing interests from authors:</w:t>
      </w:r>
    </w:p>
    <w:p w14:paraId="50B578D9" w14:textId="77777777" w:rsidR="0023250F" w:rsidRPr="00591BFC" w:rsidRDefault="0023250F" w:rsidP="00E86771">
      <w:pPr>
        <w:spacing w:line="360" w:lineRule="auto"/>
      </w:pPr>
      <w:r w:rsidRPr="00591BFC">
        <w:t>J.Le., A.M.G., J.Li., S.S., S.D., A.D., S.H.</w:t>
      </w:r>
      <w:r w:rsidR="00487D8D">
        <w:t>,</w:t>
      </w:r>
      <w:r w:rsidRPr="00591BFC">
        <w:t xml:space="preserve"> A.F., M.G., R.G.H., report no conflict of interest.</w:t>
      </w:r>
    </w:p>
    <w:p w14:paraId="5CE9FACA" w14:textId="77777777" w:rsidR="0023250F" w:rsidRPr="00591BFC" w:rsidRDefault="0023250F" w:rsidP="00E86771">
      <w:pPr>
        <w:spacing w:line="360" w:lineRule="auto"/>
      </w:pPr>
      <w:r w:rsidRPr="00591BFC">
        <w:lastRenderedPageBreak/>
        <w:t>D.P.A. has received unrestricted research and educational grants from AMGEN and Bioiberics S.A.</w:t>
      </w:r>
    </w:p>
    <w:p w14:paraId="17470F0C" w14:textId="77777777" w:rsidR="0023250F" w:rsidRPr="00591BFC" w:rsidRDefault="0023250F" w:rsidP="00E86771">
      <w:pPr>
        <w:spacing w:line="360" w:lineRule="auto"/>
      </w:pPr>
      <w:r w:rsidRPr="00591BFC">
        <w:t>N.A. reports personal fees from Merck, grants and personal fees from Roche, personal fees from Smith and Nephew, personal fees from Q-Med, personal fees from Nicox, personal fees from Flexion, personal fees from Bioiberica, personal fees from Servier.</w:t>
      </w:r>
    </w:p>
    <w:p w14:paraId="1C18F5E9" w14:textId="77777777" w:rsidR="0023250F" w:rsidRPr="00591BFC" w:rsidRDefault="0023250F" w:rsidP="00E86771">
      <w:pPr>
        <w:spacing w:line="360" w:lineRule="auto"/>
      </w:pPr>
      <w:r w:rsidRPr="00591BFC">
        <w:t xml:space="preserve">C.C. has received consultancy, lecture fees and honoraria from AMGEN, GSK, Alliance for Better Bone Health, MSD, Eli Lilly, Pfizer, Novartis, </w:t>
      </w:r>
      <w:r w:rsidR="005A2500">
        <w:t xml:space="preserve">Merck, </w:t>
      </w:r>
      <w:r w:rsidRPr="00591BFC">
        <w:t>Servier, Medtronic and Roche.</w:t>
      </w:r>
    </w:p>
    <w:p w14:paraId="049EA81E" w14:textId="77777777" w:rsidR="0023250F" w:rsidRPr="00591BFC" w:rsidRDefault="0023250F" w:rsidP="00E86771">
      <w:pPr>
        <w:spacing w:line="360" w:lineRule="auto"/>
      </w:pPr>
      <w:r w:rsidRPr="00591BFC">
        <w:t>M.K.J. has received in the last 5 years honoraria for travel expenses, speaker fees and/or advisory committees from Lilly UK, Amgen, Servier, Merck, Medtronic, Internis, Consilient Health and Jarrow Formulas. He also serves on the Scientific Committee of the National Osteoporosis Society and International Osteoporosis Foundation.</w:t>
      </w:r>
    </w:p>
    <w:p w14:paraId="55A42A6A" w14:textId="53B480B6" w:rsidR="00D8677B" w:rsidRPr="00591BFC" w:rsidRDefault="0023250F" w:rsidP="00E86771">
      <w:pPr>
        <w:spacing w:line="360" w:lineRule="auto"/>
      </w:pPr>
      <w:r w:rsidRPr="00591BFC">
        <w:t xml:space="preserve">A.J. has received consultancy, lecture fees and honoraria from Servier, UK Renal Registry, Oxford Craniofacial Unit, IDIAP Jordi Gol, Freshfields Bruckhaus Deringer, </w:t>
      </w:r>
      <w:r w:rsidR="005A2500">
        <w:t>is a member of the Data Safety and Monitoring Board</w:t>
      </w:r>
      <w:r w:rsidRPr="00591BFC">
        <w:t xml:space="preserve"> (which involved receipt of fees) from Anthera Pharmaceuticals, INC., and received consortium research grants from ROCHE.</w:t>
      </w:r>
    </w:p>
    <w:p w14:paraId="15FC0219" w14:textId="77777777" w:rsidR="00D8677B" w:rsidRPr="00591BFC" w:rsidRDefault="00D8677B" w:rsidP="00E86771">
      <w:pPr>
        <w:spacing w:line="360" w:lineRule="auto"/>
        <w:rPr>
          <w:sz w:val="20"/>
        </w:rPr>
      </w:pPr>
      <w:r w:rsidRPr="00591BFC">
        <w:rPr>
          <w:sz w:val="20"/>
        </w:rPr>
        <w:t>This report should be referenced as follows:</w:t>
      </w:r>
    </w:p>
    <w:p w14:paraId="7FE92789" w14:textId="77777777" w:rsidR="000E21E5" w:rsidRPr="00C627ED" w:rsidRDefault="00D93D4E" w:rsidP="00E86771">
      <w:pPr>
        <w:spacing w:line="360" w:lineRule="auto"/>
        <w:rPr>
          <w:i/>
        </w:rPr>
      </w:pPr>
      <w:r w:rsidRPr="00591BFC">
        <w:t xml:space="preserve">Judge A, Javaid MK, Leal J, Hawley S, Drew S, Prieto-Alhambra D, Cooper C, </w:t>
      </w:r>
      <w:r w:rsidRPr="00591BFC">
        <w:rPr>
          <w:i/>
        </w:rPr>
        <w:t>et al.</w:t>
      </w:r>
      <w:r w:rsidRPr="00591BFC">
        <w:t xml:space="preserve"> Models of care for the delivery of secondary fracture prevention after hip fracture: a health service cost, clinical outcomes and cost-effectiveness study within a region of England. </w:t>
      </w:r>
      <w:r w:rsidRPr="00591BFC">
        <w:rPr>
          <w:i/>
        </w:rPr>
        <w:t xml:space="preserve">Health Serv Deliv Res </w:t>
      </w:r>
    </w:p>
    <w:p w14:paraId="2E9EA44A" w14:textId="77777777" w:rsidR="000E21E5" w:rsidRPr="00591BFC" w:rsidRDefault="000E21E5" w:rsidP="00E86771">
      <w:pPr>
        <w:spacing w:line="360" w:lineRule="auto"/>
        <w:rPr>
          <w:b/>
        </w:rPr>
      </w:pPr>
    </w:p>
    <w:p w14:paraId="1711658E" w14:textId="77777777" w:rsidR="00D8677B" w:rsidRPr="00591BFC" w:rsidRDefault="000E21E5" w:rsidP="00E86771">
      <w:pPr>
        <w:spacing w:line="360" w:lineRule="auto"/>
        <w:rPr>
          <w:b/>
        </w:rPr>
      </w:pPr>
      <w:r w:rsidRPr="00591BFC">
        <w:rPr>
          <w:b/>
        </w:rPr>
        <w:t>Corresponding Author</w:t>
      </w:r>
    </w:p>
    <w:p w14:paraId="1171B4AE" w14:textId="77777777" w:rsidR="000E21E5" w:rsidRPr="00591BFC" w:rsidRDefault="000E21E5" w:rsidP="00E86771">
      <w:pPr>
        <w:spacing w:line="360" w:lineRule="auto"/>
      </w:pPr>
      <w:r w:rsidRPr="00591BFC">
        <w:t>Assoc. Prof Andrew Judge</w:t>
      </w:r>
    </w:p>
    <w:p w14:paraId="522D449C" w14:textId="77777777" w:rsidR="000E21E5" w:rsidRPr="00591BFC" w:rsidRDefault="000E21E5" w:rsidP="00E86771">
      <w:pPr>
        <w:spacing w:line="360" w:lineRule="auto"/>
      </w:pPr>
      <w:r w:rsidRPr="00591BFC">
        <w:t>NIHR Musculoskeletal Biomedical Research Unit</w:t>
      </w:r>
    </w:p>
    <w:p w14:paraId="2DAE06DD" w14:textId="77777777" w:rsidR="000E21E5" w:rsidRPr="00591BFC" w:rsidRDefault="000E21E5" w:rsidP="00E86771">
      <w:pPr>
        <w:spacing w:line="360" w:lineRule="auto"/>
      </w:pPr>
      <w:r w:rsidRPr="00591BFC">
        <w:t>NDORMS, University of Oxford</w:t>
      </w:r>
    </w:p>
    <w:p w14:paraId="084A1F3C" w14:textId="77777777" w:rsidR="000E21E5" w:rsidRPr="00591BFC" w:rsidRDefault="000E21E5" w:rsidP="00E86771">
      <w:pPr>
        <w:spacing w:line="360" w:lineRule="auto"/>
      </w:pPr>
      <w:r w:rsidRPr="00591BFC">
        <w:t>Windmill Road</w:t>
      </w:r>
    </w:p>
    <w:p w14:paraId="1E9CF732" w14:textId="77777777" w:rsidR="000E21E5" w:rsidRPr="00591BFC" w:rsidRDefault="000E21E5" w:rsidP="00E86771">
      <w:pPr>
        <w:spacing w:line="360" w:lineRule="auto"/>
      </w:pPr>
      <w:r w:rsidRPr="00591BFC">
        <w:t>Oxford</w:t>
      </w:r>
    </w:p>
    <w:p w14:paraId="06C40E10" w14:textId="77777777" w:rsidR="000E21E5" w:rsidRPr="00591BFC" w:rsidRDefault="000E21E5" w:rsidP="00E86771">
      <w:pPr>
        <w:spacing w:line="360" w:lineRule="auto"/>
      </w:pPr>
      <w:r w:rsidRPr="00591BFC">
        <w:t>OX3 7LD</w:t>
      </w:r>
    </w:p>
    <w:p w14:paraId="2A5C2793" w14:textId="77777777" w:rsidR="000E21E5" w:rsidRPr="00591BFC" w:rsidRDefault="000E21E5" w:rsidP="00E86771">
      <w:pPr>
        <w:spacing w:line="360" w:lineRule="auto"/>
      </w:pPr>
      <w:r w:rsidRPr="00591BFC">
        <w:t>andrew.judge@ndorms.ox.ac.uk</w:t>
      </w:r>
    </w:p>
    <w:p w14:paraId="2C66E8E0" w14:textId="77777777" w:rsidR="00076679" w:rsidRPr="00591BFC" w:rsidRDefault="00076679" w:rsidP="00E86771">
      <w:pPr>
        <w:pStyle w:val="Heading1"/>
        <w:spacing w:line="360" w:lineRule="auto"/>
        <w:rPr>
          <w:rFonts w:ascii="Calibri" w:hAnsi="Calibri"/>
          <w:lang w:val="en-GB"/>
        </w:rPr>
      </w:pPr>
      <w:r w:rsidRPr="00591BFC">
        <w:rPr>
          <w:rFonts w:ascii="Calibri" w:hAnsi="Calibri"/>
          <w:b w:val="0"/>
        </w:rPr>
        <w:br w:type="page"/>
      </w:r>
      <w:bookmarkStart w:id="3" w:name="_Toc308300682"/>
      <w:bookmarkStart w:id="4" w:name="_Toc311366489"/>
      <w:r w:rsidRPr="00591BFC">
        <w:rPr>
          <w:rFonts w:ascii="Calibri" w:hAnsi="Calibri"/>
          <w:lang w:val="en-GB"/>
        </w:rPr>
        <w:lastRenderedPageBreak/>
        <w:t>Abstract</w:t>
      </w:r>
      <w:bookmarkEnd w:id="3"/>
      <w:bookmarkEnd w:id="4"/>
    </w:p>
    <w:p w14:paraId="0300B53E" w14:textId="77777777" w:rsidR="00076679" w:rsidRPr="00591BFC" w:rsidRDefault="00076679" w:rsidP="00E86771">
      <w:pPr>
        <w:spacing w:line="360" w:lineRule="auto"/>
      </w:pPr>
    </w:p>
    <w:p w14:paraId="4D35B329" w14:textId="77777777" w:rsidR="00076679" w:rsidRPr="00591BFC" w:rsidRDefault="00076679" w:rsidP="00E86771">
      <w:pPr>
        <w:spacing w:line="360" w:lineRule="auto"/>
        <w:rPr>
          <w:b/>
        </w:rPr>
      </w:pPr>
      <w:r w:rsidRPr="00591BFC">
        <w:rPr>
          <w:b/>
        </w:rPr>
        <w:t>Objectives</w:t>
      </w:r>
    </w:p>
    <w:p w14:paraId="2027091C" w14:textId="77777777" w:rsidR="00076679" w:rsidRPr="00591BFC" w:rsidRDefault="00076679" w:rsidP="00E86771">
      <w:pPr>
        <w:spacing w:line="360" w:lineRule="auto"/>
      </w:pPr>
      <w:r w:rsidRPr="00591BFC">
        <w:t xml:space="preserve">To establish the clinical and cost-effectiveness of changes </w:t>
      </w:r>
      <w:r w:rsidR="00A15BC1">
        <w:t>to</w:t>
      </w:r>
      <w:r w:rsidRPr="00591BFC">
        <w:t xml:space="preserve"> the delivery of secondary fracture prevention services, and</w:t>
      </w:r>
      <w:r w:rsidR="00A15BC1">
        <w:t xml:space="preserve"> identify</w:t>
      </w:r>
      <w:r w:rsidRPr="00591BFC">
        <w:t xml:space="preserve"> barri</w:t>
      </w:r>
      <w:r w:rsidR="002D79E2" w:rsidRPr="00591BFC">
        <w:t>ers and facilitators to changes</w:t>
      </w:r>
      <w:r w:rsidRPr="00591BFC">
        <w:t>.</w:t>
      </w:r>
    </w:p>
    <w:p w14:paraId="14954028" w14:textId="77777777" w:rsidR="00076679" w:rsidRPr="00591BFC" w:rsidRDefault="00076679" w:rsidP="00E86771">
      <w:pPr>
        <w:spacing w:line="360" w:lineRule="auto"/>
        <w:rPr>
          <w:b/>
        </w:rPr>
      </w:pPr>
      <w:r w:rsidRPr="00591BFC">
        <w:rPr>
          <w:b/>
        </w:rPr>
        <w:t>Design</w:t>
      </w:r>
    </w:p>
    <w:p w14:paraId="3CCAEEDC" w14:textId="77777777" w:rsidR="00A9610B" w:rsidRPr="00591BFC" w:rsidRDefault="00A9610B" w:rsidP="00E86771">
      <w:pPr>
        <w:spacing w:line="360" w:lineRule="auto"/>
      </w:pPr>
      <w:r w:rsidRPr="00591BFC">
        <w:t xml:space="preserve">A service evaluation to identify each hospital’s current models of care and </w:t>
      </w:r>
      <w:r w:rsidR="00A15BC1">
        <w:t>changes in service delivery</w:t>
      </w:r>
      <w:r w:rsidRPr="00591BFC">
        <w:t xml:space="preserve">. A qualitative study to identify barriers and facilitators to change. Health economics analysis to establish NHS costs and cost-effectiveness. A natural experimental study to determine clinical effectiveness </w:t>
      </w:r>
      <w:r w:rsidR="00792528" w:rsidRPr="00591BFC">
        <w:t xml:space="preserve">of </w:t>
      </w:r>
      <w:r w:rsidRPr="00591BFC">
        <w:t>changes to a hospital</w:t>
      </w:r>
      <w:r w:rsidR="00B21A4A" w:rsidRPr="00591BFC">
        <w:t>’</w:t>
      </w:r>
      <w:r w:rsidRPr="00591BFC">
        <w:t>s model of care.</w:t>
      </w:r>
    </w:p>
    <w:p w14:paraId="503A4DD4" w14:textId="77777777" w:rsidR="00076679" w:rsidRPr="00591BFC" w:rsidRDefault="00076679" w:rsidP="00E86771">
      <w:pPr>
        <w:spacing w:line="360" w:lineRule="auto"/>
        <w:rPr>
          <w:b/>
        </w:rPr>
      </w:pPr>
      <w:r w:rsidRPr="00591BFC">
        <w:rPr>
          <w:b/>
        </w:rPr>
        <w:t>Setting</w:t>
      </w:r>
    </w:p>
    <w:p w14:paraId="67C8AB09" w14:textId="77777777" w:rsidR="00076679" w:rsidRPr="00591BFC" w:rsidRDefault="00076679" w:rsidP="00E86771">
      <w:pPr>
        <w:spacing w:line="360" w:lineRule="auto"/>
      </w:pPr>
      <w:r w:rsidRPr="00591BFC">
        <w:t>Eleven acute hospitals in a region of England.</w:t>
      </w:r>
    </w:p>
    <w:p w14:paraId="18565D20" w14:textId="77777777" w:rsidR="00076679" w:rsidRPr="00591BFC" w:rsidRDefault="00076679" w:rsidP="00E86771">
      <w:pPr>
        <w:spacing w:line="360" w:lineRule="auto"/>
        <w:rPr>
          <w:b/>
        </w:rPr>
      </w:pPr>
      <w:r w:rsidRPr="00591BFC">
        <w:rPr>
          <w:b/>
        </w:rPr>
        <w:t>Participants</w:t>
      </w:r>
    </w:p>
    <w:p w14:paraId="443F5AD5" w14:textId="77777777" w:rsidR="00076679" w:rsidRPr="00591BFC" w:rsidRDefault="00A9610B" w:rsidP="00E86771">
      <w:pPr>
        <w:spacing w:line="360" w:lineRule="auto"/>
      </w:pPr>
      <w:r w:rsidRPr="00591BFC">
        <w:t xml:space="preserve">Qualitative study: </w:t>
      </w:r>
      <w:r w:rsidR="00076679" w:rsidRPr="00591BFC">
        <w:t xml:space="preserve"> 43 health professionals working in fr</w:t>
      </w:r>
      <w:r w:rsidR="00792528" w:rsidRPr="00591BFC">
        <w:t xml:space="preserve">acture prevention services in </w:t>
      </w:r>
      <w:r w:rsidR="00076679" w:rsidRPr="00591BFC">
        <w:t>secondary care.</w:t>
      </w:r>
    </w:p>
    <w:p w14:paraId="4D8C7EC9" w14:textId="77777777" w:rsidR="00076679" w:rsidRPr="00591BFC" w:rsidRDefault="00076679" w:rsidP="00E86771">
      <w:pPr>
        <w:spacing w:line="360" w:lineRule="auto"/>
        <w:rPr>
          <w:b/>
        </w:rPr>
      </w:pPr>
      <w:r w:rsidRPr="00591BFC">
        <w:rPr>
          <w:b/>
        </w:rPr>
        <w:t>Interventions</w:t>
      </w:r>
    </w:p>
    <w:p w14:paraId="21E8C3F5" w14:textId="77777777" w:rsidR="00076679" w:rsidRPr="00591BFC" w:rsidRDefault="00076679" w:rsidP="00E86771">
      <w:pPr>
        <w:spacing w:line="360" w:lineRule="auto"/>
      </w:pPr>
      <w:r w:rsidRPr="00591BFC">
        <w:t>Changes made to secondary fracture prevention services at each hospital between 2003-2012</w:t>
      </w:r>
      <w:r w:rsidR="00792528" w:rsidRPr="00591BFC">
        <w:t>.</w:t>
      </w:r>
    </w:p>
    <w:p w14:paraId="79B246CC" w14:textId="77777777" w:rsidR="00076679" w:rsidRPr="00591BFC" w:rsidRDefault="00076679" w:rsidP="00E86771">
      <w:pPr>
        <w:spacing w:line="360" w:lineRule="auto"/>
        <w:rPr>
          <w:b/>
        </w:rPr>
      </w:pPr>
      <w:r w:rsidRPr="00591BFC">
        <w:rPr>
          <w:b/>
        </w:rPr>
        <w:t>Main outcome measures</w:t>
      </w:r>
    </w:p>
    <w:p w14:paraId="4752F42C" w14:textId="77777777" w:rsidR="00A9610B" w:rsidRPr="00591BFC" w:rsidRDefault="002D79E2" w:rsidP="00E86771">
      <w:pPr>
        <w:spacing w:line="360" w:lineRule="auto"/>
      </w:pPr>
      <w:r w:rsidRPr="00591BFC">
        <w:t>T</w:t>
      </w:r>
      <w:r w:rsidR="00A9610B" w:rsidRPr="00591BFC">
        <w:t xml:space="preserve">he primary outcome is secondary hip fracture. Secondary outcomes include mortality, non-hip fragility fracture and the overall rate of hip fracture. </w:t>
      </w:r>
    </w:p>
    <w:p w14:paraId="546E23C2" w14:textId="77777777" w:rsidR="00076679" w:rsidRPr="00591BFC" w:rsidRDefault="00076679" w:rsidP="00E86771">
      <w:pPr>
        <w:spacing w:line="360" w:lineRule="auto"/>
        <w:rPr>
          <w:b/>
        </w:rPr>
      </w:pPr>
      <w:r w:rsidRPr="00591BFC">
        <w:rPr>
          <w:b/>
        </w:rPr>
        <w:t>Data sources</w:t>
      </w:r>
    </w:p>
    <w:p w14:paraId="205EB946" w14:textId="77777777" w:rsidR="00A15BC1" w:rsidRDefault="00A15BC1" w:rsidP="00E86771">
      <w:pPr>
        <w:spacing w:after="0" w:line="360" w:lineRule="auto"/>
      </w:pPr>
      <w:r w:rsidRPr="00A15BC1">
        <w:t>Clinical/cost-effectives analyses: primary hip fracture patients identified from (a) Hospital Episode Statistics (HES) (2003-2013, n=33,152)  (b) Clinical Practice Research Datalink (CPRD) (1999-2013, n=11,243).</w:t>
      </w:r>
    </w:p>
    <w:p w14:paraId="6CF66634" w14:textId="77777777" w:rsidR="00A15BC1" w:rsidRDefault="00A15BC1" w:rsidP="00E86771">
      <w:pPr>
        <w:spacing w:after="0" w:line="360" w:lineRule="auto"/>
      </w:pPr>
    </w:p>
    <w:p w14:paraId="43BBC670" w14:textId="77777777" w:rsidR="00076679" w:rsidRPr="00591BFC" w:rsidRDefault="00076679" w:rsidP="00E86771">
      <w:pPr>
        <w:spacing w:after="0" w:line="360" w:lineRule="auto"/>
        <w:rPr>
          <w:b/>
        </w:rPr>
      </w:pPr>
      <w:r w:rsidRPr="00591BFC">
        <w:rPr>
          <w:b/>
        </w:rPr>
        <w:t>Results</w:t>
      </w:r>
    </w:p>
    <w:p w14:paraId="15B87FBF" w14:textId="77777777" w:rsidR="00A9610B" w:rsidRPr="00591BFC" w:rsidRDefault="00A9610B" w:rsidP="00E86771">
      <w:pPr>
        <w:spacing w:after="0" w:line="360" w:lineRule="auto"/>
      </w:pPr>
      <w:r w:rsidRPr="00591BFC">
        <w:rPr>
          <w:i/>
        </w:rPr>
        <w:lastRenderedPageBreak/>
        <w:t>Service evaluation</w:t>
      </w:r>
      <w:r w:rsidRPr="00591BFC">
        <w:t xml:space="preserve"> – There was significant variation in the organisation of secondary fracture prevention services, including staffing levels, type of service model (consultant </w:t>
      </w:r>
      <w:r w:rsidRPr="00591BFC">
        <w:rPr>
          <w:i/>
        </w:rPr>
        <w:t>v</w:t>
      </w:r>
      <w:r w:rsidR="00B7504B" w:rsidRPr="00591BFC">
        <w:rPr>
          <w:i/>
        </w:rPr>
        <w:t>s.</w:t>
      </w:r>
      <w:r w:rsidRPr="00591BFC">
        <w:t xml:space="preserve"> </w:t>
      </w:r>
      <w:r w:rsidR="009424A4" w:rsidRPr="00591BFC">
        <w:t>nurse-</w:t>
      </w:r>
      <w:r w:rsidRPr="00591BFC">
        <w:t xml:space="preserve">led), and </w:t>
      </w:r>
      <w:r w:rsidR="002D79E2" w:rsidRPr="00591BFC">
        <w:t>underlying processes.</w:t>
      </w:r>
    </w:p>
    <w:p w14:paraId="620979AF" w14:textId="77777777" w:rsidR="00A9610B" w:rsidRPr="00591BFC" w:rsidRDefault="00A9610B" w:rsidP="00E86771">
      <w:pPr>
        <w:spacing w:after="0" w:line="360" w:lineRule="auto"/>
      </w:pPr>
    </w:p>
    <w:p w14:paraId="208E0A5D" w14:textId="4EBAB3A9" w:rsidR="00A9610B" w:rsidRPr="00591BFC" w:rsidRDefault="00A9610B" w:rsidP="00E86771">
      <w:pPr>
        <w:spacing w:after="0" w:line="360" w:lineRule="auto"/>
      </w:pPr>
      <w:r w:rsidRPr="00591BFC">
        <w:rPr>
          <w:i/>
        </w:rPr>
        <w:t>Qualitative</w:t>
      </w:r>
      <w:r w:rsidR="006D4F3E">
        <w:rPr>
          <w:i/>
        </w:rPr>
        <w:t xml:space="preserve"> </w:t>
      </w:r>
      <w:r w:rsidRPr="00591BFC">
        <w:t xml:space="preserve">– </w:t>
      </w:r>
      <w:r w:rsidR="002D79E2" w:rsidRPr="00591BFC">
        <w:t>F</w:t>
      </w:r>
      <w:r w:rsidRPr="00591BFC">
        <w:t>racture prevention co-ordinators gave multi-disciplinary health professionals capacity to work together, but communication with GPs was challenging. The intervention was e</w:t>
      </w:r>
      <w:r w:rsidR="00B21A4A" w:rsidRPr="00591BFC">
        <w:t xml:space="preserve">asily integrated into practice but </w:t>
      </w:r>
      <w:r w:rsidR="00776A29" w:rsidRPr="00776A29">
        <w:t xml:space="preserve">some participants felt </w:t>
      </w:r>
      <w:r w:rsidRPr="00591BFC">
        <w:t xml:space="preserve">implementation </w:t>
      </w:r>
      <w:r w:rsidR="00A15BC1">
        <w:t xml:space="preserve">was </w:t>
      </w:r>
      <w:r w:rsidR="00776A29" w:rsidRPr="00776A29">
        <w:t>undermined</w:t>
      </w:r>
      <w:r w:rsidRPr="00591BFC">
        <w:t xml:space="preserve"> by under resourced services</w:t>
      </w:r>
      <w:r w:rsidR="00B7504B" w:rsidRPr="00591BFC">
        <w:t>.</w:t>
      </w:r>
      <w:r w:rsidR="009D3F30" w:rsidRPr="00591BFC">
        <w:t xml:space="preserve"> Making business cases for a service was</w:t>
      </w:r>
      <w:r w:rsidR="00B21A4A" w:rsidRPr="00591BFC">
        <w:t xml:space="preserve"> particularly</w:t>
      </w:r>
      <w:r w:rsidR="009D3F30" w:rsidRPr="00591BFC">
        <w:t xml:space="preserve"> challenging</w:t>
      </w:r>
      <w:r w:rsidR="00B21A4A" w:rsidRPr="00591BFC">
        <w:t>.</w:t>
      </w:r>
    </w:p>
    <w:p w14:paraId="043058D2" w14:textId="77777777" w:rsidR="00A9610B" w:rsidRPr="00591BFC" w:rsidRDefault="00A9610B" w:rsidP="00E86771">
      <w:pPr>
        <w:spacing w:after="0" w:line="360" w:lineRule="auto"/>
      </w:pPr>
    </w:p>
    <w:p w14:paraId="4DCC2B42" w14:textId="6B8B49A9" w:rsidR="00A9610B" w:rsidRPr="00591BFC" w:rsidRDefault="00A9610B" w:rsidP="00E86771">
      <w:pPr>
        <w:spacing w:after="0" w:line="360" w:lineRule="auto"/>
      </w:pPr>
      <w:r w:rsidRPr="00591BFC">
        <w:rPr>
          <w:i/>
        </w:rPr>
        <w:t>Natural experiment</w:t>
      </w:r>
      <w:r w:rsidRPr="00591BFC">
        <w:t xml:space="preserve"> –The impact of introducing an orthogeriatrician </w:t>
      </w:r>
      <w:r w:rsidR="00EE37AE" w:rsidRPr="00591BFC">
        <w:t xml:space="preserve">(OG) </w:t>
      </w:r>
      <w:r w:rsidRPr="00591BFC">
        <w:t>on 30-day and 1-year mortality was hazard ratio (HR)=0.73 (95%</w:t>
      </w:r>
      <w:r w:rsidR="00B21A4A" w:rsidRPr="00591BFC">
        <w:t xml:space="preserve"> CI</w:t>
      </w:r>
      <w:r w:rsidR="00796846">
        <w:t xml:space="preserve">: </w:t>
      </w:r>
      <w:r w:rsidR="00B21A4A" w:rsidRPr="00591BFC">
        <w:t>0.65-0.82) and HR=0.81 (</w:t>
      </w:r>
      <w:r w:rsidR="00F87C93">
        <w:t xml:space="preserve">95% </w:t>
      </w:r>
      <w:r w:rsidR="00B21A4A" w:rsidRPr="00591BFC">
        <w:t>CI:</w:t>
      </w:r>
      <w:r w:rsidR="00796846">
        <w:t xml:space="preserve"> </w:t>
      </w:r>
      <w:r w:rsidRPr="00591BFC">
        <w:t xml:space="preserve">0.75-0.87) respectively. 30-day and 1-year mortality were likewise reduced following the introduction or expansion of a </w:t>
      </w:r>
      <w:r w:rsidR="00B7504B" w:rsidRPr="00591BFC">
        <w:t>Fracture Liaison Service (</w:t>
      </w:r>
      <w:r w:rsidRPr="00591BFC">
        <w:t>FLS</w:t>
      </w:r>
      <w:r w:rsidR="00B7504B" w:rsidRPr="00591BFC">
        <w:t>)</w:t>
      </w:r>
      <w:r w:rsidRPr="00591BFC">
        <w:t>: HR 0.80 (95% CI: 0.71-0.91) and HR 0.84 (</w:t>
      </w:r>
      <w:r w:rsidR="00F87C93">
        <w:t xml:space="preserve">95% CI: </w:t>
      </w:r>
      <w:r w:rsidRPr="00591BFC">
        <w:t>0.77-0.93) respectively. There was no significant impact on time to secondary hip fracture.</w:t>
      </w:r>
    </w:p>
    <w:p w14:paraId="2CA45AF2" w14:textId="77777777" w:rsidR="00A9610B" w:rsidRPr="00591BFC" w:rsidRDefault="00A9610B" w:rsidP="00E86771">
      <w:pPr>
        <w:spacing w:after="0" w:line="360" w:lineRule="auto"/>
      </w:pPr>
    </w:p>
    <w:p w14:paraId="3841B2D5" w14:textId="5995CE7B" w:rsidR="00A9610B" w:rsidRPr="00591BFC" w:rsidRDefault="00B7504B" w:rsidP="00E86771">
      <w:pPr>
        <w:spacing w:after="0" w:line="360" w:lineRule="auto"/>
      </w:pPr>
      <w:r w:rsidRPr="00591BFC">
        <w:rPr>
          <w:i/>
        </w:rPr>
        <w:t xml:space="preserve">Health economics </w:t>
      </w:r>
      <w:r w:rsidR="00A9610B" w:rsidRPr="00591BFC">
        <w:t xml:space="preserve">- The annual cost in the year of hip fracture was estimated </w:t>
      </w:r>
      <w:r w:rsidR="00792528" w:rsidRPr="00591BFC">
        <w:t>at £10,</w:t>
      </w:r>
      <w:r w:rsidR="00470C42">
        <w:t>964</w:t>
      </w:r>
      <w:r w:rsidR="00792528" w:rsidRPr="00591BFC">
        <w:t xml:space="preserve"> (95% CI:</w:t>
      </w:r>
      <w:r w:rsidR="00F87C93">
        <w:t xml:space="preserve"> </w:t>
      </w:r>
      <w:r w:rsidR="00792528" w:rsidRPr="00591BFC">
        <w:t>£10,7</w:t>
      </w:r>
      <w:r w:rsidR="00470C42">
        <w:t>67</w:t>
      </w:r>
      <w:r w:rsidR="00792528" w:rsidRPr="00591BFC">
        <w:t>-</w:t>
      </w:r>
      <w:r w:rsidR="00A9610B" w:rsidRPr="00591BFC">
        <w:t>£11,</w:t>
      </w:r>
      <w:r w:rsidR="00470C42">
        <w:t>161</w:t>
      </w:r>
      <w:r w:rsidR="00A9610B" w:rsidRPr="00591BFC">
        <w:t xml:space="preserve">) higher </w:t>
      </w:r>
      <w:r w:rsidR="00792528" w:rsidRPr="00591BFC">
        <w:t>than</w:t>
      </w:r>
      <w:r w:rsidR="00A9610B" w:rsidRPr="00591BFC">
        <w:t xml:space="preserve"> the previous year. The annual costs associated with all incident hip fractures in the UK amongst those aged 50</w:t>
      </w:r>
      <w:r w:rsidR="00B21A4A" w:rsidRPr="00591BFC">
        <w:t>+</w:t>
      </w:r>
      <w:r w:rsidR="00A9610B" w:rsidRPr="00591BFC">
        <w:t xml:space="preserve"> (n=79,243) </w:t>
      </w:r>
      <w:r w:rsidR="00792528" w:rsidRPr="00591BFC">
        <w:t>was</w:t>
      </w:r>
      <w:r w:rsidRPr="00591BFC">
        <w:t xml:space="preserve"> estimated at £1,2</w:t>
      </w:r>
      <w:r w:rsidR="00470C42">
        <w:t>1</w:t>
      </w:r>
      <w:r w:rsidRPr="00591BFC">
        <w:t>5 million.</w:t>
      </w:r>
      <w:r w:rsidR="009D3F30" w:rsidRPr="00591BFC">
        <w:t xml:space="preserve"> </w:t>
      </w:r>
      <w:r w:rsidR="002D79E2" w:rsidRPr="00591BFC">
        <w:t>A</w:t>
      </w:r>
      <w:r w:rsidR="00A9610B" w:rsidRPr="00591BFC">
        <w:t xml:space="preserve">t a £30,000 per </w:t>
      </w:r>
      <w:r w:rsidRPr="00591BFC">
        <w:t>Quality of Life Year (QUALY)</w:t>
      </w:r>
      <w:r w:rsidR="00A9610B" w:rsidRPr="00591BFC">
        <w:t xml:space="preserve"> threshold, the most cost-effective </w:t>
      </w:r>
      <w:r w:rsidR="00792528" w:rsidRPr="00591BFC">
        <w:t>model</w:t>
      </w:r>
      <w:r w:rsidR="00A9610B" w:rsidRPr="00591BFC">
        <w:t xml:space="preserve"> was introducing an </w:t>
      </w:r>
      <w:r w:rsidR="00B21A4A" w:rsidRPr="00591BFC">
        <w:t>OG</w:t>
      </w:r>
      <w:r w:rsidR="00A9610B" w:rsidRPr="00591BFC">
        <w:t xml:space="preserve">. </w:t>
      </w:r>
    </w:p>
    <w:p w14:paraId="4B7662B4" w14:textId="77777777" w:rsidR="00A9610B" w:rsidRPr="00591BFC" w:rsidRDefault="00A9610B" w:rsidP="00E86771">
      <w:pPr>
        <w:spacing w:after="0" w:line="360" w:lineRule="auto"/>
      </w:pPr>
    </w:p>
    <w:p w14:paraId="17B57E9E" w14:textId="77777777" w:rsidR="00076679" w:rsidRPr="00591BFC" w:rsidRDefault="00076679" w:rsidP="00E86771">
      <w:pPr>
        <w:spacing w:after="0" w:line="360" w:lineRule="auto"/>
        <w:rPr>
          <w:b/>
        </w:rPr>
      </w:pPr>
      <w:r w:rsidRPr="00591BFC">
        <w:rPr>
          <w:b/>
        </w:rPr>
        <w:t>Conclusion</w:t>
      </w:r>
    </w:p>
    <w:p w14:paraId="28C7241B" w14:textId="1C2EB338" w:rsidR="00A9610B" w:rsidRPr="00591BFC" w:rsidRDefault="00A9610B" w:rsidP="00E86771">
      <w:pPr>
        <w:spacing w:after="0" w:line="360" w:lineRule="auto"/>
      </w:pPr>
      <w:r w:rsidRPr="00591BFC">
        <w:t xml:space="preserve">In hip fracture patients </w:t>
      </w:r>
      <w:r w:rsidR="00EE37AE" w:rsidRPr="00591BFC">
        <w:t xml:space="preserve">OG </w:t>
      </w:r>
      <w:r w:rsidRPr="00591BFC">
        <w:t xml:space="preserve">and nurse-led </w:t>
      </w:r>
      <w:r w:rsidR="00EE37AE" w:rsidRPr="00591BFC">
        <w:t>FLS</w:t>
      </w:r>
      <w:r w:rsidRPr="00591BFC">
        <w:t xml:space="preserve"> models </w:t>
      </w:r>
      <w:r w:rsidR="00CD1D1E">
        <w:t>are associated with reductions in</w:t>
      </w:r>
      <w:r w:rsidRPr="00591BFC">
        <w:t xml:space="preserve"> </w:t>
      </w:r>
      <w:r w:rsidR="00792528" w:rsidRPr="00591BFC">
        <w:t xml:space="preserve">mortality rates and </w:t>
      </w:r>
      <w:r w:rsidR="00EE37AE" w:rsidRPr="00591BFC">
        <w:t>are</w:t>
      </w:r>
      <w:r w:rsidR="00B21A4A" w:rsidRPr="00591BFC">
        <w:t xml:space="preserve"> cost-effective</w:t>
      </w:r>
      <w:r w:rsidRPr="00591BFC">
        <w:t xml:space="preserve">, the OG model being the most cost-effective. There was no evidence for a reduction </w:t>
      </w:r>
      <w:r w:rsidR="00792528" w:rsidRPr="00591BFC">
        <w:t>in</w:t>
      </w:r>
      <w:r w:rsidRPr="00591BFC">
        <w:t xml:space="preserve"> second hip fracture. </w:t>
      </w:r>
      <w:r w:rsidR="00EE37AE" w:rsidRPr="00591BFC">
        <w:t>Q</w:t>
      </w:r>
      <w:r w:rsidRPr="00591BFC">
        <w:t xml:space="preserve">ualitative data suggests weaknesses </w:t>
      </w:r>
      <w:r w:rsidR="00B21A4A" w:rsidRPr="00591BFC">
        <w:t xml:space="preserve">lie in </w:t>
      </w:r>
      <w:r w:rsidRPr="00591BFC">
        <w:t>tre</w:t>
      </w:r>
      <w:r w:rsidR="00792528" w:rsidRPr="00591BFC">
        <w:t>atment adherence/</w:t>
      </w:r>
      <w:r w:rsidR="002D79E2" w:rsidRPr="00591BFC">
        <w:t>monitoring, a possible reason for</w:t>
      </w:r>
      <w:r w:rsidRPr="00591BFC">
        <w:t xml:space="preserve"> the lack of effectiveness. The effectiveness on non-hip fracture outcomes remains unanswered.</w:t>
      </w:r>
    </w:p>
    <w:p w14:paraId="7AC0D5D4" w14:textId="77777777" w:rsidR="00A9610B" w:rsidRPr="00591BFC" w:rsidRDefault="00A9610B" w:rsidP="00E86771">
      <w:pPr>
        <w:spacing w:after="0" w:line="360" w:lineRule="auto"/>
      </w:pPr>
    </w:p>
    <w:p w14:paraId="52D824CB" w14:textId="77777777" w:rsidR="00076679" w:rsidRPr="00591BFC" w:rsidRDefault="00076679" w:rsidP="00E86771">
      <w:pPr>
        <w:spacing w:after="0" w:line="360" w:lineRule="auto"/>
        <w:rPr>
          <w:b/>
        </w:rPr>
      </w:pPr>
      <w:r w:rsidRPr="00591BFC">
        <w:rPr>
          <w:b/>
        </w:rPr>
        <w:t>Future work</w:t>
      </w:r>
    </w:p>
    <w:p w14:paraId="49086679" w14:textId="469E1FCB" w:rsidR="00A9610B" w:rsidRPr="00591BFC" w:rsidRDefault="00EE37AE" w:rsidP="00E86771">
      <w:pPr>
        <w:spacing w:after="0" w:line="360" w:lineRule="auto"/>
      </w:pPr>
      <w:r w:rsidRPr="00591BFC">
        <w:t xml:space="preserve">Reliable estimates of health state utility values for patients with hip and non-hip fractures are required to reduce uncertainty in health economic models. </w:t>
      </w:r>
      <w:r w:rsidR="00A9610B" w:rsidRPr="00591BFC">
        <w:t>A clinical trial</w:t>
      </w:r>
      <w:r w:rsidRPr="00591BFC">
        <w:t xml:space="preserve"> is needed</w:t>
      </w:r>
      <w:r w:rsidR="00A9610B" w:rsidRPr="00591BFC">
        <w:t xml:space="preserve"> to assess the clinical and cost-effectiveness of FLS for non-hip fracture</w:t>
      </w:r>
      <w:r w:rsidR="00131C01">
        <w:t xml:space="preserve"> patients</w:t>
      </w:r>
      <w:r w:rsidR="00A9610B" w:rsidRPr="00591BFC">
        <w:t>.</w:t>
      </w:r>
    </w:p>
    <w:p w14:paraId="62500AEB" w14:textId="77777777" w:rsidR="00EE37AE" w:rsidRPr="00591BFC" w:rsidRDefault="00EE37AE" w:rsidP="00E86771">
      <w:pPr>
        <w:spacing w:after="0" w:line="360" w:lineRule="auto"/>
      </w:pPr>
    </w:p>
    <w:p w14:paraId="33BFC6D8" w14:textId="77777777" w:rsidR="00A9610B" w:rsidRPr="00591BFC" w:rsidRDefault="00EE37AE" w:rsidP="00E86771">
      <w:pPr>
        <w:spacing w:after="0" w:line="360" w:lineRule="auto"/>
        <w:rPr>
          <w:b/>
        </w:rPr>
      </w:pPr>
      <w:r w:rsidRPr="00591BFC">
        <w:rPr>
          <w:b/>
        </w:rPr>
        <w:t>Study registration</w:t>
      </w:r>
    </w:p>
    <w:p w14:paraId="5F3C0E67" w14:textId="77777777" w:rsidR="00EE37AE" w:rsidRPr="00591BFC" w:rsidRDefault="00EE37AE" w:rsidP="00E86771">
      <w:pPr>
        <w:spacing w:after="0" w:line="360" w:lineRule="auto"/>
      </w:pPr>
      <w:r w:rsidRPr="00591BFC">
        <w:lastRenderedPageBreak/>
        <w:t>NIHR CRN, ID: 13977</w:t>
      </w:r>
    </w:p>
    <w:p w14:paraId="1E017FA1" w14:textId="77777777" w:rsidR="00EE37AE" w:rsidRPr="00591BFC" w:rsidRDefault="00EE37AE" w:rsidP="00E86771">
      <w:pPr>
        <w:spacing w:after="0" w:line="360" w:lineRule="auto"/>
        <w:rPr>
          <w:b/>
        </w:rPr>
      </w:pPr>
    </w:p>
    <w:p w14:paraId="3A8A00C8" w14:textId="77777777" w:rsidR="00076679" w:rsidRPr="00591BFC" w:rsidRDefault="00076679" w:rsidP="00E86771">
      <w:pPr>
        <w:spacing w:after="0" w:line="360" w:lineRule="auto"/>
        <w:rPr>
          <w:b/>
        </w:rPr>
      </w:pPr>
      <w:r w:rsidRPr="00591BFC">
        <w:rPr>
          <w:b/>
        </w:rPr>
        <w:t>Funding details</w:t>
      </w:r>
    </w:p>
    <w:p w14:paraId="5B4CC276" w14:textId="77777777" w:rsidR="00E416AE" w:rsidRDefault="009D3F30" w:rsidP="00E86771">
      <w:pPr>
        <w:spacing w:line="360" w:lineRule="auto"/>
      </w:pPr>
      <w:r w:rsidRPr="00591BFC">
        <w:t>NIHR HS&amp;DR Project 11/1023/01</w:t>
      </w:r>
    </w:p>
    <w:p w14:paraId="2ACCFF7C" w14:textId="3B368E48" w:rsidR="00314B75" w:rsidRPr="00591BFC" w:rsidRDefault="00314B75" w:rsidP="00E86771">
      <w:pPr>
        <w:spacing w:line="360" w:lineRule="auto"/>
      </w:pPr>
      <w:r>
        <w:t xml:space="preserve">Word count: </w:t>
      </w:r>
      <w:r w:rsidR="00131C01">
        <w:t>482</w:t>
      </w:r>
    </w:p>
    <w:p w14:paraId="157210FD" w14:textId="77777777" w:rsidR="00954362" w:rsidRDefault="00954362" w:rsidP="00E86771">
      <w:pPr>
        <w:spacing w:line="360" w:lineRule="auto"/>
      </w:pPr>
      <w:r w:rsidRPr="00591BFC">
        <w:t>Key words: Osteoporosis, hip fracture, orthogeriatrics, fracture prevention services, cost-effectiveness, mortality, secondary fracture, fracture liaison nurses</w:t>
      </w:r>
    </w:p>
    <w:p w14:paraId="540284B0" w14:textId="77777777" w:rsidR="003D32A5" w:rsidRPr="00591BFC" w:rsidRDefault="003D32A5" w:rsidP="00E86771">
      <w:pPr>
        <w:spacing w:line="360" w:lineRule="auto"/>
      </w:pPr>
      <w:r>
        <w:br w:type="page"/>
      </w:r>
    </w:p>
    <w:p w14:paraId="7FA9386A" w14:textId="77777777" w:rsidR="00E416AE" w:rsidRPr="00591BFC" w:rsidRDefault="00E416AE" w:rsidP="00E86771">
      <w:pPr>
        <w:pStyle w:val="Heading1"/>
        <w:spacing w:line="360" w:lineRule="auto"/>
        <w:rPr>
          <w:rFonts w:ascii="Calibri" w:hAnsi="Calibri"/>
          <w:lang w:val="en-GB"/>
        </w:rPr>
      </w:pPr>
      <w:bookmarkStart w:id="5" w:name="_Toc308300683"/>
      <w:bookmarkStart w:id="6" w:name="_Toc311366490"/>
      <w:r w:rsidRPr="00591BFC">
        <w:rPr>
          <w:rFonts w:ascii="Calibri" w:hAnsi="Calibri"/>
          <w:lang w:val="en-GB"/>
        </w:rPr>
        <w:t>Contents</w:t>
      </w:r>
      <w:bookmarkEnd w:id="5"/>
      <w:bookmarkEnd w:id="6"/>
    </w:p>
    <w:p w14:paraId="7B91F0BE" w14:textId="77777777" w:rsidR="00AB59D4" w:rsidRDefault="002C25B4">
      <w:pPr>
        <w:pStyle w:val="TOC1"/>
        <w:tabs>
          <w:tab w:val="right" w:leader="dot" w:pos="9016"/>
        </w:tabs>
        <w:rPr>
          <w:rFonts w:asciiTheme="minorHAnsi" w:eastAsiaTheme="minorEastAsia" w:hAnsiTheme="minorHAnsi" w:cstheme="minorBidi"/>
          <w:noProof/>
          <w:sz w:val="24"/>
          <w:szCs w:val="24"/>
          <w:lang w:eastAsia="ja-JP"/>
        </w:rPr>
      </w:pPr>
      <w:r w:rsidRPr="00591BFC">
        <w:fldChar w:fldCharType="begin"/>
      </w:r>
      <w:r w:rsidR="00E416AE" w:rsidRPr="00591BFC">
        <w:instrText xml:space="preserve"> TOC \o "1-3" \h \z \u </w:instrText>
      </w:r>
      <w:r w:rsidRPr="00591BFC">
        <w:fldChar w:fldCharType="separate"/>
      </w:r>
      <w:r w:rsidR="00AB59D4" w:rsidRPr="00DE310B">
        <w:rPr>
          <w:noProof/>
        </w:rPr>
        <w:t>Models of care for the delivery of secondary fracture prevention after hip fracture: a health service cost, clinical outcomes and cost-effectiveness study within a region of England</w:t>
      </w:r>
      <w:r w:rsidR="00AB59D4">
        <w:rPr>
          <w:noProof/>
        </w:rPr>
        <w:tab/>
      </w:r>
      <w:r w:rsidR="00AB59D4">
        <w:rPr>
          <w:noProof/>
        </w:rPr>
        <w:fldChar w:fldCharType="begin"/>
      </w:r>
      <w:r w:rsidR="00AB59D4">
        <w:rPr>
          <w:noProof/>
        </w:rPr>
        <w:instrText xml:space="preserve"> PAGEREF _Toc311366488 \h </w:instrText>
      </w:r>
      <w:r w:rsidR="00AB59D4">
        <w:rPr>
          <w:noProof/>
        </w:rPr>
      </w:r>
      <w:r w:rsidR="00AB59D4">
        <w:rPr>
          <w:noProof/>
        </w:rPr>
        <w:fldChar w:fldCharType="separate"/>
      </w:r>
      <w:r w:rsidR="00AB59D4">
        <w:rPr>
          <w:noProof/>
        </w:rPr>
        <w:t>1</w:t>
      </w:r>
      <w:r w:rsidR="00AB59D4">
        <w:rPr>
          <w:noProof/>
        </w:rPr>
        <w:fldChar w:fldCharType="end"/>
      </w:r>
    </w:p>
    <w:p w14:paraId="28CDA601"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Abstract</w:t>
      </w:r>
      <w:r>
        <w:rPr>
          <w:noProof/>
        </w:rPr>
        <w:tab/>
      </w:r>
      <w:r>
        <w:rPr>
          <w:noProof/>
        </w:rPr>
        <w:fldChar w:fldCharType="begin"/>
      </w:r>
      <w:r>
        <w:rPr>
          <w:noProof/>
        </w:rPr>
        <w:instrText xml:space="preserve"> PAGEREF _Toc311366489 \h </w:instrText>
      </w:r>
      <w:r>
        <w:rPr>
          <w:noProof/>
        </w:rPr>
      </w:r>
      <w:r>
        <w:rPr>
          <w:noProof/>
        </w:rPr>
        <w:fldChar w:fldCharType="separate"/>
      </w:r>
      <w:r>
        <w:rPr>
          <w:noProof/>
        </w:rPr>
        <w:t>3</w:t>
      </w:r>
      <w:r>
        <w:rPr>
          <w:noProof/>
        </w:rPr>
        <w:fldChar w:fldCharType="end"/>
      </w:r>
    </w:p>
    <w:p w14:paraId="74664D4D"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Contents</w:t>
      </w:r>
      <w:r>
        <w:rPr>
          <w:noProof/>
        </w:rPr>
        <w:tab/>
      </w:r>
      <w:r>
        <w:rPr>
          <w:noProof/>
        </w:rPr>
        <w:fldChar w:fldCharType="begin"/>
      </w:r>
      <w:r>
        <w:rPr>
          <w:noProof/>
        </w:rPr>
        <w:instrText xml:space="preserve"> PAGEREF _Toc311366490 \h </w:instrText>
      </w:r>
      <w:r>
        <w:rPr>
          <w:noProof/>
        </w:rPr>
      </w:r>
      <w:r>
        <w:rPr>
          <w:noProof/>
        </w:rPr>
        <w:fldChar w:fldCharType="separate"/>
      </w:r>
      <w:r>
        <w:rPr>
          <w:noProof/>
        </w:rPr>
        <w:t>6</w:t>
      </w:r>
      <w:r>
        <w:rPr>
          <w:noProof/>
        </w:rPr>
        <w:fldChar w:fldCharType="end"/>
      </w:r>
    </w:p>
    <w:p w14:paraId="13B0741E"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List of tables</w:t>
      </w:r>
      <w:r>
        <w:rPr>
          <w:noProof/>
        </w:rPr>
        <w:tab/>
      </w:r>
      <w:r>
        <w:rPr>
          <w:noProof/>
        </w:rPr>
        <w:fldChar w:fldCharType="begin"/>
      </w:r>
      <w:r>
        <w:rPr>
          <w:noProof/>
        </w:rPr>
        <w:instrText xml:space="preserve"> PAGEREF _Toc311366491 \h </w:instrText>
      </w:r>
      <w:r>
        <w:rPr>
          <w:noProof/>
        </w:rPr>
      </w:r>
      <w:r>
        <w:rPr>
          <w:noProof/>
        </w:rPr>
        <w:fldChar w:fldCharType="separate"/>
      </w:r>
      <w:r>
        <w:rPr>
          <w:noProof/>
        </w:rPr>
        <w:t>11</w:t>
      </w:r>
      <w:r>
        <w:rPr>
          <w:noProof/>
        </w:rPr>
        <w:fldChar w:fldCharType="end"/>
      </w:r>
    </w:p>
    <w:p w14:paraId="73636129"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List of figures</w:t>
      </w:r>
      <w:r>
        <w:rPr>
          <w:noProof/>
        </w:rPr>
        <w:tab/>
      </w:r>
      <w:r>
        <w:rPr>
          <w:noProof/>
        </w:rPr>
        <w:fldChar w:fldCharType="begin"/>
      </w:r>
      <w:r>
        <w:rPr>
          <w:noProof/>
        </w:rPr>
        <w:instrText xml:space="preserve"> PAGEREF _Toc311366492 \h </w:instrText>
      </w:r>
      <w:r>
        <w:rPr>
          <w:noProof/>
        </w:rPr>
      </w:r>
      <w:r>
        <w:rPr>
          <w:noProof/>
        </w:rPr>
        <w:fldChar w:fldCharType="separate"/>
      </w:r>
      <w:r>
        <w:rPr>
          <w:noProof/>
        </w:rPr>
        <w:t>13</w:t>
      </w:r>
      <w:r>
        <w:rPr>
          <w:noProof/>
        </w:rPr>
        <w:fldChar w:fldCharType="end"/>
      </w:r>
    </w:p>
    <w:p w14:paraId="46935FED"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Alphabetical list of abbreviations</w:t>
      </w:r>
      <w:r>
        <w:rPr>
          <w:noProof/>
        </w:rPr>
        <w:tab/>
      </w:r>
      <w:r>
        <w:rPr>
          <w:noProof/>
        </w:rPr>
        <w:fldChar w:fldCharType="begin"/>
      </w:r>
      <w:r>
        <w:rPr>
          <w:noProof/>
        </w:rPr>
        <w:instrText xml:space="preserve"> PAGEREF _Toc311366493 \h </w:instrText>
      </w:r>
      <w:r>
        <w:rPr>
          <w:noProof/>
        </w:rPr>
      </w:r>
      <w:r>
        <w:rPr>
          <w:noProof/>
        </w:rPr>
        <w:fldChar w:fldCharType="separate"/>
      </w:r>
      <w:r>
        <w:rPr>
          <w:noProof/>
        </w:rPr>
        <w:t>16</w:t>
      </w:r>
      <w:r>
        <w:rPr>
          <w:noProof/>
        </w:rPr>
        <w:fldChar w:fldCharType="end"/>
      </w:r>
    </w:p>
    <w:p w14:paraId="1ED3CEA8"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Glossary</w:t>
      </w:r>
      <w:r>
        <w:rPr>
          <w:noProof/>
        </w:rPr>
        <w:tab/>
      </w:r>
      <w:r>
        <w:rPr>
          <w:noProof/>
        </w:rPr>
        <w:fldChar w:fldCharType="begin"/>
      </w:r>
      <w:r>
        <w:rPr>
          <w:noProof/>
        </w:rPr>
        <w:instrText xml:space="preserve"> PAGEREF _Toc311366494 \h </w:instrText>
      </w:r>
      <w:r>
        <w:rPr>
          <w:noProof/>
        </w:rPr>
      </w:r>
      <w:r>
        <w:rPr>
          <w:noProof/>
        </w:rPr>
        <w:fldChar w:fldCharType="separate"/>
      </w:r>
      <w:r>
        <w:rPr>
          <w:noProof/>
        </w:rPr>
        <w:t>18</w:t>
      </w:r>
      <w:r>
        <w:rPr>
          <w:noProof/>
        </w:rPr>
        <w:fldChar w:fldCharType="end"/>
      </w:r>
    </w:p>
    <w:p w14:paraId="3EABC86A"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Scientific summary</w:t>
      </w:r>
      <w:r>
        <w:rPr>
          <w:noProof/>
        </w:rPr>
        <w:tab/>
      </w:r>
      <w:r>
        <w:rPr>
          <w:noProof/>
        </w:rPr>
        <w:fldChar w:fldCharType="begin"/>
      </w:r>
      <w:r>
        <w:rPr>
          <w:noProof/>
        </w:rPr>
        <w:instrText xml:space="preserve"> PAGEREF _Toc311366495 \h </w:instrText>
      </w:r>
      <w:r>
        <w:rPr>
          <w:noProof/>
        </w:rPr>
      </w:r>
      <w:r>
        <w:rPr>
          <w:noProof/>
        </w:rPr>
        <w:fldChar w:fldCharType="separate"/>
      </w:r>
      <w:r>
        <w:rPr>
          <w:noProof/>
        </w:rPr>
        <w:t>19</w:t>
      </w:r>
      <w:r>
        <w:rPr>
          <w:noProof/>
        </w:rPr>
        <w:fldChar w:fldCharType="end"/>
      </w:r>
    </w:p>
    <w:p w14:paraId="5F346BFD"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Background</w:t>
      </w:r>
      <w:r>
        <w:rPr>
          <w:noProof/>
        </w:rPr>
        <w:tab/>
      </w:r>
      <w:r>
        <w:rPr>
          <w:noProof/>
        </w:rPr>
        <w:fldChar w:fldCharType="begin"/>
      </w:r>
      <w:r>
        <w:rPr>
          <w:noProof/>
        </w:rPr>
        <w:instrText xml:space="preserve"> PAGEREF _Toc311366496 \h </w:instrText>
      </w:r>
      <w:r>
        <w:rPr>
          <w:noProof/>
        </w:rPr>
      </w:r>
      <w:r>
        <w:rPr>
          <w:noProof/>
        </w:rPr>
        <w:fldChar w:fldCharType="separate"/>
      </w:r>
      <w:r>
        <w:rPr>
          <w:noProof/>
        </w:rPr>
        <w:t>19</w:t>
      </w:r>
      <w:r>
        <w:rPr>
          <w:noProof/>
        </w:rPr>
        <w:fldChar w:fldCharType="end"/>
      </w:r>
    </w:p>
    <w:p w14:paraId="791FAECF"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Objectives</w:t>
      </w:r>
      <w:r>
        <w:rPr>
          <w:noProof/>
        </w:rPr>
        <w:tab/>
      </w:r>
      <w:r>
        <w:rPr>
          <w:noProof/>
        </w:rPr>
        <w:fldChar w:fldCharType="begin"/>
      </w:r>
      <w:r>
        <w:rPr>
          <w:noProof/>
        </w:rPr>
        <w:instrText xml:space="preserve"> PAGEREF _Toc311366497 \h </w:instrText>
      </w:r>
      <w:r>
        <w:rPr>
          <w:noProof/>
        </w:rPr>
      </w:r>
      <w:r>
        <w:rPr>
          <w:noProof/>
        </w:rPr>
        <w:fldChar w:fldCharType="separate"/>
      </w:r>
      <w:r>
        <w:rPr>
          <w:noProof/>
        </w:rPr>
        <w:t>20</w:t>
      </w:r>
      <w:r>
        <w:rPr>
          <w:noProof/>
        </w:rPr>
        <w:fldChar w:fldCharType="end"/>
      </w:r>
    </w:p>
    <w:p w14:paraId="4F823C9A"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Methods</w:t>
      </w:r>
      <w:r>
        <w:rPr>
          <w:noProof/>
        </w:rPr>
        <w:tab/>
      </w:r>
      <w:r>
        <w:rPr>
          <w:noProof/>
        </w:rPr>
        <w:fldChar w:fldCharType="begin"/>
      </w:r>
      <w:r>
        <w:rPr>
          <w:noProof/>
        </w:rPr>
        <w:instrText xml:space="preserve"> PAGEREF _Toc311366498 \h </w:instrText>
      </w:r>
      <w:r>
        <w:rPr>
          <w:noProof/>
        </w:rPr>
      </w:r>
      <w:r>
        <w:rPr>
          <w:noProof/>
        </w:rPr>
        <w:fldChar w:fldCharType="separate"/>
      </w:r>
      <w:r>
        <w:rPr>
          <w:noProof/>
        </w:rPr>
        <w:t>20</w:t>
      </w:r>
      <w:r>
        <w:rPr>
          <w:noProof/>
        </w:rPr>
        <w:fldChar w:fldCharType="end"/>
      </w:r>
    </w:p>
    <w:p w14:paraId="525BAE18"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Results</w:t>
      </w:r>
      <w:r>
        <w:rPr>
          <w:noProof/>
        </w:rPr>
        <w:tab/>
      </w:r>
      <w:r>
        <w:rPr>
          <w:noProof/>
        </w:rPr>
        <w:fldChar w:fldCharType="begin"/>
      </w:r>
      <w:r>
        <w:rPr>
          <w:noProof/>
        </w:rPr>
        <w:instrText xml:space="preserve"> PAGEREF _Toc311366499 \h </w:instrText>
      </w:r>
      <w:r>
        <w:rPr>
          <w:noProof/>
        </w:rPr>
      </w:r>
      <w:r>
        <w:rPr>
          <w:noProof/>
        </w:rPr>
        <w:fldChar w:fldCharType="separate"/>
      </w:r>
      <w:r>
        <w:rPr>
          <w:noProof/>
        </w:rPr>
        <w:t>22</w:t>
      </w:r>
      <w:r>
        <w:rPr>
          <w:noProof/>
        </w:rPr>
        <w:fldChar w:fldCharType="end"/>
      </w:r>
    </w:p>
    <w:p w14:paraId="2232B9DE"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Conclusion</w:t>
      </w:r>
      <w:r>
        <w:rPr>
          <w:noProof/>
        </w:rPr>
        <w:tab/>
      </w:r>
      <w:r>
        <w:rPr>
          <w:noProof/>
        </w:rPr>
        <w:fldChar w:fldCharType="begin"/>
      </w:r>
      <w:r>
        <w:rPr>
          <w:noProof/>
        </w:rPr>
        <w:instrText xml:space="preserve"> PAGEREF _Toc311366500 \h </w:instrText>
      </w:r>
      <w:r>
        <w:rPr>
          <w:noProof/>
        </w:rPr>
      </w:r>
      <w:r>
        <w:rPr>
          <w:noProof/>
        </w:rPr>
        <w:fldChar w:fldCharType="separate"/>
      </w:r>
      <w:r>
        <w:rPr>
          <w:noProof/>
        </w:rPr>
        <w:t>23</w:t>
      </w:r>
      <w:r>
        <w:rPr>
          <w:noProof/>
        </w:rPr>
        <w:fldChar w:fldCharType="end"/>
      </w:r>
    </w:p>
    <w:p w14:paraId="0F1149C0"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Plain English Summary</w:t>
      </w:r>
      <w:r>
        <w:rPr>
          <w:noProof/>
        </w:rPr>
        <w:tab/>
      </w:r>
      <w:r>
        <w:rPr>
          <w:noProof/>
        </w:rPr>
        <w:fldChar w:fldCharType="begin"/>
      </w:r>
      <w:r>
        <w:rPr>
          <w:noProof/>
        </w:rPr>
        <w:instrText xml:space="preserve"> PAGEREF _Toc311366501 \h </w:instrText>
      </w:r>
      <w:r>
        <w:rPr>
          <w:noProof/>
        </w:rPr>
      </w:r>
      <w:r>
        <w:rPr>
          <w:noProof/>
        </w:rPr>
        <w:fldChar w:fldCharType="separate"/>
      </w:r>
      <w:r>
        <w:rPr>
          <w:noProof/>
        </w:rPr>
        <w:t>26</w:t>
      </w:r>
      <w:r>
        <w:rPr>
          <w:noProof/>
        </w:rPr>
        <w:fldChar w:fldCharType="end"/>
      </w:r>
    </w:p>
    <w:p w14:paraId="254704E5"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Pr>
          <w:noProof/>
        </w:rPr>
        <w:t>Chapter 1 Introduction</w:t>
      </w:r>
      <w:r>
        <w:rPr>
          <w:noProof/>
        </w:rPr>
        <w:tab/>
      </w:r>
      <w:r>
        <w:rPr>
          <w:noProof/>
        </w:rPr>
        <w:fldChar w:fldCharType="begin"/>
      </w:r>
      <w:r>
        <w:rPr>
          <w:noProof/>
        </w:rPr>
        <w:instrText xml:space="preserve"> PAGEREF _Toc311366502 \h </w:instrText>
      </w:r>
      <w:r>
        <w:rPr>
          <w:noProof/>
        </w:rPr>
      </w:r>
      <w:r>
        <w:rPr>
          <w:noProof/>
        </w:rPr>
        <w:fldChar w:fldCharType="separate"/>
      </w:r>
      <w:r>
        <w:rPr>
          <w:noProof/>
        </w:rPr>
        <w:t>27</w:t>
      </w:r>
      <w:r>
        <w:rPr>
          <w:noProof/>
        </w:rPr>
        <w:fldChar w:fldCharType="end"/>
      </w:r>
    </w:p>
    <w:p w14:paraId="30939D3C"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Background</w:t>
      </w:r>
      <w:r>
        <w:rPr>
          <w:noProof/>
        </w:rPr>
        <w:tab/>
      </w:r>
      <w:r>
        <w:rPr>
          <w:noProof/>
        </w:rPr>
        <w:fldChar w:fldCharType="begin"/>
      </w:r>
      <w:r>
        <w:rPr>
          <w:noProof/>
        </w:rPr>
        <w:instrText xml:space="preserve"> PAGEREF _Toc311366503 \h </w:instrText>
      </w:r>
      <w:r>
        <w:rPr>
          <w:noProof/>
        </w:rPr>
      </w:r>
      <w:r>
        <w:rPr>
          <w:noProof/>
        </w:rPr>
        <w:fldChar w:fldCharType="separate"/>
      </w:r>
      <w:r>
        <w:rPr>
          <w:noProof/>
        </w:rPr>
        <w:t>27</w:t>
      </w:r>
      <w:r>
        <w:rPr>
          <w:noProof/>
        </w:rPr>
        <w:fldChar w:fldCharType="end"/>
      </w:r>
    </w:p>
    <w:p w14:paraId="2A03CAAF"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Current guidelines in fracture prevention</w:t>
      </w:r>
      <w:r>
        <w:rPr>
          <w:noProof/>
        </w:rPr>
        <w:tab/>
      </w:r>
      <w:r>
        <w:rPr>
          <w:noProof/>
        </w:rPr>
        <w:fldChar w:fldCharType="begin"/>
      </w:r>
      <w:r>
        <w:rPr>
          <w:noProof/>
        </w:rPr>
        <w:instrText xml:space="preserve"> PAGEREF _Toc311366504 \h </w:instrText>
      </w:r>
      <w:r>
        <w:rPr>
          <w:noProof/>
        </w:rPr>
      </w:r>
      <w:r>
        <w:rPr>
          <w:noProof/>
        </w:rPr>
        <w:fldChar w:fldCharType="separate"/>
      </w:r>
      <w:r>
        <w:rPr>
          <w:noProof/>
        </w:rPr>
        <w:t>27</w:t>
      </w:r>
      <w:r>
        <w:rPr>
          <w:noProof/>
        </w:rPr>
        <w:fldChar w:fldCharType="end"/>
      </w:r>
    </w:p>
    <w:p w14:paraId="6E8364C7"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Current knowledge</w:t>
      </w:r>
      <w:r>
        <w:rPr>
          <w:noProof/>
        </w:rPr>
        <w:tab/>
      </w:r>
      <w:r>
        <w:rPr>
          <w:noProof/>
        </w:rPr>
        <w:fldChar w:fldCharType="begin"/>
      </w:r>
      <w:r>
        <w:rPr>
          <w:noProof/>
        </w:rPr>
        <w:instrText xml:space="preserve"> PAGEREF _Toc311366505 \h </w:instrText>
      </w:r>
      <w:r>
        <w:rPr>
          <w:noProof/>
        </w:rPr>
      </w:r>
      <w:r>
        <w:rPr>
          <w:noProof/>
        </w:rPr>
        <w:fldChar w:fldCharType="separate"/>
      </w:r>
      <w:r>
        <w:rPr>
          <w:noProof/>
        </w:rPr>
        <w:t>28</w:t>
      </w:r>
      <w:r>
        <w:rPr>
          <w:noProof/>
        </w:rPr>
        <w:fldChar w:fldCharType="end"/>
      </w:r>
    </w:p>
    <w:p w14:paraId="41BE11E4"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Aims</w:t>
      </w:r>
      <w:r>
        <w:rPr>
          <w:noProof/>
        </w:rPr>
        <w:tab/>
      </w:r>
      <w:r>
        <w:rPr>
          <w:noProof/>
        </w:rPr>
        <w:fldChar w:fldCharType="begin"/>
      </w:r>
      <w:r>
        <w:rPr>
          <w:noProof/>
        </w:rPr>
        <w:instrText xml:space="preserve"> PAGEREF _Toc311366506 \h </w:instrText>
      </w:r>
      <w:r>
        <w:rPr>
          <w:noProof/>
        </w:rPr>
      </w:r>
      <w:r>
        <w:rPr>
          <w:noProof/>
        </w:rPr>
        <w:fldChar w:fldCharType="separate"/>
      </w:r>
      <w:r>
        <w:rPr>
          <w:noProof/>
        </w:rPr>
        <w:t>29</w:t>
      </w:r>
      <w:r>
        <w:rPr>
          <w:noProof/>
        </w:rPr>
        <w:fldChar w:fldCharType="end"/>
      </w:r>
    </w:p>
    <w:p w14:paraId="33C12B60"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Objectives</w:t>
      </w:r>
      <w:r>
        <w:rPr>
          <w:noProof/>
        </w:rPr>
        <w:tab/>
      </w:r>
      <w:r>
        <w:rPr>
          <w:noProof/>
        </w:rPr>
        <w:fldChar w:fldCharType="begin"/>
      </w:r>
      <w:r>
        <w:rPr>
          <w:noProof/>
        </w:rPr>
        <w:instrText xml:space="preserve"> PAGEREF _Toc311366507 \h </w:instrText>
      </w:r>
      <w:r>
        <w:rPr>
          <w:noProof/>
        </w:rPr>
      </w:r>
      <w:r>
        <w:rPr>
          <w:noProof/>
        </w:rPr>
        <w:fldChar w:fldCharType="separate"/>
      </w:r>
      <w:r>
        <w:rPr>
          <w:noProof/>
        </w:rPr>
        <w:t>29</w:t>
      </w:r>
      <w:r>
        <w:rPr>
          <w:noProof/>
        </w:rPr>
        <w:fldChar w:fldCharType="end"/>
      </w:r>
    </w:p>
    <w:p w14:paraId="14A9C9A9"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Design and methodology</w:t>
      </w:r>
      <w:r>
        <w:rPr>
          <w:noProof/>
        </w:rPr>
        <w:tab/>
      </w:r>
      <w:r>
        <w:rPr>
          <w:noProof/>
        </w:rPr>
        <w:fldChar w:fldCharType="begin"/>
      </w:r>
      <w:r>
        <w:rPr>
          <w:noProof/>
        </w:rPr>
        <w:instrText xml:space="preserve"> PAGEREF _Toc311366508 \h </w:instrText>
      </w:r>
      <w:r>
        <w:rPr>
          <w:noProof/>
        </w:rPr>
      </w:r>
      <w:r>
        <w:rPr>
          <w:noProof/>
        </w:rPr>
        <w:fldChar w:fldCharType="separate"/>
      </w:r>
      <w:r>
        <w:rPr>
          <w:noProof/>
        </w:rPr>
        <w:t>30</w:t>
      </w:r>
      <w:r>
        <w:rPr>
          <w:noProof/>
        </w:rPr>
        <w:fldChar w:fldCharType="end"/>
      </w:r>
    </w:p>
    <w:p w14:paraId="50AA0C52"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Chapter conclusion</w:t>
      </w:r>
      <w:r>
        <w:rPr>
          <w:noProof/>
        </w:rPr>
        <w:tab/>
      </w:r>
      <w:r>
        <w:rPr>
          <w:noProof/>
        </w:rPr>
        <w:fldChar w:fldCharType="begin"/>
      </w:r>
      <w:r>
        <w:rPr>
          <w:noProof/>
        </w:rPr>
        <w:instrText xml:space="preserve"> PAGEREF _Toc311366509 \h </w:instrText>
      </w:r>
      <w:r>
        <w:rPr>
          <w:noProof/>
        </w:rPr>
      </w:r>
      <w:r>
        <w:rPr>
          <w:noProof/>
        </w:rPr>
        <w:fldChar w:fldCharType="separate"/>
      </w:r>
      <w:r>
        <w:rPr>
          <w:noProof/>
        </w:rPr>
        <w:t>32</w:t>
      </w:r>
      <w:r>
        <w:rPr>
          <w:noProof/>
        </w:rPr>
        <w:fldChar w:fldCharType="end"/>
      </w:r>
    </w:p>
    <w:p w14:paraId="26A77AE9"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Chapter 2 Characterisation of secondary fracture prevention services at hospitals across a region of England, and identification of key changes in service delivery over the past 10 years</w:t>
      </w:r>
      <w:r>
        <w:rPr>
          <w:noProof/>
        </w:rPr>
        <w:tab/>
      </w:r>
      <w:r>
        <w:rPr>
          <w:noProof/>
        </w:rPr>
        <w:fldChar w:fldCharType="begin"/>
      </w:r>
      <w:r>
        <w:rPr>
          <w:noProof/>
        </w:rPr>
        <w:instrText xml:space="preserve"> PAGEREF _Toc311366510 \h </w:instrText>
      </w:r>
      <w:r>
        <w:rPr>
          <w:noProof/>
        </w:rPr>
      </w:r>
      <w:r>
        <w:rPr>
          <w:noProof/>
        </w:rPr>
        <w:fldChar w:fldCharType="separate"/>
      </w:r>
      <w:r>
        <w:rPr>
          <w:noProof/>
        </w:rPr>
        <w:t>33</w:t>
      </w:r>
      <w:r>
        <w:rPr>
          <w:noProof/>
        </w:rPr>
        <w:fldChar w:fldCharType="end"/>
      </w:r>
    </w:p>
    <w:p w14:paraId="0222FD50"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Introduction</w:t>
      </w:r>
      <w:r>
        <w:rPr>
          <w:noProof/>
        </w:rPr>
        <w:tab/>
      </w:r>
      <w:r>
        <w:rPr>
          <w:noProof/>
        </w:rPr>
        <w:fldChar w:fldCharType="begin"/>
      </w:r>
      <w:r>
        <w:rPr>
          <w:noProof/>
        </w:rPr>
        <w:instrText xml:space="preserve"> PAGEREF _Toc311366511 \h </w:instrText>
      </w:r>
      <w:r>
        <w:rPr>
          <w:noProof/>
        </w:rPr>
      </w:r>
      <w:r>
        <w:rPr>
          <w:noProof/>
        </w:rPr>
        <w:fldChar w:fldCharType="separate"/>
      </w:r>
      <w:r>
        <w:rPr>
          <w:noProof/>
        </w:rPr>
        <w:t>33</w:t>
      </w:r>
      <w:r>
        <w:rPr>
          <w:noProof/>
        </w:rPr>
        <w:fldChar w:fldCharType="end"/>
      </w:r>
    </w:p>
    <w:p w14:paraId="135C902D"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Current knowledge of variations in delivery of fracture prevention services</w:t>
      </w:r>
      <w:r>
        <w:rPr>
          <w:noProof/>
        </w:rPr>
        <w:tab/>
      </w:r>
      <w:r>
        <w:rPr>
          <w:noProof/>
        </w:rPr>
        <w:fldChar w:fldCharType="begin"/>
      </w:r>
      <w:r>
        <w:rPr>
          <w:noProof/>
        </w:rPr>
        <w:instrText xml:space="preserve"> PAGEREF _Toc311366512 \h </w:instrText>
      </w:r>
      <w:r>
        <w:rPr>
          <w:noProof/>
        </w:rPr>
      </w:r>
      <w:r>
        <w:rPr>
          <w:noProof/>
        </w:rPr>
        <w:fldChar w:fldCharType="separate"/>
      </w:r>
      <w:r>
        <w:rPr>
          <w:noProof/>
        </w:rPr>
        <w:t>33</w:t>
      </w:r>
      <w:r>
        <w:rPr>
          <w:noProof/>
        </w:rPr>
        <w:fldChar w:fldCharType="end"/>
      </w:r>
    </w:p>
    <w:p w14:paraId="6113C4F9"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Current guidelines</w:t>
      </w:r>
      <w:r>
        <w:rPr>
          <w:noProof/>
        </w:rPr>
        <w:tab/>
      </w:r>
      <w:r>
        <w:rPr>
          <w:noProof/>
        </w:rPr>
        <w:fldChar w:fldCharType="begin"/>
      </w:r>
      <w:r>
        <w:rPr>
          <w:noProof/>
        </w:rPr>
        <w:instrText xml:space="preserve"> PAGEREF _Toc311366513 \h </w:instrText>
      </w:r>
      <w:r>
        <w:rPr>
          <w:noProof/>
        </w:rPr>
      </w:r>
      <w:r>
        <w:rPr>
          <w:noProof/>
        </w:rPr>
        <w:fldChar w:fldCharType="separate"/>
      </w:r>
      <w:r>
        <w:rPr>
          <w:noProof/>
        </w:rPr>
        <w:t>34</w:t>
      </w:r>
      <w:r>
        <w:rPr>
          <w:noProof/>
        </w:rPr>
        <w:fldChar w:fldCharType="end"/>
      </w:r>
    </w:p>
    <w:p w14:paraId="4E785EE5"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Changes in hip fracture care over the past decade</w:t>
      </w:r>
      <w:r>
        <w:rPr>
          <w:noProof/>
        </w:rPr>
        <w:tab/>
      </w:r>
      <w:r>
        <w:rPr>
          <w:noProof/>
        </w:rPr>
        <w:fldChar w:fldCharType="begin"/>
      </w:r>
      <w:r>
        <w:rPr>
          <w:noProof/>
        </w:rPr>
        <w:instrText xml:space="preserve"> PAGEREF _Toc311366514 \h </w:instrText>
      </w:r>
      <w:r>
        <w:rPr>
          <w:noProof/>
        </w:rPr>
      </w:r>
      <w:r>
        <w:rPr>
          <w:noProof/>
        </w:rPr>
        <w:fldChar w:fldCharType="separate"/>
      </w:r>
      <w:r>
        <w:rPr>
          <w:noProof/>
        </w:rPr>
        <w:t>35</w:t>
      </w:r>
      <w:r>
        <w:rPr>
          <w:noProof/>
        </w:rPr>
        <w:fldChar w:fldCharType="end"/>
      </w:r>
    </w:p>
    <w:p w14:paraId="7ADD5A3E"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Aim</w:t>
      </w:r>
      <w:r>
        <w:rPr>
          <w:noProof/>
        </w:rPr>
        <w:tab/>
      </w:r>
      <w:r>
        <w:rPr>
          <w:noProof/>
        </w:rPr>
        <w:fldChar w:fldCharType="begin"/>
      </w:r>
      <w:r>
        <w:rPr>
          <w:noProof/>
        </w:rPr>
        <w:instrText xml:space="preserve"> PAGEREF _Toc311366515 \h </w:instrText>
      </w:r>
      <w:r>
        <w:rPr>
          <w:noProof/>
        </w:rPr>
      </w:r>
      <w:r>
        <w:rPr>
          <w:noProof/>
        </w:rPr>
        <w:fldChar w:fldCharType="separate"/>
      </w:r>
      <w:r>
        <w:rPr>
          <w:noProof/>
        </w:rPr>
        <w:t>36</w:t>
      </w:r>
      <w:r>
        <w:rPr>
          <w:noProof/>
        </w:rPr>
        <w:fldChar w:fldCharType="end"/>
      </w:r>
    </w:p>
    <w:p w14:paraId="18DC01AC"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Methods</w:t>
      </w:r>
      <w:r>
        <w:rPr>
          <w:noProof/>
        </w:rPr>
        <w:tab/>
      </w:r>
      <w:r>
        <w:rPr>
          <w:noProof/>
        </w:rPr>
        <w:fldChar w:fldCharType="begin"/>
      </w:r>
      <w:r>
        <w:rPr>
          <w:noProof/>
        </w:rPr>
        <w:instrText xml:space="preserve"> PAGEREF _Toc311366516 \h </w:instrText>
      </w:r>
      <w:r>
        <w:rPr>
          <w:noProof/>
        </w:rPr>
      </w:r>
      <w:r>
        <w:rPr>
          <w:noProof/>
        </w:rPr>
        <w:fldChar w:fldCharType="separate"/>
      </w:r>
      <w:r>
        <w:rPr>
          <w:noProof/>
        </w:rPr>
        <w:t>36</w:t>
      </w:r>
      <w:r>
        <w:rPr>
          <w:noProof/>
        </w:rPr>
        <w:fldChar w:fldCharType="end"/>
      </w:r>
    </w:p>
    <w:p w14:paraId="4B38F4C8"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lastRenderedPageBreak/>
        <w:t>Comparison of services across hospitals</w:t>
      </w:r>
      <w:r>
        <w:rPr>
          <w:noProof/>
        </w:rPr>
        <w:tab/>
      </w:r>
      <w:r>
        <w:rPr>
          <w:noProof/>
        </w:rPr>
        <w:fldChar w:fldCharType="begin"/>
      </w:r>
      <w:r>
        <w:rPr>
          <w:noProof/>
        </w:rPr>
        <w:instrText xml:space="preserve"> PAGEREF _Toc311366517 \h </w:instrText>
      </w:r>
      <w:r>
        <w:rPr>
          <w:noProof/>
        </w:rPr>
      </w:r>
      <w:r>
        <w:rPr>
          <w:noProof/>
        </w:rPr>
        <w:fldChar w:fldCharType="separate"/>
      </w:r>
      <w:r>
        <w:rPr>
          <w:noProof/>
        </w:rPr>
        <w:t>37</w:t>
      </w:r>
      <w:r>
        <w:rPr>
          <w:noProof/>
        </w:rPr>
        <w:fldChar w:fldCharType="end"/>
      </w:r>
    </w:p>
    <w:p w14:paraId="63137991"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Identification of key changes in service delivery</w:t>
      </w:r>
      <w:r>
        <w:rPr>
          <w:noProof/>
        </w:rPr>
        <w:tab/>
      </w:r>
      <w:r>
        <w:rPr>
          <w:noProof/>
        </w:rPr>
        <w:fldChar w:fldCharType="begin"/>
      </w:r>
      <w:r>
        <w:rPr>
          <w:noProof/>
        </w:rPr>
        <w:instrText xml:space="preserve"> PAGEREF _Toc311366518 \h </w:instrText>
      </w:r>
      <w:r>
        <w:rPr>
          <w:noProof/>
        </w:rPr>
      </w:r>
      <w:r>
        <w:rPr>
          <w:noProof/>
        </w:rPr>
        <w:fldChar w:fldCharType="separate"/>
      </w:r>
      <w:r>
        <w:rPr>
          <w:noProof/>
        </w:rPr>
        <w:t>37</w:t>
      </w:r>
      <w:r>
        <w:rPr>
          <w:noProof/>
        </w:rPr>
        <w:fldChar w:fldCharType="end"/>
      </w:r>
    </w:p>
    <w:p w14:paraId="7D2B9281"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Results</w:t>
      </w:r>
      <w:r>
        <w:rPr>
          <w:noProof/>
        </w:rPr>
        <w:tab/>
      </w:r>
      <w:r>
        <w:rPr>
          <w:noProof/>
        </w:rPr>
        <w:fldChar w:fldCharType="begin"/>
      </w:r>
      <w:r>
        <w:rPr>
          <w:noProof/>
        </w:rPr>
        <w:instrText xml:space="preserve"> PAGEREF _Toc311366519 \h </w:instrText>
      </w:r>
      <w:r>
        <w:rPr>
          <w:noProof/>
        </w:rPr>
      </w:r>
      <w:r>
        <w:rPr>
          <w:noProof/>
        </w:rPr>
        <w:fldChar w:fldCharType="separate"/>
      </w:r>
      <w:r>
        <w:rPr>
          <w:noProof/>
        </w:rPr>
        <w:t>38</w:t>
      </w:r>
      <w:r>
        <w:rPr>
          <w:noProof/>
        </w:rPr>
        <w:fldChar w:fldCharType="end"/>
      </w:r>
    </w:p>
    <w:p w14:paraId="0BA04F1C"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Current disparity in fracture prevention across hospitals</w:t>
      </w:r>
      <w:r>
        <w:rPr>
          <w:noProof/>
        </w:rPr>
        <w:tab/>
      </w:r>
      <w:r>
        <w:rPr>
          <w:noProof/>
        </w:rPr>
        <w:fldChar w:fldCharType="begin"/>
      </w:r>
      <w:r>
        <w:rPr>
          <w:noProof/>
        </w:rPr>
        <w:instrText xml:space="preserve"> PAGEREF _Toc311366520 \h </w:instrText>
      </w:r>
      <w:r>
        <w:rPr>
          <w:noProof/>
        </w:rPr>
      </w:r>
      <w:r>
        <w:rPr>
          <w:noProof/>
        </w:rPr>
        <w:fldChar w:fldCharType="separate"/>
      </w:r>
      <w:r>
        <w:rPr>
          <w:noProof/>
        </w:rPr>
        <w:t>38</w:t>
      </w:r>
      <w:r>
        <w:rPr>
          <w:noProof/>
        </w:rPr>
        <w:fldChar w:fldCharType="end"/>
      </w:r>
    </w:p>
    <w:p w14:paraId="20079C8C"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Staffing levels across hospitals in 2013</w:t>
      </w:r>
      <w:r>
        <w:rPr>
          <w:noProof/>
        </w:rPr>
        <w:tab/>
      </w:r>
      <w:r>
        <w:rPr>
          <w:noProof/>
        </w:rPr>
        <w:fldChar w:fldCharType="begin"/>
      </w:r>
      <w:r>
        <w:rPr>
          <w:noProof/>
        </w:rPr>
        <w:instrText xml:space="preserve"> PAGEREF _Toc311366521 \h </w:instrText>
      </w:r>
      <w:r>
        <w:rPr>
          <w:noProof/>
        </w:rPr>
      </w:r>
      <w:r>
        <w:rPr>
          <w:noProof/>
        </w:rPr>
        <w:fldChar w:fldCharType="separate"/>
      </w:r>
      <w:r>
        <w:rPr>
          <w:noProof/>
        </w:rPr>
        <w:t>38</w:t>
      </w:r>
      <w:r>
        <w:rPr>
          <w:noProof/>
        </w:rPr>
        <w:fldChar w:fldCharType="end"/>
      </w:r>
    </w:p>
    <w:p w14:paraId="5F0D6340"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Co-ordinator based models of care</w:t>
      </w:r>
      <w:r>
        <w:rPr>
          <w:noProof/>
        </w:rPr>
        <w:tab/>
      </w:r>
      <w:r>
        <w:rPr>
          <w:noProof/>
        </w:rPr>
        <w:fldChar w:fldCharType="begin"/>
      </w:r>
      <w:r>
        <w:rPr>
          <w:noProof/>
        </w:rPr>
        <w:instrText xml:space="preserve"> PAGEREF _Toc311366522 \h </w:instrText>
      </w:r>
      <w:r>
        <w:rPr>
          <w:noProof/>
        </w:rPr>
      </w:r>
      <w:r>
        <w:rPr>
          <w:noProof/>
        </w:rPr>
        <w:fldChar w:fldCharType="separate"/>
      </w:r>
      <w:r>
        <w:rPr>
          <w:noProof/>
        </w:rPr>
        <w:t>39</w:t>
      </w:r>
      <w:r>
        <w:rPr>
          <w:noProof/>
        </w:rPr>
        <w:fldChar w:fldCharType="end"/>
      </w:r>
    </w:p>
    <w:p w14:paraId="1FA57787"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Case-finding</w:t>
      </w:r>
      <w:r>
        <w:rPr>
          <w:noProof/>
        </w:rPr>
        <w:tab/>
      </w:r>
      <w:r>
        <w:rPr>
          <w:noProof/>
        </w:rPr>
        <w:fldChar w:fldCharType="begin"/>
      </w:r>
      <w:r>
        <w:rPr>
          <w:noProof/>
        </w:rPr>
        <w:instrText xml:space="preserve"> PAGEREF _Toc311366523 \h </w:instrText>
      </w:r>
      <w:r>
        <w:rPr>
          <w:noProof/>
        </w:rPr>
      </w:r>
      <w:r>
        <w:rPr>
          <w:noProof/>
        </w:rPr>
        <w:fldChar w:fldCharType="separate"/>
      </w:r>
      <w:r>
        <w:rPr>
          <w:noProof/>
        </w:rPr>
        <w:t>40</w:t>
      </w:r>
      <w:r>
        <w:rPr>
          <w:noProof/>
        </w:rPr>
        <w:fldChar w:fldCharType="end"/>
      </w:r>
    </w:p>
    <w:p w14:paraId="29E73163"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Osteoporosis assessment</w:t>
      </w:r>
      <w:r>
        <w:rPr>
          <w:noProof/>
        </w:rPr>
        <w:tab/>
      </w:r>
      <w:r>
        <w:rPr>
          <w:noProof/>
        </w:rPr>
        <w:fldChar w:fldCharType="begin"/>
      </w:r>
      <w:r>
        <w:rPr>
          <w:noProof/>
        </w:rPr>
        <w:instrText xml:space="preserve"> PAGEREF _Toc311366524 \h </w:instrText>
      </w:r>
      <w:r>
        <w:rPr>
          <w:noProof/>
        </w:rPr>
      </w:r>
      <w:r>
        <w:rPr>
          <w:noProof/>
        </w:rPr>
        <w:fldChar w:fldCharType="separate"/>
      </w:r>
      <w:r>
        <w:rPr>
          <w:noProof/>
        </w:rPr>
        <w:t>40</w:t>
      </w:r>
      <w:r>
        <w:rPr>
          <w:noProof/>
        </w:rPr>
        <w:fldChar w:fldCharType="end"/>
      </w:r>
    </w:p>
    <w:p w14:paraId="255E7769"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Falls assessments and prevention</w:t>
      </w:r>
      <w:r>
        <w:rPr>
          <w:noProof/>
        </w:rPr>
        <w:tab/>
      </w:r>
      <w:r>
        <w:rPr>
          <w:noProof/>
        </w:rPr>
        <w:fldChar w:fldCharType="begin"/>
      </w:r>
      <w:r>
        <w:rPr>
          <w:noProof/>
        </w:rPr>
        <w:instrText xml:space="preserve"> PAGEREF _Toc311366525 \h </w:instrText>
      </w:r>
      <w:r>
        <w:rPr>
          <w:noProof/>
        </w:rPr>
      </w:r>
      <w:r>
        <w:rPr>
          <w:noProof/>
        </w:rPr>
        <w:fldChar w:fldCharType="separate"/>
      </w:r>
      <w:r>
        <w:rPr>
          <w:noProof/>
        </w:rPr>
        <w:t>42</w:t>
      </w:r>
      <w:r>
        <w:rPr>
          <w:noProof/>
        </w:rPr>
        <w:fldChar w:fldCharType="end"/>
      </w:r>
    </w:p>
    <w:p w14:paraId="3417C5D2"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Treatment initiation</w:t>
      </w:r>
      <w:r>
        <w:rPr>
          <w:noProof/>
        </w:rPr>
        <w:tab/>
      </w:r>
      <w:r>
        <w:rPr>
          <w:noProof/>
        </w:rPr>
        <w:fldChar w:fldCharType="begin"/>
      </w:r>
      <w:r>
        <w:rPr>
          <w:noProof/>
        </w:rPr>
        <w:instrText xml:space="preserve"> PAGEREF _Toc311366526 \h </w:instrText>
      </w:r>
      <w:r>
        <w:rPr>
          <w:noProof/>
        </w:rPr>
      </w:r>
      <w:r>
        <w:rPr>
          <w:noProof/>
        </w:rPr>
        <w:fldChar w:fldCharType="separate"/>
      </w:r>
      <w:r>
        <w:rPr>
          <w:noProof/>
        </w:rPr>
        <w:t>43</w:t>
      </w:r>
      <w:r>
        <w:rPr>
          <w:noProof/>
        </w:rPr>
        <w:fldChar w:fldCharType="end"/>
      </w:r>
    </w:p>
    <w:p w14:paraId="0F0CD87E"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Monitoring and treatment adherence</w:t>
      </w:r>
      <w:r>
        <w:rPr>
          <w:noProof/>
        </w:rPr>
        <w:tab/>
      </w:r>
      <w:r>
        <w:rPr>
          <w:noProof/>
        </w:rPr>
        <w:fldChar w:fldCharType="begin"/>
      </w:r>
      <w:r>
        <w:rPr>
          <w:noProof/>
        </w:rPr>
        <w:instrText xml:space="preserve"> PAGEREF _Toc311366527 \h </w:instrText>
      </w:r>
      <w:r>
        <w:rPr>
          <w:noProof/>
        </w:rPr>
      </w:r>
      <w:r>
        <w:rPr>
          <w:noProof/>
        </w:rPr>
        <w:fldChar w:fldCharType="separate"/>
      </w:r>
      <w:r>
        <w:rPr>
          <w:noProof/>
        </w:rPr>
        <w:t>43</w:t>
      </w:r>
      <w:r>
        <w:rPr>
          <w:noProof/>
        </w:rPr>
        <w:fldChar w:fldCharType="end"/>
      </w:r>
    </w:p>
    <w:p w14:paraId="7ADA0D05"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Changes in service delivery at hospitals in the past decade</w:t>
      </w:r>
      <w:r>
        <w:rPr>
          <w:noProof/>
        </w:rPr>
        <w:tab/>
      </w:r>
      <w:r>
        <w:rPr>
          <w:noProof/>
        </w:rPr>
        <w:fldChar w:fldCharType="begin"/>
      </w:r>
      <w:r>
        <w:rPr>
          <w:noProof/>
        </w:rPr>
        <w:instrText xml:space="preserve"> PAGEREF _Toc311366528 \h </w:instrText>
      </w:r>
      <w:r>
        <w:rPr>
          <w:noProof/>
        </w:rPr>
      </w:r>
      <w:r>
        <w:rPr>
          <w:noProof/>
        </w:rPr>
        <w:fldChar w:fldCharType="separate"/>
      </w:r>
      <w:r>
        <w:rPr>
          <w:noProof/>
        </w:rPr>
        <w:t>43</w:t>
      </w:r>
      <w:r>
        <w:rPr>
          <w:noProof/>
        </w:rPr>
        <w:fldChar w:fldCharType="end"/>
      </w:r>
    </w:p>
    <w:p w14:paraId="1A328250"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Discussion</w:t>
      </w:r>
      <w:r>
        <w:rPr>
          <w:noProof/>
        </w:rPr>
        <w:tab/>
      </w:r>
      <w:r>
        <w:rPr>
          <w:noProof/>
        </w:rPr>
        <w:fldChar w:fldCharType="begin"/>
      </w:r>
      <w:r>
        <w:rPr>
          <w:noProof/>
        </w:rPr>
        <w:instrText xml:space="preserve"> PAGEREF _Toc311366529 \h </w:instrText>
      </w:r>
      <w:r>
        <w:rPr>
          <w:noProof/>
        </w:rPr>
      </w:r>
      <w:r>
        <w:rPr>
          <w:noProof/>
        </w:rPr>
        <w:fldChar w:fldCharType="separate"/>
      </w:r>
      <w:r>
        <w:rPr>
          <w:noProof/>
        </w:rPr>
        <w:t>46</w:t>
      </w:r>
      <w:r>
        <w:rPr>
          <w:noProof/>
        </w:rPr>
        <w:fldChar w:fldCharType="end"/>
      </w:r>
    </w:p>
    <w:p w14:paraId="1EBDF687"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Description of current services</w:t>
      </w:r>
      <w:r>
        <w:rPr>
          <w:noProof/>
        </w:rPr>
        <w:tab/>
      </w:r>
      <w:r>
        <w:rPr>
          <w:noProof/>
        </w:rPr>
        <w:fldChar w:fldCharType="begin"/>
      </w:r>
      <w:r>
        <w:rPr>
          <w:noProof/>
        </w:rPr>
        <w:instrText xml:space="preserve"> PAGEREF _Toc311366530 \h </w:instrText>
      </w:r>
      <w:r>
        <w:rPr>
          <w:noProof/>
        </w:rPr>
      </w:r>
      <w:r>
        <w:rPr>
          <w:noProof/>
        </w:rPr>
        <w:fldChar w:fldCharType="separate"/>
      </w:r>
      <w:r>
        <w:rPr>
          <w:noProof/>
        </w:rPr>
        <w:t>46</w:t>
      </w:r>
      <w:r>
        <w:rPr>
          <w:noProof/>
        </w:rPr>
        <w:fldChar w:fldCharType="end"/>
      </w:r>
    </w:p>
    <w:p w14:paraId="78A76D1C"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Changes in service models</w:t>
      </w:r>
      <w:r>
        <w:rPr>
          <w:noProof/>
        </w:rPr>
        <w:tab/>
      </w:r>
      <w:r>
        <w:rPr>
          <w:noProof/>
        </w:rPr>
        <w:fldChar w:fldCharType="begin"/>
      </w:r>
      <w:r>
        <w:rPr>
          <w:noProof/>
        </w:rPr>
        <w:instrText xml:space="preserve"> PAGEREF _Toc311366531 \h </w:instrText>
      </w:r>
      <w:r>
        <w:rPr>
          <w:noProof/>
        </w:rPr>
      </w:r>
      <w:r>
        <w:rPr>
          <w:noProof/>
        </w:rPr>
        <w:fldChar w:fldCharType="separate"/>
      </w:r>
      <w:r>
        <w:rPr>
          <w:noProof/>
        </w:rPr>
        <w:t>46</w:t>
      </w:r>
      <w:r>
        <w:rPr>
          <w:noProof/>
        </w:rPr>
        <w:fldChar w:fldCharType="end"/>
      </w:r>
    </w:p>
    <w:p w14:paraId="4A11C3BB"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Strengths and Limitations</w:t>
      </w:r>
      <w:r>
        <w:rPr>
          <w:noProof/>
        </w:rPr>
        <w:tab/>
      </w:r>
      <w:r>
        <w:rPr>
          <w:noProof/>
        </w:rPr>
        <w:fldChar w:fldCharType="begin"/>
      </w:r>
      <w:r>
        <w:rPr>
          <w:noProof/>
        </w:rPr>
        <w:instrText xml:space="preserve"> PAGEREF _Toc311366532 \h </w:instrText>
      </w:r>
      <w:r>
        <w:rPr>
          <w:noProof/>
        </w:rPr>
      </w:r>
      <w:r>
        <w:rPr>
          <w:noProof/>
        </w:rPr>
        <w:fldChar w:fldCharType="separate"/>
      </w:r>
      <w:r>
        <w:rPr>
          <w:noProof/>
        </w:rPr>
        <w:t>47</w:t>
      </w:r>
      <w:r>
        <w:rPr>
          <w:noProof/>
        </w:rPr>
        <w:fldChar w:fldCharType="end"/>
      </w:r>
    </w:p>
    <w:p w14:paraId="268EC0D1"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Summary</w:t>
      </w:r>
      <w:r>
        <w:rPr>
          <w:noProof/>
        </w:rPr>
        <w:tab/>
      </w:r>
      <w:r>
        <w:rPr>
          <w:noProof/>
        </w:rPr>
        <w:fldChar w:fldCharType="begin"/>
      </w:r>
      <w:r>
        <w:rPr>
          <w:noProof/>
        </w:rPr>
        <w:instrText xml:space="preserve"> PAGEREF _Toc311366533 \h </w:instrText>
      </w:r>
      <w:r>
        <w:rPr>
          <w:noProof/>
        </w:rPr>
      </w:r>
      <w:r>
        <w:rPr>
          <w:noProof/>
        </w:rPr>
        <w:fldChar w:fldCharType="separate"/>
      </w:r>
      <w:r>
        <w:rPr>
          <w:noProof/>
        </w:rPr>
        <w:t>47</w:t>
      </w:r>
      <w:r>
        <w:rPr>
          <w:noProof/>
        </w:rPr>
        <w:fldChar w:fldCharType="end"/>
      </w:r>
    </w:p>
    <w:p w14:paraId="4D87CA45"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Chapter 3: Identify the reasons why hospitals chose their specific model of service delivery and assess barriers to change</w:t>
      </w:r>
      <w:r>
        <w:rPr>
          <w:noProof/>
        </w:rPr>
        <w:tab/>
      </w:r>
      <w:r>
        <w:rPr>
          <w:noProof/>
        </w:rPr>
        <w:fldChar w:fldCharType="begin"/>
      </w:r>
      <w:r>
        <w:rPr>
          <w:noProof/>
        </w:rPr>
        <w:instrText xml:space="preserve"> PAGEREF _Toc311366534 \h </w:instrText>
      </w:r>
      <w:r>
        <w:rPr>
          <w:noProof/>
        </w:rPr>
      </w:r>
      <w:r>
        <w:rPr>
          <w:noProof/>
        </w:rPr>
        <w:fldChar w:fldCharType="separate"/>
      </w:r>
      <w:r>
        <w:rPr>
          <w:noProof/>
        </w:rPr>
        <w:t>48</w:t>
      </w:r>
      <w:r>
        <w:rPr>
          <w:noProof/>
        </w:rPr>
        <w:fldChar w:fldCharType="end"/>
      </w:r>
    </w:p>
    <w:p w14:paraId="6D67A9AE"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Introduction</w:t>
      </w:r>
      <w:r>
        <w:rPr>
          <w:noProof/>
        </w:rPr>
        <w:tab/>
      </w:r>
      <w:r>
        <w:rPr>
          <w:noProof/>
        </w:rPr>
        <w:fldChar w:fldCharType="begin"/>
      </w:r>
      <w:r>
        <w:rPr>
          <w:noProof/>
        </w:rPr>
        <w:instrText xml:space="preserve"> PAGEREF _Toc311366535 \h </w:instrText>
      </w:r>
      <w:r>
        <w:rPr>
          <w:noProof/>
        </w:rPr>
      </w:r>
      <w:r>
        <w:rPr>
          <w:noProof/>
        </w:rPr>
        <w:fldChar w:fldCharType="separate"/>
      </w:r>
      <w:r>
        <w:rPr>
          <w:noProof/>
        </w:rPr>
        <w:t>48</w:t>
      </w:r>
      <w:r>
        <w:rPr>
          <w:noProof/>
        </w:rPr>
        <w:fldChar w:fldCharType="end"/>
      </w:r>
    </w:p>
    <w:p w14:paraId="3CE578A3"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Background</w:t>
      </w:r>
      <w:r>
        <w:rPr>
          <w:noProof/>
        </w:rPr>
        <w:tab/>
      </w:r>
      <w:r>
        <w:rPr>
          <w:noProof/>
        </w:rPr>
        <w:fldChar w:fldCharType="begin"/>
      </w:r>
      <w:r>
        <w:rPr>
          <w:noProof/>
        </w:rPr>
        <w:instrText xml:space="preserve"> PAGEREF _Toc311366536 \h </w:instrText>
      </w:r>
      <w:r>
        <w:rPr>
          <w:noProof/>
        </w:rPr>
      </w:r>
      <w:r>
        <w:rPr>
          <w:noProof/>
        </w:rPr>
        <w:fldChar w:fldCharType="separate"/>
      </w:r>
      <w:r>
        <w:rPr>
          <w:noProof/>
        </w:rPr>
        <w:t>48</w:t>
      </w:r>
      <w:r>
        <w:rPr>
          <w:noProof/>
        </w:rPr>
        <w:fldChar w:fldCharType="end"/>
      </w:r>
    </w:p>
    <w:p w14:paraId="4A51EBF1"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Aims</w:t>
      </w:r>
      <w:r>
        <w:rPr>
          <w:noProof/>
        </w:rPr>
        <w:tab/>
      </w:r>
      <w:r>
        <w:rPr>
          <w:noProof/>
        </w:rPr>
        <w:fldChar w:fldCharType="begin"/>
      </w:r>
      <w:r>
        <w:rPr>
          <w:noProof/>
        </w:rPr>
        <w:instrText xml:space="preserve"> PAGEREF _Toc311366537 \h </w:instrText>
      </w:r>
      <w:r>
        <w:rPr>
          <w:noProof/>
        </w:rPr>
      </w:r>
      <w:r>
        <w:rPr>
          <w:noProof/>
        </w:rPr>
        <w:fldChar w:fldCharType="separate"/>
      </w:r>
      <w:r>
        <w:rPr>
          <w:noProof/>
        </w:rPr>
        <w:t>51</w:t>
      </w:r>
      <w:r>
        <w:rPr>
          <w:noProof/>
        </w:rPr>
        <w:fldChar w:fldCharType="end"/>
      </w:r>
    </w:p>
    <w:p w14:paraId="43D55784"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Methods</w:t>
      </w:r>
      <w:r>
        <w:rPr>
          <w:noProof/>
        </w:rPr>
        <w:tab/>
      </w:r>
      <w:r>
        <w:rPr>
          <w:noProof/>
        </w:rPr>
        <w:fldChar w:fldCharType="begin"/>
      </w:r>
      <w:r>
        <w:rPr>
          <w:noProof/>
        </w:rPr>
        <w:instrText xml:space="preserve"> PAGEREF _Toc311366538 \h </w:instrText>
      </w:r>
      <w:r>
        <w:rPr>
          <w:noProof/>
        </w:rPr>
      </w:r>
      <w:r>
        <w:rPr>
          <w:noProof/>
        </w:rPr>
        <w:fldChar w:fldCharType="separate"/>
      </w:r>
      <w:r>
        <w:rPr>
          <w:noProof/>
        </w:rPr>
        <w:t>51</w:t>
      </w:r>
      <w:r>
        <w:rPr>
          <w:noProof/>
        </w:rPr>
        <w:fldChar w:fldCharType="end"/>
      </w:r>
    </w:p>
    <w:p w14:paraId="6A8B2A0F"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Sample</w:t>
      </w:r>
      <w:r>
        <w:rPr>
          <w:noProof/>
        </w:rPr>
        <w:tab/>
      </w:r>
      <w:r>
        <w:rPr>
          <w:noProof/>
        </w:rPr>
        <w:fldChar w:fldCharType="begin"/>
      </w:r>
      <w:r>
        <w:rPr>
          <w:noProof/>
        </w:rPr>
        <w:instrText xml:space="preserve"> PAGEREF _Toc311366539 \h </w:instrText>
      </w:r>
      <w:r>
        <w:rPr>
          <w:noProof/>
        </w:rPr>
      </w:r>
      <w:r>
        <w:rPr>
          <w:noProof/>
        </w:rPr>
        <w:fldChar w:fldCharType="separate"/>
      </w:r>
      <w:r>
        <w:rPr>
          <w:noProof/>
        </w:rPr>
        <w:t>51</w:t>
      </w:r>
      <w:r>
        <w:rPr>
          <w:noProof/>
        </w:rPr>
        <w:fldChar w:fldCharType="end"/>
      </w:r>
    </w:p>
    <w:p w14:paraId="77D969BF"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Ethical Approval</w:t>
      </w:r>
      <w:r>
        <w:rPr>
          <w:noProof/>
        </w:rPr>
        <w:tab/>
      </w:r>
      <w:r>
        <w:rPr>
          <w:noProof/>
        </w:rPr>
        <w:fldChar w:fldCharType="begin"/>
      </w:r>
      <w:r>
        <w:rPr>
          <w:noProof/>
        </w:rPr>
        <w:instrText xml:space="preserve"> PAGEREF _Toc311366540 \h </w:instrText>
      </w:r>
      <w:r>
        <w:rPr>
          <w:noProof/>
        </w:rPr>
      </w:r>
      <w:r>
        <w:rPr>
          <w:noProof/>
        </w:rPr>
        <w:fldChar w:fldCharType="separate"/>
      </w:r>
      <w:r>
        <w:rPr>
          <w:noProof/>
        </w:rPr>
        <w:t>52</w:t>
      </w:r>
      <w:r>
        <w:rPr>
          <w:noProof/>
        </w:rPr>
        <w:fldChar w:fldCharType="end"/>
      </w:r>
    </w:p>
    <w:p w14:paraId="6ABABE98"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Interview procedure</w:t>
      </w:r>
      <w:r>
        <w:rPr>
          <w:noProof/>
        </w:rPr>
        <w:tab/>
      </w:r>
      <w:r>
        <w:rPr>
          <w:noProof/>
        </w:rPr>
        <w:fldChar w:fldCharType="begin"/>
      </w:r>
      <w:r>
        <w:rPr>
          <w:noProof/>
        </w:rPr>
        <w:instrText xml:space="preserve"> PAGEREF _Toc311366541 \h </w:instrText>
      </w:r>
      <w:r>
        <w:rPr>
          <w:noProof/>
        </w:rPr>
      </w:r>
      <w:r>
        <w:rPr>
          <w:noProof/>
        </w:rPr>
        <w:fldChar w:fldCharType="separate"/>
      </w:r>
      <w:r>
        <w:rPr>
          <w:noProof/>
        </w:rPr>
        <w:t>52</w:t>
      </w:r>
      <w:r>
        <w:rPr>
          <w:noProof/>
        </w:rPr>
        <w:fldChar w:fldCharType="end"/>
      </w:r>
    </w:p>
    <w:p w14:paraId="192EB0F3"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Data analysis</w:t>
      </w:r>
      <w:r>
        <w:rPr>
          <w:noProof/>
        </w:rPr>
        <w:tab/>
      </w:r>
      <w:r>
        <w:rPr>
          <w:noProof/>
        </w:rPr>
        <w:fldChar w:fldCharType="begin"/>
      </w:r>
      <w:r>
        <w:rPr>
          <w:noProof/>
        </w:rPr>
        <w:instrText xml:space="preserve"> PAGEREF _Toc311366542 \h </w:instrText>
      </w:r>
      <w:r>
        <w:rPr>
          <w:noProof/>
        </w:rPr>
      </w:r>
      <w:r>
        <w:rPr>
          <w:noProof/>
        </w:rPr>
        <w:fldChar w:fldCharType="separate"/>
      </w:r>
      <w:r>
        <w:rPr>
          <w:noProof/>
        </w:rPr>
        <w:t>53</w:t>
      </w:r>
      <w:r>
        <w:rPr>
          <w:noProof/>
        </w:rPr>
        <w:fldChar w:fldCharType="end"/>
      </w:r>
    </w:p>
    <w:p w14:paraId="2F472B0D"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Results</w:t>
      </w:r>
      <w:r>
        <w:rPr>
          <w:noProof/>
        </w:rPr>
        <w:tab/>
      </w:r>
      <w:r>
        <w:rPr>
          <w:noProof/>
        </w:rPr>
        <w:fldChar w:fldCharType="begin"/>
      </w:r>
      <w:r>
        <w:rPr>
          <w:noProof/>
        </w:rPr>
        <w:instrText xml:space="preserve"> PAGEREF _Toc311366543 \h </w:instrText>
      </w:r>
      <w:r>
        <w:rPr>
          <w:noProof/>
        </w:rPr>
      </w:r>
      <w:r>
        <w:rPr>
          <w:noProof/>
        </w:rPr>
        <w:fldChar w:fldCharType="separate"/>
      </w:r>
      <w:r>
        <w:rPr>
          <w:noProof/>
        </w:rPr>
        <w:t>54</w:t>
      </w:r>
      <w:r>
        <w:rPr>
          <w:noProof/>
        </w:rPr>
        <w:fldChar w:fldCharType="end"/>
      </w:r>
    </w:p>
    <w:p w14:paraId="584B6438"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Part 1: Using extended Normalisation Process Theory to understand how and why secondary fracture prevention services can be successfully implemented , barriers and enablers to change and elements of care seen as most effective</w:t>
      </w:r>
      <w:r>
        <w:rPr>
          <w:noProof/>
        </w:rPr>
        <w:tab/>
      </w:r>
      <w:r>
        <w:rPr>
          <w:noProof/>
        </w:rPr>
        <w:fldChar w:fldCharType="begin"/>
      </w:r>
      <w:r>
        <w:rPr>
          <w:noProof/>
        </w:rPr>
        <w:instrText xml:space="preserve"> PAGEREF _Toc311366544 \h </w:instrText>
      </w:r>
      <w:r>
        <w:rPr>
          <w:noProof/>
        </w:rPr>
      </w:r>
      <w:r>
        <w:rPr>
          <w:noProof/>
        </w:rPr>
        <w:fldChar w:fldCharType="separate"/>
      </w:r>
      <w:r>
        <w:rPr>
          <w:noProof/>
        </w:rPr>
        <w:t>55</w:t>
      </w:r>
      <w:r>
        <w:rPr>
          <w:noProof/>
        </w:rPr>
        <w:fldChar w:fldCharType="end"/>
      </w:r>
    </w:p>
    <w:p w14:paraId="5F5091A8"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Part 2: Exploring the experiences of clinicians and service managers of developing and making business cases for a Fracture Liaison Service (FLS)</w:t>
      </w:r>
      <w:r>
        <w:rPr>
          <w:noProof/>
        </w:rPr>
        <w:tab/>
      </w:r>
      <w:r>
        <w:rPr>
          <w:noProof/>
        </w:rPr>
        <w:fldChar w:fldCharType="begin"/>
      </w:r>
      <w:r>
        <w:rPr>
          <w:noProof/>
        </w:rPr>
        <w:instrText xml:space="preserve"> PAGEREF _Toc311366545 \h </w:instrText>
      </w:r>
      <w:r>
        <w:rPr>
          <w:noProof/>
        </w:rPr>
      </w:r>
      <w:r>
        <w:rPr>
          <w:noProof/>
        </w:rPr>
        <w:fldChar w:fldCharType="separate"/>
      </w:r>
      <w:r>
        <w:rPr>
          <w:noProof/>
        </w:rPr>
        <w:t>64</w:t>
      </w:r>
      <w:r>
        <w:rPr>
          <w:noProof/>
        </w:rPr>
        <w:fldChar w:fldCharType="end"/>
      </w:r>
    </w:p>
    <w:p w14:paraId="30F0C7A7"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Strength and limitations for the complete qualitative study</w:t>
      </w:r>
      <w:r>
        <w:rPr>
          <w:noProof/>
        </w:rPr>
        <w:tab/>
      </w:r>
      <w:r>
        <w:rPr>
          <w:noProof/>
        </w:rPr>
        <w:fldChar w:fldCharType="begin"/>
      </w:r>
      <w:r>
        <w:rPr>
          <w:noProof/>
        </w:rPr>
        <w:instrText xml:space="preserve"> PAGEREF _Toc311366546 \h </w:instrText>
      </w:r>
      <w:r>
        <w:rPr>
          <w:noProof/>
        </w:rPr>
      </w:r>
      <w:r>
        <w:rPr>
          <w:noProof/>
        </w:rPr>
        <w:fldChar w:fldCharType="separate"/>
      </w:r>
      <w:r>
        <w:rPr>
          <w:noProof/>
        </w:rPr>
        <w:t>72</w:t>
      </w:r>
      <w:r>
        <w:rPr>
          <w:noProof/>
        </w:rPr>
        <w:fldChar w:fldCharType="end"/>
      </w:r>
    </w:p>
    <w:p w14:paraId="2028218B"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Conclusions</w:t>
      </w:r>
      <w:r>
        <w:rPr>
          <w:noProof/>
        </w:rPr>
        <w:tab/>
      </w:r>
      <w:r>
        <w:rPr>
          <w:noProof/>
        </w:rPr>
        <w:fldChar w:fldCharType="begin"/>
      </w:r>
      <w:r>
        <w:rPr>
          <w:noProof/>
        </w:rPr>
        <w:instrText xml:space="preserve"> PAGEREF _Toc311366547 \h </w:instrText>
      </w:r>
      <w:r>
        <w:rPr>
          <w:noProof/>
        </w:rPr>
      </w:r>
      <w:r>
        <w:rPr>
          <w:noProof/>
        </w:rPr>
        <w:fldChar w:fldCharType="separate"/>
      </w:r>
      <w:r>
        <w:rPr>
          <w:noProof/>
        </w:rPr>
        <w:t>73</w:t>
      </w:r>
      <w:r>
        <w:rPr>
          <w:noProof/>
        </w:rPr>
        <w:fldChar w:fldCharType="end"/>
      </w:r>
    </w:p>
    <w:p w14:paraId="3E9B9D19"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lastRenderedPageBreak/>
        <w:t>Chapter 4: Data sources</w:t>
      </w:r>
      <w:r>
        <w:rPr>
          <w:noProof/>
        </w:rPr>
        <w:tab/>
      </w:r>
      <w:r>
        <w:rPr>
          <w:noProof/>
        </w:rPr>
        <w:fldChar w:fldCharType="begin"/>
      </w:r>
      <w:r>
        <w:rPr>
          <w:noProof/>
        </w:rPr>
        <w:instrText xml:space="preserve"> PAGEREF _Toc311366548 \h </w:instrText>
      </w:r>
      <w:r>
        <w:rPr>
          <w:noProof/>
        </w:rPr>
      </w:r>
      <w:r>
        <w:rPr>
          <w:noProof/>
        </w:rPr>
        <w:fldChar w:fldCharType="separate"/>
      </w:r>
      <w:r>
        <w:rPr>
          <w:noProof/>
        </w:rPr>
        <w:t>74</w:t>
      </w:r>
      <w:r>
        <w:rPr>
          <w:noProof/>
        </w:rPr>
        <w:fldChar w:fldCharType="end"/>
      </w:r>
    </w:p>
    <w:p w14:paraId="72E6AC7C"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Introduction: the use of routinely collected data for research</w:t>
      </w:r>
      <w:r>
        <w:rPr>
          <w:noProof/>
        </w:rPr>
        <w:tab/>
      </w:r>
      <w:r>
        <w:rPr>
          <w:noProof/>
        </w:rPr>
        <w:fldChar w:fldCharType="begin"/>
      </w:r>
      <w:r>
        <w:rPr>
          <w:noProof/>
        </w:rPr>
        <w:instrText xml:space="preserve"> PAGEREF _Toc311366549 \h </w:instrText>
      </w:r>
      <w:r>
        <w:rPr>
          <w:noProof/>
        </w:rPr>
      </w:r>
      <w:r>
        <w:rPr>
          <w:noProof/>
        </w:rPr>
        <w:fldChar w:fldCharType="separate"/>
      </w:r>
      <w:r>
        <w:rPr>
          <w:noProof/>
        </w:rPr>
        <w:t>74</w:t>
      </w:r>
      <w:r>
        <w:rPr>
          <w:noProof/>
        </w:rPr>
        <w:fldChar w:fldCharType="end"/>
      </w:r>
    </w:p>
    <w:p w14:paraId="1673FA2D"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The Clinical Practice Research Datalink (CPRD)</w:t>
      </w:r>
      <w:r>
        <w:rPr>
          <w:noProof/>
        </w:rPr>
        <w:tab/>
      </w:r>
      <w:r>
        <w:rPr>
          <w:noProof/>
        </w:rPr>
        <w:fldChar w:fldCharType="begin"/>
      </w:r>
      <w:r>
        <w:rPr>
          <w:noProof/>
        </w:rPr>
        <w:instrText xml:space="preserve"> PAGEREF _Toc311366550 \h </w:instrText>
      </w:r>
      <w:r>
        <w:rPr>
          <w:noProof/>
        </w:rPr>
      </w:r>
      <w:r>
        <w:rPr>
          <w:noProof/>
        </w:rPr>
        <w:fldChar w:fldCharType="separate"/>
      </w:r>
      <w:r>
        <w:rPr>
          <w:noProof/>
        </w:rPr>
        <w:t>75</w:t>
      </w:r>
      <w:r>
        <w:rPr>
          <w:noProof/>
        </w:rPr>
        <w:fldChar w:fldCharType="end"/>
      </w:r>
    </w:p>
    <w:p w14:paraId="7A513DD3"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General practitioners and the NHS: why is CPRD a valuable source of data?</w:t>
      </w:r>
      <w:r>
        <w:rPr>
          <w:noProof/>
        </w:rPr>
        <w:tab/>
      </w:r>
      <w:r>
        <w:rPr>
          <w:noProof/>
        </w:rPr>
        <w:fldChar w:fldCharType="begin"/>
      </w:r>
      <w:r>
        <w:rPr>
          <w:noProof/>
        </w:rPr>
        <w:instrText xml:space="preserve"> PAGEREF _Toc311366551 \h </w:instrText>
      </w:r>
      <w:r>
        <w:rPr>
          <w:noProof/>
        </w:rPr>
      </w:r>
      <w:r>
        <w:rPr>
          <w:noProof/>
        </w:rPr>
        <w:fldChar w:fldCharType="separate"/>
      </w:r>
      <w:r>
        <w:rPr>
          <w:noProof/>
        </w:rPr>
        <w:t>75</w:t>
      </w:r>
      <w:r>
        <w:rPr>
          <w:noProof/>
        </w:rPr>
        <w:fldChar w:fldCharType="end"/>
      </w:r>
    </w:p>
    <w:p w14:paraId="19BDD1AC"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The Clinical Practice Research Datalink (CPRD)</w:t>
      </w:r>
      <w:r>
        <w:rPr>
          <w:noProof/>
        </w:rPr>
        <w:tab/>
      </w:r>
      <w:r>
        <w:rPr>
          <w:noProof/>
        </w:rPr>
        <w:fldChar w:fldCharType="begin"/>
      </w:r>
      <w:r>
        <w:rPr>
          <w:noProof/>
        </w:rPr>
        <w:instrText xml:space="preserve"> PAGEREF _Toc311366552 \h </w:instrText>
      </w:r>
      <w:r>
        <w:rPr>
          <w:noProof/>
        </w:rPr>
      </w:r>
      <w:r>
        <w:rPr>
          <w:noProof/>
        </w:rPr>
        <w:fldChar w:fldCharType="separate"/>
      </w:r>
      <w:r>
        <w:rPr>
          <w:noProof/>
        </w:rPr>
        <w:t>75</w:t>
      </w:r>
      <w:r>
        <w:rPr>
          <w:noProof/>
        </w:rPr>
        <w:fldChar w:fldCharType="end"/>
      </w:r>
    </w:p>
    <w:p w14:paraId="22217D71"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Linked hospital and mortality data</w:t>
      </w:r>
      <w:r>
        <w:rPr>
          <w:noProof/>
        </w:rPr>
        <w:tab/>
      </w:r>
      <w:r>
        <w:rPr>
          <w:noProof/>
        </w:rPr>
        <w:fldChar w:fldCharType="begin"/>
      </w:r>
      <w:r>
        <w:rPr>
          <w:noProof/>
        </w:rPr>
        <w:instrText xml:space="preserve"> PAGEREF _Toc311366553 \h </w:instrText>
      </w:r>
      <w:r>
        <w:rPr>
          <w:noProof/>
        </w:rPr>
      </w:r>
      <w:r>
        <w:rPr>
          <w:noProof/>
        </w:rPr>
        <w:fldChar w:fldCharType="separate"/>
      </w:r>
      <w:r>
        <w:rPr>
          <w:noProof/>
        </w:rPr>
        <w:t>76</w:t>
      </w:r>
      <w:r>
        <w:rPr>
          <w:noProof/>
        </w:rPr>
        <w:fldChar w:fldCharType="end"/>
      </w:r>
    </w:p>
    <w:p w14:paraId="79D6163D"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Hospital Episode Statistics (HES)</w:t>
      </w:r>
      <w:r>
        <w:rPr>
          <w:noProof/>
        </w:rPr>
        <w:tab/>
      </w:r>
      <w:r>
        <w:rPr>
          <w:noProof/>
        </w:rPr>
        <w:fldChar w:fldCharType="begin"/>
      </w:r>
      <w:r>
        <w:rPr>
          <w:noProof/>
        </w:rPr>
        <w:instrText xml:space="preserve"> PAGEREF _Toc311366554 \h </w:instrText>
      </w:r>
      <w:r>
        <w:rPr>
          <w:noProof/>
        </w:rPr>
      </w:r>
      <w:r>
        <w:rPr>
          <w:noProof/>
        </w:rPr>
        <w:fldChar w:fldCharType="separate"/>
      </w:r>
      <w:r>
        <w:rPr>
          <w:noProof/>
        </w:rPr>
        <w:t>76</w:t>
      </w:r>
      <w:r>
        <w:rPr>
          <w:noProof/>
        </w:rPr>
        <w:fldChar w:fldCharType="end"/>
      </w:r>
    </w:p>
    <w:p w14:paraId="25201939"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Introduction</w:t>
      </w:r>
      <w:r>
        <w:rPr>
          <w:noProof/>
        </w:rPr>
        <w:tab/>
      </w:r>
      <w:r>
        <w:rPr>
          <w:noProof/>
        </w:rPr>
        <w:fldChar w:fldCharType="begin"/>
      </w:r>
      <w:r>
        <w:rPr>
          <w:noProof/>
        </w:rPr>
        <w:instrText xml:space="preserve"> PAGEREF _Toc311366555 \h </w:instrText>
      </w:r>
      <w:r>
        <w:rPr>
          <w:noProof/>
        </w:rPr>
      </w:r>
      <w:r>
        <w:rPr>
          <w:noProof/>
        </w:rPr>
        <w:fldChar w:fldCharType="separate"/>
      </w:r>
      <w:r>
        <w:rPr>
          <w:noProof/>
        </w:rPr>
        <w:t>76</w:t>
      </w:r>
      <w:r>
        <w:rPr>
          <w:noProof/>
        </w:rPr>
        <w:fldChar w:fldCharType="end"/>
      </w:r>
    </w:p>
    <w:p w14:paraId="5B746B4F"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Data available in HES</w:t>
      </w:r>
      <w:r>
        <w:rPr>
          <w:noProof/>
        </w:rPr>
        <w:tab/>
      </w:r>
      <w:r>
        <w:rPr>
          <w:noProof/>
        </w:rPr>
        <w:fldChar w:fldCharType="begin"/>
      </w:r>
      <w:r>
        <w:rPr>
          <w:noProof/>
        </w:rPr>
        <w:instrText xml:space="preserve"> PAGEREF _Toc311366556 \h </w:instrText>
      </w:r>
      <w:r>
        <w:rPr>
          <w:noProof/>
        </w:rPr>
      </w:r>
      <w:r>
        <w:rPr>
          <w:noProof/>
        </w:rPr>
        <w:fldChar w:fldCharType="separate"/>
      </w:r>
      <w:r>
        <w:rPr>
          <w:noProof/>
        </w:rPr>
        <w:t>77</w:t>
      </w:r>
      <w:r>
        <w:rPr>
          <w:noProof/>
        </w:rPr>
        <w:fldChar w:fldCharType="end"/>
      </w:r>
    </w:p>
    <w:p w14:paraId="1C459A1B"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Hospital admissions in HES</w:t>
      </w:r>
      <w:r>
        <w:rPr>
          <w:noProof/>
        </w:rPr>
        <w:tab/>
      </w:r>
      <w:r>
        <w:rPr>
          <w:noProof/>
        </w:rPr>
        <w:fldChar w:fldCharType="begin"/>
      </w:r>
      <w:r>
        <w:rPr>
          <w:noProof/>
        </w:rPr>
        <w:instrText xml:space="preserve"> PAGEREF _Toc311366557 \h </w:instrText>
      </w:r>
      <w:r>
        <w:rPr>
          <w:noProof/>
        </w:rPr>
      </w:r>
      <w:r>
        <w:rPr>
          <w:noProof/>
        </w:rPr>
        <w:fldChar w:fldCharType="separate"/>
      </w:r>
      <w:r>
        <w:rPr>
          <w:noProof/>
        </w:rPr>
        <w:t>77</w:t>
      </w:r>
      <w:r>
        <w:rPr>
          <w:noProof/>
        </w:rPr>
        <w:fldChar w:fldCharType="end"/>
      </w:r>
    </w:p>
    <w:p w14:paraId="3535C092"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Chapter 5 Clinical effectiveness of service models of care following hip fracture: natural experimental study</w:t>
      </w:r>
      <w:r>
        <w:rPr>
          <w:noProof/>
        </w:rPr>
        <w:tab/>
      </w:r>
      <w:r>
        <w:rPr>
          <w:noProof/>
        </w:rPr>
        <w:fldChar w:fldCharType="begin"/>
      </w:r>
      <w:r>
        <w:rPr>
          <w:noProof/>
        </w:rPr>
        <w:instrText xml:space="preserve"> PAGEREF _Toc311366558 \h </w:instrText>
      </w:r>
      <w:r>
        <w:rPr>
          <w:noProof/>
        </w:rPr>
      </w:r>
      <w:r>
        <w:rPr>
          <w:noProof/>
        </w:rPr>
        <w:fldChar w:fldCharType="separate"/>
      </w:r>
      <w:r>
        <w:rPr>
          <w:noProof/>
        </w:rPr>
        <w:t>78</w:t>
      </w:r>
      <w:r>
        <w:rPr>
          <w:noProof/>
        </w:rPr>
        <w:fldChar w:fldCharType="end"/>
      </w:r>
    </w:p>
    <w:p w14:paraId="6A2974CF"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Introduction:</w:t>
      </w:r>
      <w:r>
        <w:rPr>
          <w:noProof/>
        </w:rPr>
        <w:tab/>
      </w:r>
      <w:r>
        <w:rPr>
          <w:noProof/>
        </w:rPr>
        <w:fldChar w:fldCharType="begin"/>
      </w:r>
      <w:r>
        <w:rPr>
          <w:noProof/>
        </w:rPr>
        <w:instrText xml:space="preserve"> PAGEREF _Toc311366559 \h </w:instrText>
      </w:r>
      <w:r>
        <w:rPr>
          <w:noProof/>
        </w:rPr>
      </w:r>
      <w:r>
        <w:rPr>
          <w:noProof/>
        </w:rPr>
        <w:fldChar w:fldCharType="separate"/>
      </w:r>
      <w:r>
        <w:rPr>
          <w:noProof/>
        </w:rPr>
        <w:t>78</w:t>
      </w:r>
      <w:r>
        <w:rPr>
          <w:noProof/>
        </w:rPr>
        <w:fldChar w:fldCharType="end"/>
      </w:r>
    </w:p>
    <w:p w14:paraId="537305E2"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Aims</w:t>
      </w:r>
      <w:r>
        <w:rPr>
          <w:noProof/>
        </w:rPr>
        <w:tab/>
      </w:r>
      <w:r>
        <w:rPr>
          <w:noProof/>
        </w:rPr>
        <w:fldChar w:fldCharType="begin"/>
      </w:r>
      <w:r>
        <w:rPr>
          <w:noProof/>
        </w:rPr>
        <w:instrText xml:space="preserve"> PAGEREF _Toc311366560 \h </w:instrText>
      </w:r>
      <w:r>
        <w:rPr>
          <w:noProof/>
        </w:rPr>
      </w:r>
      <w:r>
        <w:rPr>
          <w:noProof/>
        </w:rPr>
        <w:fldChar w:fldCharType="separate"/>
      </w:r>
      <w:r>
        <w:rPr>
          <w:noProof/>
        </w:rPr>
        <w:t>80</w:t>
      </w:r>
      <w:r>
        <w:rPr>
          <w:noProof/>
        </w:rPr>
        <w:fldChar w:fldCharType="end"/>
      </w:r>
    </w:p>
    <w:p w14:paraId="7EB5A363"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Methods</w:t>
      </w:r>
      <w:r>
        <w:rPr>
          <w:noProof/>
        </w:rPr>
        <w:tab/>
      </w:r>
      <w:r>
        <w:rPr>
          <w:noProof/>
        </w:rPr>
        <w:fldChar w:fldCharType="begin"/>
      </w:r>
      <w:r>
        <w:rPr>
          <w:noProof/>
        </w:rPr>
        <w:instrText xml:space="preserve"> PAGEREF _Toc311366561 \h </w:instrText>
      </w:r>
      <w:r>
        <w:rPr>
          <w:noProof/>
        </w:rPr>
      </w:r>
      <w:r>
        <w:rPr>
          <w:noProof/>
        </w:rPr>
        <w:fldChar w:fldCharType="separate"/>
      </w:r>
      <w:r>
        <w:rPr>
          <w:noProof/>
        </w:rPr>
        <w:t>81</w:t>
      </w:r>
      <w:r>
        <w:rPr>
          <w:noProof/>
        </w:rPr>
        <w:fldChar w:fldCharType="end"/>
      </w:r>
    </w:p>
    <w:p w14:paraId="194A0993"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Data sources</w:t>
      </w:r>
      <w:r>
        <w:rPr>
          <w:noProof/>
        </w:rPr>
        <w:tab/>
      </w:r>
      <w:r>
        <w:rPr>
          <w:noProof/>
        </w:rPr>
        <w:fldChar w:fldCharType="begin"/>
      </w:r>
      <w:r>
        <w:rPr>
          <w:noProof/>
        </w:rPr>
        <w:instrText xml:space="preserve"> PAGEREF _Toc311366562 \h </w:instrText>
      </w:r>
      <w:r>
        <w:rPr>
          <w:noProof/>
        </w:rPr>
      </w:r>
      <w:r>
        <w:rPr>
          <w:noProof/>
        </w:rPr>
        <w:fldChar w:fldCharType="separate"/>
      </w:r>
      <w:r>
        <w:rPr>
          <w:noProof/>
        </w:rPr>
        <w:t>81</w:t>
      </w:r>
      <w:r>
        <w:rPr>
          <w:noProof/>
        </w:rPr>
        <w:fldChar w:fldCharType="end"/>
      </w:r>
    </w:p>
    <w:p w14:paraId="485E0293"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Patients</w:t>
      </w:r>
      <w:r>
        <w:rPr>
          <w:noProof/>
        </w:rPr>
        <w:tab/>
      </w:r>
      <w:r>
        <w:rPr>
          <w:noProof/>
        </w:rPr>
        <w:fldChar w:fldCharType="begin"/>
      </w:r>
      <w:r>
        <w:rPr>
          <w:noProof/>
        </w:rPr>
        <w:instrText xml:space="preserve"> PAGEREF _Toc311366563 \h </w:instrText>
      </w:r>
      <w:r>
        <w:rPr>
          <w:noProof/>
        </w:rPr>
      </w:r>
      <w:r>
        <w:rPr>
          <w:noProof/>
        </w:rPr>
        <w:fldChar w:fldCharType="separate"/>
      </w:r>
      <w:r>
        <w:rPr>
          <w:noProof/>
        </w:rPr>
        <w:t>81</w:t>
      </w:r>
      <w:r>
        <w:rPr>
          <w:noProof/>
        </w:rPr>
        <w:fldChar w:fldCharType="end"/>
      </w:r>
    </w:p>
    <w:p w14:paraId="5995A7C1"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Outcomes</w:t>
      </w:r>
      <w:r>
        <w:rPr>
          <w:noProof/>
        </w:rPr>
        <w:tab/>
      </w:r>
      <w:r>
        <w:rPr>
          <w:noProof/>
        </w:rPr>
        <w:fldChar w:fldCharType="begin"/>
      </w:r>
      <w:r>
        <w:rPr>
          <w:noProof/>
        </w:rPr>
        <w:instrText xml:space="preserve"> PAGEREF _Toc311366564 \h </w:instrText>
      </w:r>
      <w:r>
        <w:rPr>
          <w:noProof/>
        </w:rPr>
      </w:r>
      <w:r>
        <w:rPr>
          <w:noProof/>
        </w:rPr>
        <w:fldChar w:fldCharType="separate"/>
      </w:r>
      <w:r>
        <w:rPr>
          <w:noProof/>
        </w:rPr>
        <w:t>82</w:t>
      </w:r>
      <w:r>
        <w:rPr>
          <w:noProof/>
        </w:rPr>
        <w:fldChar w:fldCharType="end"/>
      </w:r>
    </w:p>
    <w:p w14:paraId="5D517599"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Interventions</w:t>
      </w:r>
      <w:r>
        <w:rPr>
          <w:noProof/>
        </w:rPr>
        <w:tab/>
      </w:r>
      <w:r>
        <w:rPr>
          <w:noProof/>
        </w:rPr>
        <w:fldChar w:fldCharType="begin"/>
      </w:r>
      <w:r>
        <w:rPr>
          <w:noProof/>
        </w:rPr>
        <w:instrText xml:space="preserve"> PAGEREF _Toc311366565 \h </w:instrText>
      </w:r>
      <w:r>
        <w:rPr>
          <w:noProof/>
        </w:rPr>
      </w:r>
      <w:r>
        <w:rPr>
          <w:noProof/>
        </w:rPr>
        <w:fldChar w:fldCharType="separate"/>
      </w:r>
      <w:r>
        <w:rPr>
          <w:noProof/>
        </w:rPr>
        <w:t>84</w:t>
      </w:r>
      <w:r>
        <w:rPr>
          <w:noProof/>
        </w:rPr>
        <w:fldChar w:fldCharType="end"/>
      </w:r>
    </w:p>
    <w:p w14:paraId="19194A4C"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Confounders</w:t>
      </w:r>
      <w:r>
        <w:rPr>
          <w:noProof/>
        </w:rPr>
        <w:tab/>
      </w:r>
      <w:r>
        <w:rPr>
          <w:noProof/>
        </w:rPr>
        <w:fldChar w:fldCharType="begin"/>
      </w:r>
      <w:r>
        <w:rPr>
          <w:noProof/>
        </w:rPr>
        <w:instrText xml:space="preserve"> PAGEREF _Toc311366566 \h </w:instrText>
      </w:r>
      <w:r>
        <w:rPr>
          <w:noProof/>
        </w:rPr>
      </w:r>
      <w:r>
        <w:rPr>
          <w:noProof/>
        </w:rPr>
        <w:fldChar w:fldCharType="separate"/>
      </w:r>
      <w:r>
        <w:rPr>
          <w:noProof/>
        </w:rPr>
        <w:t>84</w:t>
      </w:r>
      <w:r>
        <w:rPr>
          <w:noProof/>
        </w:rPr>
        <w:fldChar w:fldCharType="end"/>
      </w:r>
    </w:p>
    <w:p w14:paraId="7A4405AB"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Sample size calculation</w:t>
      </w:r>
      <w:r>
        <w:rPr>
          <w:noProof/>
        </w:rPr>
        <w:tab/>
      </w:r>
      <w:r>
        <w:rPr>
          <w:noProof/>
        </w:rPr>
        <w:fldChar w:fldCharType="begin"/>
      </w:r>
      <w:r>
        <w:rPr>
          <w:noProof/>
        </w:rPr>
        <w:instrText xml:space="preserve"> PAGEREF _Toc311366567 \h </w:instrText>
      </w:r>
      <w:r>
        <w:rPr>
          <w:noProof/>
        </w:rPr>
      </w:r>
      <w:r>
        <w:rPr>
          <w:noProof/>
        </w:rPr>
        <w:fldChar w:fldCharType="separate"/>
      </w:r>
      <w:r>
        <w:rPr>
          <w:noProof/>
        </w:rPr>
        <w:t>84</w:t>
      </w:r>
      <w:r>
        <w:rPr>
          <w:noProof/>
        </w:rPr>
        <w:fldChar w:fldCharType="end"/>
      </w:r>
    </w:p>
    <w:p w14:paraId="1E9A7CF1"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Statistical analysis</w:t>
      </w:r>
      <w:r>
        <w:rPr>
          <w:noProof/>
        </w:rPr>
        <w:tab/>
      </w:r>
      <w:r>
        <w:rPr>
          <w:noProof/>
        </w:rPr>
        <w:fldChar w:fldCharType="begin"/>
      </w:r>
      <w:r>
        <w:rPr>
          <w:noProof/>
        </w:rPr>
        <w:instrText xml:space="preserve"> PAGEREF _Toc311366568 \h </w:instrText>
      </w:r>
      <w:r>
        <w:rPr>
          <w:noProof/>
        </w:rPr>
      </w:r>
      <w:r>
        <w:rPr>
          <w:noProof/>
        </w:rPr>
        <w:fldChar w:fldCharType="separate"/>
      </w:r>
      <w:r>
        <w:rPr>
          <w:noProof/>
        </w:rPr>
        <w:t>85</w:t>
      </w:r>
      <w:r>
        <w:rPr>
          <w:noProof/>
        </w:rPr>
        <w:fldChar w:fldCharType="end"/>
      </w:r>
    </w:p>
    <w:p w14:paraId="27B7DAEE"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Results</w:t>
      </w:r>
      <w:r>
        <w:rPr>
          <w:noProof/>
        </w:rPr>
        <w:tab/>
      </w:r>
      <w:r>
        <w:rPr>
          <w:noProof/>
        </w:rPr>
        <w:fldChar w:fldCharType="begin"/>
      </w:r>
      <w:r>
        <w:rPr>
          <w:noProof/>
        </w:rPr>
        <w:instrText xml:space="preserve"> PAGEREF _Toc311366569 \h </w:instrText>
      </w:r>
      <w:r>
        <w:rPr>
          <w:noProof/>
        </w:rPr>
      </w:r>
      <w:r>
        <w:rPr>
          <w:noProof/>
        </w:rPr>
        <w:fldChar w:fldCharType="separate"/>
      </w:r>
      <w:r>
        <w:rPr>
          <w:noProof/>
        </w:rPr>
        <w:t>87</w:t>
      </w:r>
      <w:r>
        <w:rPr>
          <w:noProof/>
        </w:rPr>
        <w:fldChar w:fldCharType="end"/>
      </w:r>
    </w:p>
    <w:p w14:paraId="5356AAD6"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Survival analysis</w:t>
      </w:r>
      <w:r>
        <w:rPr>
          <w:noProof/>
        </w:rPr>
        <w:tab/>
      </w:r>
      <w:r>
        <w:rPr>
          <w:noProof/>
        </w:rPr>
        <w:fldChar w:fldCharType="begin"/>
      </w:r>
      <w:r>
        <w:rPr>
          <w:noProof/>
        </w:rPr>
        <w:instrText xml:space="preserve"> PAGEREF _Toc311366570 \h </w:instrText>
      </w:r>
      <w:r>
        <w:rPr>
          <w:noProof/>
        </w:rPr>
      </w:r>
      <w:r>
        <w:rPr>
          <w:noProof/>
        </w:rPr>
        <w:fldChar w:fldCharType="separate"/>
      </w:r>
      <w:r>
        <w:rPr>
          <w:noProof/>
        </w:rPr>
        <w:t>87</w:t>
      </w:r>
      <w:r>
        <w:rPr>
          <w:noProof/>
        </w:rPr>
        <w:fldChar w:fldCharType="end"/>
      </w:r>
    </w:p>
    <w:p w14:paraId="3EE4AD6F"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Interrupted time series analysis</w:t>
      </w:r>
      <w:r>
        <w:rPr>
          <w:noProof/>
        </w:rPr>
        <w:tab/>
      </w:r>
      <w:r>
        <w:rPr>
          <w:noProof/>
        </w:rPr>
        <w:fldChar w:fldCharType="begin"/>
      </w:r>
      <w:r>
        <w:rPr>
          <w:noProof/>
        </w:rPr>
        <w:instrText xml:space="preserve"> PAGEREF _Toc311366571 \h </w:instrText>
      </w:r>
      <w:r>
        <w:rPr>
          <w:noProof/>
        </w:rPr>
      </w:r>
      <w:r>
        <w:rPr>
          <w:noProof/>
        </w:rPr>
        <w:fldChar w:fldCharType="separate"/>
      </w:r>
      <w:r>
        <w:rPr>
          <w:noProof/>
        </w:rPr>
        <w:t>92</w:t>
      </w:r>
      <w:r>
        <w:rPr>
          <w:noProof/>
        </w:rPr>
        <w:fldChar w:fldCharType="end"/>
      </w:r>
    </w:p>
    <w:p w14:paraId="65DE3F0F"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Discussion</w:t>
      </w:r>
      <w:r>
        <w:rPr>
          <w:noProof/>
        </w:rPr>
        <w:tab/>
      </w:r>
      <w:r>
        <w:rPr>
          <w:noProof/>
        </w:rPr>
        <w:fldChar w:fldCharType="begin"/>
      </w:r>
      <w:r>
        <w:rPr>
          <w:noProof/>
        </w:rPr>
        <w:instrText xml:space="preserve"> PAGEREF _Toc311366572 \h </w:instrText>
      </w:r>
      <w:r>
        <w:rPr>
          <w:noProof/>
        </w:rPr>
      </w:r>
      <w:r>
        <w:rPr>
          <w:noProof/>
        </w:rPr>
        <w:fldChar w:fldCharType="separate"/>
      </w:r>
      <w:r>
        <w:rPr>
          <w:noProof/>
        </w:rPr>
        <w:t>97</w:t>
      </w:r>
      <w:r>
        <w:rPr>
          <w:noProof/>
        </w:rPr>
        <w:fldChar w:fldCharType="end"/>
      </w:r>
    </w:p>
    <w:p w14:paraId="1A260415"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Main findings</w:t>
      </w:r>
      <w:r>
        <w:rPr>
          <w:noProof/>
        </w:rPr>
        <w:tab/>
      </w:r>
      <w:r>
        <w:rPr>
          <w:noProof/>
        </w:rPr>
        <w:fldChar w:fldCharType="begin"/>
      </w:r>
      <w:r>
        <w:rPr>
          <w:noProof/>
        </w:rPr>
        <w:instrText xml:space="preserve"> PAGEREF _Toc311366573 \h </w:instrText>
      </w:r>
      <w:r>
        <w:rPr>
          <w:noProof/>
        </w:rPr>
      </w:r>
      <w:r>
        <w:rPr>
          <w:noProof/>
        </w:rPr>
        <w:fldChar w:fldCharType="separate"/>
      </w:r>
      <w:r>
        <w:rPr>
          <w:noProof/>
        </w:rPr>
        <w:t>97</w:t>
      </w:r>
      <w:r>
        <w:rPr>
          <w:noProof/>
        </w:rPr>
        <w:fldChar w:fldCharType="end"/>
      </w:r>
    </w:p>
    <w:p w14:paraId="3F77671B"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Mortality</w:t>
      </w:r>
      <w:r>
        <w:rPr>
          <w:noProof/>
        </w:rPr>
        <w:tab/>
      </w:r>
      <w:r>
        <w:rPr>
          <w:noProof/>
        </w:rPr>
        <w:fldChar w:fldCharType="begin"/>
      </w:r>
      <w:r>
        <w:rPr>
          <w:noProof/>
        </w:rPr>
        <w:instrText xml:space="preserve"> PAGEREF _Toc311366574 \h </w:instrText>
      </w:r>
      <w:r>
        <w:rPr>
          <w:noProof/>
        </w:rPr>
      </w:r>
      <w:r>
        <w:rPr>
          <w:noProof/>
        </w:rPr>
        <w:fldChar w:fldCharType="separate"/>
      </w:r>
      <w:r>
        <w:rPr>
          <w:noProof/>
        </w:rPr>
        <w:t>97</w:t>
      </w:r>
      <w:r>
        <w:rPr>
          <w:noProof/>
        </w:rPr>
        <w:fldChar w:fldCharType="end"/>
      </w:r>
    </w:p>
    <w:p w14:paraId="62BB499A"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Second hip fracture</w:t>
      </w:r>
      <w:r>
        <w:rPr>
          <w:noProof/>
        </w:rPr>
        <w:tab/>
      </w:r>
      <w:r>
        <w:rPr>
          <w:noProof/>
        </w:rPr>
        <w:fldChar w:fldCharType="begin"/>
      </w:r>
      <w:r>
        <w:rPr>
          <w:noProof/>
        </w:rPr>
        <w:instrText xml:space="preserve"> PAGEREF _Toc311366575 \h </w:instrText>
      </w:r>
      <w:r>
        <w:rPr>
          <w:noProof/>
        </w:rPr>
      </w:r>
      <w:r>
        <w:rPr>
          <w:noProof/>
        </w:rPr>
        <w:fldChar w:fldCharType="separate"/>
      </w:r>
      <w:r>
        <w:rPr>
          <w:noProof/>
        </w:rPr>
        <w:t>99</w:t>
      </w:r>
      <w:r>
        <w:rPr>
          <w:noProof/>
        </w:rPr>
        <w:fldChar w:fldCharType="end"/>
      </w:r>
    </w:p>
    <w:p w14:paraId="46038E22"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Strengths and limitations</w:t>
      </w:r>
      <w:r>
        <w:rPr>
          <w:noProof/>
        </w:rPr>
        <w:tab/>
      </w:r>
      <w:r>
        <w:rPr>
          <w:noProof/>
        </w:rPr>
        <w:fldChar w:fldCharType="begin"/>
      </w:r>
      <w:r>
        <w:rPr>
          <w:noProof/>
        </w:rPr>
        <w:instrText xml:space="preserve"> PAGEREF _Toc311366576 \h </w:instrText>
      </w:r>
      <w:r>
        <w:rPr>
          <w:noProof/>
        </w:rPr>
      </w:r>
      <w:r>
        <w:rPr>
          <w:noProof/>
        </w:rPr>
        <w:fldChar w:fldCharType="separate"/>
      </w:r>
      <w:r>
        <w:rPr>
          <w:noProof/>
        </w:rPr>
        <w:t>100</w:t>
      </w:r>
      <w:r>
        <w:rPr>
          <w:noProof/>
        </w:rPr>
        <w:fldChar w:fldCharType="end"/>
      </w:r>
    </w:p>
    <w:p w14:paraId="11708B7E"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Conclusions</w:t>
      </w:r>
      <w:r>
        <w:rPr>
          <w:noProof/>
        </w:rPr>
        <w:tab/>
      </w:r>
      <w:r>
        <w:rPr>
          <w:noProof/>
        </w:rPr>
        <w:fldChar w:fldCharType="begin"/>
      </w:r>
      <w:r>
        <w:rPr>
          <w:noProof/>
        </w:rPr>
        <w:instrText xml:space="preserve"> PAGEREF _Toc311366577 \h </w:instrText>
      </w:r>
      <w:r>
        <w:rPr>
          <w:noProof/>
        </w:rPr>
      </w:r>
      <w:r>
        <w:rPr>
          <w:noProof/>
        </w:rPr>
        <w:fldChar w:fldCharType="separate"/>
      </w:r>
      <w:r>
        <w:rPr>
          <w:noProof/>
        </w:rPr>
        <w:t>101</w:t>
      </w:r>
      <w:r>
        <w:rPr>
          <w:noProof/>
        </w:rPr>
        <w:fldChar w:fldCharType="end"/>
      </w:r>
    </w:p>
    <w:p w14:paraId="25A40BC9"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Chapter 6 Effect of national guidelines on rates of hip fracture, non-hip fracture and life expectancy using national datasets</w:t>
      </w:r>
      <w:r>
        <w:rPr>
          <w:noProof/>
        </w:rPr>
        <w:tab/>
      </w:r>
      <w:r>
        <w:rPr>
          <w:noProof/>
        </w:rPr>
        <w:fldChar w:fldCharType="begin"/>
      </w:r>
      <w:r>
        <w:rPr>
          <w:noProof/>
        </w:rPr>
        <w:instrText xml:space="preserve"> PAGEREF _Toc311366578 \h </w:instrText>
      </w:r>
      <w:r>
        <w:rPr>
          <w:noProof/>
        </w:rPr>
      </w:r>
      <w:r>
        <w:rPr>
          <w:noProof/>
        </w:rPr>
        <w:fldChar w:fldCharType="separate"/>
      </w:r>
      <w:r>
        <w:rPr>
          <w:noProof/>
        </w:rPr>
        <w:t>102</w:t>
      </w:r>
      <w:r>
        <w:rPr>
          <w:noProof/>
        </w:rPr>
        <w:fldChar w:fldCharType="end"/>
      </w:r>
    </w:p>
    <w:p w14:paraId="2164DB8A"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_Toc311366579 \h </w:instrText>
      </w:r>
      <w:r>
        <w:rPr>
          <w:noProof/>
        </w:rPr>
      </w:r>
      <w:r>
        <w:rPr>
          <w:noProof/>
        </w:rPr>
        <w:fldChar w:fldCharType="separate"/>
      </w:r>
      <w:r>
        <w:rPr>
          <w:noProof/>
        </w:rPr>
        <w:t>102</w:t>
      </w:r>
      <w:r>
        <w:rPr>
          <w:noProof/>
        </w:rPr>
        <w:fldChar w:fldCharType="end"/>
      </w:r>
    </w:p>
    <w:p w14:paraId="3546F57B"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lastRenderedPageBreak/>
        <w:t>Aim</w:t>
      </w:r>
      <w:r>
        <w:rPr>
          <w:noProof/>
        </w:rPr>
        <w:tab/>
      </w:r>
      <w:r>
        <w:rPr>
          <w:noProof/>
        </w:rPr>
        <w:fldChar w:fldCharType="begin"/>
      </w:r>
      <w:r>
        <w:rPr>
          <w:noProof/>
        </w:rPr>
        <w:instrText xml:space="preserve"> PAGEREF _Toc311366580 \h </w:instrText>
      </w:r>
      <w:r>
        <w:rPr>
          <w:noProof/>
        </w:rPr>
      </w:r>
      <w:r>
        <w:rPr>
          <w:noProof/>
        </w:rPr>
        <w:fldChar w:fldCharType="separate"/>
      </w:r>
      <w:r>
        <w:rPr>
          <w:noProof/>
        </w:rPr>
        <w:t>102</w:t>
      </w:r>
      <w:r>
        <w:rPr>
          <w:noProof/>
        </w:rPr>
        <w:fldChar w:fldCharType="end"/>
      </w:r>
    </w:p>
    <w:p w14:paraId="7E4439EF"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Pr>
          <w:noProof/>
        </w:rPr>
        <w:t>Methods</w:t>
      </w:r>
      <w:r>
        <w:rPr>
          <w:noProof/>
        </w:rPr>
        <w:tab/>
      </w:r>
      <w:r>
        <w:rPr>
          <w:noProof/>
        </w:rPr>
        <w:fldChar w:fldCharType="begin"/>
      </w:r>
      <w:r>
        <w:rPr>
          <w:noProof/>
        </w:rPr>
        <w:instrText xml:space="preserve"> PAGEREF _Toc311366581 \h </w:instrText>
      </w:r>
      <w:r>
        <w:rPr>
          <w:noProof/>
        </w:rPr>
      </w:r>
      <w:r>
        <w:rPr>
          <w:noProof/>
        </w:rPr>
        <w:fldChar w:fldCharType="separate"/>
      </w:r>
      <w:r>
        <w:rPr>
          <w:noProof/>
        </w:rPr>
        <w:t>102</w:t>
      </w:r>
      <w:r>
        <w:rPr>
          <w:noProof/>
        </w:rPr>
        <w:fldChar w:fldCharType="end"/>
      </w:r>
    </w:p>
    <w:p w14:paraId="1A6F8641"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Data sources</w:t>
      </w:r>
      <w:r>
        <w:rPr>
          <w:noProof/>
        </w:rPr>
        <w:tab/>
      </w:r>
      <w:r>
        <w:rPr>
          <w:noProof/>
        </w:rPr>
        <w:fldChar w:fldCharType="begin"/>
      </w:r>
      <w:r>
        <w:rPr>
          <w:noProof/>
        </w:rPr>
        <w:instrText xml:space="preserve"> PAGEREF _Toc311366582 \h </w:instrText>
      </w:r>
      <w:r>
        <w:rPr>
          <w:noProof/>
        </w:rPr>
      </w:r>
      <w:r>
        <w:rPr>
          <w:noProof/>
        </w:rPr>
        <w:fldChar w:fldCharType="separate"/>
      </w:r>
      <w:r>
        <w:rPr>
          <w:noProof/>
        </w:rPr>
        <w:t>102</w:t>
      </w:r>
      <w:r>
        <w:rPr>
          <w:noProof/>
        </w:rPr>
        <w:fldChar w:fldCharType="end"/>
      </w:r>
    </w:p>
    <w:p w14:paraId="437E2BFA"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Patients</w:t>
      </w:r>
      <w:r>
        <w:rPr>
          <w:noProof/>
        </w:rPr>
        <w:tab/>
      </w:r>
      <w:r>
        <w:rPr>
          <w:noProof/>
        </w:rPr>
        <w:fldChar w:fldCharType="begin"/>
      </w:r>
      <w:r>
        <w:rPr>
          <w:noProof/>
        </w:rPr>
        <w:instrText xml:space="preserve"> PAGEREF _Toc311366583 \h </w:instrText>
      </w:r>
      <w:r>
        <w:rPr>
          <w:noProof/>
        </w:rPr>
      </w:r>
      <w:r>
        <w:rPr>
          <w:noProof/>
        </w:rPr>
        <w:fldChar w:fldCharType="separate"/>
      </w:r>
      <w:r>
        <w:rPr>
          <w:noProof/>
        </w:rPr>
        <w:t>103</w:t>
      </w:r>
      <w:r>
        <w:rPr>
          <w:noProof/>
        </w:rPr>
        <w:fldChar w:fldCharType="end"/>
      </w:r>
    </w:p>
    <w:p w14:paraId="5A69F0C8"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Selection of controls:</w:t>
      </w:r>
      <w:r>
        <w:rPr>
          <w:noProof/>
        </w:rPr>
        <w:tab/>
      </w:r>
      <w:r>
        <w:rPr>
          <w:noProof/>
        </w:rPr>
        <w:fldChar w:fldCharType="begin"/>
      </w:r>
      <w:r>
        <w:rPr>
          <w:noProof/>
        </w:rPr>
        <w:instrText xml:space="preserve"> PAGEREF _Toc311366584 \h </w:instrText>
      </w:r>
      <w:r>
        <w:rPr>
          <w:noProof/>
        </w:rPr>
      </w:r>
      <w:r>
        <w:rPr>
          <w:noProof/>
        </w:rPr>
        <w:fldChar w:fldCharType="separate"/>
      </w:r>
      <w:r>
        <w:rPr>
          <w:noProof/>
        </w:rPr>
        <w:t>103</w:t>
      </w:r>
      <w:r>
        <w:rPr>
          <w:noProof/>
        </w:rPr>
        <w:fldChar w:fldCharType="end"/>
      </w:r>
    </w:p>
    <w:p w14:paraId="2D471621"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Interventions</w:t>
      </w:r>
      <w:r>
        <w:rPr>
          <w:noProof/>
        </w:rPr>
        <w:tab/>
      </w:r>
      <w:r>
        <w:rPr>
          <w:noProof/>
        </w:rPr>
        <w:fldChar w:fldCharType="begin"/>
      </w:r>
      <w:r>
        <w:rPr>
          <w:noProof/>
        </w:rPr>
        <w:instrText xml:space="preserve"> PAGEREF _Toc311366585 \h </w:instrText>
      </w:r>
      <w:r>
        <w:rPr>
          <w:noProof/>
        </w:rPr>
      </w:r>
      <w:r>
        <w:rPr>
          <w:noProof/>
        </w:rPr>
        <w:fldChar w:fldCharType="separate"/>
      </w:r>
      <w:r>
        <w:rPr>
          <w:noProof/>
        </w:rPr>
        <w:t>103</w:t>
      </w:r>
      <w:r>
        <w:rPr>
          <w:noProof/>
        </w:rPr>
        <w:fldChar w:fldCharType="end"/>
      </w:r>
    </w:p>
    <w:p w14:paraId="1B28B1EE"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Outcomes</w:t>
      </w:r>
      <w:r>
        <w:rPr>
          <w:noProof/>
        </w:rPr>
        <w:tab/>
      </w:r>
      <w:r>
        <w:rPr>
          <w:noProof/>
        </w:rPr>
        <w:fldChar w:fldCharType="begin"/>
      </w:r>
      <w:r>
        <w:rPr>
          <w:noProof/>
        </w:rPr>
        <w:instrText xml:space="preserve"> PAGEREF _Toc311366586 \h </w:instrText>
      </w:r>
      <w:r>
        <w:rPr>
          <w:noProof/>
        </w:rPr>
      </w:r>
      <w:r>
        <w:rPr>
          <w:noProof/>
        </w:rPr>
        <w:fldChar w:fldCharType="separate"/>
      </w:r>
      <w:r>
        <w:rPr>
          <w:noProof/>
        </w:rPr>
        <w:t>104</w:t>
      </w:r>
      <w:r>
        <w:rPr>
          <w:noProof/>
        </w:rPr>
        <w:fldChar w:fldCharType="end"/>
      </w:r>
    </w:p>
    <w:p w14:paraId="033EA4F2"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Statistical analysis</w:t>
      </w:r>
      <w:r>
        <w:rPr>
          <w:noProof/>
        </w:rPr>
        <w:tab/>
      </w:r>
      <w:r>
        <w:rPr>
          <w:noProof/>
        </w:rPr>
        <w:fldChar w:fldCharType="begin"/>
      </w:r>
      <w:r>
        <w:rPr>
          <w:noProof/>
        </w:rPr>
        <w:instrText xml:space="preserve"> PAGEREF _Toc311366587 \h </w:instrText>
      </w:r>
      <w:r>
        <w:rPr>
          <w:noProof/>
        </w:rPr>
      </w:r>
      <w:r>
        <w:rPr>
          <w:noProof/>
        </w:rPr>
        <w:fldChar w:fldCharType="separate"/>
      </w:r>
      <w:r>
        <w:rPr>
          <w:noProof/>
        </w:rPr>
        <w:t>105</w:t>
      </w:r>
      <w:r>
        <w:rPr>
          <w:noProof/>
        </w:rPr>
        <w:fldChar w:fldCharType="end"/>
      </w:r>
    </w:p>
    <w:p w14:paraId="154A9535"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Segmented linear regression results</w:t>
      </w:r>
      <w:r>
        <w:rPr>
          <w:noProof/>
        </w:rPr>
        <w:tab/>
      </w:r>
      <w:r>
        <w:rPr>
          <w:noProof/>
        </w:rPr>
        <w:fldChar w:fldCharType="begin"/>
      </w:r>
      <w:r>
        <w:rPr>
          <w:noProof/>
        </w:rPr>
        <w:instrText xml:space="preserve"> PAGEREF _Toc311366588 \h </w:instrText>
      </w:r>
      <w:r>
        <w:rPr>
          <w:noProof/>
        </w:rPr>
      </w:r>
      <w:r>
        <w:rPr>
          <w:noProof/>
        </w:rPr>
        <w:fldChar w:fldCharType="separate"/>
      </w:r>
      <w:r>
        <w:rPr>
          <w:noProof/>
        </w:rPr>
        <w:t>111</w:t>
      </w:r>
      <w:r>
        <w:rPr>
          <w:noProof/>
        </w:rPr>
        <w:fldChar w:fldCharType="end"/>
      </w:r>
    </w:p>
    <w:p w14:paraId="694ADC0F"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Index hip fracture and re</w:t>
      </w:r>
      <w:r w:rsidRPr="00DE310B">
        <w:rPr>
          <w:noProof/>
        </w:rPr>
        <w:t>-</w:t>
      </w:r>
      <w:r>
        <w:rPr>
          <w:noProof/>
        </w:rPr>
        <w:t>fracture</w:t>
      </w:r>
      <w:r>
        <w:rPr>
          <w:noProof/>
        </w:rPr>
        <w:tab/>
      </w:r>
      <w:r>
        <w:rPr>
          <w:noProof/>
        </w:rPr>
        <w:fldChar w:fldCharType="begin"/>
      </w:r>
      <w:r>
        <w:rPr>
          <w:noProof/>
        </w:rPr>
        <w:instrText xml:space="preserve"> PAGEREF _Toc311366589 \h </w:instrText>
      </w:r>
      <w:r>
        <w:rPr>
          <w:noProof/>
        </w:rPr>
      </w:r>
      <w:r>
        <w:rPr>
          <w:noProof/>
        </w:rPr>
        <w:fldChar w:fldCharType="separate"/>
      </w:r>
      <w:r>
        <w:rPr>
          <w:noProof/>
        </w:rPr>
        <w:t>111</w:t>
      </w:r>
      <w:r>
        <w:rPr>
          <w:noProof/>
        </w:rPr>
        <w:fldChar w:fldCharType="end"/>
      </w:r>
    </w:p>
    <w:p w14:paraId="77E91911"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Mortality</w:t>
      </w:r>
      <w:r>
        <w:rPr>
          <w:noProof/>
        </w:rPr>
        <w:tab/>
      </w:r>
      <w:r>
        <w:rPr>
          <w:noProof/>
        </w:rPr>
        <w:fldChar w:fldCharType="begin"/>
      </w:r>
      <w:r>
        <w:rPr>
          <w:noProof/>
        </w:rPr>
        <w:instrText xml:space="preserve"> PAGEREF _Toc311366590 \h </w:instrText>
      </w:r>
      <w:r>
        <w:rPr>
          <w:noProof/>
        </w:rPr>
      </w:r>
      <w:r>
        <w:rPr>
          <w:noProof/>
        </w:rPr>
        <w:fldChar w:fldCharType="separate"/>
      </w:r>
      <w:r>
        <w:rPr>
          <w:noProof/>
        </w:rPr>
        <w:t>113</w:t>
      </w:r>
      <w:r>
        <w:rPr>
          <w:noProof/>
        </w:rPr>
        <w:fldChar w:fldCharType="end"/>
      </w:r>
    </w:p>
    <w:p w14:paraId="4473976A"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Pr>
          <w:noProof/>
        </w:rPr>
        <w:t>Discussion</w:t>
      </w:r>
      <w:r>
        <w:rPr>
          <w:noProof/>
        </w:rPr>
        <w:tab/>
      </w:r>
      <w:r>
        <w:rPr>
          <w:noProof/>
        </w:rPr>
        <w:fldChar w:fldCharType="begin"/>
      </w:r>
      <w:r>
        <w:rPr>
          <w:noProof/>
        </w:rPr>
        <w:instrText xml:space="preserve"> PAGEREF _Toc311366591 \h </w:instrText>
      </w:r>
      <w:r>
        <w:rPr>
          <w:noProof/>
        </w:rPr>
      </w:r>
      <w:r>
        <w:rPr>
          <w:noProof/>
        </w:rPr>
        <w:fldChar w:fldCharType="separate"/>
      </w:r>
      <w:r>
        <w:rPr>
          <w:noProof/>
        </w:rPr>
        <w:t>118</w:t>
      </w:r>
      <w:r>
        <w:rPr>
          <w:noProof/>
        </w:rPr>
        <w:fldChar w:fldCharType="end"/>
      </w:r>
    </w:p>
    <w:p w14:paraId="21848943"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Chapter 7 Primary care and hospital care costs for hip fracture patients</w:t>
      </w:r>
      <w:r>
        <w:rPr>
          <w:noProof/>
        </w:rPr>
        <w:tab/>
      </w:r>
      <w:r>
        <w:rPr>
          <w:noProof/>
        </w:rPr>
        <w:fldChar w:fldCharType="begin"/>
      </w:r>
      <w:r>
        <w:rPr>
          <w:noProof/>
        </w:rPr>
        <w:instrText xml:space="preserve"> PAGEREF _Toc311366592 \h </w:instrText>
      </w:r>
      <w:r>
        <w:rPr>
          <w:noProof/>
        </w:rPr>
      </w:r>
      <w:r>
        <w:rPr>
          <w:noProof/>
        </w:rPr>
        <w:fldChar w:fldCharType="separate"/>
      </w:r>
      <w:r>
        <w:rPr>
          <w:noProof/>
        </w:rPr>
        <w:t>120</w:t>
      </w:r>
      <w:r>
        <w:rPr>
          <w:noProof/>
        </w:rPr>
        <w:fldChar w:fldCharType="end"/>
      </w:r>
    </w:p>
    <w:p w14:paraId="74929B50"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Introduction</w:t>
      </w:r>
      <w:r>
        <w:rPr>
          <w:noProof/>
        </w:rPr>
        <w:tab/>
      </w:r>
      <w:r>
        <w:rPr>
          <w:noProof/>
        </w:rPr>
        <w:fldChar w:fldCharType="begin"/>
      </w:r>
      <w:r>
        <w:rPr>
          <w:noProof/>
        </w:rPr>
        <w:instrText xml:space="preserve"> PAGEREF _Toc311366593 \h </w:instrText>
      </w:r>
      <w:r>
        <w:rPr>
          <w:noProof/>
        </w:rPr>
      </w:r>
      <w:r>
        <w:rPr>
          <w:noProof/>
        </w:rPr>
        <w:fldChar w:fldCharType="separate"/>
      </w:r>
      <w:r>
        <w:rPr>
          <w:noProof/>
        </w:rPr>
        <w:t>120</w:t>
      </w:r>
      <w:r>
        <w:rPr>
          <w:noProof/>
        </w:rPr>
        <w:fldChar w:fldCharType="end"/>
      </w:r>
    </w:p>
    <w:p w14:paraId="375D534F"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Aims</w:t>
      </w:r>
      <w:r>
        <w:rPr>
          <w:noProof/>
        </w:rPr>
        <w:tab/>
      </w:r>
      <w:r>
        <w:rPr>
          <w:noProof/>
        </w:rPr>
        <w:fldChar w:fldCharType="begin"/>
      </w:r>
      <w:r>
        <w:rPr>
          <w:noProof/>
        </w:rPr>
        <w:instrText xml:space="preserve"> PAGEREF _Toc311366594 \h </w:instrText>
      </w:r>
      <w:r>
        <w:rPr>
          <w:noProof/>
        </w:rPr>
      </w:r>
      <w:r>
        <w:rPr>
          <w:noProof/>
        </w:rPr>
        <w:fldChar w:fldCharType="separate"/>
      </w:r>
      <w:r>
        <w:rPr>
          <w:noProof/>
        </w:rPr>
        <w:t>120</w:t>
      </w:r>
      <w:r>
        <w:rPr>
          <w:noProof/>
        </w:rPr>
        <w:fldChar w:fldCharType="end"/>
      </w:r>
    </w:p>
    <w:p w14:paraId="1251D24C"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Existing research</w:t>
      </w:r>
      <w:r>
        <w:rPr>
          <w:noProof/>
        </w:rPr>
        <w:tab/>
      </w:r>
      <w:r>
        <w:rPr>
          <w:noProof/>
        </w:rPr>
        <w:fldChar w:fldCharType="begin"/>
      </w:r>
      <w:r>
        <w:rPr>
          <w:noProof/>
        </w:rPr>
        <w:instrText xml:space="preserve"> PAGEREF _Toc311366595 \h </w:instrText>
      </w:r>
      <w:r>
        <w:rPr>
          <w:noProof/>
        </w:rPr>
      </w:r>
      <w:r>
        <w:rPr>
          <w:noProof/>
        </w:rPr>
        <w:fldChar w:fldCharType="separate"/>
      </w:r>
      <w:r>
        <w:rPr>
          <w:noProof/>
        </w:rPr>
        <w:t>121</w:t>
      </w:r>
      <w:r>
        <w:rPr>
          <w:noProof/>
        </w:rPr>
        <w:fldChar w:fldCharType="end"/>
      </w:r>
    </w:p>
    <w:p w14:paraId="67FD63DB"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Methods</w:t>
      </w:r>
      <w:r>
        <w:rPr>
          <w:noProof/>
        </w:rPr>
        <w:tab/>
      </w:r>
      <w:r>
        <w:rPr>
          <w:noProof/>
        </w:rPr>
        <w:fldChar w:fldCharType="begin"/>
      </w:r>
      <w:r>
        <w:rPr>
          <w:noProof/>
        </w:rPr>
        <w:instrText xml:space="preserve"> PAGEREF _Toc311366596 \h </w:instrText>
      </w:r>
      <w:r>
        <w:rPr>
          <w:noProof/>
        </w:rPr>
      </w:r>
      <w:r>
        <w:rPr>
          <w:noProof/>
        </w:rPr>
        <w:fldChar w:fldCharType="separate"/>
      </w:r>
      <w:r>
        <w:rPr>
          <w:noProof/>
        </w:rPr>
        <w:t>123</w:t>
      </w:r>
      <w:r>
        <w:rPr>
          <w:noProof/>
        </w:rPr>
        <w:fldChar w:fldCharType="end"/>
      </w:r>
    </w:p>
    <w:p w14:paraId="7EECB5E0"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Setting and data sources</w:t>
      </w:r>
      <w:r>
        <w:rPr>
          <w:noProof/>
        </w:rPr>
        <w:tab/>
      </w:r>
      <w:r>
        <w:rPr>
          <w:noProof/>
        </w:rPr>
        <w:fldChar w:fldCharType="begin"/>
      </w:r>
      <w:r>
        <w:rPr>
          <w:noProof/>
        </w:rPr>
        <w:instrText xml:space="preserve"> PAGEREF _Toc311366597 \h </w:instrText>
      </w:r>
      <w:r>
        <w:rPr>
          <w:noProof/>
        </w:rPr>
      </w:r>
      <w:r>
        <w:rPr>
          <w:noProof/>
        </w:rPr>
        <w:fldChar w:fldCharType="separate"/>
      </w:r>
      <w:r>
        <w:rPr>
          <w:noProof/>
        </w:rPr>
        <w:t>123</w:t>
      </w:r>
      <w:r>
        <w:rPr>
          <w:noProof/>
        </w:rPr>
        <w:fldChar w:fldCharType="end"/>
      </w:r>
    </w:p>
    <w:p w14:paraId="5A0A531A"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Study participants</w:t>
      </w:r>
      <w:r>
        <w:rPr>
          <w:noProof/>
        </w:rPr>
        <w:tab/>
      </w:r>
      <w:r>
        <w:rPr>
          <w:noProof/>
        </w:rPr>
        <w:fldChar w:fldCharType="begin"/>
      </w:r>
      <w:r>
        <w:rPr>
          <w:noProof/>
        </w:rPr>
        <w:instrText xml:space="preserve"> PAGEREF _Toc311366598 \h </w:instrText>
      </w:r>
      <w:r>
        <w:rPr>
          <w:noProof/>
        </w:rPr>
      </w:r>
      <w:r>
        <w:rPr>
          <w:noProof/>
        </w:rPr>
        <w:fldChar w:fldCharType="separate"/>
      </w:r>
      <w:r>
        <w:rPr>
          <w:noProof/>
        </w:rPr>
        <w:t>123</w:t>
      </w:r>
      <w:r>
        <w:rPr>
          <w:noProof/>
        </w:rPr>
        <w:fldChar w:fldCharType="end"/>
      </w:r>
    </w:p>
    <w:p w14:paraId="5922E8AE"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Primary care costs</w:t>
      </w:r>
      <w:r>
        <w:rPr>
          <w:noProof/>
        </w:rPr>
        <w:tab/>
      </w:r>
      <w:r>
        <w:rPr>
          <w:noProof/>
        </w:rPr>
        <w:fldChar w:fldCharType="begin"/>
      </w:r>
      <w:r>
        <w:rPr>
          <w:noProof/>
        </w:rPr>
        <w:instrText xml:space="preserve"> PAGEREF _Toc311366599 \h </w:instrText>
      </w:r>
      <w:r>
        <w:rPr>
          <w:noProof/>
        </w:rPr>
      </w:r>
      <w:r>
        <w:rPr>
          <w:noProof/>
        </w:rPr>
        <w:fldChar w:fldCharType="separate"/>
      </w:r>
      <w:r>
        <w:rPr>
          <w:noProof/>
        </w:rPr>
        <w:t>124</w:t>
      </w:r>
      <w:r>
        <w:rPr>
          <w:noProof/>
        </w:rPr>
        <w:fldChar w:fldCharType="end"/>
      </w:r>
    </w:p>
    <w:p w14:paraId="2B454C0E"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Hospital costs</w:t>
      </w:r>
      <w:r>
        <w:rPr>
          <w:noProof/>
        </w:rPr>
        <w:tab/>
      </w:r>
      <w:r>
        <w:rPr>
          <w:noProof/>
        </w:rPr>
        <w:fldChar w:fldCharType="begin"/>
      </w:r>
      <w:r>
        <w:rPr>
          <w:noProof/>
        </w:rPr>
        <w:instrText xml:space="preserve"> PAGEREF _Toc311366600 \h </w:instrText>
      </w:r>
      <w:r>
        <w:rPr>
          <w:noProof/>
        </w:rPr>
      </w:r>
      <w:r>
        <w:rPr>
          <w:noProof/>
        </w:rPr>
        <w:fldChar w:fldCharType="separate"/>
      </w:r>
      <w:r>
        <w:rPr>
          <w:noProof/>
        </w:rPr>
        <w:t>126</w:t>
      </w:r>
      <w:r>
        <w:rPr>
          <w:noProof/>
        </w:rPr>
        <w:fldChar w:fldCharType="end"/>
      </w:r>
    </w:p>
    <w:p w14:paraId="1C837DB2"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Statistical analysis</w:t>
      </w:r>
      <w:r>
        <w:rPr>
          <w:noProof/>
        </w:rPr>
        <w:tab/>
      </w:r>
      <w:r>
        <w:rPr>
          <w:noProof/>
        </w:rPr>
        <w:fldChar w:fldCharType="begin"/>
      </w:r>
      <w:r>
        <w:rPr>
          <w:noProof/>
        </w:rPr>
        <w:instrText xml:space="preserve"> PAGEREF _Toc311366601 \h </w:instrText>
      </w:r>
      <w:r>
        <w:rPr>
          <w:noProof/>
        </w:rPr>
      </w:r>
      <w:r>
        <w:rPr>
          <w:noProof/>
        </w:rPr>
        <w:fldChar w:fldCharType="separate"/>
      </w:r>
      <w:r>
        <w:rPr>
          <w:noProof/>
        </w:rPr>
        <w:t>126</w:t>
      </w:r>
      <w:r>
        <w:rPr>
          <w:noProof/>
        </w:rPr>
        <w:fldChar w:fldCharType="end"/>
      </w:r>
    </w:p>
    <w:p w14:paraId="7B79C983"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Results</w:t>
      </w:r>
      <w:r>
        <w:rPr>
          <w:noProof/>
        </w:rPr>
        <w:tab/>
      </w:r>
      <w:r>
        <w:rPr>
          <w:noProof/>
        </w:rPr>
        <w:fldChar w:fldCharType="begin"/>
      </w:r>
      <w:r>
        <w:rPr>
          <w:noProof/>
        </w:rPr>
        <w:instrText xml:space="preserve"> PAGEREF _Toc311366602 \h </w:instrText>
      </w:r>
      <w:r>
        <w:rPr>
          <w:noProof/>
        </w:rPr>
      </w:r>
      <w:r>
        <w:rPr>
          <w:noProof/>
        </w:rPr>
        <w:fldChar w:fldCharType="separate"/>
      </w:r>
      <w:r>
        <w:rPr>
          <w:noProof/>
        </w:rPr>
        <w:t>127</w:t>
      </w:r>
      <w:r>
        <w:rPr>
          <w:noProof/>
        </w:rPr>
        <w:fldChar w:fldCharType="end"/>
      </w:r>
    </w:p>
    <w:p w14:paraId="0A349B1B"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Patient sample</w:t>
      </w:r>
      <w:r>
        <w:rPr>
          <w:noProof/>
        </w:rPr>
        <w:tab/>
      </w:r>
      <w:r>
        <w:rPr>
          <w:noProof/>
        </w:rPr>
        <w:fldChar w:fldCharType="begin"/>
      </w:r>
      <w:r>
        <w:rPr>
          <w:noProof/>
        </w:rPr>
        <w:instrText xml:space="preserve"> PAGEREF _Toc311366603 \h </w:instrText>
      </w:r>
      <w:r>
        <w:rPr>
          <w:noProof/>
        </w:rPr>
      </w:r>
      <w:r>
        <w:rPr>
          <w:noProof/>
        </w:rPr>
        <w:fldChar w:fldCharType="separate"/>
      </w:r>
      <w:r>
        <w:rPr>
          <w:noProof/>
        </w:rPr>
        <w:t>127</w:t>
      </w:r>
      <w:r>
        <w:rPr>
          <w:noProof/>
        </w:rPr>
        <w:fldChar w:fldCharType="end"/>
      </w:r>
    </w:p>
    <w:p w14:paraId="1F2F1FAC"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Patient outcomes and hospitalisation costs (HES dataset)</w:t>
      </w:r>
      <w:r>
        <w:rPr>
          <w:noProof/>
        </w:rPr>
        <w:tab/>
      </w:r>
      <w:r>
        <w:rPr>
          <w:noProof/>
        </w:rPr>
        <w:fldChar w:fldCharType="begin"/>
      </w:r>
      <w:r>
        <w:rPr>
          <w:noProof/>
        </w:rPr>
        <w:instrText xml:space="preserve"> PAGEREF _Toc311366604 \h </w:instrText>
      </w:r>
      <w:r>
        <w:rPr>
          <w:noProof/>
        </w:rPr>
      </w:r>
      <w:r>
        <w:rPr>
          <w:noProof/>
        </w:rPr>
        <w:fldChar w:fldCharType="separate"/>
      </w:r>
      <w:r>
        <w:rPr>
          <w:noProof/>
        </w:rPr>
        <w:t>130</w:t>
      </w:r>
      <w:r>
        <w:rPr>
          <w:noProof/>
        </w:rPr>
        <w:fldChar w:fldCharType="end"/>
      </w:r>
    </w:p>
    <w:p w14:paraId="6DDEBA2F"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Patient outcomes and primary care costs (CPRD dataset)</w:t>
      </w:r>
      <w:r>
        <w:rPr>
          <w:noProof/>
        </w:rPr>
        <w:tab/>
      </w:r>
      <w:r>
        <w:rPr>
          <w:noProof/>
        </w:rPr>
        <w:fldChar w:fldCharType="begin"/>
      </w:r>
      <w:r>
        <w:rPr>
          <w:noProof/>
        </w:rPr>
        <w:instrText xml:space="preserve"> PAGEREF _Toc311366605 \h </w:instrText>
      </w:r>
      <w:r>
        <w:rPr>
          <w:noProof/>
        </w:rPr>
      </w:r>
      <w:r>
        <w:rPr>
          <w:noProof/>
        </w:rPr>
        <w:fldChar w:fldCharType="separate"/>
      </w:r>
      <w:r>
        <w:rPr>
          <w:noProof/>
        </w:rPr>
        <w:t>134</w:t>
      </w:r>
      <w:r>
        <w:rPr>
          <w:noProof/>
        </w:rPr>
        <w:fldChar w:fldCharType="end"/>
      </w:r>
    </w:p>
    <w:p w14:paraId="14999FD4"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Total hospital costs before and after index fracture</w:t>
      </w:r>
      <w:r>
        <w:rPr>
          <w:noProof/>
        </w:rPr>
        <w:tab/>
      </w:r>
      <w:r>
        <w:rPr>
          <w:noProof/>
        </w:rPr>
        <w:fldChar w:fldCharType="begin"/>
      </w:r>
      <w:r>
        <w:rPr>
          <w:noProof/>
        </w:rPr>
        <w:instrText xml:space="preserve"> PAGEREF _Toc311366606 \h </w:instrText>
      </w:r>
      <w:r>
        <w:rPr>
          <w:noProof/>
        </w:rPr>
      </w:r>
      <w:r>
        <w:rPr>
          <w:noProof/>
        </w:rPr>
        <w:fldChar w:fldCharType="separate"/>
      </w:r>
      <w:r>
        <w:rPr>
          <w:noProof/>
        </w:rPr>
        <w:t>137</w:t>
      </w:r>
      <w:r>
        <w:rPr>
          <w:noProof/>
        </w:rPr>
        <w:fldChar w:fldCharType="end"/>
      </w:r>
    </w:p>
    <w:p w14:paraId="64953A24"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Primary care and hospital care costs 1-year and 2-years post index fracture</w:t>
      </w:r>
      <w:r>
        <w:rPr>
          <w:noProof/>
        </w:rPr>
        <w:tab/>
      </w:r>
      <w:r>
        <w:rPr>
          <w:noProof/>
        </w:rPr>
        <w:fldChar w:fldCharType="begin"/>
      </w:r>
      <w:r>
        <w:rPr>
          <w:noProof/>
        </w:rPr>
        <w:instrText xml:space="preserve"> PAGEREF _Toc311366607 \h </w:instrText>
      </w:r>
      <w:r>
        <w:rPr>
          <w:noProof/>
        </w:rPr>
      </w:r>
      <w:r>
        <w:rPr>
          <w:noProof/>
        </w:rPr>
        <w:fldChar w:fldCharType="separate"/>
      </w:r>
      <w:r>
        <w:rPr>
          <w:noProof/>
        </w:rPr>
        <w:t>139</w:t>
      </w:r>
      <w:r>
        <w:rPr>
          <w:noProof/>
        </w:rPr>
        <w:fldChar w:fldCharType="end"/>
      </w:r>
    </w:p>
    <w:p w14:paraId="4BE464C6"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Predictors of primary care costs in first year following hip fracture</w:t>
      </w:r>
      <w:r>
        <w:rPr>
          <w:noProof/>
        </w:rPr>
        <w:tab/>
      </w:r>
      <w:r>
        <w:rPr>
          <w:noProof/>
        </w:rPr>
        <w:fldChar w:fldCharType="begin"/>
      </w:r>
      <w:r>
        <w:rPr>
          <w:noProof/>
        </w:rPr>
        <w:instrText xml:space="preserve"> PAGEREF _Toc311366608 \h </w:instrText>
      </w:r>
      <w:r>
        <w:rPr>
          <w:noProof/>
        </w:rPr>
      </w:r>
      <w:r>
        <w:rPr>
          <w:noProof/>
        </w:rPr>
        <w:fldChar w:fldCharType="separate"/>
      </w:r>
      <w:r>
        <w:rPr>
          <w:noProof/>
        </w:rPr>
        <w:t>141</w:t>
      </w:r>
      <w:r>
        <w:rPr>
          <w:noProof/>
        </w:rPr>
        <w:fldChar w:fldCharType="end"/>
      </w:r>
    </w:p>
    <w:p w14:paraId="13FAD6C6"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Predictors of hospitalisation costs in first year following hip fracture</w:t>
      </w:r>
      <w:r>
        <w:rPr>
          <w:noProof/>
        </w:rPr>
        <w:tab/>
      </w:r>
      <w:r>
        <w:rPr>
          <w:noProof/>
        </w:rPr>
        <w:fldChar w:fldCharType="begin"/>
      </w:r>
      <w:r>
        <w:rPr>
          <w:noProof/>
        </w:rPr>
        <w:instrText xml:space="preserve"> PAGEREF _Toc311366609 \h </w:instrText>
      </w:r>
      <w:r>
        <w:rPr>
          <w:noProof/>
        </w:rPr>
      </w:r>
      <w:r>
        <w:rPr>
          <w:noProof/>
        </w:rPr>
        <w:fldChar w:fldCharType="separate"/>
      </w:r>
      <w:r>
        <w:rPr>
          <w:noProof/>
        </w:rPr>
        <w:t>142</w:t>
      </w:r>
      <w:r>
        <w:rPr>
          <w:noProof/>
        </w:rPr>
        <w:fldChar w:fldCharType="end"/>
      </w:r>
    </w:p>
    <w:p w14:paraId="190E316A"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Conclusion</w:t>
      </w:r>
      <w:r>
        <w:rPr>
          <w:noProof/>
        </w:rPr>
        <w:tab/>
      </w:r>
      <w:r>
        <w:rPr>
          <w:noProof/>
        </w:rPr>
        <w:fldChar w:fldCharType="begin"/>
      </w:r>
      <w:r>
        <w:rPr>
          <w:noProof/>
        </w:rPr>
        <w:instrText xml:space="preserve"> PAGEREF _Toc311366610 \h </w:instrText>
      </w:r>
      <w:r>
        <w:rPr>
          <w:noProof/>
        </w:rPr>
      </w:r>
      <w:r>
        <w:rPr>
          <w:noProof/>
        </w:rPr>
        <w:fldChar w:fldCharType="separate"/>
      </w:r>
      <w:r>
        <w:rPr>
          <w:noProof/>
        </w:rPr>
        <w:t>146</w:t>
      </w:r>
      <w:r>
        <w:rPr>
          <w:noProof/>
        </w:rPr>
        <w:fldChar w:fldCharType="end"/>
      </w:r>
    </w:p>
    <w:p w14:paraId="508A6DEC"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Chapter 8 Cost-effectiveness analysis of models of care for secondary prevention of hip fracture</w:t>
      </w:r>
      <w:r>
        <w:rPr>
          <w:noProof/>
        </w:rPr>
        <w:tab/>
      </w:r>
      <w:r>
        <w:rPr>
          <w:noProof/>
        </w:rPr>
        <w:fldChar w:fldCharType="begin"/>
      </w:r>
      <w:r>
        <w:rPr>
          <w:noProof/>
        </w:rPr>
        <w:instrText xml:space="preserve"> PAGEREF _Toc311366611 \h </w:instrText>
      </w:r>
      <w:r>
        <w:rPr>
          <w:noProof/>
        </w:rPr>
      </w:r>
      <w:r>
        <w:rPr>
          <w:noProof/>
        </w:rPr>
        <w:fldChar w:fldCharType="separate"/>
      </w:r>
      <w:r>
        <w:rPr>
          <w:noProof/>
        </w:rPr>
        <w:t>149</w:t>
      </w:r>
      <w:r>
        <w:rPr>
          <w:noProof/>
        </w:rPr>
        <w:fldChar w:fldCharType="end"/>
      </w:r>
    </w:p>
    <w:p w14:paraId="69A7DC56"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Introduction</w:t>
      </w:r>
      <w:r>
        <w:rPr>
          <w:noProof/>
        </w:rPr>
        <w:tab/>
      </w:r>
      <w:r>
        <w:rPr>
          <w:noProof/>
        </w:rPr>
        <w:fldChar w:fldCharType="begin"/>
      </w:r>
      <w:r>
        <w:rPr>
          <w:noProof/>
        </w:rPr>
        <w:instrText xml:space="preserve"> PAGEREF _Toc311366612 \h </w:instrText>
      </w:r>
      <w:r>
        <w:rPr>
          <w:noProof/>
        </w:rPr>
      </w:r>
      <w:r>
        <w:rPr>
          <w:noProof/>
        </w:rPr>
        <w:fldChar w:fldCharType="separate"/>
      </w:r>
      <w:r>
        <w:rPr>
          <w:noProof/>
        </w:rPr>
        <w:t>149</w:t>
      </w:r>
      <w:r>
        <w:rPr>
          <w:noProof/>
        </w:rPr>
        <w:fldChar w:fldCharType="end"/>
      </w:r>
    </w:p>
    <w:p w14:paraId="67BCB4C5"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Aims</w:t>
      </w:r>
      <w:r>
        <w:rPr>
          <w:noProof/>
        </w:rPr>
        <w:tab/>
      </w:r>
      <w:r>
        <w:rPr>
          <w:noProof/>
        </w:rPr>
        <w:fldChar w:fldCharType="begin"/>
      </w:r>
      <w:r>
        <w:rPr>
          <w:noProof/>
        </w:rPr>
        <w:instrText xml:space="preserve"> PAGEREF _Toc311366613 \h </w:instrText>
      </w:r>
      <w:r>
        <w:rPr>
          <w:noProof/>
        </w:rPr>
      </w:r>
      <w:r>
        <w:rPr>
          <w:noProof/>
        </w:rPr>
        <w:fldChar w:fldCharType="separate"/>
      </w:r>
      <w:r>
        <w:rPr>
          <w:noProof/>
        </w:rPr>
        <w:t>149</w:t>
      </w:r>
      <w:r>
        <w:rPr>
          <w:noProof/>
        </w:rPr>
        <w:fldChar w:fldCharType="end"/>
      </w:r>
    </w:p>
    <w:p w14:paraId="4D6FC820"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lastRenderedPageBreak/>
        <w:t>Existing research</w:t>
      </w:r>
      <w:r>
        <w:rPr>
          <w:noProof/>
        </w:rPr>
        <w:tab/>
      </w:r>
      <w:r>
        <w:rPr>
          <w:noProof/>
        </w:rPr>
        <w:fldChar w:fldCharType="begin"/>
      </w:r>
      <w:r>
        <w:rPr>
          <w:noProof/>
        </w:rPr>
        <w:instrText xml:space="preserve"> PAGEREF _Toc311366614 \h </w:instrText>
      </w:r>
      <w:r>
        <w:rPr>
          <w:noProof/>
        </w:rPr>
      </w:r>
      <w:r>
        <w:rPr>
          <w:noProof/>
        </w:rPr>
        <w:fldChar w:fldCharType="separate"/>
      </w:r>
      <w:r>
        <w:rPr>
          <w:noProof/>
        </w:rPr>
        <w:t>150</w:t>
      </w:r>
      <w:r>
        <w:rPr>
          <w:noProof/>
        </w:rPr>
        <w:fldChar w:fldCharType="end"/>
      </w:r>
    </w:p>
    <w:p w14:paraId="545D564E"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Methods</w:t>
      </w:r>
      <w:r>
        <w:rPr>
          <w:noProof/>
        </w:rPr>
        <w:tab/>
      </w:r>
      <w:r>
        <w:rPr>
          <w:noProof/>
        </w:rPr>
        <w:fldChar w:fldCharType="begin"/>
      </w:r>
      <w:r>
        <w:rPr>
          <w:noProof/>
        </w:rPr>
        <w:instrText xml:space="preserve"> PAGEREF _Toc311366615 \h </w:instrText>
      </w:r>
      <w:r>
        <w:rPr>
          <w:noProof/>
        </w:rPr>
      </w:r>
      <w:r>
        <w:rPr>
          <w:noProof/>
        </w:rPr>
        <w:fldChar w:fldCharType="separate"/>
      </w:r>
      <w:r>
        <w:rPr>
          <w:noProof/>
        </w:rPr>
        <w:t>152</w:t>
      </w:r>
      <w:r>
        <w:rPr>
          <w:noProof/>
        </w:rPr>
        <w:fldChar w:fldCharType="end"/>
      </w:r>
    </w:p>
    <w:p w14:paraId="1BC4D0A5"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Interventions under study</w:t>
      </w:r>
      <w:r>
        <w:rPr>
          <w:noProof/>
        </w:rPr>
        <w:tab/>
      </w:r>
      <w:r>
        <w:rPr>
          <w:noProof/>
        </w:rPr>
        <w:fldChar w:fldCharType="begin"/>
      </w:r>
      <w:r>
        <w:rPr>
          <w:noProof/>
        </w:rPr>
        <w:instrText xml:space="preserve"> PAGEREF _Toc311366616 \h </w:instrText>
      </w:r>
      <w:r>
        <w:rPr>
          <w:noProof/>
        </w:rPr>
      </w:r>
      <w:r>
        <w:rPr>
          <w:noProof/>
        </w:rPr>
        <w:fldChar w:fldCharType="separate"/>
      </w:r>
      <w:r>
        <w:rPr>
          <w:noProof/>
        </w:rPr>
        <w:t>152</w:t>
      </w:r>
      <w:r>
        <w:rPr>
          <w:noProof/>
        </w:rPr>
        <w:fldChar w:fldCharType="end"/>
      </w:r>
    </w:p>
    <w:p w14:paraId="68850967"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Model structure</w:t>
      </w:r>
      <w:r>
        <w:rPr>
          <w:noProof/>
        </w:rPr>
        <w:tab/>
      </w:r>
      <w:r>
        <w:rPr>
          <w:noProof/>
        </w:rPr>
        <w:fldChar w:fldCharType="begin"/>
      </w:r>
      <w:r>
        <w:rPr>
          <w:noProof/>
        </w:rPr>
        <w:instrText xml:space="preserve"> PAGEREF _Toc311366617 \h </w:instrText>
      </w:r>
      <w:r>
        <w:rPr>
          <w:noProof/>
        </w:rPr>
      </w:r>
      <w:r>
        <w:rPr>
          <w:noProof/>
        </w:rPr>
        <w:fldChar w:fldCharType="separate"/>
      </w:r>
      <w:r>
        <w:rPr>
          <w:noProof/>
        </w:rPr>
        <w:t>152</w:t>
      </w:r>
      <w:r>
        <w:rPr>
          <w:noProof/>
        </w:rPr>
        <w:fldChar w:fldCharType="end"/>
      </w:r>
    </w:p>
    <w:p w14:paraId="52C6AEDA"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Data sources</w:t>
      </w:r>
      <w:r>
        <w:rPr>
          <w:noProof/>
        </w:rPr>
        <w:tab/>
      </w:r>
      <w:r>
        <w:rPr>
          <w:noProof/>
        </w:rPr>
        <w:fldChar w:fldCharType="begin"/>
      </w:r>
      <w:r>
        <w:rPr>
          <w:noProof/>
        </w:rPr>
        <w:instrText xml:space="preserve"> PAGEREF _Toc311366618 \h </w:instrText>
      </w:r>
      <w:r>
        <w:rPr>
          <w:noProof/>
        </w:rPr>
      </w:r>
      <w:r>
        <w:rPr>
          <w:noProof/>
        </w:rPr>
        <w:fldChar w:fldCharType="separate"/>
      </w:r>
      <w:r>
        <w:rPr>
          <w:noProof/>
        </w:rPr>
        <w:t>158</w:t>
      </w:r>
      <w:r>
        <w:rPr>
          <w:noProof/>
        </w:rPr>
        <w:fldChar w:fldCharType="end"/>
      </w:r>
    </w:p>
    <w:p w14:paraId="2B2EB365"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Model inputs</w:t>
      </w:r>
      <w:r>
        <w:rPr>
          <w:noProof/>
        </w:rPr>
        <w:tab/>
      </w:r>
      <w:r>
        <w:rPr>
          <w:noProof/>
        </w:rPr>
        <w:fldChar w:fldCharType="begin"/>
      </w:r>
      <w:r>
        <w:rPr>
          <w:noProof/>
        </w:rPr>
        <w:instrText xml:space="preserve"> PAGEREF _Toc311366619 \h </w:instrText>
      </w:r>
      <w:r>
        <w:rPr>
          <w:noProof/>
        </w:rPr>
      </w:r>
      <w:r>
        <w:rPr>
          <w:noProof/>
        </w:rPr>
        <w:fldChar w:fldCharType="separate"/>
      </w:r>
      <w:r>
        <w:rPr>
          <w:noProof/>
        </w:rPr>
        <w:t>159</w:t>
      </w:r>
      <w:r>
        <w:rPr>
          <w:noProof/>
        </w:rPr>
        <w:fldChar w:fldCharType="end"/>
      </w:r>
    </w:p>
    <w:p w14:paraId="39A4E722"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Analysis</w:t>
      </w:r>
      <w:r>
        <w:rPr>
          <w:noProof/>
        </w:rPr>
        <w:tab/>
      </w:r>
      <w:r>
        <w:rPr>
          <w:noProof/>
        </w:rPr>
        <w:fldChar w:fldCharType="begin"/>
      </w:r>
      <w:r>
        <w:rPr>
          <w:noProof/>
        </w:rPr>
        <w:instrText xml:space="preserve"> PAGEREF _Toc311366620 \h </w:instrText>
      </w:r>
      <w:r>
        <w:rPr>
          <w:noProof/>
        </w:rPr>
      </w:r>
      <w:r>
        <w:rPr>
          <w:noProof/>
        </w:rPr>
        <w:fldChar w:fldCharType="separate"/>
      </w:r>
      <w:r>
        <w:rPr>
          <w:noProof/>
        </w:rPr>
        <w:t>174</w:t>
      </w:r>
      <w:r>
        <w:rPr>
          <w:noProof/>
        </w:rPr>
        <w:fldChar w:fldCharType="end"/>
      </w:r>
    </w:p>
    <w:p w14:paraId="0643DB19"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Sensitivity and uncertainty analysis</w:t>
      </w:r>
      <w:r>
        <w:rPr>
          <w:noProof/>
        </w:rPr>
        <w:tab/>
      </w:r>
      <w:r>
        <w:rPr>
          <w:noProof/>
        </w:rPr>
        <w:fldChar w:fldCharType="begin"/>
      </w:r>
      <w:r>
        <w:rPr>
          <w:noProof/>
        </w:rPr>
        <w:instrText xml:space="preserve"> PAGEREF _Toc311366621 \h </w:instrText>
      </w:r>
      <w:r>
        <w:rPr>
          <w:noProof/>
        </w:rPr>
      </w:r>
      <w:r>
        <w:rPr>
          <w:noProof/>
        </w:rPr>
        <w:fldChar w:fldCharType="separate"/>
      </w:r>
      <w:r>
        <w:rPr>
          <w:noProof/>
        </w:rPr>
        <w:t>174</w:t>
      </w:r>
      <w:r>
        <w:rPr>
          <w:noProof/>
        </w:rPr>
        <w:fldChar w:fldCharType="end"/>
      </w:r>
    </w:p>
    <w:p w14:paraId="7438F617"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Results</w:t>
      </w:r>
      <w:r>
        <w:rPr>
          <w:noProof/>
        </w:rPr>
        <w:tab/>
      </w:r>
      <w:r>
        <w:rPr>
          <w:noProof/>
        </w:rPr>
        <w:fldChar w:fldCharType="begin"/>
      </w:r>
      <w:r>
        <w:rPr>
          <w:noProof/>
        </w:rPr>
        <w:instrText xml:space="preserve"> PAGEREF _Toc311366622 \h </w:instrText>
      </w:r>
      <w:r>
        <w:rPr>
          <w:noProof/>
        </w:rPr>
      </w:r>
      <w:r>
        <w:rPr>
          <w:noProof/>
        </w:rPr>
        <w:fldChar w:fldCharType="separate"/>
      </w:r>
      <w:r>
        <w:rPr>
          <w:noProof/>
        </w:rPr>
        <w:t>175</w:t>
      </w:r>
      <w:r>
        <w:rPr>
          <w:noProof/>
        </w:rPr>
        <w:fldChar w:fldCharType="end"/>
      </w:r>
    </w:p>
    <w:p w14:paraId="4845D068"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Representative patient</w:t>
      </w:r>
      <w:r>
        <w:rPr>
          <w:noProof/>
        </w:rPr>
        <w:tab/>
      </w:r>
      <w:r>
        <w:rPr>
          <w:noProof/>
        </w:rPr>
        <w:fldChar w:fldCharType="begin"/>
      </w:r>
      <w:r>
        <w:rPr>
          <w:noProof/>
        </w:rPr>
        <w:instrText xml:space="preserve"> PAGEREF _Toc311366623 \h </w:instrText>
      </w:r>
      <w:r>
        <w:rPr>
          <w:noProof/>
        </w:rPr>
      </w:r>
      <w:r>
        <w:rPr>
          <w:noProof/>
        </w:rPr>
        <w:fldChar w:fldCharType="separate"/>
      </w:r>
      <w:r>
        <w:rPr>
          <w:noProof/>
        </w:rPr>
        <w:t>175</w:t>
      </w:r>
      <w:r>
        <w:rPr>
          <w:noProof/>
        </w:rPr>
        <w:fldChar w:fldCharType="end"/>
      </w:r>
    </w:p>
    <w:p w14:paraId="39590FF5"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Sensitivity analysis</w:t>
      </w:r>
      <w:r>
        <w:rPr>
          <w:noProof/>
        </w:rPr>
        <w:tab/>
      </w:r>
      <w:r>
        <w:rPr>
          <w:noProof/>
        </w:rPr>
        <w:fldChar w:fldCharType="begin"/>
      </w:r>
      <w:r>
        <w:rPr>
          <w:noProof/>
        </w:rPr>
        <w:instrText xml:space="preserve"> PAGEREF _Toc311366624 \h </w:instrText>
      </w:r>
      <w:r>
        <w:rPr>
          <w:noProof/>
        </w:rPr>
      </w:r>
      <w:r>
        <w:rPr>
          <w:noProof/>
        </w:rPr>
        <w:fldChar w:fldCharType="separate"/>
      </w:r>
      <w:r>
        <w:rPr>
          <w:noProof/>
        </w:rPr>
        <w:t>181</w:t>
      </w:r>
      <w:r>
        <w:rPr>
          <w:noProof/>
        </w:rPr>
        <w:fldChar w:fldCharType="end"/>
      </w:r>
    </w:p>
    <w:p w14:paraId="28C5EC3E"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sidRPr="00DE310B">
        <w:rPr>
          <w:noProof/>
        </w:rPr>
        <w:t>Subgroup analysis</w:t>
      </w:r>
      <w:r>
        <w:rPr>
          <w:noProof/>
        </w:rPr>
        <w:tab/>
      </w:r>
      <w:r>
        <w:rPr>
          <w:noProof/>
        </w:rPr>
        <w:fldChar w:fldCharType="begin"/>
      </w:r>
      <w:r>
        <w:rPr>
          <w:noProof/>
        </w:rPr>
        <w:instrText xml:space="preserve"> PAGEREF _Toc311366625 \h </w:instrText>
      </w:r>
      <w:r>
        <w:rPr>
          <w:noProof/>
        </w:rPr>
      </w:r>
      <w:r>
        <w:rPr>
          <w:noProof/>
        </w:rPr>
        <w:fldChar w:fldCharType="separate"/>
      </w:r>
      <w:r>
        <w:rPr>
          <w:noProof/>
        </w:rPr>
        <w:t>184</w:t>
      </w:r>
      <w:r>
        <w:rPr>
          <w:noProof/>
        </w:rPr>
        <w:fldChar w:fldCharType="end"/>
      </w:r>
    </w:p>
    <w:p w14:paraId="4C04CFE1"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Conclusion</w:t>
      </w:r>
      <w:r>
        <w:rPr>
          <w:noProof/>
        </w:rPr>
        <w:tab/>
      </w:r>
      <w:r>
        <w:rPr>
          <w:noProof/>
        </w:rPr>
        <w:fldChar w:fldCharType="begin"/>
      </w:r>
      <w:r>
        <w:rPr>
          <w:noProof/>
        </w:rPr>
        <w:instrText xml:space="preserve"> PAGEREF _Toc311366626 \h </w:instrText>
      </w:r>
      <w:r>
        <w:rPr>
          <w:noProof/>
        </w:rPr>
      </w:r>
      <w:r>
        <w:rPr>
          <w:noProof/>
        </w:rPr>
        <w:fldChar w:fldCharType="separate"/>
      </w:r>
      <w:r>
        <w:rPr>
          <w:noProof/>
        </w:rPr>
        <w:t>185</w:t>
      </w:r>
      <w:r>
        <w:rPr>
          <w:noProof/>
        </w:rPr>
        <w:fldChar w:fldCharType="end"/>
      </w:r>
    </w:p>
    <w:p w14:paraId="6FA7BDE8"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Chapter 8: Dissemination to clinicians, NHS managers and patients</w:t>
      </w:r>
      <w:r>
        <w:rPr>
          <w:noProof/>
        </w:rPr>
        <w:tab/>
      </w:r>
      <w:r>
        <w:rPr>
          <w:noProof/>
        </w:rPr>
        <w:fldChar w:fldCharType="begin"/>
      </w:r>
      <w:r>
        <w:rPr>
          <w:noProof/>
        </w:rPr>
        <w:instrText xml:space="preserve"> PAGEREF _Toc311366627 \h </w:instrText>
      </w:r>
      <w:r>
        <w:rPr>
          <w:noProof/>
        </w:rPr>
      </w:r>
      <w:r>
        <w:rPr>
          <w:noProof/>
        </w:rPr>
        <w:fldChar w:fldCharType="separate"/>
      </w:r>
      <w:r>
        <w:rPr>
          <w:noProof/>
        </w:rPr>
        <w:t>189</w:t>
      </w:r>
      <w:r>
        <w:rPr>
          <w:noProof/>
        </w:rPr>
        <w:fldChar w:fldCharType="end"/>
      </w:r>
    </w:p>
    <w:p w14:paraId="112D5EF3"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Pr>
          <w:noProof/>
        </w:rPr>
        <w:t>Healthcare professional workshops: participants and methods</w:t>
      </w:r>
      <w:r>
        <w:rPr>
          <w:noProof/>
        </w:rPr>
        <w:tab/>
      </w:r>
      <w:r>
        <w:rPr>
          <w:noProof/>
        </w:rPr>
        <w:fldChar w:fldCharType="begin"/>
      </w:r>
      <w:r>
        <w:rPr>
          <w:noProof/>
        </w:rPr>
        <w:instrText xml:space="preserve"> PAGEREF _Toc311366628 \h </w:instrText>
      </w:r>
      <w:r>
        <w:rPr>
          <w:noProof/>
        </w:rPr>
      </w:r>
      <w:r>
        <w:rPr>
          <w:noProof/>
        </w:rPr>
        <w:fldChar w:fldCharType="separate"/>
      </w:r>
      <w:r>
        <w:rPr>
          <w:noProof/>
        </w:rPr>
        <w:t>189</w:t>
      </w:r>
      <w:r>
        <w:rPr>
          <w:noProof/>
        </w:rPr>
        <w:fldChar w:fldCharType="end"/>
      </w:r>
    </w:p>
    <w:p w14:paraId="14A058E3"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Pr>
          <w:noProof/>
        </w:rPr>
        <w:t>Conclusions following healthcare professional workshops</w:t>
      </w:r>
      <w:r>
        <w:rPr>
          <w:noProof/>
        </w:rPr>
        <w:tab/>
      </w:r>
      <w:r>
        <w:rPr>
          <w:noProof/>
        </w:rPr>
        <w:fldChar w:fldCharType="begin"/>
      </w:r>
      <w:r>
        <w:rPr>
          <w:noProof/>
        </w:rPr>
        <w:instrText xml:space="preserve"> PAGEREF _Toc311366629 \h </w:instrText>
      </w:r>
      <w:r>
        <w:rPr>
          <w:noProof/>
        </w:rPr>
      </w:r>
      <w:r>
        <w:rPr>
          <w:noProof/>
        </w:rPr>
        <w:fldChar w:fldCharType="separate"/>
      </w:r>
      <w:r>
        <w:rPr>
          <w:noProof/>
        </w:rPr>
        <w:t>190</w:t>
      </w:r>
      <w:r>
        <w:rPr>
          <w:noProof/>
        </w:rPr>
        <w:fldChar w:fldCharType="end"/>
      </w:r>
    </w:p>
    <w:p w14:paraId="667EB050"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Pr>
          <w:noProof/>
        </w:rPr>
        <w:t>Patient perspective of findings</w:t>
      </w:r>
      <w:r>
        <w:rPr>
          <w:noProof/>
        </w:rPr>
        <w:tab/>
      </w:r>
      <w:r>
        <w:rPr>
          <w:noProof/>
        </w:rPr>
        <w:fldChar w:fldCharType="begin"/>
      </w:r>
      <w:r>
        <w:rPr>
          <w:noProof/>
        </w:rPr>
        <w:instrText xml:space="preserve"> PAGEREF _Toc311366630 \h </w:instrText>
      </w:r>
      <w:r>
        <w:rPr>
          <w:noProof/>
        </w:rPr>
      </w:r>
      <w:r>
        <w:rPr>
          <w:noProof/>
        </w:rPr>
        <w:fldChar w:fldCharType="separate"/>
      </w:r>
      <w:r>
        <w:rPr>
          <w:noProof/>
        </w:rPr>
        <w:t>190</w:t>
      </w:r>
      <w:r>
        <w:rPr>
          <w:noProof/>
        </w:rPr>
        <w:fldChar w:fldCharType="end"/>
      </w:r>
    </w:p>
    <w:p w14:paraId="253EE194"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Osteoporosis assessment</w:t>
      </w:r>
      <w:r>
        <w:rPr>
          <w:noProof/>
        </w:rPr>
        <w:tab/>
      </w:r>
      <w:r>
        <w:rPr>
          <w:noProof/>
        </w:rPr>
        <w:fldChar w:fldCharType="begin"/>
      </w:r>
      <w:r>
        <w:rPr>
          <w:noProof/>
        </w:rPr>
        <w:instrText xml:space="preserve"> PAGEREF _Toc311366631 \h </w:instrText>
      </w:r>
      <w:r>
        <w:rPr>
          <w:noProof/>
        </w:rPr>
      </w:r>
      <w:r>
        <w:rPr>
          <w:noProof/>
        </w:rPr>
        <w:fldChar w:fldCharType="separate"/>
      </w:r>
      <w:r>
        <w:rPr>
          <w:noProof/>
        </w:rPr>
        <w:t>190</w:t>
      </w:r>
      <w:r>
        <w:rPr>
          <w:noProof/>
        </w:rPr>
        <w:fldChar w:fldCharType="end"/>
      </w:r>
    </w:p>
    <w:p w14:paraId="7860AF8C"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Treatment Initiation</w:t>
      </w:r>
      <w:r>
        <w:rPr>
          <w:noProof/>
        </w:rPr>
        <w:tab/>
      </w:r>
      <w:r>
        <w:rPr>
          <w:noProof/>
        </w:rPr>
        <w:fldChar w:fldCharType="begin"/>
      </w:r>
      <w:r>
        <w:rPr>
          <w:noProof/>
        </w:rPr>
        <w:instrText xml:space="preserve"> PAGEREF _Toc311366632 \h </w:instrText>
      </w:r>
      <w:r>
        <w:rPr>
          <w:noProof/>
        </w:rPr>
      </w:r>
      <w:r>
        <w:rPr>
          <w:noProof/>
        </w:rPr>
        <w:fldChar w:fldCharType="separate"/>
      </w:r>
      <w:r>
        <w:rPr>
          <w:noProof/>
        </w:rPr>
        <w:t>191</w:t>
      </w:r>
      <w:r>
        <w:rPr>
          <w:noProof/>
        </w:rPr>
        <w:fldChar w:fldCharType="end"/>
      </w:r>
    </w:p>
    <w:p w14:paraId="303B8453"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Adherence and monitoring</w:t>
      </w:r>
      <w:r>
        <w:rPr>
          <w:noProof/>
        </w:rPr>
        <w:tab/>
      </w:r>
      <w:r>
        <w:rPr>
          <w:noProof/>
        </w:rPr>
        <w:fldChar w:fldCharType="begin"/>
      </w:r>
      <w:r>
        <w:rPr>
          <w:noProof/>
        </w:rPr>
        <w:instrText xml:space="preserve"> PAGEREF _Toc311366633 \h </w:instrText>
      </w:r>
      <w:r>
        <w:rPr>
          <w:noProof/>
        </w:rPr>
      </w:r>
      <w:r>
        <w:rPr>
          <w:noProof/>
        </w:rPr>
        <w:fldChar w:fldCharType="separate"/>
      </w:r>
      <w:r>
        <w:rPr>
          <w:noProof/>
        </w:rPr>
        <w:t>191</w:t>
      </w:r>
      <w:r>
        <w:rPr>
          <w:noProof/>
        </w:rPr>
        <w:fldChar w:fldCharType="end"/>
      </w:r>
    </w:p>
    <w:p w14:paraId="76501E5E"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Multidisciplinary care</w:t>
      </w:r>
      <w:r>
        <w:rPr>
          <w:noProof/>
        </w:rPr>
        <w:tab/>
      </w:r>
      <w:r>
        <w:rPr>
          <w:noProof/>
        </w:rPr>
        <w:fldChar w:fldCharType="begin"/>
      </w:r>
      <w:r>
        <w:rPr>
          <w:noProof/>
        </w:rPr>
        <w:instrText xml:space="preserve"> PAGEREF _Toc311366634 \h </w:instrText>
      </w:r>
      <w:r>
        <w:rPr>
          <w:noProof/>
        </w:rPr>
      </w:r>
      <w:r>
        <w:rPr>
          <w:noProof/>
        </w:rPr>
        <w:fldChar w:fldCharType="separate"/>
      </w:r>
      <w:r>
        <w:rPr>
          <w:noProof/>
        </w:rPr>
        <w:t>192</w:t>
      </w:r>
      <w:r>
        <w:rPr>
          <w:noProof/>
        </w:rPr>
        <w:fldChar w:fldCharType="end"/>
      </w:r>
    </w:p>
    <w:p w14:paraId="7AAA0184"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Pr>
          <w:noProof/>
        </w:rPr>
        <w:t>Impact of research findings</w:t>
      </w:r>
      <w:r>
        <w:rPr>
          <w:noProof/>
        </w:rPr>
        <w:tab/>
      </w:r>
      <w:r>
        <w:rPr>
          <w:noProof/>
        </w:rPr>
        <w:fldChar w:fldCharType="begin"/>
      </w:r>
      <w:r>
        <w:rPr>
          <w:noProof/>
        </w:rPr>
        <w:instrText xml:space="preserve"> PAGEREF _Toc311366635 \h </w:instrText>
      </w:r>
      <w:r>
        <w:rPr>
          <w:noProof/>
        </w:rPr>
      </w:r>
      <w:r>
        <w:rPr>
          <w:noProof/>
        </w:rPr>
        <w:fldChar w:fldCharType="separate"/>
      </w:r>
      <w:r>
        <w:rPr>
          <w:noProof/>
        </w:rPr>
        <w:t>192</w:t>
      </w:r>
      <w:r>
        <w:rPr>
          <w:noProof/>
        </w:rPr>
        <w:fldChar w:fldCharType="end"/>
      </w:r>
    </w:p>
    <w:p w14:paraId="67093171"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NHS England/Public Health England</w:t>
      </w:r>
      <w:r>
        <w:rPr>
          <w:noProof/>
        </w:rPr>
        <w:tab/>
      </w:r>
      <w:r>
        <w:rPr>
          <w:noProof/>
        </w:rPr>
        <w:fldChar w:fldCharType="begin"/>
      </w:r>
      <w:r>
        <w:rPr>
          <w:noProof/>
        </w:rPr>
        <w:instrText xml:space="preserve"> PAGEREF _Toc311366636 \h </w:instrText>
      </w:r>
      <w:r>
        <w:rPr>
          <w:noProof/>
        </w:rPr>
      </w:r>
      <w:r>
        <w:rPr>
          <w:noProof/>
        </w:rPr>
        <w:fldChar w:fldCharType="separate"/>
      </w:r>
      <w:r>
        <w:rPr>
          <w:noProof/>
        </w:rPr>
        <w:t>192</w:t>
      </w:r>
      <w:r>
        <w:rPr>
          <w:noProof/>
        </w:rPr>
        <w:fldChar w:fldCharType="end"/>
      </w:r>
    </w:p>
    <w:p w14:paraId="66BAAC11"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Fracture liaison service workshop</w:t>
      </w:r>
      <w:r>
        <w:rPr>
          <w:noProof/>
        </w:rPr>
        <w:tab/>
      </w:r>
      <w:r>
        <w:rPr>
          <w:noProof/>
        </w:rPr>
        <w:fldChar w:fldCharType="begin"/>
      </w:r>
      <w:r>
        <w:rPr>
          <w:noProof/>
        </w:rPr>
        <w:instrText xml:space="preserve"> PAGEREF _Toc311366637 \h </w:instrText>
      </w:r>
      <w:r>
        <w:rPr>
          <w:noProof/>
        </w:rPr>
      </w:r>
      <w:r>
        <w:rPr>
          <w:noProof/>
        </w:rPr>
        <w:fldChar w:fldCharType="separate"/>
      </w:r>
      <w:r>
        <w:rPr>
          <w:noProof/>
        </w:rPr>
        <w:t>193</w:t>
      </w:r>
      <w:r>
        <w:rPr>
          <w:noProof/>
        </w:rPr>
        <w:fldChar w:fldCharType="end"/>
      </w:r>
    </w:p>
    <w:p w14:paraId="2267F739"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CPRD codes for fragility fracture</w:t>
      </w:r>
      <w:r>
        <w:rPr>
          <w:noProof/>
        </w:rPr>
        <w:tab/>
      </w:r>
      <w:r>
        <w:rPr>
          <w:noProof/>
        </w:rPr>
        <w:fldChar w:fldCharType="begin"/>
      </w:r>
      <w:r>
        <w:rPr>
          <w:noProof/>
        </w:rPr>
        <w:instrText xml:space="preserve"> PAGEREF _Toc311366638 \h </w:instrText>
      </w:r>
      <w:r>
        <w:rPr>
          <w:noProof/>
        </w:rPr>
      </w:r>
      <w:r>
        <w:rPr>
          <w:noProof/>
        </w:rPr>
        <w:fldChar w:fldCharType="separate"/>
      </w:r>
      <w:r>
        <w:rPr>
          <w:noProof/>
        </w:rPr>
        <w:t>193</w:t>
      </w:r>
      <w:r>
        <w:rPr>
          <w:noProof/>
        </w:rPr>
        <w:fldChar w:fldCharType="end"/>
      </w:r>
    </w:p>
    <w:p w14:paraId="09840088" w14:textId="77777777" w:rsidR="00AB59D4" w:rsidRDefault="00AB59D4">
      <w:pPr>
        <w:pStyle w:val="TOC3"/>
        <w:tabs>
          <w:tab w:val="right" w:leader="dot" w:pos="9016"/>
        </w:tabs>
        <w:rPr>
          <w:rFonts w:asciiTheme="minorHAnsi" w:eastAsiaTheme="minorEastAsia" w:hAnsiTheme="minorHAnsi" w:cstheme="minorBidi"/>
          <w:noProof/>
          <w:sz w:val="24"/>
          <w:szCs w:val="24"/>
          <w:lang w:eastAsia="ja-JP"/>
        </w:rPr>
      </w:pPr>
      <w:r>
        <w:rPr>
          <w:noProof/>
        </w:rPr>
        <w:t>Establishing levels of Fracture Prevention Services in hospitals in Spain</w:t>
      </w:r>
      <w:r>
        <w:rPr>
          <w:noProof/>
        </w:rPr>
        <w:tab/>
      </w:r>
      <w:r>
        <w:rPr>
          <w:noProof/>
        </w:rPr>
        <w:fldChar w:fldCharType="begin"/>
      </w:r>
      <w:r>
        <w:rPr>
          <w:noProof/>
        </w:rPr>
        <w:instrText xml:space="preserve"> PAGEREF _Toc311366639 \h </w:instrText>
      </w:r>
      <w:r>
        <w:rPr>
          <w:noProof/>
        </w:rPr>
      </w:r>
      <w:r>
        <w:rPr>
          <w:noProof/>
        </w:rPr>
        <w:fldChar w:fldCharType="separate"/>
      </w:r>
      <w:r>
        <w:rPr>
          <w:noProof/>
        </w:rPr>
        <w:t>194</w:t>
      </w:r>
      <w:r>
        <w:rPr>
          <w:noProof/>
        </w:rPr>
        <w:fldChar w:fldCharType="end"/>
      </w:r>
    </w:p>
    <w:p w14:paraId="28150513"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Chapter 9 Final conclusions</w:t>
      </w:r>
      <w:r>
        <w:rPr>
          <w:noProof/>
        </w:rPr>
        <w:tab/>
      </w:r>
      <w:r>
        <w:rPr>
          <w:noProof/>
        </w:rPr>
        <w:fldChar w:fldCharType="begin"/>
      </w:r>
      <w:r>
        <w:rPr>
          <w:noProof/>
        </w:rPr>
        <w:instrText xml:space="preserve"> PAGEREF _Toc311366640 \h </w:instrText>
      </w:r>
      <w:r>
        <w:rPr>
          <w:noProof/>
        </w:rPr>
      </w:r>
      <w:r>
        <w:rPr>
          <w:noProof/>
        </w:rPr>
        <w:fldChar w:fldCharType="separate"/>
      </w:r>
      <w:r>
        <w:rPr>
          <w:noProof/>
        </w:rPr>
        <w:t>194</w:t>
      </w:r>
      <w:r>
        <w:rPr>
          <w:noProof/>
        </w:rPr>
        <w:fldChar w:fldCharType="end"/>
      </w:r>
    </w:p>
    <w:p w14:paraId="49706F10"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Guidance</w:t>
      </w:r>
      <w:r>
        <w:rPr>
          <w:noProof/>
        </w:rPr>
        <w:tab/>
      </w:r>
      <w:r>
        <w:rPr>
          <w:noProof/>
        </w:rPr>
        <w:fldChar w:fldCharType="begin"/>
      </w:r>
      <w:r>
        <w:rPr>
          <w:noProof/>
        </w:rPr>
        <w:instrText xml:space="preserve"> PAGEREF _Toc311366641 \h </w:instrText>
      </w:r>
      <w:r>
        <w:rPr>
          <w:noProof/>
        </w:rPr>
      </w:r>
      <w:r>
        <w:rPr>
          <w:noProof/>
        </w:rPr>
        <w:fldChar w:fldCharType="separate"/>
      </w:r>
      <w:r>
        <w:rPr>
          <w:noProof/>
        </w:rPr>
        <w:t>194</w:t>
      </w:r>
      <w:r>
        <w:rPr>
          <w:noProof/>
        </w:rPr>
        <w:fldChar w:fldCharType="end"/>
      </w:r>
    </w:p>
    <w:p w14:paraId="79618563"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Evidence of clinical and cost-effectiveness</w:t>
      </w:r>
      <w:r>
        <w:rPr>
          <w:noProof/>
        </w:rPr>
        <w:tab/>
      </w:r>
      <w:r>
        <w:rPr>
          <w:noProof/>
        </w:rPr>
        <w:fldChar w:fldCharType="begin"/>
      </w:r>
      <w:r>
        <w:rPr>
          <w:noProof/>
        </w:rPr>
        <w:instrText xml:space="preserve"> PAGEREF _Toc311366642 \h </w:instrText>
      </w:r>
      <w:r>
        <w:rPr>
          <w:noProof/>
        </w:rPr>
      </w:r>
      <w:r>
        <w:rPr>
          <w:noProof/>
        </w:rPr>
        <w:fldChar w:fldCharType="separate"/>
      </w:r>
      <w:r>
        <w:rPr>
          <w:noProof/>
        </w:rPr>
        <w:t>195</w:t>
      </w:r>
      <w:r>
        <w:rPr>
          <w:noProof/>
        </w:rPr>
        <w:fldChar w:fldCharType="end"/>
      </w:r>
    </w:p>
    <w:p w14:paraId="2D47193B"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Main findings</w:t>
      </w:r>
      <w:r>
        <w:rPr>
          <w:noProof/>
        </w:rPr>
        <w:tab/>
      </w:r>
      <w:r>
        <w:rPr>
          <w:noProof/>
        </w:rPr>
        <w:fldChar w:fldCharType="begin"/>
      </w:r>
      <w:r>
        <w:rPr>
          <w:noProof/>
        </w:rPr>
        <w:instrText xml:space="preserve"> PAGEREF _Toc311366643 \h </w:instrText>
      </w:r>
      <w:r>
        <w:rPr>
          <w:noProof/>
        </w:rPr>
      </w:r>
      <w:r>
        <w:rPr>
          <w:noProof/>
        </w:rPr>
        <w:fldChar w:fldCharType="separate"/>
      </w:r>
      <w:r>
        <w:rPr>
          <w:noProof/>
        </w:rPr>
        <w:t>196</w:t>
      </w:r>
      <w:r>
        <w:rPr>
          <w:noProof/>
        </w:rPr>
        <w:fldChar w:fldCharType="end"/>
      </w:r>
    </w:p>
    <w:p w14:paraId="1B9FC66D"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Research in context</w:t>
      </w:r>
      <w:r>
        <w:rPr>
          <w:noProof/>
        </w:rPr>
        <w:tab/>
      </w:r>
      <w:r>
        <w:rPr>
          <w:noProof/>
        </w:rPr>
        <w:fldChar w:fldCharType="begin"/>
      </w:r>
      <w:r>
        <w:rPr>
          <w:noProof/>
        </w:rPr>
        <w:instrText xml:space="preserve"> PAGEREF _Toc311366644 \h </w:instrText>
      </w:r>
      <w:r>
        <w:rPr>
          <w:noProof/>
        </w:rPr>
      </w:r>
      <w:r>
        <w:rPr>
          <w:noProof/>
        </w:rPr>
        <w:fldChar w:fldCharType="separate"/>
      </w:r>
      <w:r>
        <w:rPr>
          <w:noProof/>
        </w:rPr>
        <w:t>202</w:t>
      </w:r>
      <w:r>
        <w:rPr>
          <w:noProof/>
        </w:rPr>
        <w:fldChar w:fldCharType="end"/>
      </w:r>
    </w:p>
    <w:p w14:paraId="5B8BFCD7"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Final conclusions</w:t>
      </w:r>
      <w:r>
        <w:rPr>
          <w:noProof/>
        </w:rPr>
        <w:tab/>
      </w:r>
      <w:r>
        <w:rPr>
          <w:noProof/>
        </w:rPr>
        <w:fldChar w:fldCharType="begin"/>
      </w:r>
      <w:r>
        <w:rPr>
          <w:noProof/>
        </w:rPr>
        <w:instrText xml:space="preserve"> PAGEREF _Toc311366645 \h </w:instrText>
      </w:r>
      <w:r>
        <w:rPr>
          <w:noProof/>
        </w:rPr>
      </w:r>
      <w:r>
        <w:rPr>
          <w:noProof/>
        </w:rPr>
        <w:fldChar w:fldCharType="separate"/>
      </w:r>
      <w:r>
        <w:rPr>
          <w:noProof/>
        </w:rPr>
        <w:t>209</w:t>
      </w:r>
      <w:r>
        <w:rPr>
          <w:noProof/>
        </w:rPr>
        <w:fldChar w:fldCharType="end"/>
      </w:r>
    </w:p>
    <w:p w14:paraId="246FBB9E"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Pr>
          <w:noProof/>
        </w:rPr>
        <w:t>Implications for practice</w:t>
      </w:r>
      <w:r>
        <w:rPr>
          <w:noProof/>
        </w:rPr>
        <w:tab/>
      </w:r>
      <w:r>
        <w:rPr>
          <w:noProof/>
        </w:rPr>
        <w:fldChar w:fldCharType="begin"/>
      </w:r>
      <w:r>
        <w:rPr>
          <w:noProof/>
        </w:rPr>
        <w:instrText xml:space="preserve"> PAGEREF _Toc311366646 \h </w:instrText>
      </w:r>
      <w:r>
        <w:rPr>
          <w:noProof/>
        </w:rPr>
      </w:r>
      <w:r>
        <w:rPr>
          <w:noProof/>
        </w:rPr>
        <w:fldChar w:fldCharType="separate"/>
      </w:r>
      <w:r>
        <w:rPr>
          <w:noProof/>
        </w:rPr>
        <w:t>210</w:t>
      </w:r>
      <w:r>
        <w:rPr>
          <w:noProof/>
        </w:rPr>
        <w:fldChar w:fldCharType="end"/>
      </w:r>
    </w:p>
    <w:p w14:paraId="6D7D6B5F"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Scope for future work</w:t>
      </w:r>
      <w:r>
        <w:rPr>
          <w:noProof/>
        </w:rPr>
        <w:tab/>
      </w:r>
      <w:r>
        <w:rPr>
          <w:noProof/>
        </w:rPr>
        <w:fldChar w:fldCharType="begin"/>
      </w:r>
      <w:r>
        <w:rPr>
          <w:noProof/>
        </w:rPr>
        <w:instrText xml:space="preserve"> PAGEREF _Toc311366647 \h </w:instrText>
      </w:r>
      <w:r>
        <w:rPr>
          <w:noProof/>
        </w:rPr>
      </w:r>
      <w:r>
        <w:rPr>
          <w:noProof/>
        </w:rPr>
        <w:fldChar w:fldCharType="separate"/>
      </w:r>
      <w:r>
        <w:rPr>
          <w:noProof/>
        </w:rPr>
        <w:t>212</w:t>
      </w:r>
      <w:r>
        <w:rPr>
          <w:noProof/>
        </w:rPr>
        <w:fldChar w:fldCharType="end"/>
      </w:r>
    </w:p>
    <w:p w14:paraId="7F8D0695"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lastRenderedPageBreak/>
        <w:t>References</w:t>
      </w:r>
      <w:r>
        <w:rPr>
          <w:noProof/>
        </w:rPr>
        <w:tab/>
      </w:r>
      <w:r>
        <w:rPr>
          <w:noProof/>
        </w:rPr>
        <w:fldChar w:fldCharType="begin"/>
      </w:r>
      <w:r>
        <w:rPr>
          <w:noProof/>
        </w:rPr>
        <w:instrText xml:space="preserve"> PAGEREF _Toc311366648 \h </w:instrText>
      </w:r>
      <w:r>
        <w:rPr>
          <w:noProof/>
        </w:rPr>
      </w:r>
      <w:r>
        <w:rPr>
          <w:noProof/>
        </w:rPr>
        <w:fldChar w:fldCharType="separate"/>
      </w:r>
      <w:r>
        <w:rPr>
          <w:noProof/>
        </w:rPr>
        <w:t>214</w:t>
      </w:r>
      <w:r>
        <w:rPr>
          <w:noProof/>
        </w:rPr>
        <w:fldChar w:fldCharType="end"/>
      </w:r>
    </w:p>
    <w:p w14:paraId="604271B2"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Appendices</w:t>
      </w:r>
      <w:r>
        <w:rPr>
          <w:noProof/>
        </w:rPr>
        <w:tab/>
      </w:r>
      <w:r>
        <w:rPr>
          <w:noProof/>
        </w:rPr>
        <w:fldChar w:fldCharType="begin"/>
      </w:r>
      <w:r>
        <w:rPr>
          <w:noProof/>
        </w:rPr>
        <w:instrText xml:space="preserve"> PAGEREF _Toc311366649 \h </w:instrText>
      </w:r>
      <w:r>
        <w:rPr>
          <w:noProof/>
        </w:rPr>
      </w:r>
      <w:r>
        <w:rPr>
          <w:noProof/>
        </w:rPr>
        <w:fldChar w:fldCharType="separate"/>
      </w:r>
      <w:r>
        <w:rPr>
          <w:noProof/>
        </w:rPr>
        <w:t>222</w:t>
      </w:r>
      <w:r>
        <w:rPr>
          <w:noProof/>
        </w:rPr>
        <w:fldChar w:fldCharType="end"/>
      </w:r>
    </w:p>
    <w:p w14:paraId="7010A555"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Appendix 1 Service evaluation questionnaire</w:t>
      </w:r>
      <w:r>
        <w:rPr>
          <w:noProof/>
        </w:rPr>
        <w:tab/>
      </w:r>
      <w:r>
        <w:rPr>
          <w:noProof/>
        </w:rPr>
        <w:fldChar w:fldCharType="begin"/>
      </w:r>
      <w:r>
        <w:rPr>
          <w:noProof/>
        </w:rPr>
        <w:instrText xml:space="preserve"> PAGEREF _Toc311366650 \h </w:instrText>
      </w:r>
      <w:r>
        <w:rPr>
          <w:noProof/>
        </w:rPr>
      </w:r>
      <w:r>
        <w:rPr>
          <w:noProof/>
        </w:rPr>
        <w:fldChar w:fldCharType="separate"/>
      </w:r>
      <w:r>
        <w:rPr>
          <w:noProof/>
        </w:rPr>
        <w:t>222</w:t>
      </w:r>
      <w:r>
        <w:rPr>
          <w:noProof/>
        </w:rPr>
        <w:fldChar w:fldCharType="end"/>
      </w:r>
    </w:p>
    <w:p w14:paraId="49A3AEC1"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Appendix 2: Interview guide for qualitative interviews</w:t>
      </w:r>
      <w:r>
        <w:rPr>
          <w:noProof/>
        </w:rPr>
        <w:tab/>
      </w:r>
      <w:r>
        <w:rPr>
          <w:noProof/>
        </w:rPr>
        <w:fldChar w:fldCharType="begin"/>
      </w:r>
      <w:r>
        <w:rPr>
          <w:noProof/>
        </w:rPr>
        <w:instrText xml:space="preserve"> PAGEREF _Toc311366651 \h </w:instrText>
      </w:r>
      <w:r>
        <w:rPr>
          <w:noProof/>
        </w:rPr>
      </w:r>
      <w:r>
        <w:rPr>
          <w:noProof/>
        </w:rPr>
        <w:fldChar w:fldCharType="separate"/>
      </w:r>
      <w:r>
        <w:rPr>
          <w:noProof/>
        </w:rPr>
        <w:t>230</w:t>
      </w:r>
      <w:r>
        <w:rPr>
          <w:noProof/>
        </w:rPr>
        <w:fldChar w:fldCharType="end"/>
      </w:r>
    </w:p>
    <w:p w14:paraId="27740C23"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Appendix 3: Medical codes for identifying hip fractures in the CPRD</w:t>
      </w:r>
      <w:r>
        <w:rPr>
          <w:noProof/>
        </w:rPr>
        <w:tab/>
      </w:r>
      <w:r>
        <w:rPr>
          <w:noProof/>
        </w:rPr>
        <w:fldChar w:fldCharType="begin"/>
      </w:r>
      <w:r>
        <w:rPr>
          <w:noProof/>
        </w:rPr>
        <w:instrText xml:space="preserve"> PAGEREF _Toc311366652 \h </w:instrText>
      </w:r>
      <w:r>
        <w:rPr>
          <w:noProof/>
        </w:rPr>
      </w:r>
      <w:r>
        <w:rPr>
          <w:noProof/>
        </w:rPr>
        <w:fldChar w:fldCharType="separate"/>
      </w:r>
      <w:r>
        <w:rPr>
          <w:noProof/>
        </w:rPr>
        <w:t>232</w:t>
      </w:r>
      <w:r>
        <w:rPr>
          <w:noProof/>
        </w:rPr>
        <w:fldChar w:fldCharType="end"/>
      </w:r>
    </w:p>
    <w:p w14:paraId="2A027561"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Appendix 4 Description of changes to orthogeriatric and FLS models of care as previously identified and described in Chapter 2.</w:t>
      </w:r>
      <w:r>
        <w:rPr>
          <w:noProof/>
        </w:rPr>
        <w:tab/>
      </w:r>
      <w:r>
        <w:rPr>
          <w:noProof/>
        </w:rPr>
        <w:fldChar w:fldCharType="begin"/>
      </w:r>
      <w:r>
        <w:rPr>
          <w:noProof/>
        </w:rPr>
        <w:instrText xml:space="preserve"> PAGEREF _Toc311366653 \h </w:instrText>
      </w:r>
      <w:r>
        <w:rPr>
          <w:noProof/>
        </w:rPr>
      </w:r>
      <w:r>
        <w:rPr>
          <w:noProof/>
        </w:rPr>
        <w:fldChar w:fldCharType="separate"/>
      </w:r>
      <w:r>
        <w:rPr>
          <w:noProof/>
        </w:rPr>
        <w:t>235</w:t>
      </w:r>
      <w:r>
        <w:rPr>
          <w:noProof/>
        </w:rPr>
        <w:fldChar w:fldCharType="end"/>
      </w:r>
    </w:p>
    <w:p w14:paraId="3B5DDBD6"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Appendix 5: Baseline characteristics of cases (primary hip fracture patients)</w:t>
      </w:r>
      <w:r>
        <w:rPr>
          <w:noProof/>
        </w:rPr>
        <w:tab/>
      </w:r>
      <w:r>
        <w:rPr>
          <w:noProof/>
        </w:rPr>
        <w:fldChar w:fldCharType="begin"/>
      </w:r>
      <w:r>
        <w:rPr>
          <w:noProof/>
        </w:rPr>
        <w:instrText xml:space="preserve"> PAGEREF _Toc311366654 \h </w:instrText>
      </w:r>
      <w:r>
        <w:rPr>
          <w:noProof/>
        </w:rPr>
      </w:r>
      <w:r>
        <w:rPr>
          <w:noProof/>
        </w:rPr>
        <w:fldChar w:fldCharType="separate"/>
      </w:r>
      <w:r>
        <w:rPr>
          <w:noProof/>
        </w:rPr>
        <w:t>237</w:t>
      </w:r>
      <w:r>
        <w:rPr>
          <w:noProof/>
        </w:rPr>
        <w:fldChar w:fldCharType="end"/>
      </w:r>
    </w:p>
    <w:p w14:paraId="1AC7732A"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Appendix 7 Estimated impact of interventions using segmented linear regression (PARSIMONIOUS) models on all primary hip fracture patients</w:t>
      </w:r>
      <w:r>
        <w:rPr>
          <w:noProof/>
        </w:rPr>
        <w:tab/>
      </w:r>
      <w:r>
        <w:rPr>
          <w:noProof/>
        </w:rPr>
        <w:fldChar w:fldCharType="begin"/>
      </w:r>
      <w:r>
        <w:rPr>
          <w:noProof/>
        </w:rPr>
        <w:instrText xml:space="preserve"> PAGEREF _Toc311366655 \h </w:instrText>
      </w:r>
      <w:r>
        <w:rPr>
          <w:noProof/>
        </w:rPr>
      </w:r>
      <w:r>
        <w:rPr>
          <w:noProof/>
        </w:rPr>
        <w:fldChar w:fldCharType="separate"/>
      </w:r>
      <w:r>
        <w:rPr>
          <w:noProof/>
        </w:rPr>
        <w:t>239</w:t>
      </w:r>
      <w:r>
        <w:rPr>
          <w:noProof/>
        </w:rPr>
        <w:fldChar w:fldCharType="end"/>
      </w:r>
    </w:p>
    <w:p w14:paraId="7099E49A"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Appendix 8 Estimated impact of interventions using segmented linear regression (FULL) models on all primary hip fracture patients</w:t>
      </w:r>
      <w:r>
        <w:rPr>
          <w:noProof/>
        </w:rPr>
        <w:tab/>
      </w:r>
      <w:r>
        <w:rPr>
          <w:noProof/>
        </w:rPr>
        <w:fldChar w:fldCharType="begin"/>
      </w:r>
      <w:r>
        <w:rPr>
          <w:noProof/>
        </w:rPr>
        <w:instrText xml:space="preserve"> PAGEREF _Toc311366656 \h </w:instrText>
      </w:r>
      <w:r>
        <w:rPr>
          <w:noProof/>
        </w:rPr>
      </w:r>
      <w:r>
        <w:rPr>
          <w:noProof/>
        </w:rPr>
        <w:fldChar w:fldCharType="separate"/>
      </w:r>
      <w:r>
        <w:rPr>
          <w:noProof/>
        </w:rPr>
        <w:t>245</w:t>
      </w:r>
      <w:r>
        <w:rPr>
          <w:noProof/>
        </w:rPr>
        <w:fldChar w:fldCharType="end"/>
      </w:r>
    </w:p>
    <w:p w14:paraId="5AE3D9AF"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Pr>
          <w:noProof/>
        </w:rPr>
        <w:t xml:space="preserve">Appendix </w:t>
      </w:r>
      <w:r w:rsidRPr="00DE310B">
        <w:rPr>
          <w:noProof/>
        </w:rPr>
        <w:t>9</w:t>
      </w:r>
      <w:r>
        <w:rPr>
          <w:noProof/>
        </w:rPr>
        <w:t xml:space="preserve"> Estimated impact of interventions using segmented linear regression (PARSIMONIOUS) models on all primary hip fracture patients, stratified by gender</w:t>
      </w:r>
      <w:r>
        <w:rPr>
          <w:noProof/>
        </w:rPr>
        <w:tab/>
      </w:r>
      <w:r>
        <w:rPr>
          <w:noProof/>
        </w:rPr>
        <w:fldChar w:fldCharType="begin"/>
      </w:r>
      <w:r>
        <w:rPr>
          <w:noProof/>
        </w:rPr>
        <w:instrText xml:space="preserve"> PAGEREF _Toc311366657 \h </w:instrText>
      </w:r>
      <w:r>
        <w:rPr>
          <w:noProof/>
        </w:rPr>
      </w:r>
      <w:r>
        <w:rPr>
          <w:noProof/>
        </w:rPr>
        <w:fldChar w:fldCharType="separate"/>
      </w:r>
      <w:r>
        <w:rPr>
          <w:noProof/>
        </w:rPr>
        <w:t>251</w:t>
      </w:r>
      <w:r>
        <w:rPr>
          <w:noProof/>
        </w:rPr>
        <w:fldChar w:fldCharType="end"/>
      </w:r>
    </w:p>
    <w:p w14:paraId="72230495"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Appendix 10 Estimated impact of interventions using segmented linear regression (FULL) models on all primary hip fracture patients, stratified by gender</w:t>
      </w:r>
      <w:r>
        <w:rPr>
          <w:noProof/>
        </w:rPr>
        <w:tab/>
      </w:r>
      <w:r>
        <w:rPr>
          <w:noProof/>
        </w:rPr>
        <w:fldChar w:fldCharType="begin"/>
      </w:r>
      <w:r>
        <w:rPr>
          <w:noProof/>
        </w:rPr>
        <w:instrText xml:space="preserve"> PAGEREF _Toc311366658 \h </w:instrText>
      </w:r>
      <w:r>
        <w:rPr>
          <w:noProof/>
        </w:rPr>
      </w:r>
      <w:r>
        <w:rPr>
          <w:noProof/>
        </w:rPr>
        <w:fldChar w:fldCharType="separate"/>
      </w:r>
      <w:r>
        <w:rPr>
          <w:noProof/>
        </w:rPr>
        <w:t>254</w:t>
      </w:r>
      <w:r>
        <w:rPr>
          <w:noProof/>
        </w:rPr>
        <w:fldChar w:fldCharType="end"/>
      </w:r>
    </w:p>
    <w:p w14:paraId="4473CB8E"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Acknowledgement</w:t>
      </w:r>
      <w:r>
        <w:rPr>
          <w:noProof/>
        </w:rPr>
        <w:tab/>
      </w:r>
      <w:r>
        <w:rPr>
          <w:noProof/>
        </w:rPr>
        <w:fldChar w:fldCharType="begin"/>
      </w:r>
      <w:r>
        <w:rPr>
          <w:noProof/>
        </w:rPr>
        <w:instrText xml:space="preserve"> PAGEREF _Toc311366659 \h </w:instrText>
      </w:r>
      <w:r>
        <w:rPr>
          <w:noProof/>
        </w:rPr>
      </w:r>
      <w:r>
        <w:rPr>
          <w:noProof/>
        </w:rPr>
        <w:fldChar w:fldCharType="separate"/>
      </w:r>
      <w:r>
        <w:rPr>
          <w:noProof/>
        </w:rPr>
        <w:t>256</w:t>
      </w:r>
      <w:r>
        <w:rPr>
          <w:noProof/>
        </w:rPr>
        <w:fldChar w:fldCharType="end"/>
      </w:r>
    </w:p>
    <w:p w14:paraId="2954D124" w14:textId="77777777" w:rsidR="00AB59D4" w:rsidRDefault="00AB59D4">
      <w:pPr>
        <w:pStyle w:val="TOC2"/>
        <w:tabs>
          <w:tab w:val="right" w:leader="dot" w:pos="9016"/>
        </w:tabs>
        <w:rPr>
          <w:rFonts w:asciiTheme="minorHAnsi" w:eastAsiaTheme="minorEastAsia" w:hAnsiTheme="minorHAnsi" w:cstheme="minorBidi"/>
          <w:noProof/>
          <w:sz w:val="24"/>
          <w:szCs w:val="24"/>
          <w:lang w:eastAsia="ja-JP"/>
        </w:rPr>
      </w:pPr>
      <w:r w:rsidRPr="00DE310B">
        <w:rPr>
          <w:noProof/>
        </w:rPr>
        <w:t>Contributions of authors</w:t>
      </w:r>
      <w:r>
        <w:rPr>
          <w:noProof/>
        </w:rPr>
        <w:tab/>
      </w:r>
      <w:r>
        <w:rPr>
          <w:noProof/>
        </w:rPr>
        <w:fldChar w:fldCharType="begin"/>
      </w:r>
      <w:r>
        <w:rPr>
          <w:noProof/>
        </w:rPr>
        <w:instrText xml:space="preserve"> PAGEREF _Toc311366660 \h </w:instrText>
      </w:r>
      <w:r>
        <w:rPr>
          <w:noProof/>
        </w:rPr>
      </w:r>
      <w:r>
        <w:rPr>
          <w:noProof/>
        </w:rPr>
        <w:fldChar w:fldCharType="separate"/>
      </w:r>
      <w:r>
        <w:rPr>
          <w:noProof/>
        </w:rPr>
        <w:t>256</w:t>
      </w:r>
      <w:r>
        <w:rPr>
          <w:noProof/>
        </w:rPr>
        <w:fldChar w:fldCharType="end"/>
      </w:r>
    </w:p>
    <w:p w14:paraId="35E821A7" w14:textId="77777777" w:rsidR="00AB59D4" w:rsidRDefault="00AB59D4">
      <w:pPr>
        <w:pStyle w:val="TOC1"/>
        <w:tabs>
          <w:tab w:val="right" w:leader="dot" w:pos="9016"/>
        </w:tabs>
        <w:rPr>
          <w:rFonts w:asciiTheme="minorHAnsi" w:eastAsiaTheme="minorEastAsia" w:hAnsiTheme="minorHAnsi" w:cstheme="minorBidi"/>
          <w:noProof/>
          <w:sz w:val="24"/>
          <w:szCs w:val="24"/>
          <w:lang w:eastAsia="ja-JP"/>
        </w:rPr>
      </w:pPr>
      <w:r w:rsidRPr="00DE310B">
        <w:rPr>
          <w:noProof/>
        </w:rPr>
        <w:t>Data sharing statement</w:t>
      </w:r>
      <w:r>
        <w:rPr>
          <w:noProof/>
        </w:rPr>
        <w:tab/>
      </w:r>
      <w:r>
        <w:rPr>
          <w:noProof/>
        </w:rPr>
        <w:fldChar w:fldCharType="begin"/>
      </w:r>
      <w:r>
        <w:rPr>
          <w:noProof/>
        </w:rPr>
        <w:instrText xml:space="preserve"> PAGEREF _Toc311366661 \h </w:instrText>
      </w:r>
      <w:r>
        <w:rPr>
          <w:noProof/>
        </w:rPr>
      </w:r>
      <w:r>
        <w:rPr>
          <w:noProof/>
        </w:rPr>
        <w:fldChar w:fldCharType="separate"/>
      </w:r>
      <w:r>
        <w:rPr>
          <w:noProof/>
        </w:rPr>
        <w:t>256</w:t>
      </w:r>
      <w:r>
        <w:rPr>
          <w:noProof/>
        </w:rPr>
        <w:fldChar w:fldCharType="end"/>
      </w:r>
    </w:p>
    <w:p w14:paraId="3D5AAA8D" w14:textId="77777777" w:rsidR="005B37D1" w:rsidRPr="00591BFC" w:rsidRDefault="002C25B4" w:rsidP="00E86771">
      <w:pPr>
        <w:spacing w:line="360" w:lineRule="auto"/>
        <w:rPr>
          <w:b/>
          <w:bCs/>
          <w:noProof/>
        </w:rPr>
      </w:pPr>
      <w:r w:rsidRPr="00591BFC">
        <w:rPr>
          <w:b/>
          <w:bCs/>
          <w:noProof/>
        </w:rPr>
        <w:fldChar w:fldCharType="end"/>
      </w:r>
    </w:p>
    <w:p w14:paraId="5A4DC7C6" w14:textId="77777777" w:rsidR="00CF2E21" w:rsidRPr="00591BFC" w:rsidRDefault="005B37D1" w:rsidP="00E86771">
      <w:pPr>
        <w:pStyle w:val="Heading1"/>
        <w:spacing w:line="360" w:lineRule="auto"/>
        <w:rPr>
          <w:rFonts w:ascii="Calibri" w:hAnsi="Calibri"/>
          <w:noProof/>
          <w:lang w:val="en-GB"/>
        </w:rPr>
      </w:pPr>
      <w:bookmarkStart w:id="7" w:name="_Toc308300684"/>
      <w:bookmarkStart w:id="8" w:name="_Toc311366491"/>
      <w:r w:rsidRPr="00591BFC">
        <w:rPr>
          <w:rFonts w:ascii="Calibri" w:hAnsi="Calibri"/>
          <w:noProof/>
          <w:lang w:val="en-GB"/>
        </w:rPr>
        <w:t>List of tables</w:t>
      </w:r>
      <w:bookmarkEnd w:id="7"/>
      <w:bookmarkEnd w:id="8"/>
    </w:p>
    <w:p w14:paraId="729669A2" w14:textId="77777777" w:rsidR="00AB59D4" w:rsidRDefault="00FB06A7">
      <w:pPr>
        <w:pStyle w:val="TableofFigures"/>
        <w:tabs>
          <w:tab w:val="right" w:leader="dot" w:pos="9016"/>
        </w:tabs>
        <w:rPr>
          <w:rFonts w:asciiTheme="minorHAnsi" w:eastAsiaTheme="minorEastAsia" w:hAnsiTheme="minorHAnsi" w:cstheme="minorBidi"/>
          <w:noProof/>
          <w:sz w:val="24"/>
          <w:szCs w:val="24"/>
          <w:lang w:eastAsia="ja-JP"/>
        </w:rPr>
      </w:pPr>
      <w:r w:rsidRPr="00EF43F7">
        <w:rPr>
          <w:noProof/>
        </w:rPr>
        <w:fldChar w:fldCharType="begin"/>
      </w:r>
      <w:r w:rsidRPr="00591BFC">
        <w:rPr>
          <w:noProof/>
        </w:rPr>
        <w:instrText xml:space="preserve"> TOC \h \z \c "Table" </w:instrText>
      </w:r>
      <w:r w:rsidRPr="00EF43F7">
        <w:rPr>
          <w:noProof/>
        </w:rPr>
        <w:fldChar w:fldCharType="separate"/>
      </w:r>
      <w:r w:rsidR="00AB59D4">
        <w:rPr>
          <w:noProof/>
        </w:rPr>
        <w:t xml:space="preserve">Table 1 Specialist fracture prevention staffing levels at the 11 hospitals as of April 2013 expressed as whole time equivalents (WTEs) spent working in a fracture prevention role. Ratios of staffing levels per 1000 patients calculated using the annual numbers of hip fractures from 2013 NHFD report </w:t>
      </w:r>
      <w:r w:rsidR="00AB59D4" w:rsidRPr="00DF7B57">
        <w:rPr>
          <w:noProof/>
          <w:vertAlign w:val="superscript"/>
        </w:rPr>
        <w:t>17</w:t>
      </w:r>
      <w:r w:rsidR="00AB59D4">
        <w:rPr>
          <w:noProof/>
        </w:rPr>
        <w:t>.</w:t>
      </w:r>
      <w:r w:rsidR="00AB59D4">
        <w:rPr>
          <w:noProof/>
        </w:rPr>
        <w:tab/>
      </w:r>
      <w:r w:rsidR="00AB59D4">
        <w:rPr>
          <w:noProof/>
        </w:rPr>
        <w:fldChar w:fldCharType="begin"/>
      </w:r>
      <w:r w:rsidR="00AB59D4">
        <w:rPr>
          <w:noProof/>
        </w:rPr>
        <w:instrText xml:space="preserve"> PAGEREF _Toc311366662 \h </w:instrText>
      </w:r>
      <w:r w:rsidR="00AB59D4">
        <w:rPr>
          <w:noProof/>
        </w:rPr>
      </w:r>
      <w:r w:rsidR="00AB59D4">
        <w:rPr>
          <w:noProof/>
        </w:rPr>
        <w:fldChar w:fldCharType="separate"/>
      </w:r>
      <w:r w:rsidR="00AB59D4">
        <w:rPr>
          <w:noProof/>
        </w:rPr>
        <w:t>38</w:t>
      </w:r>
      <w:r w:rsidR="00AB59D4">
        <w:rPr>
          <w:noProof/>
        </w:rPr>
        <w:fldChar w:fldCharType="end"/>
      </w:r>
    </w:p>
    <w:p w14:paraId="0F5F6E01"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2: Brief description of case finding procedures at hospitals using different methods. OG=Orthogeriatrician, FLN = fracture liaison nurse.</w:t>
      </w:r>
      <w:r>
        <w:rPr>
          <w:noProof/>
        </w:rPr>
        <w:tab/>
      </w:r>
      <w:r>
        <w:rPr>
          <w:noProof/>
        </w:rPr>
        <w:fldChar w:fldCharType="begin"/>
      </w:r>
      <w:r>
        <w:rPr>
          <w:noProof/>
        </w:rPr>
        <w:instrText xml:space="preserve"> PAGEREF _Toc311366663 \h </w:instrText>
      </w:r>
      <w:r>
        <w:rPr>
          <w:noProof/>
        </w:rPr>
      </w:r>
      <w:r>
        <w:rPr>
          <w:noProof/>
        </w:rPr>
        <w:fldChar w:fldCharType="separate"/>
      </w:r>
      <w:r>
        <w:rPr>
          <w:noProof/>
        </w:rPr>
        <w:t>40</w:t>
      </w:r>
      <w:r>
        <w:rPr>
          <w:noProof/>
        </w:rPr>
        <w:fldChar w:fldCharType="end"/>
      </w:r>
    </w:p>
    <w:p w14:paraId="5B0BE378"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3: Description of osteoporosis assessments at 4 of the hospitals studied showing variations in timing, location and nature of the assessment.</w:t>
      </w:r>
      <w:r>
        <w:rPr>
          <w:noProof/>
        </w:rPr>
        <w:tab/>
      </w:r>
      <w:r>
        <w:rPr>
          <w:noProof/>
        </w:rPr>
        <w:fldChar w:fldCharType="begin"/>
      </w:r>
      <w:r>
        <w:rPr>
          <w:noProof/>
        </w:rPr>
        <w:instrText xml:space="preserve"> PAGEREF _Toc311366664 \h </w:instrText>
      </w:r>
      <w:r>
        <w:rPr>
          <w:noProof/>
        </w:rPr>
      </w:r>
      <w:r>
        <w:rPr>
          <w:noProof/>
        </w:rPr>
        <w:fldChar w:fldCharType="separate"/>
      </w:r>
      <w:r>
        <w:rPr>
          <w:noProof/>
        </w:rPr>
        <w:t>41</w:t>
      </w:r>
      <w:r>
        <w:rPr>
          <w:noProof/>
        </w:rPr>
        <w:fldChar w:fldCharType="end"/>
      </w:r>
    </w:p>
    <w:p w14:paraId="72225AE4"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4: Description of falls assessments provided at four of the hospitals studied</w:t>
      </w:r>
      <w:r>
        <w:rPr>
          <w:noProof/>
        </w:rPr>
        <w:tab/>
      </w:r>
      <w:r>
        <w:rPr>
          <w:noProof/>
        </w:rPr>
        <w:fldChar w:fldCharType="begin"/>
      </w:r>
      <w:r>
        <w:rPr>
          <w:noProof/>
        </w:rPr>
        <w:instrText xml:space="preserve"> PAGEREF _Toc311366665 \h </w:instrText>
      </w:r>
      <w:r>
        <w:rPr>
          <w:noProof/>
        </w:rPr>
      </w:r>
      <w:r>
        <w:rPr>
          <w:noProof/>
        </w:rPr>
        <w:fldChar w:fldCharType="separate"/>
      </w:r>
      <w:r>
        <w:rPr>
          <w:noProof/>
        </w:rPr>
        <w:t>42</w:t>
      </w:r>
      <w:r>
        <w:rPr>
          <w:noProof/>
        </w:rPr>
        <w:fldChar w:fldCharType="end"/>
      </w:r>
    </w:p>
    <w:p w14:paraId="2B05D70A"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5: Key changes to service delivery at each hospital between 2003 and 2013 identified from the service evaluation.</w:t>
      </w:r>
      <w:r>
        <w:rPr>
          <w:noProof/>
        </w:rPr>
        <w:tab/>
      </w:r>
      <w:r>
        <w:rPr>
          <w:noProof/>
        </w:rPr>
        <w:fldChar w:fldCharType="begin"/>
      </w:r>
      <w:r>
        <w:rPr>
          <w:noProof/>
        </w:rPr>
        <w:instrText xml:space="preserve"> PAGEREF _Toc311366666 \h </w:instrText>
      </w:r>
      <w:r>
        <w:rPr>
          <w:noProof/>
        </w:rPr>
      </w:r>
      <w:r>
        <w:rPr>
          <w:noProof/>
        </w:rPr>
        <w:fldChar w:fldCharType="separate"/>
      </w:r>
      <w:r>
        <w:rPr>
          <w:noProof/>
        </w:rPr>
        <w:t>43</w:t>
      </w:r>
      <w:r>
        <w:rPr>
          <w:noProof/>
        </w:rPr>
        <w:fldChar w:fldCharType="end"/>
      </w:r>
    </w:p>
    <w:p w14:paraId="1A175800"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 xml:space="preserve">Table 6 Proportion of consultant orthogeriatricians (OGs) (non-consultant grade orthogeriatricians who still made a significant change to the service are indicated with a *) and specialist fracture nurses (under the ‘umbrella’ term FLN, but including osteoporosis nurse specialists performing the </w:t>
      </w:r>
      <w:r>
        <w:rPr>
          <w:noProof/>
        </w:rPr>
        <w:lastRenderedPageBreak/>
        <w:t>role of a Fracture Liaison Nurse) WTEs (whole time equivalents) per 1000 hip fracture patients between 2003 and 2012 at each hospital in a region of England.</w:t>
      </w:r>
      <w:r>
        <w:rPr>
          <w:noProof/>
        </w:rPr>
        <w:tab/>
      </w:r>
      <w:r>
        <w:rPr>
          <w:noProof/>
        </w:rPr>
        <w:fldChar w:fldCharType="begin"/>
      </w:r>
      <w:r>
        <w:rPr>
          <w:noProof/>
        </w:rPr>
        <w:instrText xml:space="preserve"> PAGEREF _Toc311366667 \h </w:instrText>
      </w:r>
      <w:r>
        <w:rPr>
          <w:noProof/>
        </w:rPr>
      </w:r>
      <w:r>
        <w:rPr>
          <w:noProof/>
        </w:rPr>
        <w:fldChar w:fldCharType="separate"/>
      </w:r>
      <w:r>
        <w:rPr>
          <w:noProof/>
        </w:rPr>
        <w:t>45</w:t>
      </w:r>
      <w:r>
        <w:rPr>
          <w:noProof/>
        </w:rPr>
        <w:fldChar w:fldCharType="end"/>
      </w:r>
    </w:p>
    <w:p w14:paraId="0C97C8C7"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7 The four constructs of extended Normalisation Process Theory</w:t>
      </w:r>
      <w:r>
        <w:rPr>
          <w:noProof/>
        </w:rPr>
        <w:tab/>
      </w:r>
      <w:r>
        <w:rPr>
          <w:noProof/>
        </w:rPr>
        <w:fldChar w:fldCharType="begin"/>
      </w:r>
      <w:r>
        <w:rPr>
          <w:noProof/>
        </w:rPr>
        <w:instrText xml:space="preserve"> PAGEREF _Toc311366668 \h </w:instrText>
      </w:r>
      <w:r>
        <w:rPr>
          <w:noProof/>
        </w:rPr>
      </w:r>
      <w:r>
        <w:rPr>
          <w:noProof/>
        </w:rPr>
        <w:fldChar w:fldCharType="separate"/>
      </w:r>
      <w:r>
        <w:rPr>
          <w:noProof/>
        </w:rPr>
        <w:t>49</w:t>
      </w:r>
      <w:r>
        <w:rPr>
          <w:noProof/>
        </w:rPr>
        <w:fldChar w:fldCharType="end"/>
      </w:r>
    </w:p>
    <w:p w14:paraId="35FE266D"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8 Participant characteristics (aggregated to ensure anonymity)</w:t>
      </w:r>
      <w:r>
        <w:rPr>
          <w:noProof/>
        </w:rPr>
        <w:tab/>
      </w:r>
      <w:r>
        <w:rPr>
          <w:noProof/>
        </w:rPr>
        <w:fldChar w:fldCharType="begin"/>
      </w:r>
      <w:r>
        <w:rPr>
          <w:noProof/>
        </w:rPr>
        <w:instrText xml:space="preserve"> PAGEREF _Toc311366669 \h </w:instrText>
      </w:r>
      <w:r>
        <w:rPr>
          <w:noProof/>
        </w:rPr>
      </w:r>
      <w:r>
        <w:rPr>
          <w:noProof/>
        </w:rPr>
        <w:fldChar w:fldCharType="separate"/>
      </w:r>
      <w:r>
        <w:rPr>
          <w:noProof/>
        </w:rPr>
        <w:t>54</w:t>
      </w:r>
      <w:r>
        <w:rPr>
          <w:noProof/>
        </w:rPr>
        <w:fldChar w:fldCharType="end"/>
      </w:r>
    </w:p>
    <w:p w14:paraId="7214FCE9"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9 Themes identified and their relation to the four main constructs of extended Normalisation Process Theory</w:t>
      </w:r>
      <w:r>
        <w:rPr>
          <w:noProof/>
        </w:rPr>
        <w:tab/>
      </w:r>
      <w:r>
        <w:rPr>
          <w:noProof/>
        </w:rPr>
        <w:fldChar w:fldCharType="begin"/>
      </w:r>
      <w:r>
        <w:rPr>
          <w:noProof/>
        </w:rPr>
        <w:instrText xml:space="preserve"> PAGEREF _Toc311366670 \h </w:instrText>
      </w:r>
      <w:r>
        <w:rPr>
          <w:noProof/>
        </w:rPr>
      </w:r>
      <w:r>
        <w:rPr>
          <w:noProof/>
        </w:rPr>
        <w:fldChar w:fldCharType="separate"/>
      </w:r>
      <w:r>
        <w:rPr>
          <w:noProof/>
        </w:rPr>
        <w:t>56</w:t>
      </w:r>
      <w:r>
        <w:rPr>
          <w:noProof/>
        </w:rPr>
        <w:fldChar w:fldCharType="end"/>
      </w:r>
    </w:p>
    <w:p w14:paraId="2A376444"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10 Participant characteristics for those who had experience of making business cases for a FLS (aggregated to ensure anonymity)</w:t>
      </w:r>
      <w:r>
        <w:rPr>
          <w:noProof/>
        </w:rPr>
        <w:tab/>
      </w:r>
      <w:r>
        <w:rPr>
          <w:noProof/>
        </w:rPr>
        <w:fldChar w:fldCharType="begin"/>
      </w:r>
      <w:r>
        <w:rPr>
          <w:noProof/>
        </w:rPr>
        <w:instrText xml:space="preserve"> PAGEREF _Toc311366671 \h </w:instrText>
      </w:r>
      <w:r>
        <w:rPr>
          <w:noProof/>
        </w:rPr>
      </w:r>
      <w:r>
        <w:rPr>
          <w:noProof/>
        </w:rPr>
        <w:fldChar w:fldCharType="separate"/>
      </w:r>
      <w:r>
        <w:rPr>
          <w:noProof/>
        </w:rPr>
        <w:t>65</w:t>
      </w:r>
      <w:r>
        <w:rPr>
          <w:noProof/>
        </w:rPr>
        <w:fldChar w:fldCharType="end"/>
      </w:r>
    </w:p>
    <w:p w14:paraId="2A0E54A7"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11 Regional summary of primary hip fracture admissions, clinical outcomes and time points of change to post-hip fracture care model during the study period (financial years 2003/4 to 2012/13)</w:t>
      </w:r>
      <w:r>
        <w:rPr>
          <w:noProof/>
        </w:rPr>
        <w:tab/>
      </w:r>
      <w:r>
        <w:rPr>
          <w:noProof/>
        </w:rPr>
        <w:fldChar w:fldCharType="begin"/>
      </w:r>
      <w:r>
        <w:rPr>
          <w:noProof/>
        </w:rPr>
        <w:instrText xml:space="preserve"> PAGEREF _Toc311366672 \h </w:instrText>
      </w:r>
      <w:r>
        <w:rPr>
          <w:noProof/>
        </w:rPr>
      </w:r>
      <w:r>
        <w:rPr>
          <w:noProof/>
        </w:rPr>
        <w:fldChar w:fldCharType="separate"/>
      </w:r>
      <w:r>
        <w:rPr>
          <w:noProof/>
        </w:rPr>
        <w:t>83</w:t>
      </w:r>
      <w:r>
        <w:rPr>
          <w:noProof/>
        </w:rPr>
        <w:fldChar w:fldCharType="end"/>
      </w:r>
    </w:p>
    <w:p w14:paraId="02D25D3E"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12 Results of segmented linear regression models for second hip fracture outcome for each hospital</w:t>
      </w:r>
      <w:r>
        <w:rPr>
          <w:noProof/>
        </w:rPr>
        <w:tab/>
      </w:r>
      <w:r>
        <w:rPr>
          <w:noProof/>
        </w:rPr>
        <w:fldChar w:fldCharType="begin"/>
      </w:r>
      <w:r>
        <w:rPr>
          <w:noProof/>
        </w:rPr>
        <w:instrText xml:space="preserve"> PAGEREF _Toc311366673 \h </w:instrText>
      </w:r>
      <w:r>
        <w:rPr>
          <w:noProof/>
        </w:rPr>
      </w:r>
      <w:r>
        <w:rPr>
          <w:noProof/>
        </w:rPr>
        <w:fldChar w:fldCharType="separate"/>
      </w:r>
      <w:r>
        <w:rPr>
          <w:noProof/>
        </w:rPr>
        <w:t>93</w:t>
      </w:r>
      <w:r>
        <w:rPr>
          <w:noProof/>
        </w:rPr>
        <w:fldChar w:fldCharType="end"/>
      </w:r>
    </w:p>
    <w:p w14:paraId="5B4FCD71"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13 Results of segmented linear regression models for 30-day mortality for each hospital</w:t>
      </w:r>
      <w:r>
        <w:rPr>
          <w:noProof/>
        </w:rPr>
        <w:tab/>
      </w:r>
      <w:r>
        <w:rPr>
          <w:noProof/>
        </w:rPr>
        <w:fldChar w:fldCharType="begin"/>
      </w:r>
      <w:r>
        <w:rPr>
          <w:noProof/>
        </w:rPr>
        <w:instrText xml:space="preserve"> PAGEREF _Toc311366674 \h </w:instrText>
      </w:r>
      <w:r>
        <w:rPr>
          <w:noProof/>
        </w:rPr>
      </w:r>
      <w:r>
        <w:rPr>
          <w:noProof/>
        </w:rPr>
        <w:fldChar w:fldCharType="separate"/>
      </w:r>
      <w:r>
        <w:rPr>
          <w:noProof/>
        </w:rPr>
        <w:t>95</w:t>
      </w:r>
      <w:r>
        <w:rPr>
          <w:noProof/>
        </w:rPr>
        <w:fldChar w:fldCharType="end"/>
      </w:r>
    </w:p>
    <w:p w14:paraId="1F89518E"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14 Results of segmented linear regression models for 1-year mortality for each hospital</w:t>
      </w:r>
      <w:r>
        <w:rPr>
          <w:noProof/>
        </w:rPr>
        <w:tab/>
      </w:r>
      <w:r>
        <w:rPr>
          <w:noProof/>
        </w:rPr>
        <w:fldChar w:fldCharType="begin"/>
      </w:r>
      <w:r>
        <w:rPr>
          <w:noProof/>
        </w:rPr>
        <w:instrText xml:space="preserve"> PAGEREF _Toc311366675 \h </w:instrText>
      </w:r>
      <w:r>
        <w:rPr>
          <w:noProof/>
        </w:rPr>
      </w:r>
      <w:r>
        <w:rPr>
          <w:noProof/>
        </w:rPr>
        <w:fldChar w:fldCharType="separate"/>
      </w:r>
      <w:r>
        <w:rPr>
          <w:noProof/>
        </w:rPr>
        <w:t>95</w:t>
      </w:r>
      <w:r>
        <w:rPr>
          <w:noProof/>
        </w:rPr>
        <w:fldChar w:fldCharType="end"/>
      </w:r>
    </w:p>
    <w:p w14:paraId="720A7579"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15 Outcomes of interest among cases (primary hip fracture cases)</w:t>
      </w:r>
      <w:r>
        <w:rPr>
          <w:noProof/>
        </w:rPr>
        <w:tab/>
      </w:r>
      <w:r>
        <w:rPr>
          <w:noProof/>
        </w:rPr>
        <w:fldChar w:fldCharType="begin"/>
      </w:r>
      <w:r>
        <w:rPr>
          <w:noProof/>
        </w:rPr>
        <w:instrText xml:space="preserve"> PAGEREF _Toc311366676 \h </w:instrText>
      </w:r>
      <w:r>
        <w:rPr>
          <w:noProof/>
        </w:rPr>
      </w:r>
      <w:r>
        <w:rPr>
          <w:noProof/>
        </w:rPr>
        <w:fldChar w:fldCharType="separate"/>
      </w:r>
      <w:r>
        <w:rPr>
          <w:noProof/>
        </w:rPr>
        <w:t>108</w:t>
      </w:r>
      <w:r>
        <w:rPr>
          <w:noProof/>
        </w:rPr>
        <w:fldChar w:fldCharType="end"/>
      </w:r>
    </w:p>
    <w:p w14:paraId="16498856"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16 Summary of estimated impact of interventions</w:t>
      </w:r>
      <w:r>
        <w:rPr>
          <w:noProof/>
        </w:rPr>
        <w:tab/>
      </w:r>
      <w:r>
        <w:rPr>
          <w:noProof/>
        </w:rPr>
        <w:fldChar w:fldCharType="begin"/>
      </w:r>
      <w:r>
        <w:rPr>
          <w:noProof/>
        </w:rPr>
        <w:instrText xml:space="preserve"> PAGEREF _Toc311366677 \h </w:instrText>
      </w:r>
      <w:r>
        <w:rPr>
          <w:noProof/>
        </w:rPr>
      </w:r>
      <w:r>
        <w:rPr>
          <w:noProof/>
        </w:rPr>
        <w:fldChar w:fldCharType="separate"/>
      </w:r>
      <w:r>
        <w:rPr>
          <w:noProof/>
        </w:rPr>
        <w:t>116</w:t>
      </w:r>
      <w:r>
        <w:rPr>
          <w:noProof/>
        </w:rPr>
        <w:fldChar w:fldCharType="end"/>
      </w:r>
    </w:p>
    <w:p w14:paraId="1E001BF1"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17 Primary care unit costs</w:t>
      </w:r>
      <w:r>
        <w:rPr>
          <w:noProof/>
        </w:rPr>
        <w:tab/>
      </w:r>
      <w:r>
        <w:rPr>
          <w:noProof/>
        </w:rPr>
        <w:fldChar w:fldCharType="begin"/>
      </w:r>
      <w:r>
        <w:rPr>
          <w:noProof/>
        </w:rPr>
        <w:instrText xml:space="preserve"> PAGEREF _Toc311366678 \h </w:instrText>
      </w:r>
      <w:r>
        <w:rPr>
          <w:noProof/>
        </w:rPr>
      </w:r>
      <w:r>
        <w:rPr>
          <w:noProof/>
        </w:rPr>
        <w:fldChar w:fldCharType="separate"/>
      </w:r>
      <w:r>
        <w:rPr>
          <w:noProof/>
        </w:rPr>
        <w:t>125</w:t>
      </w:r>
      <w:r>
        <w:rPr>
          <w:noProof/>
        </w:rPr>
        <w:fldChar w:fldCharType="end"/>
      </w:r>
    </w:p>
    <w:p w14:paraId="053CB815"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18 Baseline characteristics of patient sample informing hospital care costs</w:t>
      </w:r>
      <w:r>
        <w:rPr>
          <w:noProof/>
        </w:rPr>
        <w:tab/>
      </w:r>
      <w:r>
        <w:rPr>
          <w:noProof/>
        </w:rPr>
        <w:fldChar w:fldCharType="begin"/>
      </w:r>
      <w:r>
        <w:rPr>
          <w:noProof/>
        </w:rPr>
        <w:instrText xml:space="preserve"> PAGEREF _Toc311366679 \h </w:instrText>
      </w:r>
      <w:r>
        <w:rPr>
          <w:noProof/>
        </w:rPr>
      </w:r>
      <w:r>
        <w:rPr>
          <w:noProof/>
        </w:rPr>
        <w:fldChar w:fldCharType="separate"/>
      </w:r>
      <w:r>
        <w:rPr>
          <w:noProof/>
        </w:rPr>
        <w:t>128</w:t>
      </w:r>
      <w:r>
        <w:rPr>
          <w:noProof/>
        </w:rPr>
        <w:fldChar w:fldCharType="end"/>
      </w:r>
    </w:p>
    <w:p w14:paraId="056EB4B5"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19 Baseline characteristics of patient sample informing primary care costs</w:t>
      </w:r>
      <w:r>
        <w:rPr>
          <w:noProof/>
        </w:rPr>
        <w:tab/>
      </w:r>
      <w:r>
        <w:rPr>
          <w:noProof/>
        </w:rPr>
        <w:fldChar w:fldCharType="begin"/>
      </w:r>
      <w:r>
        <w:rPr>
          <w:noProof/>
        </w:rPr>
        <w:instrText xml:space="preserve"> PAGEREF _Toc311366680 \h </w:instrText>
      </w:r>
      <w:r>
        <w:rPr>
          <w:noProof/>
        </w:rPr>
      </w:r>
      <w:r>
        <w:rPr>
          <w:noProof/>
        </w:rPr>
        <w:fldChar w:fldCharType="separate"/>
      </w:r>
      <w:r>
        <w:rPr>
          <w:noProof/>
        </w:rPr>
        <w:t>129</w:t>
      </w:r>
      <w:r>
        <w:rPr>
          <w:noProof/>
        </w:rPr>
        <w:fldChar w:fldCharType="end"/>
      </w:r>
    </w:p>
    <w:p w14:paraId="03172447"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20 Patient outcomes and hospitalisation costs after index hip fracture</w:t>
      </w:r>
      <w:r>
        <w:rPr>
          <w:noProof/>
        </w:rPr>
        <w:tab/>
      </w:r>
      <w:r>
        <w:rPr>
          <w:noProof/>
        </w:rPr>
        <w:fldChar w:fldCharType="begin"/>
      </w:r>
      <w:r>
        <w:rPr>
          <w:noProof/>
        </w:rPr>
        <w:instrText xml:space="preserve"> PAGEREF _Toc311366681 \h </w:instrText>
      </w:r>
      <w:r>
        <w:rPr>
          <w:noProof/>
        </w:rPr>
      </w:r>
      <w:r>
        <w:rPr>
          <w:noProof/>
        </w:rPr>
        <w:fldChar w:fldCharType="separate"/>
      </w:r>
      <w:r>
        <w:rPr>
          <w:noProof/>
        </w:rPr>
        <w:t>131</w:t>
      </w:r>
      <w:r>
        <w:rPr>
          <w:noProof/>
        </w:rPr>
        <w:fldChar w:fldCharType="end"/>
      </w:r>
    </w:p>
    <w:p w14:paraId="29D764D4"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21 Patient outcomes and primary care costs after index hip fracture</w:t>
      </w:r>
      <w:r>
        <w:rPr>
          <w:noProof/>
        </w:rPr>
        <w:tab/>
      </w:r>
      <w:r>
        <w:rPr>
          <w:noProof/>
        </w:rPr>
        <w:fldChar w:fldCharType="begin"/>
      </w:r>
      <w:r>
        <w:rPr>
          <w:noProof/>
        </w:rPr>
        <w:instrText xml:space="preserve"> PAGEREF _Toc311366682 \h </w:instrText>
      </w:r>
      <w:r>
        <w:rPr>
          <w:noProof/>
        </w:rPr>
      </w:r>
      <w:r>
        <w:rPr>
          <w:noProof/>
        </w:rPr>
        <w:fldChar w:fldCharType="separate"/>
      </w:r>
      <w:r>
        <w:rPr>
          <w:noProof/>
        </w:rPr>
        <w:t>135</w:t>
      </w:r>
      <w:r>
        <w:rPr>
          <w:noProof/>
        </w:rPr>
        <w:fldChar w:fldCharType="end"/>
      </w:r>
    </w:p>
    <w:p w14:paraId="4743D2DD"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22 Resource use and costs in the year prior and after hip fracture (April 2008-May 2013)</w:t>
      </w:r>
      <w:r>
        <w:rPr>
          <w:noProof/>
        </w:rPr>
        <w:tab/>
      </w:r>
      <w:r>
        <w:rPr>
          <w:noProof/>
        </w:rPr>
        <w:fldChar w:fldCharType="begin"/>
      </w:r>
      <w:r>
        <w:rPr>
          <w:noProof/>
        </w:rPr>
        <w:instrText xml:space="preserve"> PAGEREF _Toc311366683 \h </w:instrText>
      </w:r>
      <w:r>
        <w:rPr>
          <w:noProof/>
        </w:rPr>
      </w:r>
      <w:r>
        <w:rPr>
          <w:noProof/>
        </w:rPr>
        <w:fldChar w:fldCharType="separate"/>
      </w:r>
      <w:r>
        <w:rPr>
          <w:noProof/>
        </w:rPr>
        <w:t>138</w:t>
      </w:r>
      <w:r>
        <w:rPr>
          <w:noProof/>
        </w:rPr>
        <w:fldChar w:fldCharType="end"/>
      </w:r>
    </w:p>
    <w:p w14:paraId="0FFD3B75"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23 Primary care and hospital care costs 1- and 2-years after hip fracture by gender and age group (complete cases including those who died in given year).</w:t>
      </w:r>
      <w:r>
        <w:rPr>
          <w:noProof/>
        </w:rPr>
        <w:tab/>
      </w:r>
      <w:r>
        <w:rPr>
          <w:noProof/>
        </w:rPr>
        <w:fldChar w:fldCharType="begin"/>
      </w:r>
      <w:r>
        <w:rPr>
          <w:noProof/>
        </w:rPr>
        <w:instrText xml:space="preserve"> PAGEREF _Toc311366684 \h </w:instrText>
      </w:r>
      <w:r>
        <w:rPr>
          <w:noProof/>
        </w:rPr>
      </w:r>
      <w:r>
        <w:rPr>
          <w:noProof/>
        </w:rPr>
        <w:fldChar w:fldCharType="separate"/>
      </w:r>
      <w:r>
        <w:rPr>
          <w:noProof/>
        </w:rPr>
        <w:t>139</w:t>
      </w:r>
      <w:r>
        <w:rPr>
          <w:noProof/>
        </w:rPr>
        <w:fldChar w:fldCharType="end"/>
      </w:r>
    </w:p>
    <w:p w14:paraId="00DEC2D0"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24 Total primary and hospital care costs in the year of hip fracture in the UK</w:t>
      </w:r>
      <w:r>
        <w:rPr>
          <w:noProof/>
        </w:rPr>
        <w:tab/>
      </w:r>
      <w:r>
        <w:rPr>
          <w:noProof/>
        </w:rPr>
        <w:fldChar w:fldCharType="begin"/>
      </w:r>
      <w:r>
        <w:rPr>
          <w:noProof/>
        </w:rPr>
        <w:instrText xml:space="preserve"> PAGEREF _Toc311366685 \h </w:instrText>
      </w:r>
      <w:r>
        <w:rPr>
          <w:noProof/>
        </w:rPr>
      </w:r>
      <w:r>
        <w:rPr>
          <w:noProof/>
        </w:rPr>
        <w:fldChar w:fldCharType="separate"/>
      </w:r>
      <w:r>
        <w:rPr>
          <w:noProof/>
        </w:rPr>
        <w:t>140</w:t>
      </w:r>
      <w:r>
        <w:rPr>
          <w:noProof/>
        </w:rPr>
        <w:fldChar w:fldCharType="end"/>
      </w:r>
    </w:p>
    <w:p w14:paraId="7CE447BA"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25 Predictors of 1-year primary care costs after index hip fracture</w:t>
      </w:r>
      <w:r>
        <w:rPr>
          <w:noProof/>
        </w:rPr>
        <w:tab/>
      </w:r>
      <w:r>
        <w:rPr>
          <w:noProof/>
        </w:rPr>
        <w:fldChar w:fldCharType="begin"/>
      </w:r>
      <w:r>
        <w:rPr>
          <w:noProof/>
        </w:rPr>
        <w:instrText xml:space="preserve"> PAGEREF _Toc311366686 \h </w:instrText>
      </w:r>
      <w:r>
        <w:rPr>
          <w:noProof/>
        </w:rPr>
      </w:r>
      <w:r>
        <w:rPr>
          <w:noProof/>
        </w:rPr>
        <w:fldChar w:fldCharType="separate"/>
      </w:r>
      <w:r>
        <w:rPr>
          <w:noProof/>
        </w:rPr>
        <w:t>141</w:t>
      </w:r>
      <w:r>
        <w:rPr>
          <w:noProof/>
        </w:rPr>
        <w:fldChar w:fldCharType="end"/>
      </w:r>
    </w:p>
    <w:p w14:paraId="5CA0A42E"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26 Predictors of 1-year hospitalisation costs after index hip fracture</w:t>
      </w:r>
      <w:r>
        <w:rPr>
          <w:noProof/>
        </w:rPr>
        <w:tab/>
      </w:r>
      <w:r>
        <w:rPr>
          <w:noProof/>
        </w:rPr>
        <w:fldChar w:fldCharType="begin"/>
      </w:r>
      <w:r>
        <w:rPr>
          <w:noProof/>
        </w:rPr>
        <w:instrText xml:space="preserve"> PAGEREF _Toc311366687 \h </w:instrText>
      </w:r>
      <w:r>
        <w:rPr>
          <w:noProof/>
        </w:rPr>
      </w:r>
      <w:r>
        <w:rPr>
          <w:noProof/>
        </w:rPr>
        <w:fldChar w:fldCharType="separate"/>
      </w:r>
      <w:r>
        <w:rPr>
          <w:noProof/>
        </w:rPr>
        <w:t>144</w:t>
      </w:r>
      <w:r>
        <w:rPr>
          <w:noProof/>
        </w:rPr>
        <w:fldChar w:fldCharType="end"/>
      </w:r>
    </w:p>
    <w:p w14:paraId="19C75699"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27 Number of events and average event rates observed in the HES dataset for 33,152 hip fracture patients</w:t>
      </w:r>
      <w:r>
        <w:rPr>
          <w:noProof/>
        </w:rPr>
        <w:tab/>
      </w:r>
      <w:r>
        <w:rPr>
          <w:noProof/>
        </w:rPr>
        <w:fldChar w:fldCharType="begin"/>
      </w:r>
      <w:r>
        <w:rPr>
          <w:noProof/>
        </w:rPr>
        <w:instrText xml:space="preserve"> PAGEREF _Toc311366688 \h </w:instrText>
      </w:r>
      <w:r>
        <w:rPr>
          <w:noProof/>
        </w:rPr>
      </w:r>
      <w:r>
        <w:rPr>
          <w:noProof/>
        </w:rPr>
        <w:fldChar w:fldCharType="separate"/>
      </w:r>
      <w:r>
        <w:rPr>
          <w:noProof/>
        </w:rPr>
        <w:t>161</w:t>
      </w:r>
      <w:r>
        <w:rPr>
          <w:noProof/>
        </w:rPr>
        <w:fldChar w:fldCharType="end"/>
      </w:r>
    </w:p>
    <w:p w14:paraId="0F51F5EA"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28 Risk equations estimating the probability of admission to a care home</w:t>
      </w:r>
      <w:r>
        <w:rPr>
          <w:noProof/>
        </w:rPr>
        <w:tab/>
      </w:r>
      <w:r>
        <w:rPr>
          <w:noProof/>
        </w:rPr>
        <w:fldChar w:fldCharType="begin"/>
      </w:r>
      <w:r>
        <w:rPr>
          <w:noProof/>
        </w:rPr>
        <w:instrText xml:space="preserve"> PAGEREF _Toc311366689 \h </w:instrText>
      </w:r>
      <w:r>
        <w:rPr>
          <w:noProof/>
        </w:rPr>
      </w:r>
      <w:r>
        <w:rPr>
          <w:noProof/>
        </w:rPr>
        <w:fldChar w:fldCharType="separate"/>
      </w:r>
      <w:r>
        <w:rPr>
          <w:noProof/>
        </w:rPr>
        <w:t>161</w:t>
      </w:r>
      <w:r>
        <w:rPr>
          <w:noProof/>
        </w:rPr>
        <w:fldChar w:fldCharType="end"/>
      </w:r>
    </w:p>
    <w:p w14:paraId="5653CCAD"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lastRenderedPageBreak/>
        <w:t>Table 29 Risk equations estimating the probability of events and all-cause mortality</w:t>
      </w:r>
      <w:r>
        <w:rPr>
          <w:noProof/>
        </w:rPr>
        <w:tab/>
      </w:r>
      <w:r>
        <w:rPr>
          <w:noProof/>
        </w:rPr>
        <w:fldChar w:fldCharType="begin"/>
      </w:r>
      <w:r>
        <w:rPr>
          <w:noProof/>
        </w:rPr>
        <w:instrText xml:space="preserve"> PAGEREF _Toc311366690 \h </w:instrText>
      </w:r>
      <w:r>
        <w:rPr>
          <w:noProof/>
        </w:rPr>
      </w:r>
      <w:r>
        <w:rPr>
          <w:noProof/>
        </w:rPr>
        <w:fldChar w:fldCharType="separate"/>
      </w:r>
      <w:r>
        <w:rPr>
          <w:noProof/>
        </w:rPr>
        <w:t>163</w:t>
      </w:r>
      <w:r>
        <w:rPr>
          <w:noProof/>
        </w:rPr>
        <w:fldChar w:fldCharType="end"/>
      </w:r>
    </w:p>
    <w:p w14:paraId="67DFEB4D"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30 Relative effectiveness (hazard ratios) of introducing an orthogeriatrician (OG) or fracture liaison nurse (FLN) compared to usual care</w:t>
      </w:r>
      <w:r>
        <w:rPr>
          <w:noProof/>
        </w:rPr>
        <w:tab/>
      </w:r>
      <w:r>
        <w:rPr>
          <w:noProof/>
        </w:rPr>
        <w:fldChar w:fldCharType="begin"/>
      </w:r>
      <w:r>
        <w:rPr>
          <w:noProof/>
        </w:rPr>
        <w:instrText xml:space="preserve"> PAGEREF _Toc311366691 \h </w:instrText>
      </w:r>
      <w:r>
        <w:rPr>
          <w:noProof/>
        </w:rPr>
      </w:r>
      <w:r>
        <w:rPr>
          <w:noProof/>
        </w:rPr>
        <w:fldChar w:fldCharType="separate"/>
      </w:r>
      <w:r>
        <w:rPr>
          <w:noProof/>
        </w:rPr>
        <w:t>165</w:t>
      </w:r>
      <w:r>
        <w:rPr>
          <w:noProof/>
        </w:rPr>
        <w:fldChar w:fldCharType="end"/>
      </w:r>
    </w:p>
    <w:p w14:paraId="1452DCBD"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31 Costs of introducing an orthogeriatrician or a fracture liaison nurse</w:t>
      </w:r>
      <w:r>
        <w:rPr>
          <w:noProof/>
        </w:rPr>
        <w:tab/>
      </w:r>
      <w:r>
        <w:rPr>
          <w:noProof/>
        </w:rPr>
        <w:fldChar w:fldCharType="begin"/>
      </w:r>
      <w:r>
        <w:rPr>
          <w:noProof/>
        </w:rPr>
        <w:instrText xml:space="preserve"> PAGEREF _Toc311366692 \h </w:instrText>
      </w:r>
      <w:r>
        <w:rPr>
          <w:noProof/>
        </w:rPr>
      </w:r>
      <w:r>
        <w:rPr>
          <w:noProof/>
        </w:rPr>
        <w:fldChar w:fldCharType="separate"/>
      </w:r>
      <w:r>
        <w:rPr>
          <w:noProof/>
        </w:rPr>
        <w:t>166</w:t>
      </w:r>
      <w:r>
        <w:rPr>
          <w:noProof/>
        </w:rPr>
        <w:fldChar w:fldCharType="end"/>
      </w:r>
    </w:p>
    <w:p w14:paraId="49EB0A7D"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32 Primary care cost equations</w:t>
      </w:r>
      <w:r>
        <w:rPr>
          <w:noProof/>
        </w:rPr>
        <w:tab/>
      </w:r>
      <w:r>
        <w:rPr>
          <w:noProof/>
        </w:rPr>
        <w:fldChar w:fldCharType="begin"/>
      </w:r>
      <w:r>
        <w:rPr>
          <w:noProof/>
        </w:rPr>
        <w:instrText xml:space="preserve"> PAGEREF _Toc311366693 \h </w:instrText>
      </w:r>
      <w:r>
        <w:rPr>
          <w:noProof/>
        </w:rPr>
      </w:r>
      <w:r>
        <w:rPr>
          <w:noProof/>
        </w:rPr>
        <w:fldChar w:fldCharType="separate"/>
      </w:r>
      <w:r>
        <w:rPr>
          <w:noProof/>
        </w:rPr>
        <w:t>167</w:t>
      </w:r>
      <w:r>
        <w:rPr>
          <w:noProof/>
        </w:rPr>
        <w:fldChar w:fldCharType="end"/>
      </w:r>
    </w:p>
    <w:p w14:paraId="58FE305B"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33 Hospital care cost equations</w:t>
      </w:r>
      <w:r>
        <w:rPr>
          <w:noProof/>
        </w:rPr>
        <w:tab/>
      </w:r>
      <w:r>
        <w:rPr>
          <w:noProof/>
        </w:rPr>
        <w:fldChar w:fldCharType="begin"/>
      </w:r>
      <w:r>
        <w:rPr>
          <w:noProof/>
        </w:rPr>
        <w:instrText xml:space="preserve"> PAGEREF _Toc311366694 \h </w:instrText>
      </w:r>
      <w:r>
        <w:rPr>
          <w:noProof/>
        </w:rPr>
      </w:r>
      <w:r>
        <w:rPr>
          <w:noProof/>
        </w:rPr>
        <w:fldChar w:fldCharType="separate"/>
      </w:r>
      <w:r>
        <w:rPr>
          <w:noProof/>
        </w:rPr>
        <w:t>169</w:t>
      </w:r>
      <w:r>
        <w:rPr>
          <w:noProof/>
        </w:rPr>
        <w:fldChar w:fldCharType="end"/>
      </w:r>
    </w:p>
    <w:p w14:paraId="2A91EFD2"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34 Hospital care cost equations (2)</w:t>
      </w:r>
      <w:r>
        <w:rPr>
          <w:noProof/>
        </w:rPr>
        <w:tab/>
      </w:r>
      <w:r>
        <w:rPr>
          <w:noProof/>
        </w:rPr>
        <w:fldChar w:fldCharType="begin"/>
      </w:r>
      <w:r>
        <w:rPr>
          <w:noProof/>
        </w:rPr>
        <w:instrText xml:space="preserve"> PAGEREF _Toc311366695 \h </w:instrText>
      </w:r>
      <w:r>
        <w:rPr>
          <w:noProof/>
        </w:rPr>
      </w:r>
      <w:r>
        <w:rPr>
          <w:noProof/>
        </w:rPr>
        <w:fldChar w:fldCharType="separate"/>
      </w:r>
      <w:r>
        <w:rPr>
          <w:noProof/>
        </w:rPr>
        <w:t>171</w:t>
      </w:r>
      <w:r>
        <w:rPr>
          <w:noProof/>
        </w:rPr>
        <w:fldChar w:fldCharType="end"/>
      </w:r>
    </w:p>
    <w:p w14:paraId="3BAA202F"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35 Utility values for hip fracture patients</w:t>
      </w:r>
      <w:r>
        <w:rPr>
          <w:noProof/>
        </w:rPr>
        <w:tab/>
      </w:r>
      <w:r>
        <w:rPr>
          <w:noProof/>
        </w:rPr>
        <w:fldChar w:fldCharType="begin"/>
      </w:r>
      <w:r>
        <w:rPr>
          <w:noProof/>
        </w:rPr>
        <w:instrText xml:space="preserve"> PAGEREF _Toc311366696 \h </w:instrText>
      </w:r>
      <w:r>
        <w:rPr>
          <w:noProof/>
        </w:rPr>
      </w:r>
      <w:r>
        <w:rPr>
          <w:noProof/>
        </w:rPr>
        <w:fldChar w:fldCharType="separate"/>
      </w:r>
      <w:r>
        <w:rPr>
          <w:noProof/>
        </w:rPr>
        <w:t>173</w:t>
      </w:r>
      <w:r>
        <w:rPr>
          <w:noProof/>
        </w:rPr>
        <w:fldChar w:fldCharType="end"/>
      </w:r>
    </w:p>
    <w:p w14:paraId="08A17D33"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36 Number of events occurring over the lifetime of a cohort of 1,000 men with hip fracture</w:t>
      </w:r>
      <w:r>
        <w:rPr>
          <w:noProof/>
        </w:rPr>
        <w:tab/>
      </w:r>
      <w:r>
        <w:rPr>
          <w:noProof/>
        </w:rPr>
        <w:fldChar w:fldCharType="begin"/>
      </w:r>
      <w:r>
        <w:rPr>
          <w:noProof/>
        </w:rPr>
        <w:instrText xml:space="preserve"> PAGEREF _Toc311366697 \h </w:instrText>
      </w:r>
      <w:r>
        <w:rPr>
          <w:noProof/>
        </w:rPr>
      </w:r>
      <w:r>
        <w:rPr>
          <w:noProof/>
        </w:rPr>
        <w:fldChar w:fldCharType="separate"/>
      </w:r>
      <w:r>
        <w:rPr>
          <w:noProof/>
        </w:rPr>
        <w:t>177</w:t>
      </w:r>
      <w:r>
        <w:rPr>
          <w:noProof/>
        </w:rPr>
        <w:fldChar w:fldCharType="end"/>
      </w:r>
    </w:p>
    <w:p w14:paraId="364CC400"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37 Number of events occurring over the lifetime of a cohort of 1,000 women with hip fracture</w:t>
      </w:r>
      <w:r>
        <w:rPr>
          <w:noProof/>
        </w:rPr>
        <w:tab/>
      </w:r>
      <w:r>
        <w:rPr>
          <w:noProof/>
        </w:rPr>
        <w:fldChar w:fldCharType="begin"/>
      </w:r>
      <w:r>
        <w:rPr>
          <w:noProof/>
        </w:rPr>
        <w:instrText xml:space="preserve"> PAGEREF _Toc311366698 \h </w:instrText>
      </w:r>
      <w:r>
        <w:rPr>
          <w:noProof/>
        </w:rPr>
      </w:r>
      <w:r>
        <w:rPr>
          <w:noProof/>
        </w:rPr>
        <w:fldChar w:fldCharType="separate"/>
      </w:r>
      <w:r>
        <w:rPr>
          <w:noProof/>
        </w:rPr>
        <w:t>177</w:t>
      </w:r>
      <w:r>
        <w:rPr>
          <w:noProof/>
        </w:rPr>
        <w:fldChar w:fldCharType="end"/>
      </w:r>
    </w:p>
    <w:p w14:paraId="3A080FDD"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38 Mean discounted costs and outcomes of the differing models of secondary prevention care</w:t>
      </w:r>
      <w:r>
        <w:rPr>
          <w:noProof/>
        </w:rPr>
        <w:tab/>
      </w:r>
      <w:r>
        <w:rPr>
          <w:noProof/>
        </w:rPr>
        <w:fldChar w:fldCharType="begin"/>
      </w:r>
      <w:r>
        <w:rPr>
          <w:noProof/>
        </w:rPr>
        <w:instrText xml:space="preserve"> PAGEREF _Toc311366699 \h </w:instrText>
      </w:r>
      <w:r>
        <w:rPr>
          <w:noProof/>
        </w:rPr>
      </w:r>
      <w:r>
        <w:rPr>
          <w:noProof/>
        </w:rPr>
        <w:fldChar w:fldCharType="separate"/>
      </w:r>
      <w:r>
        <w:rPr>
          <w:noProof/>
        </w:rPr>
        <w:t>178</w:t>
      </w:r>
      <w:r>
        <w:rPr>
          <w:noProof/>
        </w:rPr>
        <w:fldChar w:fldCharType="end"/>
      </w:r>
    </w:p>
    <w:p w14:paraId="62555F49"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39 Cost-effectiveness of the differing models of secondary prevention care of hip fractures</w:t>
      </w:r>
      <w:r>
        <w:rPr>
          <w:noProof/>
        </w:rPr>
        <w:tab/>
      </w:r>
      <w:r>
        <w:rPr>
          <w:noProof/>
        </w:rPr>
        <w:fldChar w:fldCharType="begin"/>
      </w:r>
      <w:r>
        <w:rPr>
          <w:noProof/>
        </w:rPr>
        <w:instrText xml:space="preserve"> PAGEREF _Toc311366700 \h </w:instrText>
      </w:r>
      <w:r>
        <w:rPr>
          <w:noProof/>
        </w:rPr>
      </w:r>
      <w:r>
        <w:rPr>
          <w:noProof/>
        </w:rPr>
        <w:fldChar w:fldCharType="separate"/>
      </w:r>
      <w:r>
        <w:rPr>
          <w:noProof/>
        </w:rPr>
        <w:t>179</w:t>
      </w:r>
      <w:r>
        <w:rPr>
          <w:noProof/>
        </w:rPr>
        <w:fldChar w:fldCharType="end"/>
      </w:r>
    </w:p>
    <w:p w14:paraId="003550BC"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40 Sensitivity analysis scenarios – impact of assumption on the incremental cost-effectiveness ratios (ICERs - £/QALY)</w:t>
      </w:r>
      <w:r>
        <w:rPr>
          <w:noProof/>
        </w:rPr>
        <w:tab/>
      </w:r>
      <w:r>
        <w:rPr>
          <w:noProof/>
        </w:rPr>
        <w:fldChar w:fldCharType="begin"/>
      </w:r>
      <w:r>
        <w:rPr>
          <w:noProof/>
        </w:rPr>
        <w:instrText xml:space="preserve"> PAGEREF _Toc311366701 \h </w:instrText>
      </w:r>
      <w:r>
        <w:rPr>
          <w:noProof/>
        </w:rPr>
      </w:r>
      <w:r>
        <w:rPr>
          <w:noProof/>
        </w:rPr>
        <w:fldChar w:fldCharType="separate"/>
      </w:r>
      <w:r>
        <w:rPr>
          <w:noProof/>
        </w:rPr>
        <w:t>181</w:t>
      </w:r>
      <w:r>
        <w:rPr>
          <w:noProof/>
        </w:rPr>
        <w:fldChar w:fldCharType="end"/>
      </w:r>
    </w:p>
    <w:p w14:paraId="1866EE47"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Table 41 Incremental cost-effectiveness ratios (ICERs - £/QALY) of the differing models of secondary prevention care of hip fractures by patient subgroup</w:t>
      </w:r>
      <w:r>
        <w:rPr>
          <w:noProof/>
        </w:rPr>
        <w:tab/>
      </w:r>
      <w:r>
        <w:rPr>
          <w:noProof/>
        </w:rPr>
        <w:fldChar w:fldCharType="begin"/>
      </w:r>
      <w:r>
        <w:rPr>
          <w:noProof/>
        </w:rPr>
        <w:instrText xml:space="preserve"> PAGEREF _Toc311366702 \h </w:instrText>
      </w:r>
      <w:r>
        <w:rPr>
          <w:noProof/>
        </w:rPr>
      </w:r>
      <w:r>
        <w:rPr>
          <w:noProof/>
        </w:rPr>
        <w:fldChar w:fldCharType="separate"/>
      </w:r>
      <w:r>
        <w:rPr>
          <w:noProof/>
        </w:rPr>
        <w:t>184</w:t>
      </w:r>
      <w:r>
        <w:rPr>
          <w:noProof/>
        </w:rPr>
        <w:fldChar w:fldCharType="end"/>
      </w:r>
    </w:p>
    <w:p w14:paraId="708F23E4" w14:textId="77777777" w:rsidR="00483F08" w:rsidRDefault="00FB06A7">
      <w:pPr>
        <w:pStyle w:val="TableofFigures"/>
        <w:tabs>
          <w:tab w:val="right" w:leader="dot" w:pos="9016"/>
        </w:tabs>
        <w:rPr>
          <w:noProof/>
        </w:rPr>
      </w:pPr>
      <w:r w:rsidRPr="00EF43F7">
        <w:fldChar w:fldCharType="end"/>
      </w:r>
    </w:p>
    <w:p w14:paraId="3E60DB96" w14:textId="77777777" w:rsidR="00483F08" w:rsidRPr="00794C2D" w:rsidRDefault="005B37D1" w:rsidP="00794C2D">
      <w:pPr>
        <w:pStyle w:val="Heading1"/>
        <w:spacing w:line="360" w:lineRule="auto"/>
        <w:rPr>
          <w:rFonts w:ascii="Calibri" w:hAnsi="Calibri"/>
          <w:noProof/>
          <w:lang w:val="en-GB"/>
        </w:rPr>
      </w:pPr>
      <w:bookmarkStart w:id="9" w:name="_Toc308300685"/>
      <w:bookmarkStart w:id="10" w:name="_Toc311366492"/>
      <w:r w:rsidRPr="00591BFC">
        <w:rPr>
          <w:rFonts w:ascii="Calibri" w:hAnsi="Calibri"/>
          <w:noProof/>
          <w:lang w:val="en-GB"/>
        </w:rPr>
        <w:t>List of figures</w:t>
      </w:r>
      <w:bookmarkEnd w:id="9"/>
      <w:bookmarkEnd w:id="10"/>
      <w:r w:rsidR="00483F08">
        <w:rPr>
          <w:rFonts w:ascii="Calibri" w:hAnsi="Calibri"/>
          <w:noProof/>
          <w:lang w:val="en-GB"/>
        </w:rPr>
        <w:t xml:space="preserve"> </w:t>
      </w:r>
    </w:p>
    <w:p w14:paraId="1D5A32C8" w14:textId="77777777" w:rsidR="00AB59D4" w:rsidRDefault="00FB06A7">
      <w:pPr>
        <w:pStyle w:val="TableofFigures"/>
        <w:tabs>
          <w:tab w:val="right" w:leader="dot" w:pos="9016"/>
        </w:tabs>
        <w:rPr>
          <w:rFonts w:asciiTheme="minorHAnsi" w:eastAsiaTheme="minorEastAsia" w:hAnsiTheme="minorHAnsi" w:cstheme="minorBidi"/>
          <w:noProof/>
          <w:sz w:val="24"/>
          <w:szCs w:val="24"/>
          <w:lang w:eastAsia="ja-JP"/>
        </w:rPr>
      </w:pPr>
      <w:r w:rsidRPr="00591BFC">
        <w:rPr>
          <w:noProof/>
        </w:rPr>
        <w:fldChar w:fldCharType="begin"/>
      </w:r>
      <w:r w:rsidRPr="00794C2D">
        <w:rPr>
          <w:noProof/>
        </w:rPr>
        <w:instrText xml:space="preserve"> TOC \h \z \c "Figure" </w:instrText>
      </w:r>
      <w:r w:rsidRPr="00591BFC">
        <w:rPr>
          <w:noProof/>
        </w:rPr>
        <w:fldChar w:fldCharType="separate"/>
      </w:r>
      <w:r w:rsidR="00AB59D4">
        <w:rPr>
          <w:noProof/>
        </w:rPr>
        <w:t>Figure 1 The relationship between reported number of WTE specialist nurses for secondary fracture prevention and estimated number of fragility fracture patients seen in that hospital per year.  Each data point represents a hospital that returned greater than 0 WTE of specialist nurse in the NHFD 2014 report. The number of fragility fractures per hospital was estimated using five times the number of proximal femoral fractures. The line shows a lowess plot with a bandwidth of 0.9.</w:t>
      </w:r>
      <w:r w:rsidR="00AB59D4">
        <w:rPr>
          <w:noProof/>
        </w:rPr>
        <w:tab/>
      </w:r>
      <w:r w:rsidR="00AB59D4">
        <w:rPr>
          <w:noProof/>
        </w:rPr>
        <w:fldChar w:fldCharType="begin"/>
      </w:r>
      <w:r w:rsidR="00AB59D4">
        <w:rPr>
          <w:noProof/>
        </w:rPr>
        <w:instrText xml:space="preserve"> PAGEREF _Toc311366703 \h </w:instrText>
      </w:r>
      <w:r w:rsidR="00AB59D4">
        <w:rPr>
          <w:noProof/>
        </w:rPr>
      </w:r>
      <w:r w:rsidR="00AB59D4">
        <w:rPr>
          <w:noProof/>
        </w:rPr>
        <w:fldChar w:fldCharType="separate"/>
      </w:r>
      <w:r w:rsidR="00AB59D4">
        <w:rPr>
          <w:noProof/>
        </w:rPr>
        <w:t>34</w:t>
      </w:r>
      <w:r w:rsidR="00AB59D4">
        <w:rPr>
          <w:noProof/>
        </w:rPr>
        <w:fldChar w:fldCharType="end"/>
      </w:r>
    </w:p>
    <w:p w14:paraId="285AEF9C"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2 Examples of existing sources of routinely collected data in the UK and Europe-wide.</w:t>
      </w:r>
      <w:r>
        <w:rPr>
          <w:noProof/>
        </w:rPr>
        <w:tab/>
      </w:r>
      <w:r>
        <w:rPr>
          <w:noProof/>
        </w:rPr>
        <w:fldChar w:fldCharType="begin"/>
      </w:r>
      <w:r>
        <w:rPr>
          <w:noProof/>
        </w:rPr>
        <w:instrText xml:space="preserve"> PAGEREF _Toc311366704 \h </w:instrText>
      </w:r>
      <w:r>
        <w:rPr>
          <w:noProof/>
        </w:rPr>
      </w:r>
      <w:r>
        <w:rPr>
          <w:noProof/>
        </w:rPr>
        <w:fldChar w:fldCharType="separate"/>
      </w:r>
      <w:r>
        <w:rPr>
          <w:noProof/>
        </w:rPr>
        <w:t>74</w:t>
      </w:r>
      <w:r>
        <w:rPr>
          <w:noProof/>
        </w:rPr>
        <w:fldChar w:fldCharType="end"/>
      </w:r>
    </w:p>
    <w:p w14:paraId="43A6FC0D"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3 The role of General Practitioners (GPs) in the NHS, and the flow of information into primary care GP records.</w:t>
      </w:r>
      <w:r>
        <w:rPr>
          <w:noProof/>
        </w:rPr>
        <w:tab/>
      </w:r>
      <w:r>
        <w:rPr>
          <w:noProof/>
        </w:rPr>
        <w:fldChar w:fldCharType="begin"/>
      </w:r>
      <w:r>
        <w:rPr>
          <w:noProof/>
        </w:rPr>
        <w:instrText xml:space="preserve"> PAGEREF _Toc311366705 \h </w:instrText>
      </w:r>
      <w:r>
        <w:rPr>
          <w:noProof/>
        </w:rPr>
      </w:r>
      <w:r>
        <w:rPr>
          <w:noProof/>
        </w:rPr>
        <w:fldChar w:fldCharType="separate"/>
      </w:r>
      <w:r>
        <w:rPr>
          <w:noProof/>
        </w:rPr>
        <w:t>75</w:t>
      </w:r>
      <w:r>
        <w:rPr>
          <w:noProof/>
        </w:rPr>
        <w:fldChar w:fldCharType="end"/>
      </w:r>
    </w:p>
    <w:p w14:paraId="78206A64"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4 Population flow diagram</w:t>
      </w:r>
      <w:r>
        <w:rPr>
          <w:noProof/>
        </w:rPr>
        <w:tab/>
      </w:r>
      <w:r>
        <w:rPr>
          <w:noProof/>
        </w:rPr>
        <w:fldChar w:fldCharType="begin"/>
      </w:r>
      <w:r>
        <w:rPr>
          <w:noProof/>
        </w:rPr>
        <w:instrText xml:space="preserve"> PAGEREF _Toc311366706 \h </w:instrText>
      </w:r>
      <w:r>
        <w:rPr>
          <w:noProof/>
        </w:rPr>
      </w:r>
      <w:r>
        <w:rPr>
          <w:noProof/>
        </w:rPr>
        <w:fldChar w:fldCharType="separate"/>
      </w:r>
      <w:r>
        <w:rPr>
          <w:noProof/>
        </w:rPr>
        <w:t>82</w:t>
      </w:r>
      <w:r>
        <w:rPr>
          <w:noProof/>
        </w:rPr>
        <w:fldChar w:fldCharType="end"/>
      </w:r>
    </w:p>
    <w:p w14:paraId="0E9E7F35"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5 Forest plot of Sub-Hazard Ratios for 2-year second hip fracture, by type of change in service delivery</w:t>
      </w:r>
      <w:r>
        <w:rPr>
          <w:noProof/>
        </w:rPr>
        <w:tab/>
      </w:r>
      <w:r>
        <w:rPr>
          <w:noProof/>
        </w:rPr>
        <w:fldChar w:fldCharType="begin"/>
      </w:r>
      <w:r>
        <w:rPr>
          <w:noProof/>
        </w:rPr>
        <w:instrText xml:space="preserve"> PAGEREF _Toc311366707 \h </w:instrText>
      </w:r>
      <w:r>
        <w:rPr>
          <w:noProof/>
        </w:rPr>
      </w:r>
      <w:r>
        <w:rPr>
          <w:noProof/>
        </w:rPr>
        <w:fldChar w:fldCharType="separate"/>
      </w:r>
      <w:r>
        <w:rPr>
          <w:noProof/>
        </w:rPr>
        <w:t>89</w:t>
      </w:r>
      <w:r>
        <w:rPr>
          <w:noProof/>
        </w:rPr>
        <w:fldChar w:fldCharType="end"/>
      </w:r>
    </w:p>
    <w:p w14:paraId="7182D7E9"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lastRenderedPageBreak/>
        <w:t>Figure 6 - Annual and quarterly regional trends in mortality (30-day and 1-year) and second hip fracture (2-year) after primary hip fracture during the study period</w:t>
      </w:r>
      <w:r>
        <w:rPr>
          <w:noProof/>
        </w:rPr>
        <w:tab/>
      </w:r>
      <w:r>
        <w:rPr>
          <w:noProof/>
        </w:rPr>
        <w:fldChar w:fldCharType="begin"/>
      </w:r>
      <w:r>
        <w:rPr>
          <w:noProof/>
        </w:rPr>
        <w:instrText xml:space="preserve"> PAGEREF _Toc311366708 \h </w:instrText>
      </w:r>
      <w:r>
        <w:rPr>
          <w:noProof/>
        </w:rPr>
      </w:r>
      <w:r>
        <w:rPr>
          <w:noProof/>
        </w:rPr>
        <w:fldChar w:fldCharType="separate"/>
      </w:r>
      <w:r>
        <w:rPr>
          <w:noProof/>
        </w:rPr>
        <w:t>89</w:t>
      </w:r>
      <w:r>
        <w:rPr>
          <w:noProof/>
        </w:rPr>
        <w:fldChar w:fldCharType="end"/>
      </w:r>
    </w:p>
    <w:p w14:paraId="43A206AC"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7 Forest plot of Hazard Ratios for30-day mortality, by type of change in service delivery</w:t>
      </w:r>
      <w:r>
        <w:rPr>
          <w:noProof/>
        </w:rPr>
        <w:tab/>
      </w:r>
      <w:r>
        <w:rPr>
          <w:noProof/>
        </w:rPr>
        <w:fldChar w:fldCharType="begin"/>
      </w:r>
      <w:r>
        <w:rPr>
          <w:noProof/>
        </w:rPr>
        <w:instrText xml:space="preserve"> PAGEREF _Toc311366709 \h </w:instrText>
      </w:r>
      <w:r>
        <w:rPr>
          <w:noProof/>
        </w:rPr>
      </w:r>
      <w:r>
        <w:rPr>
          <w:noProof/>
        </w:rPr>
        <w:fldChar w:fldCharType="separate"/>
      </w:r>
      <w:r>
        <w:rPr>
          <w:noProof/>
        </w:rPr>
        <w:t>90</w:t>
      </w:r>
      <w:r>
        <w:rPr>
          <w:noProof/>
        </w:rPr>
        <w:fldChar w:fldCharType="end"/>
      </w:r>
    </w:p>
    <w:p w14:paraId="39E6C63B"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8 Forest plot of Hazard Ratios for 1-year mortality, by type of change in service delivery</w:t>
      </w:r>
      <w:r>
        <w:rPr>
          <w:noProof/>
        </w:rPr>
        <w:tab/>
      </w:r>
      <w:r>
        <w:rPr>
          <w:noProof/>
        </w:rPr>
        <w:fldChar w:fldCharType="begin"/>
      </w:r>
      <w:r>
        <w:rPr>
          <w:noProof/>
        </w:rPr>
        <w:instrText xml:space="preserve"> PAGEREF _Toc311366710 \h </w:instrText>
      </w:r>
      <w:r>
        <w:rPr>
          <w:noProof/>
        </w:rPr>
      </w:r>
      <w:r>
        <w:rPr>
          <w:noProof/>
        </w:rPr>
        <w:fldChar w:fldCharType="separate"/>
      </w:r>
      <w:r>
        <w:rPr>
          <w:noProof/>
        </w:rPr>
        <w:t>90</w:t>
      </w:r>
      <w:r>
        <w:rPr>
          <w:noProof/>
        </w:rPr>
        <w:fldChar w:fldCharType="end"/>
      </w:r>
    </w:p>
    <w:p w14:paraId="654FA5CA"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9 Forest plot of Sub-Hazard Ratios for 2-year major non-hip fracture, by type of change in service delivery</w:t>
      </w:r>
      <w:r>
        <w:rPr>
          <w:noProof/>
        </w:rPr>
        <w:tab/>
      </w:r>
      <w:r>
        <w:rPr>
          <w:noProof/>
        </w:rPr>
        <w:fldChar w:fldCharType="begin"/>
      </w:r>
      <w:r>
        <w:rPr>
          <w:noProof/>
        </w:rPr>
        <w:instrText xml:space="preserve"> PAGEREF _Toc311366711 \h </w:instrText>
      </w:r>
      <w:r>
        <w:rPr>
          <w:noProof/>
        </w:rPr>
      </w:r>
      <w:r>
        <w:rPr>
          <w:noProof/>
        </w:rPr>
        <w:fldChar w:fldCharType="separate"/>
      </w:r>
      <w:r>
        <w:rPr>
          <w:noProof/>
        </w:rPr>
        <w:t>91</w:t>
      </w:r>
      <w:r>
        <w:rPr>
          <w:noProof/>
        </w:rPr>
        <w:fldChar w:fldCharType="end"/>
      </w:r>
    </w:p>
    <w:p w14:paraId="3B9826DA"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10 Quarterly regional trends in second hip fracture (2-year) after primary hip fracture during the study period, by hospital</w:t>
      </w:r>
      <w:r>
        <w:rPr>
          <w:noProof/>
        </w:rPr>
        <w:tab/>
      </w:r>
      <w:r>
        <w:rPr>
          <w:noProof/>
        </w:rPr>
        <w:fldChar w:fldCharType="begin"/>
      </w:r>
      <w:r>
        <w:rPr>
          <w:noProof/>
        </w:rPr>
        <w:instrText xml:space="preserve"> PAGEREF _Toc311366712 \h </w:instrText>
      </w:r>
      <w:r>
        <w:rPr>
          <w:noProof/>
        </w:rPr>
      </w:r>
      <w:r>
        <w:rPr>
          <w:noProof/>
        </w:rPr>
        <w:fldChar w:fldCharType="separate"/>
      </w:r>
      <w:r>
        <w:rPr>
          <w:noProof/>
        </w:rPr>
        <w:t>92</w:t>
      </w:r>
      <w:r>
        <w:rPr>
          <w:noProof/>
        </w:rPr>
        <w:fldChar w:fldCharType="end"/>
      </w:r>
    </w:p>
    <w:p w14:paraId="57174552"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11 Quarterly regional trends in mortality (30-day and 1-year) after primary hip fracture during the study period, by hospital</w:t>
      </w:r>
      <w:r>
        <w:rPr>
          <w:noProof/>
        </w:rPr>
        <w:tab/>
      </w:r>
      <w:r>
        <w:rPr>
          <w:noProof/>
        </w:rPr>
        <w:fldChar w:fldCharType="begin"/>
      </w:r>
      <w:r>
        <w:rPr>
          <w:noProof/>
        </w:rPr>
        <w:instrText xml:space="preserve"> PAGEREF _Toc311366713 \h </w:instrText>
      </w:r>
      <w:r>
        <w:rPr>
          <w:noProof/>
        </w:rPr>
      </w:r>
      <w:r>
        <w:rPr>
          <w:noProof/>
        </w:rPr>
        <w:fldChar w:fldCharType="separate"/>
      </w:r>
      <w:r>
        <w:rPr>
          <w:noProof/>
        </w:rPr>
        <w:t>94</w:t>
      </w:r>
      <w:r>
        <w:rPr>
          <w:noProof/>
        </w:rPr>
        <w:fldChar w:fldCharType="end"/>
      </w:r>
    </w:p>
    <w:p w14:paraId="32CB499C"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12 Time points of interest over study period</w:t>
      </w:r>
      <w:r>
        <w:rPr>
          <w:noProof/>
        </w:rPr>
        <w:tab/>
        <w:t>103</w:t>
      </w:r>
    </w:p>
    <w:p w14:paraId="3BD3B1F3"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13 Incident anti-osteoporosis medication use stratified by gender</w:t>
      </w:r>
      <w:r>
        <w:rPr>
          <w:noProof/>
        </w:rPr>
        <w:tab/>
      </w:r>
      <w:r>
        <w:rPr>
          <w:noProof/>
        </w:rPr>
        <w:fldChar w:fldCharType="begin"/>
      </w:r>
      <w:r>
        <w:rPr>
          <w:noProof/>
        </w:rPr>
        <w:instrText xml:space="preserve"> PAGEREF _Toc311366714 \h </w:instrText>
      </w:r>
      <w:r>
        <w:rPr>
          <w:noProof/>
        </w:rPr>
      </w:r>
      <w:r>
        <w:rPr>
          <w:noProof/>
        </w:rPr>
        <w:fldChar w:fldCharType="separate"/>
      </w:r>
      <w:r>
        <w:rPr>
          <w:noProof/>
        </w:rPr>
        <w:t>109</w:t>
      </w:r>
      <w:r>
        <w:rPr>
          <w:noProof/>
        </w:rPr>
        <w:fldChar w:fldCharType="end"/>
      </w:r>
    </w:p>
    <w:p w14:paraId="435E8DAB"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14 Incident anti-osteoporosis medication use stratified by age group</w:t>
      </w:r>
      <w:r>
        <w:rPr>
          <w:noProof/>
        </w:rPr>
        <w:tab/>
      </w:r>
      <w:r>
        <w:rPr>
          <w:noProof/>
        </w:rPr>
        <w:fldChar w:fldCharType="begin"/>
      </w:r>
      <w:r>
        <w:rPr>
          <w:noProof/>
        </w:rPr>
        <w:instrText xml:space="preserve"> PAGEREF _Toc311366715 \h </w:instrText>
      </w:r>
      <w:r>
        <w:rPr>
          <w:noProof/>
        </w:rPr>
      </w:r>
      <w:r>
        <w:rPr>
          <w:noProof/>
        </w:rPr>
        <w:fldChar w:fldCharType="separate"/>
      </w:r>
      <w:r>
        <w:rPr>
          <w:noProof/>
        </w:rPr>
        <w:t>109</w:t>
      </w:r>
      <w:r>
        <w:rPr>
          <w:noProof/>
        </w:rPr>
        <w:fldChar w:fldCharType="end"/>
      </w:r>
    </w:p>
    <w:p w14:paraId="1D6DC386"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15 Incident anti-osteoporosis medication use stratified by medication type</w:t>
      </w:r>
      <w:r>
        <w:rPr>
          <w:noProof/>
        </w:rPr>
        <w:tab/>
      </w:r>
      <w:r>
        <w:rPr>
          <w:noProof/>
        </w:rPr>
        <w:fldChar w:fldCharType="begin"/>
      </w:r>
      <w:r>
        <w:rPr>
          <w:noProof/>
        </w:rPr>
        <w:instrText xml:space="preserve"> PAGEREF _Toc311366716 \h </w:instrText>
      </w:r>
      <w:r>
        <w:rPr>
          <w:noProof/>
        </w:rPr>
      </w:r>
      <w:r>
        <w:rPr>
          <w:noProof/>
        </w:rPr>
        <w:fldChar w:fldCharType="separate"/>
      </w:r>
      <w:r>
        <w:rPr>
          <w:noProof/>
        </w:rPr>
        <w:t>110</w:t>
      </w:r>
      <w:r>
        <w:rPr>
          <w:noProof/>
        </w:rPr>
        <w:fldChar w:fldCharType="end"/>
      </w:r>
    </w:p>
    <w:p w14:paraId="16F29C76"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16 Bisphosphonate use among treatment naïve hip fracture cases at baseline within 12 months, stratified by bisphosphonate type</w:t>
      </w:r>
      <w:r>
        <w:rPr>
          <w:noProof/>
        </w:rPr>
        <w:tab/>
      </w:r>
      <w:r>
        <w:rPr>
          <w:noProof/>
        </w:rPr>
        <w:fldChar w:fldCharType="begin"/>
      </w:r>
      <w:r>
        <w:rPr>
          <w:noProof/>
        </w:rPr>
        <w:instrText xml:space="preserve"> PAGEREF _Toc311366717 \h </w:instrText>
      </w:r>
      <w:r>
        <w:rPr>
          <w:noProof/>
        </w:rPr>
      </w:r>
      <w:r>
        <w:rPr>
          <w:noProof/>
        </w:rPr>
        <w:fldChar w:fldCharType="separate"/>
      </w:r>
      <w:r>
        <w:rPr>
          <w:noProof/>
        </w:rPr>
        <w:t>110</w:t>
      </w:r>
      <w:r>
        <w:rPr>
          <w:noProof/>
        </w:rPr>
        <w:fldChar w:fldCharType="end"/>
      </w:r>
    </w:p>
    <w:p w14:paraId="746917DB"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17 Bisphosphonate use among treatment naïve hip fracture cases at baseline, period prevalence between 2-6 and 10-14 months</w:t>
      </w:r>
      <w:r>
        <w:rPr>
          <w:noProof/>
        </w:rPr>
        <w:tab/>
      </w:r>
      <w:r>
        <w:rPr>
          <w:noProof/>
        </w:rPr>
        <w:fldChar w:fldCharType="begin"/>
      </w:r>
      <w:r>
        <w:rPr>
          <w:noProof/>
        </w:rPr>
        <w:instrText xml:space="preserve"> PAGEREF _Toc311366718 \h </w:instrText>
      </w:r>
      <w:r>
        <w:rPr>
          <w:noProof/>
        </w:rPr>
      </w:r>
      <w:r>
        <w:rPr>
          <w:noProof/>
        </w:rPr>
        <w:fldChar w:fldCharType="separate"/>
      </w:r>
      <w:r>
        <w:rPr>
          <w:noProof/>
        </w:rPr>
        <w:t>111</w:t>
      </w:r>
      <w:r>
        <w:rPr>
          <w:noProof/>
        </w:rPr>
        <w:fldChar w:fldCharType="end"/>
      </w:r>
    </w:p>
    <w:p w14:paraId="7EC52736"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18 Number (1999/2000-2012/13) of a) primary hip fractures and b) overall number of primary and secondary hip fractures</w:t>
      </w:r>
      <w:r>
        <w:rPr>
          <w:noProof/>
        </w:rPr>
        <w:tab/>
        <w:t>112</w:t>
      </w:r>
    </w:p>
    <w:p w14:paraId="6C7E5028"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19 a. Post-index date second hip fracture: cases (black) b.Post-index date major non-hip fracture: cases (black) and controls (grey)</w:t>
      </w:r>
      <w:r>
        <w:rPr>
          <w:noProof/>
        </w:rPr>
        <w:tab/>
        <w:t>113</w:t>
      </w:r>
    </w:p>
    <w:p w14:paraId="44D5ED04"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20:a Post index date mortality within 30 days among cases (black) and controls (grey) b) post index date 30 day mortality: difference in differences (black) between cases and controls</w:t>
      </w:r>
      <w:r>
        <w:rPr>
          <w:noProof/>
        </w:rPr>
        <w:tab/>
        <w:t>114</w:t>
      </w:r>
    </w:p>
    <w:p w14:paraId="5DF28E3D"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21: a)  Post index date mortality within 1 year among cases (black) and controls (grey) b) post index date 1 year mortality: difference in differences (black) between cases and controls</w:t>
      </w:r>
      <w:r>
        <w:rPr>
          <w:noProof/>
        </w:rPr>
        <w:tab/>
        <w:t>115</w:t>
      </w:r>
    </w:p>
    <w:p w14:paraId="3D47A78E"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20 Any anti-osteoporosis medication post-index date among cases (black) and controls (grey) within a) 4 months and b) 12 months</w:t>
      </w:r>
      <w:r>
        <w:rPr>
          <w:noProof/>
        </w:rPr>
        <w:tab/>
        <w:t>117</w:t>
      </w:r>
    </w:p>
    <w:p w14:paraId="00F3D3EC"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23 Bisphosphonate prescription 10-14 months post-index date for among treatment naïve individuals at baseline among cases (black) and controls (grey)</w:t>
      </w:r>
      <w:r>
        <w:rPr>
          <w:noProof/>
        </w:rPr>
        <w:tab/>
      </w:r>
      <w:r>
        <w:rPr>
          <w:noProof/>
        </w:rPr>
        <w:fldChar w:fldCharType="begin"/>
      </w:r>
      <w:r>
        <w:rPr>
          <w:noProof/>
        </w:rPr>
        <w:instrText xml:space="preserve"> PAGEREF _Toc311366719 \h </w:instrText>
      </w:r>
      <w:r>
        <w:rPr>
          <w:noProof/>
        </w:rPr>
      </w:r>
      <w:r>
        <w:rPr>
          <w:noProof/>
        </w:rPr>
        <w:fldChar w:fldCharType="separate"/>
      </w:r>
      <w:r>
        <w:rPr>
          <w:noProof/>
        </w:rPr>
        <w:t>118</w:t>
      </w:r>
      <w:r>
        <w:rPr>
          <w:noProof/>
        </w:rPr>
        <w:fldChar w:fldCharType="end"/>
      </w:r>
    </w:p>
    <w:p w14:paraId="2515B657"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24 PRISMA flow diagram for literature search of patient-level UK costing studies</w:t>
      </w:r>
      <w:r>
        <w:rPr>
          <w:noProof/>
        </w:rPr>
        <w:tab/>
      </w:r>
      <w:r>
        <w:rPr>
          <w:noProof/>
        </w:rPr>
        <w:fldChar w:fldCharType="begin"/>
      </w:r>
      <w:r>
        <w:rPr>
          <w:noProof/>
        </w:rPr>
        <w:instrText xml:space="preserve"> PAGEREF _Toc311366720 \h </w:instrText>
      </w:r>
      <w:r>
        <w:rPr>
          <w:noProof/>
        </w:rPr>
      </w:r>
      <w:r>
        <w:rPr>
          <w:noProof/>
        </w:rPr>
        <w:fldChar w:fldCharType="separate"/>
      </w:r>
      <w:r>
        <w:rPr>
          <w:noProof/>
        </w:rPr>
        <w:t>122</w:t>
      </w:r>
      <w:r>
        <w:rPr>
          <w:noProof/>
        </w:rPr>
        <w:fldChar w:fldCharType="end"/>
      </w:r>
    </w:p>
    <w:p w14:paraId="4D00E486"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25 Distribution of hospitalisation costs in the year after primary hip fracture</w:t>
      </w:r>
      <w:r>
        <w:rPr>
          <w:noProof/>
        </w:rPr>
        <w:tab/>
      </w:r>
      <w:r>
        <w:rPr>
          <w:noProof/>
        </w:rPr>
        <w:fldChar w:fldCharType="begin"/>
      </w:r>
      <w:r>
        <w:rPr>
          <w:noProof/>
        </w:rPr>
        <w:instrText xml:space="preserve"> PAGEREF _Toc311366721 \h </w:instrText>
      </w:r>
      <w:r>
        <w:rPr>
          <w:noProof/>
        </w:rPr>
      </w:r>
      <w:r>
        <w:rPr>
          <w:noProof/>
        </w:rPr>
        <w:fldChar w:fldCharType="separate"/>
      </w:r>
      <w:r>
        <w:rPr>
          <w:noProof/>
        </w:rPr>
        <w:t>133</w:t>
      </w:r>
      <w:r>
        <w:rPr>
          <w:noProof/>
        </w:rPr>
        <w:fldChar w:fldCharType="end"/>
      </w:r>
    </w:p>
    <w:p w14:paraId="364BC182"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lastRenderedPageBreak/>
        <w:t>Figure 26 Hospitalisation costs in the months before and after primary hip fracture</w:t>
      </w:r>
      <w:r>
        <w:rPr>
          <w:noProof/>
        </w:rPr>
        <w:tab/>
      </w:r>
      <w:r>
        <w:rPr>
          <w:noProof/>
        </w:rPr>
        <w:fldChar w:fldCharType="begin"/>
      </w:r>
      <w:r>
        <w:rPr>
          <w:noProof/>
        </w:rPr>
        <w:instrText xml:space="preserve"> PAGEREF _Toc311366722 \h </w:instrText>
      </w:r>
      <w:r>
        <w:rPr>
          <w:noProof/>
        </w:rPr>
      </w:r>
      <w:r>
        <w:rPr>
          <w:noProof/>
        </w:rPr>
        <w:fldChar w:fldCharType="separate"/>
      </w:r>
      <w:r>
        <w:rPr>
          <w:noProof/>
        </w:rPr>
        <w:t>134</w:t>
      </w:r>
      <w:r>
        <w:rPr>
          <w:noProof/>
        </w:rPr>
        <w:fldChar w:fldCharType="end"/>
      </w:r>
    </w:p>
    <w:p w14:paraId="134B6BB3"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27 Primary care costs in the months before and after primary hip fracture. 2 year-survivors concerns patients who did not die within 2 years post hip fracture and follow up data were available for this period.</w:t>
      </w:r>
      <w:r>
        <w:rPr>
          <w:noProof/>
        </w:rPr>
        <w:tab/>
      </w:r>
      <w:r>
        <w:rPr>
          <w:noProof/>
        </w:rPr>
        <w:fldChar w:fldCharType="begin"/>
      </w:r>
      <w:r>
        <w:rPr>
          <w:noProof/>
        </w:rPr>
        <w:instrText xml:space="preserve"> PAGEREF _Toc311366723 \h </w:instrText>
      </w:r>
      <w:r>
        <w:rPr>
          <w:noProof/>
        </w:rPr>
      </w:r>
      <w:r>
        <w:rPr>
          <w:noProof/>
        </w:rPr>
        <w:fldChar w:fldCharType="separate"/>
      </w:r>
      <w:r>
        <w:rPr>
          <w:noProof/>
        </w:rPr>
        <w:t>137</w:t>
      </w:r>
      <w:r>
        <w:rPr>
          <w:noProof/>
        </w:rPr>
        <w:fldChar w:fldCharType="end"/>
      </w:r>
    </w:p>
    <w:p w14:paraId="4F6F72D7"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28 Model structure and health states in the first year of simulation: a. Discharge to care home, b. discharge to own home.</w:t>
      </w:r>
      <w:r>
        <w:rPr>
          <w:noProof/>
        </w:rPr>
        <w:tab/>
      </w:r>
      <w:r>
        <w:rPr>
          <w:noProof/>
        </w:rPr>
        <w:fldChar w:fldCharType="begin"/>
      </w:r>
      <w:r>
        <w:rPr>
          <w:noProof/>
        </w:rPr>
        <w:instrText xml:space="preserve"> PAGEREF _Toc311366724 \h </w:instrText>
      </w:r>
      <w:r>
        <w:rPr>
          <w:noProof/>
        </w:rPr>
      </w:r>
      <w:r>
        <w:rPr>
          <w:noProof/>
        </w:rPr>
        <w:fldChar w:fldCharType="separate"/>
      </w:r>
      <w:r>
        <w:rPr>
          <w:noProof/>
        </w:rPr>
        <w:t>155</w:t>
      </w:r>
      <w:r>
        <w:rPr>
          <w:noProof/>
        </w:rPr>
        <w:fldChar w:fldCharType="end"/>
      </w:r>
    </w:p>
    <w:p w14:paraId="01958085"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29 Model structure and health states in the years following the first hip fracture: a. Discharge to care home, b. Discharge to own home.</w:t>
      </w:r>
      <w:r>
        <w:rPr>
          <w:noProof/>
        </w:rPr>
        <w:tab/>
      </w:r>
      <w:r>
        <w:rPr>
          <w:noProof/>
        </w:rPr>
        <w:fldChar w:fldCharType="begin"/>
      </w:r>
      <w:r>
        <w:rPr>
          <w:noProof/>
        </w:rPr>
        <w:instrText xml:space="preserve"> PAGEREF _Toc311366725 \h </w:instrText>
      </w:r>
      <w:r>
        <w:rPr>
          <w:noProof/>
        </w:rPr>
      </w:r>
      <w:r>
        <w:rPr>
          <w:noProof/>
        </w:rPr>
        <w:fldChar w:fldCharType="separate"/>
      </w:r>
      <w:r>
        <w:rPr>
          <w:noProof/>
        </w:rPr>
        <w:t>157</w:t>
      </w:r>
      <w:r>
        <w:rPr>
          <w:noProof/>
        </w:rPr>
        <w:fldChar w:fldCharType="end"/>
      </w:r>
    </w:p>
    <w:p w14:paraId="5F701CB2"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30 PRISMA diagram for literature review of preference-based quality of life studies in hip fracture populations</w:t>
      </w:r>
      <w:r>
        <w:rPr>
          <w:noProof/>
        </w:rPr>
        <w:tab/>
      </w:r>
      <w:r>
        <w:rPr>
          <w:noProof/>
        </w:rPr>
        <w:fldChar w:fldCharType="begin"/>
      </w:r>
      <w:r>
        <w:rPr>
          <w:noProof/>
        </w:rPr>
        <w:instrText xml:space="preserve"> PAGEREF _Toc311366726 \h </w:instrText>
      </w:r>
      <w:r>
        <w:rPr>
          <w:noProof/>
        </w:rPr>
      </w:r>
      <w:r>
        <w:rPr>
          <w:noProof/>
        </w:rPr>
        <w:fldChar w:fldCharType="separate"/>
      </w:r>
      <w:r>
        <w:rPr>
          <w:noProof/>
        </w:rPr>
        <w:t>174</w:t>
      </w:r>
      <w:r>
        <w:rPr>
          <w:noProof/>
        </w:rPr>
        <w:fldChar w:fldCharType="end"/>
      </w:r>
    </w:p>
    <w:p w14:paraId="6B09C336"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Figure 31 Cost-effectiveness acceptability curve and EVPI per patient. The curves provide the probability of the models of care being the most cost-effective option at any willingness to pay value for an additional QALY gained. Please note that the curves of the models of care add to one at any given point. The EVPI curve provides the value of expected value of perfect information at any willingness to pay value for an additional QALY gained.</w:t>
      </w:r>
      <w:r>
        <w:rPr>
          <w:noProof/>
        </w:rPr>
        <w:tab/>
      </w:r>
      <w:r>
        <w:rPr>
          <w:noProof/>
        </w:rPr>
        <w:fldChar w:fldCharType="begin"/>
      </w:r>
      <w:r>
        <w:rPr>
          <w:noProof/>
        </w:rPr>
        <w:instrText xml:space="preserve"> PAGEREF _Toc311366727 \h </w:instrText>
      </w:r>
      <w:r>
        <w:rPr>
          <w:noProof/>
        </w:rPr>
      </w:r>
      <w:r>
        <w:rPr>
          <w:noProof/>
        </w:rPr>
        <w:fldChar w:fldCharType="separate"/>
      </w:r>
      <w:r>
        <w:rPr>
          <w:noProof/>
        </w:rPr>
        <w:t>180</w:t>
      </w:r>
      <w:r>
        <w:rPr>
          <w:noProof/>
        </w:rPr>
        <w:fldChar w:fldCharType="end"/>
      </w:r>
    </w:p>
    <w:p w14:paraId="7092DF28" w14:textId="77777777" w:rsidR="00AB59D4" w:rsidRDefault="00AB59D4">
      <w:pPr>
        <w:pStyle w:val="TableofFigures"/>
        <w:tabs>
          <w:tab w:val="right" w:leader="dot" w:pos="9016"/>
        </w:tabs>
        <w:rPr>
          <w:rFonts w:asciiTheme="minorHAnsi" w:eastAsiaTheme="minorEastAsia" w:hAnsiTheme="minorHAnsi" w:cstheme="minorBidi"/>
          <w:noProof/>
          <w:sz w:val="24"/>
          <w:szCs w:val="24"/>
          <w:lang w:eastAsia="ja-JP"/>
        </w:rPr>
      </w:pPr>
      <w:r>
        <w:rPr>
          <w:noProof/>
        </w:rPr>
        <w:t xml:space="preserve">Figure 32 Orthogeriatrician </w:t>
      </w:r>
      <w:r w:rsidRPr="00E47743">
        <w:rPr>
          <w:i/>
          <w:noProof/>
        </w:rPr>
        <w:t>vs</w:t>
      </w:r>
      <w:r>
        <w:rPr>
          <w:noProof/>
        </w:rPr>
        <w:t>. fracture liaison nurse: ANCOVA analysis of proportion of sum of squares for incremental QALYs saved and incremental costs explained by the uncertainty in the model. The horizontal axis represents the variation in incremental costs and QALYs that is associated with the uncertainty in the model inputs#</w:t>
      </w:r>
      <w:r>
        <w:rPr>
          <w:noProof/>
        </w:rPr>
        <w:tab/>
      </w:r>
      <w:r>
        <w:rPr>
          <w:noProof/>
        </w:rPr>
        <w:fldChar w:fldCharType="begin"/>
      </w:r>
      <w:r>
        <w:rPr>
          <w:noProof/>
        </w:rPr>
        <w:instrText xml:space="preserve"> PAGEREF _Toc311366728 \h </w:instrText>
      </w:r>
      <w:r>
        <w:rPr>
          <w:noProof/>
        </w:rPr>
      </w:r>
      <w:r>
        <w:rPr>
          <w:noProof/>
        </w:rPr>
        <w:fldChar w:fldCharType="separate"/>
      </w:r>
      <w:r>
        <w:rPr>
          <w:noProof/>
        </w:rPr>
        <w:t>181</w:t>
      </w:r>
      <w:r>
        <w:rPr>
          <w:noProof/>
        </w:rPr>
        <w:fldChar w:fldCharType="end"/>
      </w:r>
    </w:p>
    <w:p w14:paraId="5CAD132C" w14:textId="25E8BA6A" w:rsidR="00D8677B" w:rsidRPr="00591BFC" w:rsidRDefault="00FB06A7" w:rsidP="00E86771">
      <w:pPr>
        <w:pStyle w:val="Heading1"/>
        <w:spacing w:line="360" w:lineRule="auto"/>
        <w:rPr>
          <w:rFonts w:ascii="Calibri" w:hAnsi="Calibri"/>
          <w:lang w:val="en-GB"/>
        </w:rPr>
      </w:pPr>
      <w:r w:rsidRPr="00591BFC">
        <w:rPr>
          <w:b w:val="0"/>
          <w:bCs w:val="0"/>
          <w:noProof/>
        </w:rPr>
        <w:fldChar w:fldCharType="end"/>
      </w:r>
      <w:r w:rsidR="00CF2E21" w:rsidRPr="00591BFC">
        <w:rPr>
          <w:rFonts w:ascii="Calibri" w:hAnsi="Calibri"/>
          <w:noProof/>
          <w:lang w:val="en-GB"/>
        </w:rPr>
        <w:br w:type="page"/>
      </w:r>
      <w:bookmarkStart w:id="11" w:name="_Toc308300686"/>
      <w:bookmarkStart w:id="12" w:name="_Toc311366493"/>
      <w:r w:rsidR="002155FD" w:rsidRPr="00591BFC">
        <w:rPr>
          <w:rFonts w:ascii="Calibri" w:hAnsi="Calibri"/>
          <w:lang w:val="en-GB"/>
        </w:rPr>
        <w:lastRenderedPageBreak/>
        <w:t>Alphabetical list of abbreviations</w:t>
      </w:r>
      <w:bookmarkEnd w:id="11"/>
      <w:bookmarkEnd w:id="12"/>
    </w:p>
    <w:p w14:paraId="76C5634F" w14:textId="77777777" w:rsidR="000514C3" w:rsidRPr="00591BFC" w:rsidRDefault="000514C3" w:rsidP="00E86771">
      <w:pPr>
        <w:spacing w:line="360" w:lineRule="auto"/>
        <w:rPr>
          <w:lang w:eastAsia="x-none"/>
        </w:rPr>
      </w:pPr>
    </w:p>
    <w:tbl>
      <w:tblPr>
        <w:tblW w:w="8560" w:type="dxa"/>
        <w:tblInd w:w="93" w:type="dxa"/>
        <w:tblLook w:val="04A0" w:firstRow="1" w:lastRow="0" w:firstColumn="1" w:lastColumn="0" w:noHBand="0" w:noVBand="1"/>
      </w:tblPr>
      <w:tblGrid>
        <w:gridCol w:w="960"/>
        <w:gridCol w:w="7600"/>
      </w:tblGrid>
      <w:tr w:rsidR="000514C3" w:rsidRPr="00591BFC" w14:paraId="3D176BDA" w14:textId="77777777" w:rsidTr="000514C3">
        <w:trPr>
          <w:trHeight w:val="300"/>
        </w:trPr>
        <w:tc>
          <w:tcPr>
            <w:tcW w:w="960" w:type="dxa"/>
            <w:tcBorders>
              <w:top w:val="nil"/>
              <w:left w:val="nil"/>
              <w:bottom w:val="nil"/>
              <w:right w:val="nil"/>
            </w:tcBorders>
            <w:shd w:val="clear" w:color="auto" w:fill="auto"/>
            <w:noWrap/>
            <w:vAlign w:val="bottom"/>
            <w:hideMark/>
          </w:tcPr>
          <w:p w14:paraId="0D7FD639"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A&amp;E</w:t>
            </w:r>
          </w:p>
        </w:tc>
        <w:tc>
          <w:tcPr>
            <w:tcW w:w="7600" w:type="dxa"/>
            <w:tcBorders>
              <w:top w:val="nil"/>
              <w:left w:val="nil"/>
              <w:bottom w:val="nil"/>
              <w:right w:val="nil"/>
            </w:tcBorders>
            <w:shd w:val="clear" w:color="auto" w:fill="auto"/>
            <w:noWrap/>
            <w:vAlign w:val="bottom"/>
            <w:hideMark/>
          </w:tcPr>
          <w:p w14:paraId="7C49FA62"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 xml:space="preserve">Accident and Emergency </w:t>
            </w:r>
          </w:p>
        </w:tc>
      </w:tr>
      <w:tr w:rsidR="000514C3" w:rsidRPr="00591BFC" w14:paraId="200ABCFF" w14:textId="77777777" w:rsidTr="000514C3">
        <w:trPr>
          <w:trHeight w:val="300"/>
        </w:trPr>
        <w:tc>
          <w:tcPr>
            <w:tcW w:w="960" w:type="dxa"/>
            <w:tcBorders>
              <w:top w:val="nil"/>
              <w:left w:val="nil"/>
              <w:bottom w:val="nil"/>
              <w:right w:val="nil"/>
            </w:tcBorders>
            <w:shd w:val="clear" w:color="auto" w:fill="auto"/>
            <w:noWrap/>
            <w:vAlign w:val="bottom"/>
            <w:hideMark/>
          </w:tcPr>
          <w:p w14:paraId="4691538D"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BMD</w:t>
            </w:r>
          </w:p>
        </w:tc>
        <w:tc>
          <w:tcPr>
            <w:tcW w:w="7600" w:type="dxa"/>
            <w:tcBorders>
              <w:top w:val="nil"/>
              <w:left w:val="nil"/>
              <w:bottom w:val="nil"/>
              <w:right w:val="nil"/>
            </w:tcBorders>
            <w:shd w:val="clear" w:color="auto" w:fill="auto"/>
            <w:noWrap/>
            <w:vAlign w:val="bottom"/>
            <w:hideMark/>
          </w:tcPr>
          <w:p w14:paraId="503F1B64"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Bone Mineral Density</w:t>
            </w:r>
          </w:p>
        </w:tc>
      </w:tr>
      <w:tr w:rsidR="000514C3" w:rsidRPr="00591BFC" w14:paraId="06A8ADEC" w14:textId="77777777" w:rsidTr="000514C3">
        <w:trPr>
          <w:trHeight w:val="300"/>
        </w:trPr>
        <w:tc>
          <w:tcPr>
            <w:tcW w:w="960" w:type="dxa"/>
            <w:tcBorders>
              <w:top w:val="nil"/>
              <w:left w:val="nil"/>
              <w:bottom w:val="nil"/>
              <w:right w:val="nil"/>
            </w:tcBorders>
            <w:shd w:val="clear" w:color="auto" w:fill="auto"/>
            <w:noWrap/>
            <w:vAlign w:val="bottom"/>
            <w:hideMark/>
          </w:tcPr>
          <w:p w14:paraId="57014B2B"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BNF</w:t>
            </w:r>
          </w:p>
        </w:tc>
        <w:tc>
          <w:tcPr>
            <w:tcW w:w="7600" w:type="dxa"/>
            <w:tcBorders>
              <w:top w:val="nil"/>
              <w:left w:val="nil"/>
              <w:bottom w:val="nil"/>
              <w:right w:val="nil"/>
            </w:tcBorders>
            <w:shd w:val="clear" w:color="auto" w:fill="auto"/>
            <w:noWrap/>
            <w:vAlign w:val="bottom"/>
            <w:hideMark/>
          </w:tcPr>
          <w:p w14:paraId="67AD83DD"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 xml:space="preserve">British National Formulary </w:t>
            </w:r>
          </w:p>
        </w:tc>
      </w:tr>
      <w:tr w:rsidR="000514C3" w:rsidRPr="00591BFC" w14:paraId="6A2DCA8F" w14:textId="77777777" w:rsidTr="000514C3">
        <w:trPr>
          <w:trHeight w:val="300"/>
        </w:trPr>
        <w:tc>
          <w:tcPr>
            <w:tcW w:w="960" w:type="dxa"/>
            <w:tcBorders>
              <w:top w:val="nil"/>
              <w:left w:val="nil"/>
              <w:bottom w:val="nil"/>
              <w:right w:val="nil"/>
            </w:tcBorders>
            <w:shd w:val="clear" w:color="auto" w:fill="auto"/>
            <w:noWrap/>
            <w:vAlign w:val="bottom"/>
            <w:hideMark/>
          </w:tcPr>
          <w:p w14:paraId="1024FB26"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BOA</w:t>
            </w:r>
          </w:p>
        </w:tc>
        <w:tc>
          <w:tcPr>
            <w:tcW w:w="7600" w:type="dxa"/>
            <w:tcBorders>
              <w:top w:val="nil"/>
              <w:left w:val="nil"/>
              <w:bottom w:val="nil"/>
              <w:right w:val="nil"/>
            </w:tcBorders>
            <w:shd w:val="clear" w:color="auto" w:fill="auto"/>
            <w:noWrap/>
            <w:vAlign w:val="bottom"/>
            <w:hideMark/>
          </w:tcPr>
          <w:p w14:paraId="75C38E0F"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British Orthopaedic Association</w:t>
            </w:r>
          </w:p>
        </w:tc>
      </w:tr>
      <w:tr w:rsidR="000514C3" w:rsidRPr="00591BFC" w14:paraId="2AC9EBE5" w14:textId="77777777" w:rsidTr="000514C3">
        <w:trPr>
          <w:trHeight w:val="300"/>
        </w:trPr>
        <w:tc>
          <w:tcPr>
            <w:tcW w:w="960" w:type="dxa"/>
            <w:tcBorders>
              <w:top w:val="nil"/>
              <w:left w:val="nil"/>
              <w:bottom w:val="nil"/>
              <w:right w:val="nil"/>
            </w:tcBorders>
            <w:shd w:val="clear" w:color="auto" w:fill="auto"/>
            <w:noWrap/>
            <w:vAlign w:val="bottom"/>
            <w:hideMark/>
          </w:tcPr>
          <w:p w14:paraId="79C0CC8D"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CCG</w:t>
            </w:r>
          </w:p>
        </w:tc>
        <w:tc>
          <w:tcPr>
            <w:tcW w:w="7600" w:type="dxa"/>
            <w:tcBorders>
              <w:top w:val="nil"/>
              <w:left w:val="nil"/>
              <w:bottom w:val="nil"/>
              <w:right w:val="nil"/>
            </w:tcBorders>
            <w:shd w:val="clear" w:color="auto" w:fill="auto"/>
            <w:noWrap/>
            <w:vAlign w:val="bottom"/>
            <w:hideMark/>
          </w:tcPr>
          <w:p w14:paraId="7474400B"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Clinical Commissioning Group</w:t>
            </w:r>
          </w:p>
        </w:tc>
      </w:tr>
      <w:tr w:rsidR="000514C3" w:rsidRPr="00591BFC" w14:paraId="70EDCBE5" w14:textId="77777777" w:rsidTr="000514C3">
        <w:trPr>
          <w:trHeight w:val="300"/>
        </w:trPr>
        <w:tc>
          <w:tcPr>
            <w:tcW w:w="960" w:type="dxa"/>
            <w:tcBorders>
              <w:top w:val="nil"/>
              <w:left w:val="nil"/>
              <w:bottom w:val="nil"/>
              <w:right w:val="nil"/>
            </w:tcBorders>
            <w:shd w:val="clear" w:color="auto" w:fill="auto"/>
            <w:noWrap/>
            <w:vAlign w:val="bottom"/>
            <w:hideMark/>
          </w:tcPr>
          <w:p w14:paraId="1F6B7A73"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CEAC</w:t>
            </w:r>
          </w:p>
        </w:tc>
        <w:tc>
          <w:tcPr>
            <w:tcW w:w="7600" w:type="dxa"/>
            <w:tcBorders>
              <w:top w:val="nil"/>
              <w:left w:val="nil"/>
              <w:bottom w:val="nil"/>
              <w:right w:val="nil"/>
            </w:tcBorders>
            <w:shd w:val="clear" w:color="auto" w:fill="auto"/>
            <w:noWrap/>
            <w:vAlign w:val="bottom"/>
            <w:hideMark/>
          </w:tcPr>
          <w:p w14:paraId="7945417A"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 xml:space="preserve">Cost-Effectiveness Acceptability Curve </w:t>
            </w:r>
          </w:p>
        </w:tc>
      </w:tr>
      <w:tr w:rsidR="000514C3" w:rsidRPr="00591BFC" w14:paraId="61EB8BB5" w14:textId="77777777" w:rsidTr="000514C3">
        <w:trPr>
          <w:trHeight w:val="300"/>
        </w:trPr>
        <w:tc>
          <w:tcPr>
            <w:tcW w:w="960" w:type="dxa"/>
            <w:tcBorders>
              <w:top w:val="nil"/>
              <w:left w:val="nil"/>
              <w:bottom w:val="nil"/>
              <w:right w:val="nil"/>
            </w:tcBorders>
            <w:shd w:val="clear" w:color="auto" w:fill="auto"/>
            <w:noWrap/>
            <w:vAlign w:val="bottom"/>
            <w:hideMark/>
          </w:tcPr>
          <w:p w14:paraId="6DB403A7"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CI</w:t>
            </w:r>
          </w:p>
        </w:tc>
        <w:tc>
          <w:tcPr>
            <w:tcW w:w="7600" w:type="dxa"/>
            <w:tcBorders>
              <w:top w:val="nil"/>
              <w:left w:val="nil"/>
              <w:bottom w:val="nil"/>
              <w:right w:val="nil"/>
            </w:tcBorders>
            <w:shd w:val="clear" w:color="auto" w:fill="auto"/>
            <w:noWrap/>
            <w:vAlign w:val="bottom"/>
            <w:hideMark/>
          </w:tcPr>
          <w:p w14:paraId="2DFD1A6D"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Confidence Interval</w:t>
            </w:r>
          </w:p>
        </w:tc>
      </w:tr>
      <w:tr w:rsidR="000514C3" w:rsidRPr="00591BFC" w14:paraId="68C407FC" w14:textId="77777777" w:rsidTr="000514C3">
        <w:trPr>
          <w:trHeight w:val="300"/>
        </w:trPr>
        <w:tc>
          <w:tcPr>
            <w:tcW w:w="960" w:type="dxa"/>
            <w:tcBorders>
              <w:top w:val="nil"/>
              <w:left w:val="nil"/>
              <w:bottom w:val="nil"/>
              <w:right w:val="nil"/>
            </w:tcBorders>
            <w:shd w:val="clear" w:color="auto" w:fill="auto"/>
            <w:noWrap/>
            <w:vAlign w:val="bottom"/>
            <w:hideMark/>
          </w:tcPr>
          <w:p w14:paraId="245B7CDE"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CIPS</w:t>
            </w:r>
          </w:p>
        </w:tc>
        <w:tc>
          <w:tcPr>
            <w:tcW w:w="7600" w:type="dxa"/>
            <w:tcBorders>
              <w:top w:val="nil"/>
              <w:left w:val="nil"/>
              <w:bottom w:val="nil"/>
              <w:right w:val="nil"/>
            </w:tcBorders>
            <w:shd w:val="clear" w:color="auto" w:fill="auto"/>
            <w:noWrap/>
            <w:vAlign w:val="bottom"/>
            <w:hideMark/>
          </w:tcPr>
          <w:p w14:paraId="64D20984"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Continuous Inpatient Spell</w:t>
            </w:r>
          </w:p>
        </w:tc>
      </w:tr>
      <w:tr w:rsidR="000514C3" w:rsidRPr="00591BFC" w14:paraId="60AF1F64" w14:textId="77777777" w:rsidTr="000514C3">
        <w:trPr>
          <w:trHeight w:val="300"/>
        </w:trPr>
        <w:tc>
          <w:tcPr>
            <w:tcW w:w="960" w:type="dxa"/>
            <w:tcBorders>
              <w:top w:val="nil"/>
              <w:left w:val="nil"/>
              <w:bottom w:val="nil"/>
              <w:right w:val="nil"/>
            </w:tcBorders>
            <w:shd w:val="clear" w:color="auto" w:fill="auto"/>
            <w:noWrap/>
            <w:vAlign w:val="bottom"/>
            <w:hideMark/>
          </w:tcPr>
          <w:p w14:paraId="43733220"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CPRD</w:t>
            </w:r>
          </w:p>
        </w:tc>
        <w:tc>
          <w:tcPr>
            <w:tcW w:w="7600" w:type="dxa"/>
            <w:tcBorders>
              <w:top w:val="nil"/>
              <w:left w:val="nil"/>
              <w:bottom w:val="nil"/>
              <w:right w:val="nil"/>
            </w:tcBorders>
            <w:shd w:val="clear" w:color="auto" w:fill="auto"/>
            <w:noWrap/>
            <w:vAlign w:val="bottom"/>
            <w:hideMark/>
          </w:tcPr>
          <w:p w14:paraId="3556DED3"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Clinical Practise Research Datalink</w:t>
            </w:r>
          </w:p>
        </w:tc>
      </w:tr>
      <w:tr w:rsidR="000514C3" w:rsidRPr="00591BFC" w14:paraId="3AD9067F" w14:textId="77777777" w:rsidTr="000514C3">
        <w:trPr>
          <w:trHeight w:val="300"/>
        </w:trPr>
        <w:tc>
          <w:tcPr>
            <w:tcW w:w="960" w:type="dxa"/>
            <w:tcBorders>
              <w:top w:val="nil"/>
              <w:left w:val="nil"/>
              <w:bottom w:val="nil"/>
              <w:right w:val="nil"/>
            </w:tcBorders>
            <w:shd w:val="clear" w:color="auto" w:fill="auto"/>
            <w:noWrap/>
            <w:vAlign w:val="bottom"/>
            <w:hideMark/>
          </w:tcPr>
          <w:p w14:paraId="395417E5"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CUREC</w:t>
            </w:r>
          </w:p>
        </w:tc>
        <w:tc>
          <w:tcPr>
            <w:tcW w:w="7600" w:type="dxa"/>
            <w:tcBorders>
              <w:top w:val="nil"/>
              <w:left w:val="nil"/>
              <w:bottom w:val="nil"/>
              <w:right w:val="nil"/>
            </w:tcBorders>
            <w:shd w:val="clear" w:color="auto" w:fill="auto"/>
            <w:noWrap/>
            <w:vAlign w:val="bottom"/>
            <w:hideMark/>
          </w:tcPr>
          <w:p w14:paraId="6A257A7D"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 xml:space="preserve">Central University Research Ethics Committee </w:t>
            </w:r>
          </w:p>
        </w:tc>
      </w:tr>
      <w:tr w:rsidR="000514C3" w:rsidRPr="00591BFC" w14:paraId="6A226467" w14:textId="77777777" w:rsidTr="000514C3">
        <w:trPr>
          <w:trHeight w:val="300"/>
        </w:trPr>
        <w:tc>
          <w:tcPr>
            <w:tcW w:w="960" w:type="dxa"/>
            <w:tcBorders>
              <w:top w:val="nil"/>
              <w:left w:val="nil"/>
              <w:bottom w:val="nil"/>
              <w:right w:val="nil"/>
            </w:tcBorders>
            <w:shd w:val="clear" w:color="auto" w:fill="auto"/>
            <w:noWrap/>
            <w:vAlign w:val="bottom"/>
            <w:hideMark/>
          </w:tcPr>
          <w:p w14:paraId="32DAFDFE"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DXA</w:t>
            </w:r>
          </w:p>
        </w:tc>
        <w:tc>
          <w:tcPr>
            <w:tcW w:w="7600" w:type="dxa"/>
            <w:tcBorders>
              <w:top w:val="nil"/>
              <w:left w:val="nil"/>
              <w:bottom w:val="nil"/>
              <w:right w:val="nil"/>
            </w:tcBorders>
            <w:shd w:val="clear" w:color="auto" w:fill="auto"/>
            <w:noWrap/>
            <w:vAlign w:val="bottom"/>
            <w:hideMark/>
          </w:tcPr>
          <w:p w14:paraId="164EDA89"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Dual Energy X-ray Absorptiometry</w:t>
            </w:r>
          </w:p>
        </w:tc>
      </w:tr>
      <w:tr w:rsidR="000514C3" w:rsidRPr="00591BFC" w14:paraId="47F29DE7" w14:textId="77777777" w:rsidTr="000514C3">
        <w:trPr>
          <w:trHeight w:val="300"/>
        </w:trPr>
        <w:tc>
          <w:tcPr>
            <w:tcW w:w="960" w:type="dxa"/>
            <w:tcBorders>
              <w:top w:val="nil"/>
              <w:left w:val="nil"/>
              <w:bottom w:val="nil"/>
              <w:right w:val="nil"/>
            </w:tcBorders>
            <w:shd w:val="clear" w:color="auto" w:fill="auto"/>
            <w:noWrap/>
            <w:vAlign w:val="bottom"/>
            <w:hideMark/>
          </w:tcPr>
          <w:p w14:paraId="4472AAD2"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EMA</w:t>
            </w:r>
          </w:p>
        </w:tc>
        <w:tc>
          <w:tcPr>
            <w:tcW w:w="7600" w:type="dxa"/>
            <w:tcBorders>
              <w:top w:val="nil"/>
              <w:left w:val="nil"/>
              <w:bottom w:val="nil"/>
              <w:right w:val="nil"/>
            </w:tcBorders>
            <w:shd w:val="clear" w:color="auto" w:fill="auto"/>
            <w:noWrap/>
            <w:vAlign w:val="bottom"/>
            <w:hideMark/>
          </w:tcPr>
          <w:p w14:paraId="7E10073D"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 xml:space="preserve">European Medicines Agency </w:t>
            </w:r>
          </w:p>
        </w:tc>
      </w:tr>
      <w:tr w:rsidR="000514C3" w:rsidRPr="00591BFC" w14:paraId="18AA24F5" w14:textId="77777777" w:rsidTr="000514C3">
        <w:trPr>
          <w:trHeight w:val="300"/>
        </w:trPr>
        <w:tc>
          <w:tcPr>
            <w:tcW w:w="960" w:type="dxa"/>
            <w:tcBorders>
              <w:top w:val="nil"/>
              <w:left w:val="nil"/>
              <w:bottom w:val="nil"/>
              <w:right w:val="nil"/>
            </w:tcBorders>
            <w:shd w:val="clear" w:color="auto" w:fill="auto"/>
            <w:noWrap/>
            <w:vAlign w:val="bottom"/>
            <w:hideMark/>
          </w:tcPr>
          <w:p w14:paraId="41A092BD"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EVPI</w:t>
            </w:r>
          </w:p>
        </w:tc>
        <w:tc>
          <w:tcPr>
            <w:tcW w:w="7600" w:type="dxa"/>
            <w:tcBorders>
              <w:top w:val="nil"/>
              <w:left w:val="nil"/>
              <w:bottom w:val="nil"/>
              <w:right w:val="nil"/>
            </w:tcBorders>
            <w:shd w:val="clear" w:color="auto" w:fill="auto"/>
            <w:noWrap/>
            <w:vAlign w:val="bottom"/>
            <w:hideMark/>
          </w:tcPr>
          <w:p w14:paraId="482A451C"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 xml:space="preserve">Expected Value of Perfect Information </w:t>
            </w:r>
          </w:p>
        </w:tc>
      </w:tr>
      <w:tr w:rsidR="000514C3" w:rsidRPr="00591BFC" w14:paraId="233C5A27" w14:textId="77777777" w:rsidTr="000514C3">
        <w:trPr>
          <w:trHeight w:val="300"/>
        </w:trPr>
        <w:tc>
          <w:tcPr>
            <w:tcW w:w="960" w:type="dxa"/>
            <w:tcBorders>
              <w:top w:val="nil"/>
              <w:left w:val="nil"/>
              <w:bottom w:val="nil"/>
              <w:right w:val="nil"/>
            </w:tcBorders>
            <w:shd w:val="clear" w:color="auto" w:fill="auto"/>
            <w:noWrap/>
            <w:vAlign w:val="bottom"/>
            <w:hideMark/>
          </w:tcPr>
          <w:p w14:paraId="5258800D"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FCE</w:t>
            </w:r>
          </w:p>
        </w:tc>
        <w:tc>
          <w:tcPr>
            <w:tcW w:w="7600" w:type="dxa"/>
            <w:tcBorders>
              <w:top w:val="nil"/>
              <w:left w:val="nil"/>
              <w:bottom w:val="nil"/>
              <w:right w:val="nil"/>
            </w:tcBorders>
            <w:shd w:val="clear" w:color="auto" w:fill="auto"/>
            <w:noWrap/>
            <w:vAlign w:val="bottom"/>
            <w:hideMark/>
          </w:tcPr>
          <w:p w14:paraId="283563A4"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Finished Consultant Episode</w:t>
            </w:r>
          </w:p>
        </w:tc>
      </w:tr>
      <w:tr w:rsidR="000514C3" w:rsidRPr="00591BFC" w14:paraId="3928DDE9" w14:textId="77777777" w:rsidTr="000514C3">
        <w:trPr>
          <w:trHeight w:val="300"/>
        </w:trPr>
        <w:tc>
          <w:tcPr>
            <w:tcW w:w="960" w:type="dxa"/>
            <w:tcBorders>
              <w:top w:val="nil"/>
              <w:left w:val="nil"/>
              <w:bottom w:val="nil"/>
              <w:right w:val="nil"/>
            </w:tcBorders>
            <w:shd w:val="clear" w:color="auto" w:fill="auto"/>
            <w:noWrap/>
            <w:vAlign w:val="bottom"/>
            <w:hideMark/>
          </w:tcPr>
          <w:p w14:paraId="5D5B6042"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FLS</w:t>
            </w:r>
          </w:p>
        </w:tc>
        <w:tc>
          <w:tcPr>
            <w:tcW w:w="7600" w:type="dxa"/>
            <w:tcBorders>
              <w:top w:val="nil"/>
              <w:left w:val="nil"/>
              <w:bottom w:val="nil"/>
              <w:right w:val="nil"/>
            </w:tcBorders>
            <w:shd w:val="clear" w:color="auto" w:fill="auto"/>
            <w:noWrap/>
            <w:vAlign w:val="bottom"/>
            <w:hideMark/>
          </w:tcPr>
          <w:p w14:paraId="1588B8DE"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Fracture Liaison Service</w:t>
            </w:r>
          </w:p>
        </w:tc>
      </w:tr>
      <w:tr w:rsidR="000514C3" w:rsidRPr="00591BFC" w14:paraId="3FCBF19C" w14:textId="77777777" w:rsidTr="000514C3">
        <w:trPr>
          <w:trHeight w:val="300"/>
        </w:trPr>
        <w:tc>
          <w:tcPr>
            <w:tcW w:w="960" w:type="dxa"/>
            <w:tcBorders>
              <w:top w:val="nil"/>
              <w:left w:val="nil"/>
              <w:bottom w:val="nil"/>
              <w:right w:val="nil"/>
            </w:tcBorders>
            <w:shd w:val="clear" w:color="auto" w:fill="auto"/>
            <w:noWrap/>
            <w:vAlign w:val="bottom"/>
            <w:hideMark/>
          </w:tcPr>
          <w:p w14:paraId="6FD61580"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GP</w:t>
            </w:r>
          </w:p>
        </w:tc>
        <w:tc>
          <w:tcPr>
            <w:tcW w:w="7600" w:type="dxa"/>
            <w:tcBorders>
              <w:top w:val="nil"/>
              <w:left w:val="nil"/>
              <w:bottom w:val="nil"/>
              <w:right w:val="nil"/>
            </w:tcBorders>
            <w:shd w:val="clear" w:color="auto" w:fill="auto"/>
            <w:noWrap/>
            <w:vAlign w:val="bottom"/>
            <w:hideMark/>
          </w:tcPr>
          <w:p w14:paraId="0303B1E3"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 xml:space="preserve">General Practitioner </w:t>
            </w:r>
          </w:p>
        </w:tc>
      </w:tr>
      <w:tr w:rsidR="000514C3" w:rsidRPr="00591BFC" w14:paraId="0832404B" w14:textId="77777777" w:rsidTr="000514C3">
        <w:trPr>
          <w:trHeight w:val="300"/>
        </w:trPr>
        <w:tc>
          <w:tcPr>
            <w:tcW w:w="960" w:type="dxa"/>
            <w:tcBorders>
              <w:top w:val="nil"/>
              <w:left w:val="nil"/>
              <w:bottom w:val="nil"/>
              <w:right w:val="nil"/>
            </w:tcBorders>
            <w:shd w:val="clear" w:color="auto" w:fill="auto"/>
            <w:noWrap/>
            <w:vAlign w:val="bottom"/>
            <w:hideMark/>
          </w:tcPr>
          <w:p w14:paraId="0E00C498"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HES</w:t>
            </w:r>
          </w:p>
        </w:tc>
        <w:tc>
          <w:tcPr>
            <w:tcW w:w="7600" w:type="dxa"/>
            <w:tcBorders>
              <w:top w:val="nil"/>
              <w:left w:val="nil"/>
              <w:bottom w:val="nil"/>
              <w:right w:val="nil"/>
            </w:tcBorders>
            <w:shd w:val="clear" w:color="auto" w:fill="auto"/>
            <w:noWrap/>
            <w:vAlign w:val="bottom"/>
            <w:hideMark/>
          </w:tcPr>
          <w:p w14:paraId="4E82BA4F"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Hospital Episode Statistics</w:t>
            </w:r>
          </w:p>
        </w:tc>
      </w:tr>
      <w:tr w:rsidR="000514C3" w:rsidRPr="00591BFC" w14:paraId="2FF0F237" w14:textId="77777777" w:rsidTr="000514C3">
        <w:trPr>
          <w:trHeight w:val="300"/>
        </w:trPr>
        <w:tc>
          <w:tcPr>
            <w:tcW w:w="960" w:type="dxa"/>
            <w:tcBorders>
              <w:top w:val="nil"/>
              <w:left w:val="nil"/>
              <w:bottom w:val="nil"/>
              <w:right w:val="nil"/>
            </w:tcBorders>
            <w:shd w:val="clear" w:color="auto" w:fill="auto"/>
            <w:noWrap/>
            <w:vAlign w:val="bottom"/>
            <w:hideMark/>
          </w:tcPr>
          <w:p w14:paraId="0AD93DB0"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HRG</w:t>
            </w:r>
          </w:p>
        </w:tc>
        <w:tc>
          <w:tcPr>
            <w:tcW w:w="7600" w:type="dxa"/>
            <w:tcBorders>
              <w:top w:val="nil"/>
              <w:left w:val="nil"/>
              <w:bottom w:val="nil"/>
              <w:right w:val="nil"/>
            </w:tcBorders>
            <w:shd w:val="clear" w:color="auto" w:fill="auto"/>
            <w:noWrap/>
            <w:vAlign w:val="bottom"/>
            <w:hideMark/>
          </w:tcPr>
          <w:p w14:paraId="4B204481"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Healthcare Resource Group</w:t>
            </w:r>
          </w:p>
        </w:tc>
      </w:tr>
      <w:tr w:rsidR="000514C3" w:rsidRPr="00591BFC" w14:paraId="6C0F2316" w14:textId="77777777" w:rsidTr="000514C3">
        <w:trPr>
          <w:trHeight w:val="300"/>
        </w:trPr>
        <w:tc>
          <w:tcPr>
            <w:tcW w:w="960" w:type="dxa"/>
            <w:tcBorders>
              <w:top w:val="nil"/>
              <w:left w:val="nil"/>
              <w:bottom w:val="nil"/>
              <w:right w:val="nil"/>
            </w:tcBorders>
            <w:shd w:val="clear" w:color="auto" w:fill="auto"/>
            <w:noWrap/>
            <w:vAlign w:val="bottom"/>
            <w:hideMark/>
          </w:tcPr>
          <w:p w14:paraId="4988EA4B"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ICD</w:t>
            </w:r>
          </w:p>
        </w:tc>
        <w:tc>
          <w:tcPr>
            <w:tcW w:w="7600" w:type="dxa"/>
            <w:tcBorders>
              <w:top w:val="nil"/>
              <w:left w:val="nil"/>
              <w:bottom w:val="nil"/>
              <w:right w:val="nil"/>
            </w:tcBorders>
            <w:shd w:val="clear" w:color="auto" w:fill="auto"/>
            <w:noWrap/>
            <w:vAlign w:val="bottom"/>
            <w:hideMark/>
          </w:tcPr>
          <w:p w14:paraId="24910F92"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International Statistical Classification of Diseases and Related Health Problems</w:t>
            </w:r>
          </w:p>
        </w:tc>
      </w:tr>
      <w:tr w:rsidR="000514C3" w:rsidRPr="00591BFC" w14:paraId="4FDC8B89" w14:textId="77777777" w:rsidTr="000514C3">
        <w:trPr>
          <w:trHeight w:val="300"/>
        </w:trPr>
        <w:tc>
          <w:tcPr>
            <w:tcW w:w="960" w:type="dxa"/>
            <w:tcBorders>
              <w:top w:val="nil"/>
              <w:left w:val="nil"/>
              <w:bottom w:val="nil"/>
              <w:right w:val="nil"/>
            </w:tcBorders>
            <w:shd w:val="clear" w:color="auto" w:fill="auto"/>
            <w:noWrap/>
            <w:vAlign w:val="bottom"/>
            <w:hideMark/>
          </w:tcPr>
          <w:p w14:paraId="1BC1F509"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ICER</w:t>
            </w:r>
          </w:p>
        </w:tc>
        <w:tc>
          <w:tcPr>
            <w:tcW w:w="7600" w:type="dxa"/>
            <w:tcBorders>
              <w:top w:val="nil"/>
              <w:left w:val="nil"/>
              <w:bottom w:val="nil"/>
              <w:right w:val="nil"/>
            </w:tcBorders>
            <w:shd w:val="clear" w:color="auto" w:fill="auto"/>
            <w:noWrap/>
            <w:vAlign w:val="bottom"/>
            <w:hideMark/>
          </w:tcPr>
          <w:p w14:paraId="7AE21F6D"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Incremental Cost Effectiveness Ratio</w:t>
            </w:r>
          </w:p>
        </w:tc>
      </w:tr>
      <w:tr w:rsidR="000514C3" w:rsidRPr="00591BFC" w14:paraId="5E9CBF7F" w14:textId="77777777" w:rsidTr="000514C3">
        <w:trPr>
          <w:trHeight w:val="300"/>
        </w:trPr>
        <w:tc>
          <w:tcPr>
            <w:tcW w:w="960" w:type="dxa"/>
            <w:tcBorders>
              <w:top w:val="nil"/>
              <w:left w:val="nil"/>
              <w:bottom w:val="nil"/>
              <w:right w:val="nil"/>
            </w:tcBorders>
            <w:shd w:val="clear" w:color="auto" w:fill="auto"/>
            <w:noWrap/>
            <w:vAlign w:val="bottom"/>
            <w:hideMark/>
          </w:tcPr>
          <w:p w14:paraId="5AE1F92F"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IOF</w:t>
            </w:r>
          </w:p>
        </w:tc>
        <w:tc>
          <w:tcPr>
            <w:tcW w:w="7600" w:type="dxa"/>
            <w:tcBorders>
              <w:top w:val="nil"/>
              <w:left w:val="nil"/>
              <w:bottom w:val="nil"/>
              <w:right w:val="nil"/>
            </w:tcBorders>
            <w:shd w:val="clear" w:color="auto" w:fill="auto"/>
            <w:noWrap/>
            <w:vAlign w:val="bottom"/>
            <w:hideMark/>
          </w:tcPr>
          <w:p w14:paraId="2A2167ED"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International Osteoporosis Foundation</w:t>
            </w:r>
          </w:p>
        </w:tc>
      </w:tr>
      <w:tr w:rsidR="00391BB3" w:rsidRPr="00591BFC" w14:paraId="6A792EBD" w14:textId="77777777" w:rsidTr="000514C3">
        <w:trPr>
          <w:trHeight w:val="300"/>
        </w:trPr>
        <w:tc>
          <w:tcPr>
            <w:tcW w:w="960" w:type="dxa"/>
            <w:tcBorders>
              <w:top w:val="nil"/>
              <w:left w:val="nil"/>
              <w:bottom w:val="nil"/>
              <w:right w:val="nil"/>
            </w:tcBorders>
            <w:shd w:val="clear" w:color="auto" w:fill="auto"/>
            <w:noWrap/>
            <w:vAlign w:val="bottom"/>
          </w:tcPr>
          <w:p w14:paraId="3E6B4128" w14:textId="77777777" w:rsidR="00391BB3" w:rsidRPr="00591BFC" w:rsidRDefault="00391BB3" w:rsidP="00E86771">
            <w:pPr>
              <w:spacing w:after="0" w:line="360" w:lineRule="auto"/>
              <w:rPr>
                <w:rFonts w:eastAsia="Times New Roman"/>
                <w:color w:val="000000"/>
                <w:lang w:eastAsia="en-GB"/>
              </w:rPr>
            </w:pPr>
            <w:r w:rsidRPr="00591BFC">
              <w:rPr>
                <w:rFonts w:eastAsia="Times New Roman"/>
                <w:color w:val="000000"/>
                <w:lang w:eastAsia="en-GB"/>
              </w:rPr>
              <w:t>IV</w:t>
            </w:r>
          </w:p>
        </w:tc>
        <w:tc>
          <w:tcPr>
            <w:tcW w:w="7600" w:type="dxa"/>
            <w:tcBorders>
              <w:top w:val="nil"/>
              <w:left w:val="nil"/>
              <w:bottom w:val="nil"/>
              <w:right w:val="nil"/>
            </w:tcBorders>
            <w:shd w:val="clear" w:color="auto" w:fill="auto"/>
            <w:noWrap/>
            <w:vAlign w:val="bottom"/>
          </w:tcPr>
          <w:p w14:paraId="33AF6317" w14:textId="77777777" w:rsidR="00391BB3" w:rsidRPr="00591BFC" w:rsidRDefault="00391BB3" w:rsidP="00E86771">
            <w:pPr>
              <w:spacing w:after="0" w:line="360" w:lineRule="auto"/>
              <w:rPr>
                <w:rFonts w:eastAsia="Times New Roman"/>
                <w:color w:val="000000"/>
                <w:lang w:eastAsia="en-GB"/>
              </w:rPr>
            </w:pPr>
            <w:r w:rsidRPr="00591BFC">
              <w:rPr>
                <w:rFonts w:eastAsia="Times New Roman"/>
                <w:color w:val="000000"/>
                <w:lang w:eastAsia="en-GB"/>
              </w:rPr>
              <w:t>Intravenous</w:t>
            </w:r>
          </w:p>
        </w:tc>
      </w:tr>
      <w:tr w:rsidR="000514C3" w:rsidRPr="00591BFC" w14:paraId="5CDF1438" w14:textId="77777777" w:rsidTr="000514C3">
        <w:trPr>
          <w:trHeight w:val="300"/>
        </w:trPr>
        <w:tc>
          <w:tcPr>
            <w:tcW w:w="960" w:type="dxa"/>
            <w:tcBorders>
              <w:top w:val="nil"/>
              <w:left w:val="nil"/>
              <w:bottom w:val="nil"/>
              <w:right w:val="nil"/>
            </w:tcBorders>
            <w:shd w:val="clear" w:color="auto" w:fill="auto"/>
            <w:noWrap/>
            <w:vAlign w:val="bottom"/>
            <w:hideMark/>
          </w:tcPr>
          <w:p w14:paraId="4602EA24"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LY</w:t>
            </w:r>
          </w:p>
        </w:tc>
        <w:tc>
          <w:tcPr>
            <w:tcW w:w="7600" w:type="dxa"/>
            <w:tcBorders>
              <w:top w:val="nil"/>
              <w:left w:val="nil"/>
              <w:bottom w:val="nil"/>
              <w:right w:val="nil"/>
            </w:tcBorders>
            <w:shd w:val="clear" w:color="auto" w:fill="auto"/>
            <w:noWrap/>
            <w:vAlign w:val="bottom"/>
            <w:hideMark/>
          </w:tcPr>
          <w:p w14:paraId="78DD4CFA"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Life Years</w:t>
            </w:r>
          </w:p>
        </w:tc>
      </w:tr>
      <w:tr w:rsidR="000514C3" w:rsidRPr="00591BFC" w14:paraId="0662B802" w14:textId="77777777" w:rsidTr="000514C3">
        <w:trPr>
          <w:trHeight w:val="300"/>
        </w:trPr>
        <w:tc>
          <w:tcPr>
            <w:tcW w:w="960" w:type="dxa"/>
            <w:tcBorders>
              <w:top w:val="nil"/>
              <w:left w:val="nil"/>
              <w:bottom w:val="nil"/>
              <w:right w:val="nil"/>
            </w:tcBorders>
            <w:shd w:val="clear" w:color="auto" w:fill="auto"/>
            <w:noWrap/>
            <w:vAlign w:val="bottom"/>
            <w:hideMark/>
          </w:tcPr>
          <w:p w14:paraId="75179CDB"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MHRA</w:t>
            </w:r>
          </w:p>
        </w:tc>
        <w:tc>
          <w:tcPr>
            <w:tcW w:w="7600" w:type="dxa"/>
            <w:tcBorders>
              <w:top w:val="nil"/>
              <w:left w:val="nil"/>
              <w:bottom w:val="nil"/>
              <w:right w:val="nil"/>
            </w:tcBorders>
            <w:shd w:val="clear" w:color="auto" w:fill="auto"/>
            <w:noWrap/>
            <w:vAlign w:val="bottom"/>
            <w:hideMark/>
          </w:tcPr>
          <w:p w14:paraId="25E968B5"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Medicines and Healthcare products Regulatory Agency</w:t>
            </w:r>
          </w:p>
        </w:tc>
      </w:tr>
      <w:tr w:rsidR="000514C3" w:rsidRPr="00591BFC" w14:paraId="2779A99E" w14:textId="77777777" w:rsidTr="000514C3">
        <w:trPr>
          <w:trHeight w:val="300"/>
        </w:trPr>
        <w:tc>
          <w:tcPr>
            <w:tcW w:w="960" w:type="dxa"/>
            <w:tcBorders>
              <w:top w:val="nil"/>
              <w:left w:val="nil"/>
              <w:bottom w:val="nil"/>
              <w:right w:val="nil"/>
            </w:tcBorders>
            <w:shd w:val="clear" w:color="auto" w:fill="auto"/>
            <w:noWrap/>
            <w:vAlign w:val="bottom"/>
            <w:hideMark/>
          </w:tcPr>
          <w:p w14:paraId="1439C673"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NHFD</w:t>
            </w:r>
          </w:p>
        </w:tc>
        <w:tc>
          <w:tcPr>
            <w:tcW w:w="7600" w:type="dxa"/>
            <w:tcBorders>
              <w:top w:val="nil"/>
              <w:left w:val="nil"/>
              <w:bottom w:val="nil"/>
              <w:right w:val="nil"/>
            </w:tcBorders>
            <w:shd w:val="clear" w:color="auto" w:fill="auto"/>
            <w:noWrap/>
            <w:vAlign w:val="bottom"/>
            <w:hideMark/>
          </w:tcPr>
          <w:p w14:paraId="077ED337"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National Hip Fracture Database</w:t>
            </w:r>
          </w:p>
        </w:tc>
      </w:tr>
      <w:tr w:rsidR="000514C3" w:rsidRPr="00591BFC" w14:paraId="325B5C52" w14:textId="77777777" w:rsidTr="000514C3">
        <w:trPr>
          <w:trHeight w:val="300"/>
        </w:trPr>
        <w:tc>
          <w:tcPr>
            <w:tcW w:w="960" w:type="dxa"/>
            <w:tcBorders>
              <w:top w:val="nil"/>
              <w:left w:val="nil"/>
              <w:bottom w:val="nil"/>
              <w:right w:val="nil"/>
            </w:tcBorders>
            <w:shd w:val="clear" w:color="auto" w:fill="auto"/>
            <w:noWrap/>
            <w:vAlign w:val="bottom"/>
            <w:hideMark/>
          </w:tcPr>
          <w:p w14:paraId="016CD490"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NHS</w:t>
            </w:r>
          </w:p>
        </w:tc>
        <w:tc>
          <w:tcPr>
            <w:tcW w:w="7600" w:type="dxa"/>
            <w:tcBorders>
              <w:top w:val="nil"/>
              <w:left w:val="nil"/>
              <w:bottom w:val="nil"/>
              <w:right w:val="nil"/>
            </w:tcBorders>
            <w:shd w:val="clear" w:color="auto" w:fill="auto"/>
            <w:noWrap/>
            <w:vAlign w:val="bottom"/>
            <w:hideMark/>
          </w:tcPr>
          <w:p w14:paraId="47235AB3"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National Health Service</w:t>
            </w:r>
          </w:p>
        </w:tc>
      </w:tr>
      <w:tr w:rsidR="000514C3" w:rsidRPr="00591BFC" w14:paraId="45002850" w14:textId="77777777" w:rsidTr="000514C3">
        <w:trPr>
          <w:trHeight w:val="300"/>
        </w:trPr>
        <w:tc>
          <w:tcPr>
            <w:tcW w:w="960" w:type="dxa"/>
            <w:tcBorders>
              <w:top w:val="nil"/>
              <w:left w:val="nil"/>
              <w:bottom w:val="nil"/>
              <w:right w:val="nil"/>
            </w:tcBorders>
            <w:shd w:val="clear" w:color="auto" w:fill="auto"/>
            <w:noWrap/>
            <w:vAlign w:val="bottom"/>
            <w:hideMark/>
          </w:tcPr>
          <w:p w14:paraId="75F18C2E"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NICE</w:t>
            </w:r>
          </w:p>
        </w:tc>
        <w:tc>
          <w:tcPr>
            <w:tcW w:w="7600" w:type="dxa"/>
            <w:tcBorders>
              <w:top w:val="nil"/>
              <w:left w:val="nil"/>
              <w:bottom w:val="nil"/>
              <w:right w:val="nil"/>
            </w:tcBorders>
            <w:shd w:val="clear" w:color="auto" w:fill="auto"/>
            <w:noWrap/>
            <w:vAlign w:val="bottom"/>
            <w:hideMark/>
          </w:tcPr>
          <w:p w14:paraId="4E9BAB1C"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National Institute of Clinical Excellence</w:t>
            </w:r>
          </w:p>
        </w:tc>
      </w:tr>
      <w:tr w:rsidR="000514C3" w:rsidRPr="00591BFC" w14:paraId="7186235B" w14:textId="77777777" w:rsidTr="000514C3">
        <w:trPr>
          <w:trHeight w:val="300"/>
        </w:trPr>
        <w:tc>
          <w:tcPr>
            <w:tcW w:w="960" w:type="dxa"/>
            <w:tcBorders>
              <w:top w:val="nil"/>
              <w:left w:val="nil"/>
              <w:bottom w:val="nil"/>
              <w:right w:val="nil"/>
            </w:tcBorders>
            <w:shd w:val="clear" w:color="auto" w:fill="auto"/>
            <w:noWrap/>
            <w:vAlign w:val="bottom"/>
            <w:hideMark/>
          </w:tcPr>
          <w:p w14:paraId="3217686B"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NMB</w:t>
            </w:r>
          </w:p>
        </w:tc>
        <w:tc>
          <w:tcPr>
            <w:tcW w:w="7600" w:type="dxa"/>
            <w:tcBorders>
              <w:top w:val="nil"/>
              <w:left w:val="nil"/>
              <w:bottom w:val="nil"/>
              <w:right w:val="nil"/>
            </w:tcBorders>
            <w:shd w:val="clear" w:color="auto" w:fill="auto"/>
            <w:noWrap/>
            <w:vAlign w:val="bottom"/>
            <w:hideMark/>
          </w:tcPr>
          <w:p w14:paraId="470DA52A"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Net Monetary Benefit</w:t>
            </w:r>
          </w:p>
        </w:tc>
      </w:tr>
      <w:tr w:rsidR="000514C3" w:rsidRPr="00591BFC" w14:paraId="797085D8" w14:textId="77777777" w:rsidTr="000514C3">
        <w:trPr>
          <w:trHeight w:val="300"/>
        </w:trPr>
        <w:tc>
          <w:tcPr>
            <w:tcW w:w="960" w:type="dxa"/>
            <w:tcBorders>
              <w:top w:val="nil"/>
              <w:left w:val="nil"/>
              <w:bottom w:val="nil"/>
              <w:right w:val="nil"/>
            </w:tcBorders>
            <w:shd w:val="clear" w:color="auto" w:fill="auto"/>
            <w:noWrap/>
            <w:vAlign w:val="bottom"/>
            <w:hideMark/>
          </w:tcPr>
          <w:p w14:paraId="420757DD"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NPT</w:t>
            </w:r>
          </w:p>
        </w:tc>
        <w:tc>
          <w:tcPr>
            <w:tcW w:w="7600" w:type="dxa"/>
            <w:tcBorders>
              <w:top w:val="nil"/>
              <w:left w:val="nil"/>
              <w:bottom w:val="nil"/>
              <w:right w:val="nil"/>
            </w:tcBorders>
            <w:shd w:val="clear" w:color="auto" w:fill="auto"/>
            <w:noWrap/>
            <w:vAlign w:val="bottom"/>
            <w:hideMark/>
          </w:tcPr>
          <w:p w14:paraId="2EC2923A"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Normalisation Process Theory</w:t>
            </w:r>
          </w:p>
        </w:tc>
      </w:tr>
      <w:tr w:rsidR="000514C3" w:rsidRPr="00591BFC" w14:paraId="3AD91357" w14:textId="77777777" w:rsidTr="000514C3">
        <w:trPr>
          <w:trHeight w:val="300"/>
        </w:trPr>
        <w:tc>
          <w:tcPr>
            <w:tcW w:w="960" w:type="dxa"/>
            <w:tcBorders>
              <w:top w:val="nil"/>
              <w:left w:val="nil"/>
              <w:bottom w:val="nil"/>
              <w:right w:val="nil"/>
            </w:tcBorders>
            <w:shd w:val="clear" w:color="auto" w:fill="auto"/>
            <w:noWrap/>
            <w:vAlign w:val="bottom"/>
            <w:hideMark/>
          </w:tcPr>
          <w:p w14:paraId="6CCBBA4F"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 xml:space="preserve">OG </w:t>
            </w:r>
          </w:p>
        </w:tc>
        <w:tc>
          <w:tcPr>
            <w:tcW w:w="7600" w:type="dxa"/>
            <w:tcBorders>
              <w:top w:val="nil"/>
              <w:left w:val="nil"/>
              <w:bottom w:val="nil"/>
              <w:right w:val="nil"/>
            </w:tcBorders>
            <w:shd w:val="clear" w:color="auto" w:fill="auto"/>
            <w:noWrap/>
            <w:vAlign w:val="bottom"/>
            <w:hideMark/>
          </w:tcPr>
          <w:p w14:paraId="5EB758DE"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Orthogeriatrician</w:t>
            </w:r>
          </w:p>
        </w:tc>
      </w:tr>
      <w:tr w:rsidR="000514C3" w:rsidRPr="00591BFC" w14:paraId="707E2B86" w14:textId="77777777" w:rsidTr="000514C3">
        <w:trPr>
          <w:trHeight w:val="300"/>
        </w:trPr>
        <w:tc>
          <w:tcPr>
            <w:tcW w:w="960" w:type="dxa"/>
            <w:tcBorders>
              <w:top w:val="nil"/>
              <w:left w:val="nil"/>
              <w:bottom w:val="nil"/>
              <w:right w:val="nil"/>
            </w:tcBorders>
            <w:shd w:val="clear" w:color="auto" w:fill="auto"/>
            <w:noWrap/>
            <w:vAlign w:val="bottom"/>
            <w:hideMark/>
          </w:tcPr>
          <w:p w14:paraId="34C7D084"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ONS</w:t>
            </w:r>
          </w:p>
        </w:tc>
        <w:tc>
          <w:tcPr>
            <w:tcW w:w="7600" w:type="dxa"/>
            <w:tcBorders>
              <w:top w:val="nil"/>
              <w:left w:val="nil"/>
              <w:bottom w:val="nil"/>
              <w:right w:val="nil"/>
            </w:tcBorders>
            <w:shd w:val="clear" w:color="auto" w:fill="auto"/>
            <w:noWrap/>
            <w:vAlign w:val="bottom"/>
            <w:hideMark/>
          </w:tcPr>
          <w:p w14:paraId="70971E9C"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Office for National Statistics</w:t>
            </w:r>
          </w:p>
        </w:tc>
      </w:tr>
      <w:tr w:rsidR="000514C3" w:rsidRPr="00591BFC" w14:paraId="4364F79E" w14:textId="77777777" w:rsidTr="000514C3">
        <w:trPr>
          <w:trHeight w:val="300"/>
        </w:trPr>
        <w:tc>
          <w:tcPr>
            <w:tcW w:w="960" w:type="dxa"/>
            <w:tcBorders>
              <w:top w:val="nil"/>
              <w:left w:val="nil"/>
              <w:bottom w:val="nil"/>
              <w:right w:val="nil"/>
            </w:tcBorders>
            <w:shd w:val="clear" w:color="auto" w:fill="auto"/>
            <w:noWrap/>
            <w:vAlign w:val="bottom"/>
            <w:hideMark/>
          </w:tcPr>
          <w:p w14:paraId="3358A067"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lastRenderedPageBreak/>
              <w:t>PCTs</w:t>
            </w:r>
          </w:p>
        </w:tc>
        <w:tc>
          <w:tcPr>
            <w:tcW w:w="7600" w:type="dxa"/>
            <w:tcBorders>
              <w:top w:val="nil"/>
              <w:left w:val="nil"/>
              <w:bottom w:val="nil"/>
              <w:right w:val="nil"/>
            </w:tcBorders>
            <w:shd w:val="clear" w:color="auto" w:fill="auto"/>
            <w:noWrap/>
            <w:vAlign w:val="bottom"/>
            <w:hideMark/>
          </w:tcPr>
          <w:p w14:paraId="6A0E5879"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Primary Care Trusts</w:t>
            </w:r>
          </w:p>
        </w:tc>
      </w:tr>
      <w:tr w:rsidR="000514C3" w:rsidRPr="00591BFC" w14:paraId="2EF558ED" w14:textId="77777777" w:rsidTr="000514C3">
        <w:trPr>
          <w:trHeight w:val="300"/>
        </w:trPr>
        <w:tc>
          <w:tcPr>
            <w:tcW w:w="960" w:type="dxa"/>
            <w:tcBorders>
              <w:top w:val="nil"/>
              <w:left w:val="nil"/>
              <w:bottom w:val="nil"/>
              <w:right w:val="nil"/>
            </w:tcBorders>
            <w:shd w:val="clear" w:color="auto" w:fill="auto"/>
            <w:noWrap/>
            <w:vAlign w:val="bottom"/>
            <w:hideMark/>
          </w:tcPr>
          <w:p w14:paraId="137C4430"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QALY</w:t>
            </w:r>
          </w:p>
        </w:tc>
        <w:tc>
          <w:tcPr>
            <w:tcW w:w="7600" w:type="dxa"/>
            <w:tcBorders>
              <w:top w:val="nil"/>
              <w:left w:val="nil"/>
              <w:bottom w:val="nil"/>
              <w:right w:val="nil"/>
            </w:tcBorders>
            <w:shd w:val="clear" w:color="auto" w:fill="auto"/>
            <w:noWrap/>
            <w:vAlign w:val="bottom"/>
            <w:hideMark/>
          </w:tcPr>
          <w:p w14:paraId="2150AC79" w14:textId="77777777" w:rsidR="00B52965"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Quality of Life Year</w:t>
            </w:r>
          </w:p>
        </w:tc>
      </w:tr>
      <w:tr w:rsidR="00B52965" w:rsidRPr="00591BFC" w14:paraId="04E2DF0C" w14:textId="77777777" w:rsidTr="000514C3">
        <w:trPr>
          <w:trHeight w:val="300"/>
        </w:trPr>
        <w:tc>
          <w:tcPr>
            <w:tcW w:w="960" w:type="dxa"/>
            <w:tcBorders>
              <w:top w:val="nil"/>
              <w:left w:val="nil"/>
              <w:bottom w:val="nil"/>
              <w:right w:val="nil"/>
            </w:tcBorders>
            <w:shd w:val="clear" w:color="auto" w:fill="auto"/>
            <w:noWrap/>
            <w:vAlign w:val="bottom"/>
          </w:tcPr>
          <w:p w14:paraId="15615411" w14:textId="77777777" w:rsidR="00B52965" w:rsidRPr="00591BFC" w:rsidRDefault="00B52965" w:rsidP="00E86771">
            <w:pPr>
              <w:spacing w:after="0" w:line="360" w:lineRule="auto"/>
              <w:rPr>
                <w:rFonts w:eastAsia="Times New Roman"/>
                <w:color w:val="000000"/>
                <w:lang w:eastAsia="en-GB"/>
              </w:rPr>
            </w:pPr>
            <w:r w:rsidRPr="00591BFC">
              <w:rPr>
                <w:rFonts w:eastAsia="Times New Roman"/>
                <w:color w:val="000000"/>
                <w:lang w:eastAsia="en-GB"/>
              </w:rPr>
              <w:t>QoL</w:t>
            </w:r>
          </w:p>
        </w:tc>
        <w:tc>
          <w:tcPr>
            <w:tcW w:w="7600" w:type="dxa"/>
            <w:tcBorders>
              <w:top w:val="nil"/>
              <w:left w:val="nil"/>
              <w:bottom w:val="nil"/>
              <w:right w:val="nil"/>
            </w:tcBorders>
            <w:shd w:val="clear" w:color="auto" w:fill="auto"/>
            <w:noWrap/>
            <w:vAlign w:val="bottom"/>
          </w:tcPr>
          <w:p w14:paraId="51E2CD17" w14:textId="77777777" w:rsidR="00B52965" w:rsidRPr="00591BFC" w:rsidRDefault="00B52965" w:rsidP="00E86771">
            <w:pPr>
              <w:spacing w:after="0" w:line="360" w:lineRule="auto"/>
              <w:rPr>
                <w:rFonts w:eastAsia="Times New Roman"/>
                <w:color w:val="000000"/>
                <w:lang w:eastAsia="en-GB"/>
              </w:rPr>
            </w:pPr>
            <w:r w:rsidRPr="00591BFC">
              <w:rPr>
                <w:rFonts w:eastAsia="Times New Roman"/>
                <w:color w:val="000000"/>
                <w:lang w:eastAsia="en-GB"/>
              </w:rPr>
              <w:t>Quality of Life</w:t>
            </w:r>
          </w:p>
        </w:tc>
      </w:tr>
      <w:tr w:rsidR="00314B75" w:rsidRPr="00591BFC" w14:paraId="6AB83B87" w14:textId="77777777" w:rsidTr="000514C3">
        <w:trPr>
          <w:trHeight w:val="300"/>
        </w:trPr>
        <w:tc>
          <w:tcPr>
            <w:tcW w:w="960" w:type="dxa"/>
            <w:tcBorders>
              <w:top w:val="nil"/>
              <w:left w:val="nil"/>
              <w:bottom w:val="nil"/>
              <w:right w:val="nil"/>
            </w:tcBorders>
            <w:shd w:val="clear" w:color="auto" w:fill="auto"/>
            <w:noWrap/>
            <w:vAlign w:val="bottom"/>
          </w:tcPr>
          <w:p w14:paraId="0E939439" w14:textId="77777777" w:rsidR="00314B75" w:rsidRPr="00591BFC" w:rsidRDefault="00314B75" w:rsidP="00E86771">
            <w:pPr>
              <w:spacing w:after="0" w:line="360" w:lineRule="auto"/>
              <w:rPr>
                <w:rFonts w:eastAsia="Times New Roman"/>
                <w:color w:val="000000"/>
                <w:lang w:eastAsia="en-GB"/>
              </w:rPr>
            </w:pPr>
            <w:r>
              <w:rPr>
                <w:rFonts w:eastAsia="Times New Roman"/>
                <w:color w:val="000000"/>
                <w:lang w:eastAsia="en-GB"/>
              </w:rPr>
              <w:t>RCT</w:t>
            </w:r>
          </w:p>
        </w:tc>
        <w:tc>
          <w:tcPr>
            <w:tcW w:w="7600" w:type="dxa"/>
            <w:tcBorders>
              <w:top w:val="nil"/>
              <w:left w:val="nil"/>
              <w:bottom w:val="nil"/>
              <w:right w:val="nil"/>
            </w:tcBorders>
            <w:shd w:val="clear" w:color="auto" w:fill="auto"/>
            <w:noWrap/>
            <w:vAlign w:val="bottom"/>
          </w:tcPr>
          <w:p w14:paraId="4EA9FF69" w14:textId="77777777" w:rsidR="00314B75" w:rsidRPr="00591BFC" w:rsidRDefault="00314B75" w:rsidP="00E86771">
            <w:pPr>
              <w:spacing w:after="0" w:line="360" w:lineRule="auto"/>
              <w:rPr>
                <w:rFonts w:eastAsia="Times New Roman"/>
                <w:color w:val="000000"/>
                <w:lang w:eastAsia="en-GB"/>
              </w:rPr>
            </w:pPr>
            <w:r>
              <w:rPr>
                <w:rFonts w:eastAsia="Times New Roman"/>
                <w:color w:val="000000"/>
                <w:lang w:eastAsia="en-GB"/>
              </w:rPr>
              <w:t>Randomised Controlled Trial</w:t>
            </w:r>
          </w:p>
        </w:tc>
      </w:tr>
      <w:tr w:rsidR="000514C3" w:rsidRPr="00591BFC" w14:paraId="1021DF6B" w14:textId="77777777" w:rsidTr="000514C3">
        <w:trPr>
          <w:trHeight w:val="300"/>
        </w:trPr>
        <w:tc>
          <w:tcPr>
            <w:tcW w:w="960" w:type="dxa"/>
            <w:tcBorders>
              <w:top w:val="nil"/>
              <w:left w:val="nil"/>
              <w:bottom w:val="nil"/>
              <w:right w:val="nil"/>
            </w:tcBorders>
            <w:shd w:val="clear" w:color="auto" w:fill="auto"/>
            <w:noWrap/>
            <w:vAlign w:val="bottom"/>
            <w:hideMark/>
          </w:tcPr>
          <w:p w14:paraId="38D0A8D3"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SD</w:t>
            </w:r>
          </w:p>
        </w:tc>
        <w:tc>
          <w:tcPr>
            <w:tcW w:w="7600" w:type="dxa"/>
            <w:tcBorders>
              <w:top w:val="nil"/>
              <w:left w:val="nil"/>
              <w:bottom w:val="nil"/>
              <w:right w:val="nil"/>
            </w:tcBorders>
            <w:shd w:val="clear" w:color="auto" w:fill="auto"/>
            <w:noWrap/>
            <w:vAlign w:val="bottom"/>
            <w:hideMark/>
          </w:tcPr>
          <w:p w14:paraId="37E96704"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Standard Deviation</w:t>
            </w:r>
          </w:p>
        </w:tc>
      </w:tr>
      <w:tr w:rsidR="000514C3" w:rsidRPr="00591BFC" w14:paraId="09CADE1C" w14:textId="77777777" w:rsidTr="000514C3">
        <w:trPr>
          <w:trHeight w:val="300"/>
        </w:trPr>
        <w:tc>
          <w:tcPr>
            <w:tcW w:w="960" w:type="dxa"/>
            <w:tcBorders>
              <w:top w:val="nil"/>
              <w:left w:val="nil"/>
              <w:bottom w:val="nil"/>
              <w:right w:val="nil"/>
            </w:tcBorders>
            <w:shd w:val="clear" w:color="auto" w:fill="auto"/>
            <w:noWrap/>
            <w:vAlign w:val="bottom"/>
            <w:hideMark/>
          </w:tcPr>
          <w:p w14:paraId="7E84D2F9"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WTE</w:t>
            </w:r>
          </w:p>
        </w:tc>
        <w:tc>
          <w:tcPr>
            <w:tcW w:w="7600" w:type="dxa"/>
            <w:tcBorders>
              <w:top w:val="nil"/>
              <w:left w:val="nil"/>
              <w:bottom w:val="nil"/>
              <w:right w:val="nil"/>
            </w:tcBorders>
            <w:shd w:val="clear" w:color="auto" w:fill="auto"/>
            <w:noWrap/>
            <w:vAlign w:val="bottom"/>
            <w:hideMark/>
          </w:tcPr>
          <w:p w14:paraId="489EA91F" w14:textId="77777777" w:rsidR="000514C3" w:rsidRPr="00591BFC" w:rsidRDefault="000514C3" w:rsidP="00E86771">
            <w:pPr>
              <w:spacing w:after="0" w:line="360" w:lineRule="auto"/>
              <w:rPr>
                <w:rFonts w:eastAsia="Times New Roman"/>
                <w:color w:val="000000"/>
                <w:lang w:eastAsia="en-GB"/>
              </w:rPr>
            </w:pPr>
            <w:r w:rsidRPr="00591BFC">
              <w:rPr>
                <w:rFonts w:eastAsia="Times New Roman"/>
                <w:color w:val="000000"/>
                <w:lang w:eastAsia="en-GB"/>
              </w:rPr>
              <w:t>Whole Time Equivalent</w:t>
            </w:r>
          </w:p>
        </w:tc>
      </w:tr>
    </w:tbl>
    <w:p w14:paraId="46B79577" w14:textId="77777777" w:rsidR="000514C3" w:rsidRPr="00591BFC" w:rsidRDefault="000514C3" w:rsidP="00E86771">
      <w:pPr>
        <w:spacing w:line="360" w:lineRule="auto"/>
        <w:rPr>
          <w:lang w:eastAsia="x-none"/>
        </w:rPr>
      </w:pPr>
    </w:p>
    <w:p w14:paraId="0BEDC00A" w14:textId="77777777" w:rsidR="000514C3" w:rsidRPr="00591BFC" w:rsidRDefault="000514C3" w:rsidP="00E86771">
      <w:pPr>
        <w:spacing w:line="360" w:lineRule="auto"/>
        <w:rPr>
          <w:lang w:eastAsia="x-none"/>
        </w:rPr>
      </w:pPr>
    </w:p>
    <w:p w14:paraId="3AECEFE3" w14:textId="77777777" w:rsidR="008D5884" w:rsidRPr="00591BFC" w:rsidRDefault="00CF2E21" w:rsidP="00E86771">
      <w:pPr>
        <w:pStyle w:val="Heading1"/>
        <w:spacing w:line="360" w:lineRule="auto"/>
        <w:rPr>
          <w:rFonts w:ascii="Calibri" w:hAnsi="Calibri"/>
          <w:lang w:val="en-GB"/>
        </w:rPr>
      </w:pPr>
      <w:r w:rsidRPr="00591BFC">
        <w:rPr>
          <w:rFonts w:ascii="Calibri" w:hAnsi="Calibri"/>
          <w:lang w:val="en-GB"/>
        </w:rPr>
        <w:br w:type="page"/>
      </w:r>
      <w:bookmarkStart w:id="13" w:name="_Toc308300687"/>
      <w:bookmarkStart w:id="14" w:name="_Toc311366494"/>
      <w:r w:rsidR="008D5884" w:rsidRPr="00591BFC">
        <w:rPr>
          <w:rFonts w:ascii="Calibri" w:hAnsi="Calibri"/>
          <w:lang w:val="en-GB"/>
        </w:rPr>
        <w:lastRenderedPageBreak/>
        <w:t>Glossary</w:t>
      </w:r>
      <w:bookmarkEnd w:id="13"/>
      <w:bookmarkEnd w:id="14"/>
    </w:p>
    <w:p w14:paraId="2EBBB068" w14:textId="77777777" w:rsidR="004F5E7C" w:rsidRPr="00591BFC" w:rsidRDefault="004F5E7C" w:rsidP="00E86771">
      <w:pPr>
        <w:spacing w:line="360" w:lineRule="auto"/>
        <w:rPr>
          <w:lang w:eastAsia="x-none"/>
        </w:rPr>
      </w:pPr>
      <w:r w:rsidRPr="00591BFC">
        <w:rPr>
          <w:lang w:eastAsia="x-none"/>
        </w:rPr>
        <w:t xml:space="preserve">Charlson comorbities: an index of diseases which predicts ten year mortality for a patient with comorbid conditions. </w:t>
      </w:r>
    </w:p>
    <w:p w14:paraId="716B508F" w14:textId="77777777" w:rsidR="004F5E7C" w:rsidRPr="00591BFC" w:rsidRDefault="004F5E7C" w:rsidP="00E86771">
      <w:pPr>
        <w:spacing w:line="360" w:lineRule="auto"/>
        <w:rPr>
          <w:lang w:eastAsia="x-none"/>
        </w:rPr>
      </w:pPr>
      <w:r w:rsidRPr="00591BFC">
        <w:rPr>
          <w:lang w:eastAsia="x-none"/>
        </w:rPr>
        <w:t xml:space="preserve">Clinical Commissioning Groups: MHS organisations which organise the delivery of NHS serives in England. </w:t>
      </w:r>
    </w:p>
    <w:p w14:paraId="3CFE626E" w14:textId="77777777" w:rsidR="004F5E7C" w:rsidRPr="00591BFC" w:rsidRDefault="004F5E7C" w:rsidP="00E86771">
      <w:pPr>
        <w:spacing w:line="360" w:lineRule="auto"/>
        <w:rPr>
          <w:lang w:eastAsia="x-none"/>
        </w:rPr>
      </w:pPr>
      <w:r w:rsidRPr="00591BFC">
        <w:rPr>
          <w:lang w:eastAsia="x-none"/>
        </w:rPr>
        <w:t>Continuous Inpatient Spell: a continuous period of care within the NHS.</w:t>
      </w:r>
    </w:p>
    <w:p w14:paraId="0612DFC5" w14:textId="77777777" w:rsidR="004F5E7C" w:rsidRPr="00591BFC" w:rsidRDefault="004F5E7C" w:rsidP="00E86771">
      <w:pPr>
        <w:spacing w:line="360" w:lineRule="auto"/>
        <w:rPr>
          <w:lang w:eastAsia="x-none"/>
        </w:rPr>
      </w:pPr>
      <w:r w:rsidRPr="00591BFC">
        <w:rPr>
          <w:lang w:eastAsia="x-none"/>
        </w:rPr>
        <w:t xml:space="preserve">Health Resource Group: a grouping of events or procedures performed in the NHS which use a similar level on resources. </w:t>
      </w:r>
    </w:p>
    <w:p w14:paraId="1D1F38D3" w14:textId="77777777" w:rsidR="004F5E7C" w:rsidRPr="00591BFC" w:rsidRDefault="004F5E7C" w:rsidP="00E86771">
      <w:pPr>
        <w:spacing w:line="360" w:lineRule="auto"/>
        <w:rPr>
          <w:lang w:eastAsia="x-none"/>
        </w:rPr>
      </w:pPr>
      <w:r w:rsidRPr="00591BFC">
        <w:rPr>
          <w:lang w:eastAsia="x-none"/>
        </w:rPr>
        <w:t xml:space="preserve">ICD-10: a medical classification list containing codes for diseases, injuries, and symptoms for example, produced by the World Health Organisation. </w:t>
      </w:r>
    </w:p>
    <w:p w14:paraId="51D3A93A" w14:textId="77777777" w:rsidR="004F5E7C" w:rsidRPr="00591BFC" w:rsidRDefault="004F5E7C" w:rsidP="00E86771">
      <w:pPr>
        <w:spacing w:line="360" w:lineRule="auto"/>
        <w:rPr>
          <w:lang w:eastAsia="x-none"/>
        </w:rPr>
      </w:pPr>
      <w:r w:rsidRPr="00591BFC">
        <w:rPr>
          <w:lang w:eastAsia="x-none"/>
        </w:rPr>
        <w:t>International Osteoporosis Foundation: a global alliance of pat</w:t>
      </w:r>
      <w:r w:rsidR="006433D3">
        <w:rPr>
          <w:lang w:eastAsia="x-none"/>
        </w:rPr>
        <w:t>ient societies, research organis</w:t>
      </w:r>
      <w:r w:rsidRPr="00591BFC">
        <w:rPr>
          <w:lang w:eastAsia="x-none"/>
        </w:rPr>
        <w:t>ations, healthcare professionals and international companies working to promote bone, muscle and joint health.</w:t>
      </w:r>
    </w:p>
    <w:p w14:paraId="40100736" w14:textId="77777777" w:rsidR="004F5E7C" w:rsidRPr="00591BFC" w:rsidRDefault="004F5E7C" w:rsidP="00E86771">
      <w:pPr>
        <w:spacing w:line="360" w:lineRule="auto"/>
        <w:rPr>
          <w:lang w:eastAsia="x-none"/>
        </w:rPr>
      </w:pPr>
      <w:r w:rsidRPr="00591BFC">
        <w:rPr>
          <w:lang w:eastAsia="x-none"/>
        </w:rPr>
        <w:t>National Osteoporosis Society: A United Kingdom based osteoporosis charity</w:t>
      </w:r>
    </w:p>
    <w:p w14:paraId="41F18719" w14:textId="77777777" w:rsidR="004F5E7C" w:rsidRPr="00591BFC" w:rsidRDefault="004F5E7C" w:rsidP="00E86771">
      <w:pPr>
        <w:spacing w:line="360" w:lineRule="auto"/>
        <w:rPr>
          <w:lang w:eastAsia="x-none"/>
        </w:rPr>
      </w:pPr>
      <w:r w:rsidRPr="00591BFC">
        <w:rPr>
          <w:lang w:eastAsia="x-none"/>
        </w:rPr>
        <w:t>Normalisation Process Theory: a method to look at how the collective actions of agents drive the implementation of a new service</w:t>
      </w:r>
    </w:p>
    <w:p w14:paraId="69D893CF" w14:textId="77777777" w:rsidR="004F5E7C" w:rsidRPr="00591BFC" w:rsidRDefault="004F5E7C" w:rsidP="00E86771">
      <w:pPr>
        <w:spacing w:line="360" w:lineRule="auto"/>
        <w:rPr>
          <w:lang w:eastAsia="x-none"/>
        </w:rPr>
      </w:pPr>
      <w:r w:rsidRPr="00591BFC">
        <w:rPr>
          <w:lang w:eastAsia="x-none"/>
        </w:rPr>
        <w:t>OPCS-4: a list of codes for operation, procedures and interventions performed.</w:t>
      </w:r>
    </w:p>
    <w:p w14:paraId="34AB6236" w14:textId="77777777" w:rsidR="001B32C0" w:rsidRPr="00591BFC" w:rsidRDefault="004F5E7C" w:rsidP="00E86771">
      <w:pPr>
        <w:spacing w:line="360" w:lineRule="auto"/>
        <w:rPr>
          <w:lang w:eastAsia="x-none"/>
        </w:rPr>
      </w:pPr>
      <w:r w:rsidRPr="00591BFC">
        <w:rPr>
          <w:lang w:eastAsia="x-none"/>
        </w:rPr>
        <w:t>Periprosthetic fracture: a fracture which occurs around the components of a total hip replacement.</w:t>
      </w:r>
    </w:p>
    <w:p w14:paraId="2DE38EAE" w14:textId="77777777" w:rsidR="00D8677B" w:rsidRPr="00591BFC" w:rsidRDefault="00246B0C" w:rsidP="00E86771">
      <w:pPr>
        <w:pStyle w:val="Heading1"/>
        <w:spacing w:line="360" w:lineRule="auto"/>
        <w:rPr>
          <w:rFonts w:ascii="Calibri" w:hAnsi="Calibri"/>
          <w:lang w:val="en-GB"/>
        </w:rPr>
      </w:pPr>
      <w:r>
        <w:rPr>
          <w:rFonts w:ascii="Calibri" w:hAnsi="Calibri"/>
          <w:lang w:val="en-GB"/>
        </w:rPr>
        <w:br w:type="page"/>
      </w:r>
      <w:bookmarkStart w:id="15" w:name="_Toc308300688"/>
      <w:bookmarkStart w:id="16" w:name="_Toc311366495"/>
      <w:r w:rsidR="00D8677B" w:rsidRPr="00591BFC">
        <w:rPr>
          <w:rFonts w:ascii="Calibri" w:hAnsi="Calibri"/>
          <w:lang w:val="en-GB"/>
        </w:rPr>
        <w:lastRenderedPageBreak/>
        <w:t>Scientific summary</w:t>
      </w:r>
      <w:bookmarkEnd w:id="15"/>
      <w:bookmarkEnd w:id="16"/>
    </w:p>
    <w:p w14:paraId="0DE5739E" w14:textId="77777777" w:rsidR="00D8677B" w:rsidRPr="00591BFC" w:rsidRDefault="00D8677B" w:rsidP="00E86771">
      <w:pPr>
        <w:pStyle w:val="Heading2"/>
        <w:spacing w:line="360" w:lineRule="auto"/>
        <w:rPr>
          <w:rFonts w:ascii="Calibri" w:hAnsi="Calibri"/>
          <w:lang w:val="en-GB"/>
        </w:rPr>
      </w:pPr>
      <w:bookmarkStart w:id="17" w:name="_Toc308300689"/>
      <w:bookmarkStart w:id="18" w:name="_Toc311366496"/>
      <w:r w:rsidRPr="00591BFC">
        <w:rPr>
          <w:rFonts w:ascii="Calibri" w:hAnsi="Calibri"/>
          <w:lang w:val="en-GB"/>
        </w:rPr>
        <w:t>Background</w:t>
      </w:r>
      <w:bookmarkEnd w:id="17"/>
      <w:bookmarkEnd w:id="18"/>
    </w:p>
    <w:p w14:paraId="36913609" w14:textId="77777777" w:rsidR="00D8677B" w:rsidRPr="00591BFC" w:rsidRDefault="00D8677B" w:rsidP="00E86771">
      <w:pPr>
        <w:spacing w:line="360" w:lineRule="auto"/>
        <w:rPr>
          <w:vertAlign w:val="superscript"/>
        </w:rPr>
      </w:pPr>
      <w:r w:rsidRPr="00591BFC">
        <w:t>Osteoporosis is a common bone disease affecting t</w:t>
      </w:r>
      <w:r w:rsidR="00542ED0" w:rsidRPr="00591BFC">
        <w:t>hree million patients in the UK</w:t>
      </w:r>
      <w:r w:rsidRPr="00591BFC">
        <w:t xml:space="preserve">. Of all the types of osteoporotic fracture, hip fractures are the most costly and a major public health problem due to an </w:t>
      </w:r>
      <w:r w:rsidR="00852B5E" w:rsidRPr="00591BFC">
        <w:t>ageing</w:t>
      </w:r>
      <w:r w:rsidRPr="00591BFC">
        <w:t xml:space="preserve"> population. Hip fractures usually occur as</w:t>
      </w:r>
      <w:r w:rsidR="00896307" w:rsidRPr="00591BFC">
        <w:t xml:space="preserve"> a</w:t>
      </w:r>
      <w:r w:rsidRPr="00591BFC">
        <w:t xml:space="preserve"> result of a low-impact fall in individuals with underlying bone fragility due to osteoporosis. About 87,000 hip fractures occur annually in the UK, with a cost (including medical and social care) amounting to about £2.3 billion a year. </w:t>
      </w:r>
    </w:p>
    <w:p w14:paraId="7BD2D59A" w14:textId="00C9EACD" w:rsidR="00D8677B" w:rsidRPr="00591BFC" w:rsidRDefault="00DF57C2" w:rsidP="00E86771">
      <w:pPr>
        <w:spacing w:line="360" w:lineRule="auto"/>
      </w:pPr>
      <w:r w:rsidRPr="00591BFC">
        <w:t>There are two princ</w:t>
      </w:r>
      <w:r w:rsidR="00852B5E" w:rsidRPr="00591BFC">
        <w:t>ipal</w:t>
      </w:r>
      <w:r w:rsidRPr="00591BFC">
        <w:t xml:space="preserve"> stages of health care following hip fracture: state of the art care to ensure patients achieve optimal recovery and then effective secondary fracture prevention to ensure health is maintained</w:t>
      </w:r>
      <w:r w:rsidR="00852B5E" w:rsidRPr="00591BFC">
        <w:t>. This second stage is needed</w:t>
      </w:r>
      <w:r w:rsidRPr="00591BFC">
        <w:t xml:space="preserve"> as p</w:t>
      </w:r>
      <w:r w:rsidR="00D8677B" w:rsidRPr="00591BFC">
        <w:t>atients are at considerable risk for subsequent falls, osteoporotic fractures and premature death. Mortality during the first year after fracture ranges from 8.4% to 36%</w:t>
      </w:r>
      <w:r w:rsidR="00147424">
        <w:t xml:space="preserve"> and</w:t>
      </w:r>
      <w:r w:rsidR="00542ED0" w:rsidRPr="00591BFC">
        <w:t xml:space="preserve"> </w:t>
      </w:r>
      <w:r w:rsidR="00147424">
        <w:t>t</w:t>
      </w:r>
      <w:r w:rsidR="00542ED0" w:rsidRPr="00591BFC">
        <w:t xml:space="preserve">he risk of second hip fracture ranges from 2.3% to 10.6%. </w:t>
      </w:r>
      <w:r w:rsidR="00147424">
        <w:t>R</w:t>
      </w:r>
      <w:r w:rsidR="00542ED0" w:rsidRPr="00591BFC">
        <w:t xml:space="preserve">esponding to the first fracture presents a golden opportunity to prevent further fractures. </w:t>
      </w:r>
      <w:r w:rsidR="00147424" w:rsidRPr="00591BFC">
        <w:t>The risk of further fracture can be reduced by up to half with bone protection therapy.</w:t>
      </w:r>
      <w:r w:rsidR="00147424">
        <w:t xml:space="preserve"> </w:t>
      </w:r>
      <w:r w:rsidR="00542ED0" w:rsidRPr="00591BFC">
        <w:t xml:space="preserve">Effective management </w:t>
      </w:r>
      <w:r w:rsidR="00852B5E" w:rsidRPr="00591BFC">
        <w:t>for</w:t>
      </w:r>
      <w:r w:rsidR="00542ED0" w:rsidRPr="00591BFC">
        <w:t xml:space="preserve"> these patients can significantly reduce this risk, which is why professional bodies have produced comprehensive guidance about the management of hip fracture </w:t>
      </w:r>
      <w:r w:rsidRPr="00591BFC">
        <w:t>and these recommend two types of complimentary service</w:t>
      </w:r>
      <w:r w:rsidR="00D0045F" w:rsidRPr="00591BFC">
        <w:t>s</w:t>
      </w:r>
      <w:r w:rsidR="00B52965" w:rsidRPr="00591BFC">
        <w:t>: 1)</w:t>
      </w:r>
      <w:r w:rsidRPr="00591BFC">
        <w:t xml:space="preserve"> orthogeriatric services focusing on achieving optimal recovery</w:t>
      </w:r>
      <w:r w:rsidR="00B52965" w:rsidRPr="00591BFC">
        <w:t>,</w:t>
      </w:r>
      <w:r w:rsidRPr="00591BFC">
        <w:t xml:space="preserve"> and</w:t>
      </w:r>
      <w:r w:rsidR="00B52965" w:rsidRPr="00591BFC">
        <w:t xml:space="preserve"> 2)</w:t>
      </w:r>
      <w:r w:rsidRPr="00591BFC">
        <w:t xml:space="preserve"> fracture liaison services (FLS) focusing on</w:t>
      </w:r>
      <w:r w:rsidR="00B52965" w:rsidRPr="00591BFC">
        <w:t xml:space="preserve"> secondary fracture prevention.</w:t>
      </w:r>
    </w:p>
    <w:p w14:paraId="62596915" w14:textId="77777777" w:rsidR="00C819D3" w:rsidRPr="00591BFC" w:rsidRDefault="00C819D3" w:rsidP="00E86771">
      <w:pPr>
        <w:spacing w:line="360" w:lineRule="auto"/>
      </w:pPr>
      <w:r w:rsidRPr="00591BFC">
        <w:rPr>
          <w:i/>
        </w:rPr>
        <w:t>Orthogeriatric services</w:t>
      </w:r>
      <w:r w:rsidRPr="00591BFC">
        <w:t xml:space="preserve"> are designed to provide specialist geriatric care to the frail </w:t>
      </w:r>
      <w:r w:rsidR="00852B5E" w:rsidRPr="00591BFC">
        <w:t>older</w:t>
      </w:r>
      <w:r w:rsidRPr="00591BFC">
        <w:t xml:space="preserve"> trauma patient</w:t>
      </w:r>
      <w:r w:rsidR="00650176" w:rsidRPr="00591BFC">
        <w:t xml:space="preserve"> </w:t>
      </w:r>
      <w:r w:rsidRPr="00591BFC">
        <w:t>and are integral to multidisciplinary management following admission both pre</w:t>
      </w:r>
      <w:r w:rsidR="004D2401" w:rsidRPr="00591BFC">
        <w:t>-</w:t>
      </w:r>
      <w:r w:rsidRPr="00591BFC">
        <w:t>, peri</w:t>
      </w:r>
      <w:r w:rsidR="004D2401" w:rsidRPr="00591BFC">
        <w:t>-</w:t>
      </w:r>
      <w:r w:rsidRPr="00591BFC">
        <w:t xml:space="preserve"> and post</w:t>
      </w:r>
      <w:r w:rsidR="004D2401" w:rsidRPr="00591BFC">
        <w:t>-</w:t>
      </w:r>
      <w:r w:rsidRPr="00591BFC">
        <w:t xml:space="preserve"> operatively</w:t>
      </w:r>
      <w:r w:rsidR="004D2401" w:rsidRPr="00591BFC">
        <w:t>.</w:t>
      </w:r>
      <w:r w:rsidRPr="00591BFC">
        <w:t xml:space="preserve"> The components include rapid optimi</w:t>
      </w:r>
      <w:r w:rsidR="00D0045F" w:rsidRPr="00591BFC">
        <w:t>s</w:t>
      </w:r>
      <w:r w:rsidRPr="00591BFC">
        <w:t>atio</w:t>
      </w:r>
      <w:r w:rsidR="008E669E" w:rsidRPr="00591BFC">
        <w:t>n</w:t>
      </w:r>
      <w:r w:rsidRPr="00591BFC">
        <w:t xml:space="preserve"> of fitness for surgery, early identification of rehabilitation goals to facilitate return to pre-fracture residence and </w:t>
      </w:r>
      <w:r w:rsidR="00B52965" w:rsidRPr="00591BFC">
        <w:t>long-term</w:t>
      </w:r>
      <w:r w:rsidRPr="00591BFC">
        <w:t xml:space="preserve"> wellbeing as appropriate and integrating with related services</w:t>
      </w:r>
      <w:r w:rsidR="008E669E" w:rsidRPr="00591BFC">
        <w:t xml:space="preserve"> within the secondary care and community including secondary fracture prevention</w:t>
      </w:r>
      <w:r w:rsidRPr="00591BFC">
        <w:t>. A number</w:t>
      </w:r>
      <w:r w:rsidR="00896307" w:rsidRPr="00591BFC">
        <w:t xml:space="preserve"> of</w:t>
      </w:r>
      <w:r w:rsidRPr="00591BFC">
        <w:t xml:space="preserve"> models of orthogeriatric care exist, including reactive consultations, regular liaison visits, </w:t>
      </w:r>
      <w:r w:rsidR="00617823" w:rsidRPr="00591BFC">
        <w:t>post-operative</w:t>
      </w:r>
      <w:r w:rsidRPr="00591BFC">
        <w:t xml:space="preserve"> transfer to the geriatric ward for rehabilitation and joint care on a dedicated orthogeriatric ward. </w:t>
      </w:r>
    </w:p>
    <w:p w14:paraId="1B213973" w14:textId="77777777" w:rsidR="00542ED0" w:rsidRPr="00591BFC" w:rsidRDefault="00542ED0" w:rsidP="00E86771">
      <w:pPr>
        <w:spacing w:line="360" w:lineRule="auto"/>
      </w:pPr>
      <w:r w:rsidRPr="00591BFC">
        <w:rPr>
          <w:i/>
        </w:rPr>
        <w:t>Fracture prevention services</w:t>
      </w:r>
      <w:r w:rsidRPr="00591BFC">
        <w:t xml:space="preserve"> should have four main components: case finding those at risk of further fractures; undertaking an evidence-based osteoporosis assessment; treatment initiation in accordance with guidelines for both bone health and falls risk reduction; and then strategies to monitor and improve adherence to recommended therapies. Since the provision of these services is multi-disciplinary</w:t>
      </w:r>
      <w:r w:rsidR="004D2401" w:rsidRPr="00591BFC">
        <w:t>,</w:t>
      </w:r>
      <w:r w:rsidRPr="00591BFC">
        <w:t xml:space="preserve"> guidance recommends structuring services around a dedicated coordinator who </w:t>
      </w:r>
      <w:r w:rsidRPr="00591BFC">
        <w:lastRenderedPageBreak/>
        <w:t>provides a link between all the multi-disciplinary teams invo</w:t>
      </w:r>
      <w:r w:rsidR="004D2401" w:rsidRPr="00591BFC">
        <w:t>lved in fracture prevention</w:t>
      </w:r>
      <w:r w:rsidRPr="00591BFC">
        <w:t>, an approach known a</w:t>
      </w:r>
      <w:r w:rsidR="004D2401" w:rsidRPr="00591BFC">
        <w:t>s a Fracture Liaison Service</w:t>
      </w:r>
      <w:r w:rsidRPr="00591BFC">
        <w:t>. Despite such guidelines being in place, there still exists significant variation in how fracture prevention services are structured between hospitals.</w:t>
      </w:r>
    </w:p>
    <w:p w14:paraId="64A5BD0D" w14:textId="77777777" w:rsidR="000C151C" w:rsidRPr="00591BFC" w:rsidRDefault="00B52965" w:rsidP="00E86771">
      <w:pPr>
        <w:spacing w:line="360" w:lineRule="auto"/>
      </w:pPr>
      <w:r w:rsidRPr="00591BFC">
        <w:t xml:space="preserve">This report describes </w:t>
      </w:r>
      <w:r w:rsidR="000C151C" w:rsidRPr="00591BFC">
        <w:t xml:space="preserve">variation in the delivery of secondary fracture prevention services across </w:t>
      </w:r>
      <w:r w:rsidRPr="00591BFC">
        <w:t xml:space="preserve">hospitals in </w:t>
      </w:r>
      <w:r w:rsidR="000C151C" w:rsidRPr="00591BFC">
        <w:t>one region</w:t>
      </w:r>
      <w:r w:rsidRPr="00591BFC">
        <w:t xml:space="preserve"> of</w:t>
      </w:r>
      <w:r w:rsidR="000C151C" w:rsidRPr="00591BFC">
        <w:t xml:space="preserve"> England and how these have changed over the past decade. It </w:t>
      </w:r>
      <w:r w:rsidRPr="00591BFC">
        <w:t>assesses in detail the clinical</w:t>
      </w:r>
      <w:r w:rsidR="000C151C" w:rsidRPr="00591BFC">
        <w:t xml:space="preserve"> and cost-effectiveness of these models of care, and describes the views of health professionals on what aspects of the service are most important to them and how to successfully implement a fracture prevention service.  </w:t>
      </w:r>
    </w:p>
    <w:p w14:paraId="4552987A" w14:textId="77777777" w:rsidR="00D8677B" w:rsidRPr="00591BFC" w:rsidRDefault="00D8677B" w:rsidP="00E86771">
      <w:pPr>
        <w:pStyle w:val="Heading2"/>
        <w:spacing w:line="360" w:lineRule="auto"/>
        <w:rPr>
          <w:rFonts w:ascii="Calibri" w:hAnsi="Calibri"/>
          <w:lang w:val="en-GB"/>
        </w:rPr>
      </w:pPr>
      <w:bookmarkStart w:id="19" w:name="_Toc308300690"/>
      <w:bookmarkStart w:id="20" w:name="_Toc311366497"/>
      <w:r w:rsidRPr="00591BFC">
        <w:rPr>
          <w:rFonts w:ascii="Calibri" w:hAnsi="Calibri"/>
          <w:lang w:val="en-GB"/>
        </w:rPr>
        <w:t>Objectives</w:t>
      </w:r>
      <w:bookmarkEnd w:id="19"/>
      <w:bookmarkEnd w:id="20"/>
    </w:p>
    <w:p w14:paraId="0CB06AB9" w14:textId="5D416FBF" w:rsidR="000C151C" w:rsidRPr="00591BFC" w:rsidRDefault="000C151C" w:rsidP="00E86771">
      <w:pPr>
        <w:spacing w:line="360" w:lineRule="auto"/>
      </w:pPr>
      <w:r w:rsidRPr="00591BFC">
        <w:t>1)</w:t>
      </w:r>
      <w:r w:rsidRPr="00591BFC">
        <w:rPr>
          <w:b/>
        </w:rPr>
        <w:t xml:space="preserve"> </w:t>
      </w:r>
      <w:r w:rsidRPr="00591BFC">
        <w:t>To characterise the way hospitals in the region have provided</w:t>
      </w:r>
      <w:r w:rsidR="00B52965" w:rsidRPr="00591BFC">
        <w:t xml:space="preserve"> models of</w:t>
      </w:r>
      <w:r w:rsidRPr="00591BFC">
        <w:t xml:space="preserve"> </w:t>
      </w:r>
      <w:r w:rsidR="00B52965" w:rsidRPr="00591BFC">
        <w:t>care</w:t>
      </w:r>
      <w:r w:rsidRPr="00591BFC">
        <w:t xml:space="preserve"> for</w:t>
      </w:r>
      <w:r w:rsidR="00B52965" w:rsidRPr="00591BFC">
        <w:t xml:space="preserve"> the delivery of secondary fracture prevention services </w:t>
      </w:r>
      <w:r w:rsidR="00A9334A">
        <w:t xml:space="preserve">for </w:t>
      </w:r>
      <w:r w:rsidRPr="00591BFC">
        <w:t>hip fracture patients over the past decade</w:t>
      </w:r>
    </w:p>
    <w:p w14:paraId="66FAEBFC" w14:textId="77777777" w:rsidR="000C151C" w:rsidRPr="00591BFC" w:rsidRDefault="000C151C" w:rsidP="00E86771">
      <w:pPr>
        <w:spacing w:line="360" w:lineRule="auto"/>
      </w:pPr>
      <w:r w:rsidRPr="00591BFC">
        <w:t>2) To identify the reasons why hospitals chose their specific model of service delivery and assess barriers to change</w:t>
      </w:r>
    </w:p>
    <w:p w14:paraId="70BB4336" w14:textId="700C479E" w:rsidR="000C151C" w:rsidRPr="00591BFC" w:rsidRDefault="000C151C" w:rsidP="00E86771">
      <w:pPr>
        <w:spacing w:line="360" w:lineRule="auto"/>
      </w:pPr>
      <w:r w:rsidRPr="00591BFC">
        <w:t>3) To evaluate the impact that changes to the delivery of secondary fracture prevention have had on health outcomes by altering trends in hip re-fracture rates, NHS costs and life expectancy</w:t>
      </w:r>
      <w:r w:rsidR="00B2444A" w:rsidRPr="00591BFC">
        <w:t xml:space="preserve"> </w:t>
      </w:r>
    </w:p>
    <w:p w14:paraId="5B0E55B8" w14:textId="77777777" w:rsidR="000C151C" w:rsidRPr="00591BFC" w:rsidRDefault="000C151C" w:rsidP="00E86771">
      <w:pPr>
        <w:spacing w:line="360" w:lineRule="auto"/>
      </w:pPr>
      <w:r w:rsidRPr="00591BFC">
        <w:t xml:space="preserve">4) </w:t>
      </w:r>
      <w:r w:rsidR="00B2444A" w:rsidRPr="00591BFC">
        <w:t>To establish the NHS costs and cost-effectiveness of different hospital models for delivery of secondary fracture prevention</w:t>
      </w:r>
      <w:r w:rsidR="00B2444A" w:rsidRPr="00591BFC" w:rsidDel="00B2444A">
        <w:t xml:space="preserve"> </w:t>
      </w:r>
    </w:p>
    <w:p w14:paraId="4FFB4B49" w14:textId="77777777" w:rsidR="00D8677B" w:rsidRPr="00591BFC" w:rsidRDefault="00D8677B" w:rsidP="00E86771">
      <w:pPr>
        <w:pStyle w:val="Heading2"/>
        <w:spacing w:line="360" w:lineRule="auto"/>
        <w:rPr>
          <w:rFonts w:ascii="Calibri" w:hAnsi="Calibri"/>
          <w:lang w:val="en-GB"/>
        </w:rPr>
      </w:pPr>
      <w:bookmarkStart w:id="21" w:name="_Toc308300691"/>
      <w:bookmarkStart w:id="22" w:name="_Toc311366498"/>
      <w:r w:rsidRPr="00591BFC">
        <w:rPr>
          <w:rFonts w:ascii="Calibri" w:hAnsi="Calibri"/>
          <w:lang w:val="en-GB"/>
        </w:rPr>
        <w:t>Methods</w:t>
      </w:r>
      <w:bookmarkEnd w:id="21"/>
      <w:bookmarkEnd w:id="22"/>
    </w:p>
    <w:p w14:paraId="76840862" w14:textId="77777777" w:rsidR="009A6737" w:rsidRPr="00591BFC" w:rsidRDefault="009A6737" w:rsidP="00E86771">
      <w:pPr>
        <w:spacing w:line="360" w:lineRule="auto"/>
        <w:rPr>
          <w:b/>
        </w:rPr>
      </w:pPr>
    </w:p>
    <w:p w14:paraId="424281C6" w14:textId="77777777" w:rsidR="000C151C" w:rsidRPr="00591BFC" w:rsidRDefault="000C151C" w:rsidP="00E86771">
      <w:pPr>
        <w:spacing w:line="360" w:lineRule="auto"/>
        <w:rPr>
          <w:b/>
        </w:rPr>
      </w:pPr>
      <w:r w:rsidRPr="00591BFC">
        <w:rPr>
          <w:b/>
        </w:rPr>
        <w:t>Objective 1:</w:t>
      </w:r>
      <w:r w:rsidR="00CD0EFC" w:rsidRPr="00591BFC">
        <w:rPr>
          <w:b/>
        </w:rPr>
        <w:t xml:space="preserve"> </w:t>
      </w:r>
    </w:p>
    <w:p w14:paraId="0C79719C" w14:textId="77777777" w:rsidR="00CD0EFC" w:rsidRPr="00591BFC" w:rsidRDefault="00CD0EFC" w:rsidP="00E86771">
      <w:pPr>
        <w:spacing w:line="360" w:lineRule="auto"/>
      </w:pPr>
      <w:r w:rsidRPr="00591BFC">
        <w:t>A service evaluation was conducted with the use of a questionnaire developed to capture information on changes to service delivery over the past decade. A health professional at each hospital included in the study was identified through a local network of health professionals involved in fracture prevention ser</w:t>
      </w:r>
      <w:r w:rsidR="00852B5E" w:rsidRPr="00591BFC">
        <w:t>vices. If they were not</w:t>
      </w:r>
      <w:r w:rsidRPr="00591BFC">
        <w:t xml:space="preserve"> able to answer all of the questions, they recommended further health professionals to contact. </w:t>
      </w:r>
    </w:p>
    <w:p w14:paraId="2A0817A2" w14:textId="77777777" w:rsidR="000C151C" w:rsidRPr="00591BFC" w:rsidRDefault="000C151C" w:rsidP="00E86771">
      <w:pPr>
        <w:spacing w:line="360" w:lineRule="auto"/>
        <w:rPr>
          <w:b/>
        </w:rPr>
      </w:pPr>
      <w:r w:rsidRPr="00591BFC">
        <w:rPr>
          <w:b/>
        </w:rPr>
        <w:t>Objective 2:</w:t>
      </w:r>
    </w:p>
    <w:p w14:paraId="137F70E7" w14:textId="6FD5CC13" w:rsidR="00CD0EFC" w:rsidRPr="00591BFC" w:rsidRDefault="00CD0EFC" w:rsidP="00E86771">
      <w:pPr>
        <w:spacing w:line="360" w:lineRule="auto"/>
      </w:pPr>
      <w:r w:rsidRPr="00591BFC">
        <w:t>One-to-one semi-structured interviews were conducted with a range of healthcare professionals from all 11 hospita</w:t>
      </w:r>
      <w:r w:rsidR="00843947" w:rsidRPr="00591BFC">
        <w:t>l</w:t>
      </w:r>
      <w:r w:rsidRPr="00591BFC">
        <w:t xml:space="preserve">s who met the criteria of working in secondary care and with experience and knowledge of secondary fracture prevention after hip </w:t>
      </w:r>
      <w:r w:rsidR="004D2401" w:rsidRPr="00591BFC">
        <w:t>fracture</w:t>
      </w:r>
      <w:r w:rsidRPr="00591BFC">
        <w:t>.</w:t>
      </w:r>
      <w:r w:rsidR="00843947" w:rsidRPr="00591BFC">
        <w:t xml:space="preserve"> 43 health professionals were </w:t>
      </w:r>
      <w:r w:rsidR="00843947" w:rsidRPr="00591BFC">
        <w:lastRenderedPageBreak/>
        <w:t>recruited</w:t>
      </w:r>
      <w:r w:rsidR="00AB5440" w:rsidRPr="00591BFC">
        <w:t>. A qualitative researcher conducted face-to-face interviews using a topic guide to inform questions which was based on the four core elements of a fracture prevention service identified above</w:t>
      </w:r>
      <w:r w:rsidR="00852B5E" w:rsidRPr="00591BFC">
        <w:t xml:space="preserve"> and extended </w:t>
      </w:r>
      <w:r w:rsidR="003A3A41" w:rsidRPr="00591BFC">
        <w:t>Normalisation</w:t>
      </w:r>
      <w:r w:rsidR="00852B5E" w:rsidRPr="00591BFC">
        <w:t xml:space="preserve"> Process Theory</w:t>
      </w:r>
      <w:r w:rsidR="006B566C" w:rsidRPr="00591BFC">
        <w:t xml:space="preserve"> (NPT)</w:t>
      </w:r>
      <w:r w:rsidR="00AB5440" w:rsidRPr="00591BFC">
        <w:t xml:space="preserve">. Interviews were audio-recorded, transcribed, anonymised and imported into the qualitative data analysis software </w:t>
      </w:r>
      <w:r w:rsidR="004D2401" w:rsidRPr="00591BFC">
        <w:t>NVivo. An abductive analysis</w:t>
      </w:r>
      <w:r w:rsidR="00AB5440" w:rsidRPr="00591BFC">
        <w:t xml:space="preserve"> was conducted </w:t>
      </w:r>
      <w:r w:rsidR="00A9334A">
        <w:t>that</w:t>
      </w:r>
      <w:r w:rsidR="00AB5440" w:rsidRPr="00591BFC">
        <w:t xml:space="preserve"> involved assigning codes to the transcripts using an inductive approach along with codes that reflected the four main constructs of extended </w:t>
      </w:r>
      <w:r w:rsidR="006B566C" w:rsidRPr="00591BFC">
        <w:t>NPT</w:t>
      </w:r>
      <w:r w:rsidR="00AB5440" w:rsidRPr="00591BFC">
        <w:t>. Data was then displayed on charts using the framework approach to data organis</w:t>
      </w:r>
      <w:r w:rsidR="004D2401" w:rsidRPr="00591BFC">
        <w:t>ation</w:t>
      </w:r>
      <w:r w:rsidR="00AB5440" w:rsidRPr="00591BFC">
        <w:t>.</w:t>
      </w:r>
    </w:p>
    <w:p w14:paraId="1B1B1999" w14:textId="77777777" w:rsidR="000C151C" w:rsidRPr="00591BFC" w:rsidRDefault="000C151C" w:rsidP="00E86771">
      <w:pPr>
        <w:spacing w:line="360" w:lineRule="auto"/>
        <w:rPr>
          <w:b/>
        </w:rPr>
      </w:pPr>
      <w:r w:rsidRPr="00591BFC">
        <w:rPr>
          <w:b/>
        </w:rPr>
        <w:t>Objective 3:</w:t>
      </w:r>
    </w:p>
    <w:p w14:paraId="79B1C796" w14:textId="6F9205F5" w:rsidR="00AB5440" w:rsidRPr="00591BFC" w:rsidRDefault="00B52965" w:rsidP="00E86771">
      <w:pPr>
        <w:spacing w:line="360" w:lineRule="auto"/>
      </w:pPr>
      <w:r w:rsidRPr="00591BFC">
        <w:t>Data were obtained from the Hospital Episode Statistics</w:t>
      </w:r>
      <w:r w:rsidR="00BC6C54" w:rsidRPr="00591BFC">
        <w:t xml:space="preserve"> (HES)</w:t>
      </w:r>
      <w:r w:rsidRPr="00591BFC">
        <w:t xml:space="preserve"> database linked to Office for National Statistics</w:t>
      </w:r>
      <w:r w:rsidR="00BC6C54" w:rsidRPr="00591BFC">
        <w:t xml:space="preserve"> (ONS) mortality</w:t>
      </w:r>
      <w:r w:rsidRPr="00591BFC">
        <w:t xml:space="preserve"> records on 33,152 patients admitted for a primary hip fracture from 2003 to 2013 at 11 acute hospitals in a region of England. The interventions of interest were dates on which a hospital appointed an orthogeriatrician or setup/increased a FLS. Each hospital was analysed separately and acted as its own control in a before-after time series design. Confounding variables included age, gender, Ch</w:t>
      </w:r>
      <w:r w:rsidR="00BC6C54" w:rsidRPr="00591BFC">
        <w:t>arlson co-morbidity index, and</w:t>
      </w:r>
      <w:r w:rsidRPr="00591BFC">
        <w:t xml:space="preserve"> area deprivation. The outcomes were all cause mortality at 30-days and 1-year and second hip fracture with</w:t>
      </w:r>
      <w:r w:rsidR="00A9334A">
        <w:t>in</w:t>
      </w:r>
      <w:r w:rsidRPr="00591BFC">
        <w:t xml:space="preserve"> 2-years. Cox regression modelling was used to describe the association between the intervention and time to death. For the outcome of second hip fracture, a competing risks survival model was used to account for the competing risk of death. Meta-analyses w</w:t>
      </w:r>
      <w:r w:rsidR="00BC6C54" w:rsidRPr="00591BFC">
        <w:t>ere</w:t>
      </w:r>
      <w:r w:rsidRPr="00591BFC">
        <w:t xml:space="preserve"> used to pool estimates on each health outcome under study for similar interventions across hospitals in the region.</w:t>
      </w:r>
    </w:p>
    <w:p w14:paraId="3442D0DC" w14:textId="46FC4FE4" w:rsidR="00B20D53" w:rsidRDefault="00B20D53" w:rsidP="00E86771">
      <w:pPr>
        <w:spacing w:line="360" w:lineRule="auto"/>
        <w:rPr>
          <w:b/>
        </w:rPr>
      </w:pPr>
      <w:r>
        <w:t xml:space="preserve">Data from the </w:t>
      </w:r>
      <w:r w:rsidRPr="00591BFC">
        <w:t>Clinical Practice Research Database (CPRD)</w:t>
      </w:r>
      <w:r>
        <w:t xml:space="preserve"> linked to </w:t>
      </w:r>
      <w:r w:rsidR="00506BC0">
        <w:t>ONS</w:t>
      </w:r>
      <w:r>
        <w:t xml:space="preserve"> mortality records were obtained on 11,243 primary</w:t>
      </w:r>
      <w:r w:rsidRPr="00591BFC">
        <w:t xml:space="preserve"> hip fracture cases </w:t>
      </w:r>
      <w:r>
        <w:t xml:space="preserve">aged over 50 </w:t>
      </w:r>
      <w:r w:rsidR="00A9334A">
        <w:t>from</w:t>
      </w:r>
      <w:r w:rsidRPr="00591BFC">
        <w:t xml:space="preserve"> 1999 </w:t>
      </w:r>
      <w:r w:rsidR="00A9334A">
        <w:t>to</w:t>
      </w:r>
      <w:r w:rsidRPr="00591BFC">
        <w:t xml:space="preserve"> 2013</w:t>
      </w:r>
      <w:r>
        <w:t xml:space="preserve">. </w:t>
      </w:r>
      <w:r w:rsidRPr="00591BFC">
        <w:t xml:space="preserve">Five guidelines were evaluated: NICE clinical guideline 21 (Nov 2004), NICE technological appraisal </w:t>
      </w:r>
      <w:r>
        <w:t xml:space="preserve">87 </w:t>
      </w:r>
      <w:r w:rsidRPr="00591BFC">
        <w:t>(Jan 2005), BOA blue book (Sep 2007), NICE technological appraisal 161 (Oct 2008)</w:t>
      </w:r>
      <w:r w:rsidR="006E6DDE" w:rsidRPr="00591BFC">
        <w:t xml:space="preserve"> </w:t>
      </w:r>
      <w:r w:rsidRPr="00591BFC">
        <w:t>and Best Practice Tariff for inpatient hip fracture care (Apr 2010).</w:t>
      </w:r>
      <w:r>
        <w:t xml:space="preserve"> </w:t>
      </w:r>
      <w:r w:rsidR="00A9334A">
        <w:t>G</w:t>
      </w:r>
      <w:r w:rsidRPr="00591BFC">
        <w:t>uidelines were evaluated using an interrupted time series analysis</w:t>
      </w:r>
      <w:r>
        <w:t xml:space="preserve"> to assess </w:t>
      </w:r>
      <w:r w:rsidRPr="00591BFC">
        <w:t xml:space="preserve">the effect </w:t>
      </w:r>
      <w:r w:rsidR="00A9334A">
        <w:t>they</w:t>
      </w:r>
      <w:r w:rsidRPr="00591BFC">
        <w:t xml:space="preserve"> have had on altering trends in re-fracture rates, life expectancy (30-day and 1-year) and proportion of patients taking bone strengthening drugs within 1-year after fracture</w:t>
      </w:r>
      <w:r>
        <w:t xml:space="preserve">. </w:t>
      </w:r>
      <w:r w:rsidRPr="00591BFC">
        <w:t>A segmented linear regression model was specified for each outcome</w:t>
      </w:r>
      <w:r>
        <w:t>.</w:t>
      </w:r>
    </w:p>
    <w:p w14:paraId="02535C12" w14:textId="77777777" w:rsidR="000C151C" w:rsidRPr="00591BFC" w:rsidRDefault="000C151C" w:rsidP="00E86771">
      <w:pPr>
        <w:spacing w:line="360" w:lineRule="auto"/>
        <w:rPr>
          <w:b/>
        </w:rPr>
      </w:pPr>
      <w:r w:rsidRPr="00591BFC">
        <w:rPr>
          <w:b/>
        </w:rPr>
        <w:t xml:space="preserve">Objective 4: </w:t>
      </w:r>
    </w:p>
    <w:p w14:paraId="52FFD157" w14:textId="39419F83" w:rsidR="00B52965" w:rsidRPr="00591BFC" w:rsidRDefault="00B52965" w:rsidP="00E86771">
      <w:pPr>
        <w:spacing w:line="360" w:lineRule="auto"/>
      </w:pPr>
      <w:r w:rsidRPr="00591BFC">
        <w:t xml:space="preserve">For hospital costs, we used </w:t>
      </w:r>
      <w:r w:rsidR="00BC6C54" w:rsidRPr="00591BFC">
        <w:t xml:space="preserve">HES </w:t>
      </w:r>
      <w:r w:rsidRPr="00591BFC">
        <w:t xml:space="preserve">data and for primary costs we used the clinical practice research datalink (CPRD GOLD). We adopted the same incidence-based approach to identify hip fracture patients in both sets of data and estimate the costs of hip fracture. A Markov model was developed to simulate the costs and health-related quality of life (QoL) associated with the different OG and FLS </w:t>
      </w:r>
      <w:r w:rsidRPr="00591BFC">
        <w:lastRenderedPageBreak/>
        <w:t>models of secondary fracture prevention. A cost-effectiveness analysis was performed using outcome measures such as prevention of hip fractures, life expectancy and Quality-Adjusted Life Years (QALYs) gained. The Markov health states reflect the natural history of hip fractures (e.g. primary hip fracture, secondary hip fracture, death) and the impact of the different models of care (e.g. bone protection therapy, discharge method (home or care home)). Transition probabilities were informed by HES and mortality linked data and relate to a particular model of care. Relative effectiveness measures were applied to the transition probabilities to model the impact of the different models of care. NHS resource use associated with the treatment pathway of hip fracture patients was identified and valued using appropriate data sources. QoL data was derived from a literature search. Incremental cost-effectiveness ratios (ICERs) are estimated for the different models of care and depicted on the cost-effectiveness plane. Probabilistic sensitivity analysis is used to propagate parameter uncertainty and capture decision uncertainty by using cost-effectiveness acceptability curves and reporting credible intervals around the ICERs.</w:t>
      </w:r>
    </w:p>
    <w:p w14:paraId="3B0ED64B" w14:textId="77777777" w:rsidR="00D8677B" w:rsidRPr="00591BFC" w:rsidRDefault="00D8677B" w:rsidP="00E86771">
      <w:pPr>
        <w:pStyle w:val="Heading2"/>
        <w:spacing w:line="360" w:lineRule="auto"/>
        <w:rPr>
          <w:rFonts w:ascii="Calibri" w:hAnsi="Calibri"/>
          <w:lang w:val="en-GB"/>
        </w:rPr>
      </w:pPr>
      <w:bookmarkStart w:id="23" w:name="_Toc308300692"/>
      <w:bookmarkStart w:id="24" w:name="_Toc311366499"/>
      <w:r w:rsidRPr="00591BFC">
        <w:rPr>
          <w:rFonts w:ascii="Calibri" w:hAnsi="Calibri"/>
          <w:lang w:val="en-GB"/>
        </w:rPr>
        <w:t>Results</w:t>
      </w:r>
      <w:bookmarkEnd w:id="23"/>
      <w:bookmarkEnd w:id="24"/>
      <w:r w:rsidRPr="00591BFC">
        <w:rPr>
          <w:rFonts w:ascii="Calibri" w:hAnsi="Calibri"/>
          <w:lang w:val="en-GB"/>
        </w:rPr>
        <w:t xml:space="preserve"> </w:t>
      </w:r>
    </w:p>
    <w:p w14:paraId="433FC400" w14:textId="77777777" w:rsidR="00BC6C54" w:rsidRPr="00591BFC" w:rsidRDefault="00BC6C54" w:rsidP="00E86771">
      <w:pPr>
        <w:spacing w:line="360" w:lineRule="auto"/>
        <w:rPr>
          <w:lang w:eastAsia="x-none"/>
        </w:rPr>
      </w:pPr>
      <w:r w:rsidRPr="00591BFC">
        <w:rPr>
          <w:lang w:eastAsia="x-none"/>
        </w:rPr>
        <w:t>Service evaluation – There was significant variation in the organisation and structure of secondary fracture prevention services, including staffing levels, the type of service model (consultant versus nurse led service), and the processes used to case find, assess for osteoporosis, initiate treatment and monitor adherence.</w:t>
      </w:r>
    </w:p>
    <w:p w14:paraId="004F1C28" w14:textId="514865CB" w:rsidR="00BC6C54" w:rsidRPr="00591BFC" w:rsidRDefault="00BC6C54" w:rsidP="00E86771">
      <w:pPr>
        <w:spacing w:line="360" w:lineRule="auto"/>
        <w:rPr>
          <w:lang w:eastAsia="x-none"/>
        </w:rPr>
      </w:pPr>
      <w:r w:rsidRPr="00591BFC">
        <w:rPr>
          <w:lang w:eastAsia="x-none"/>
        </w:rPr>
        <w:t xml:space="preserve">Qualitative (Implementation) – Dedicated fracture prevention co-ordinators gave multi-disciplinary health professionals capacity to work together and promoted a shared commitment to the service, but communication with GPs was challenging. The intervention was highly workable and easily integrated into practice. Nevertheless, </w:t>
      </w:r>
      <w:r w:rsidR="000B6EA3" w:rsidRPr="000B6EA3">
        <w:rPr>
          <w:lang w:eastAsia="x-none"/>
        </w:rPr>
        <w:t xml:space="preserve">some participants felt </w:t>
      </w:r>
      <w:r w:rsidRPr="00591BFC">
        <w:rPr>
          <w:lang w:eastAsia="x-none"/>
        </w:rPr>
        <w:t xml:space="preserve">successful implementation was </w:t>
      </w:r>
      <w:r w:rsidR="000B6EA3">
        <w:rPr>
          <w:lang w:eastAsia="x-none"/>
        </w:rPr>
        <w:t>undermined</w:t>
      </w:r>
      <w:r w:rsidRPr="00591BFC">
        <w:rPr>
          <w:lang w:eastAsia="x-none"/>
        </w:rPr>
        <w:t xml:space="preserve"> by a lack of </w:t>
      </w:r>
      <w:r w:rsidR="000B6EA3" w:rsidRPr="000B6EA3">
        <w:rPr>
          <w:lang w:eastAsia="x-none"/>
        </w:rPr>
        <w:t xml:space="preserve">resources and </w:t>
      </w:r>
      <w:r w:rsidRPr="00591BFC">
        <w:rPr>
          <w:lang w:eastAsia="x-none"/>
        </w:rPr>
        <w:t>capacity to administer scans</w:t>
      </w:r>
      <w:r w:rsidR="000B6EA3" w:rsidRPr="000B6EA3">
        <w:rPr>
          <w:lang w:eastAsia="x-none"/>
        </w:rPr>
        <w:t>. There were also concerns about understaffing</w:t>
      </w:r>
      <w:r w:rsidRPr="00591BFC">
        <w:rPr>
          <w:lang w:eastAsia="x-none"/>
        </w:rPr>
        <w:t xml:space="preserve"> and poor patient access</w:t>
      </w:r>
      <w:r w:rsidR="000B6EA3" w:rsidRPr="000B6EA3">
        <w:rPr>
          <w:lang w:eastAsia="x-none"/>
        </w:rPr>
        <w:t xml:space="preserve"> for some demographic groups</w:t>
      </w:r>
      <w:r w:rsidRPr="00591BFC">
        <w:rPr>
          <w:lang w:eastAsia="x-none"/>
        </w:rPr>
        <w:t>.</w:t>
      </w:r>
    </w:p>
    <w:p w14:paraId="75F7CA13" w14:textId="77777777" w:rsidR="00BC6C54" w:rsidRPr="00591BFC" w:rsidRDefault="00BC6C54" w:rsidP="00E86771">
      <w:pPr>
        <w:spacing w:line="360" w:lineRule="auto"/>
        <w:rPr>
          <w:lang w:eastAsia="x-none"/>
        </w:rPr>
      </w:pPr>
      <w:r w:rsidRPr="00591BFC">
        <w:rPr>
          <w:lang w:eastAsia="x-none"/>
        </w:rPr>
        <w:t>Qualitative (Business case) – Challenges included collecting all relevant data and negotiating compartmentalised budgets. Participants felt financial considerations were the most important factor in funding decisions, while improved quality of care was less influential. Effective strategies included ways of providing support, demonstrating potential cost effectiveness, and improved quality of care.</w:t>
      </w:r>
    </w:p>
    <w:p w14:paraId="3E1026CD" w14:textId="77777777" w:rsidR="00BC6C54" w:rsidRPr="00591BFC" w:rsidRDefault="00BC6C54" w:rsidP="00E86771">
      <w:pPr>
        <w:spacing w:line="360" w:lineRule="auto"/>
        <w:rPr>
          <w:lang w:eastAsia="x-none"/>
        </w:rPr>
      </w:pPr>
      <w:r w:rsidRPr="00591BFC">
        <w:rPr>
          <w:lang w:eastAsia="x-none"/>
        </w:rPr>
        <w:t>Natural experiment</w:t>
      </w:r>
      <w:r w:rsidR="00C36BC3">
        <w:rPr>
          <w:lang w:eastAsia="x-none"/>
        </w:rPr>
        <w:t xml:space="preserve"> (Models of care)</w:t>
      </w:r>
      <w:r w:rsidRPr="00591BFC">
        <w:rPr>
          <w:lang w:eastAsia="x-none"/>
        </w:rPr>
        <w:t xml:space="preserve"> – One-year mortality rates declined from 33.1 to 26.0% from 2003/4 - 2011/12. In contrast, the proportion of second hip fractures remained stable throughout the study period. The impact of introducing an orthogeriatrician on 30-day and 1-year mortality was </w:t>
      </w:r>
      <w:r w:rsidRPr="00591BFC">
        <w:rPr>
          <w:lang w:eastAsia="x-none"/>
        </w:rPr>
        <w:lastRenderedPageBreak/>
        <w:t>hazard ratio (HR)=0.73 (95%</w:t>
      </w:r>
      <w:r w:rsidR="009A40DE">
        <w:rPr>
          <w:lang w:eastAsia="x-none"/>
        </w:rPr>
        <w:t xml:space="preserve"> </w:t>
      </w:r>
      <w:r w:rsidRPr="00591BFC">
        <w:rPr>
          <w:lang w:eastAsia="x-none"/>
        </w:rPr>
        <w:t>CI: 0.65-0.82) and HR=0.81 (</w:t>
      </w:r>
      <w:r w:rsidR="009A40DE">
        <w:rPr>
          <w:lang w:eastAsia="x-none"/>
        </w:rPr>
        <w:t xml:space="preserve">95% </w:t>
      </w:r>
      <w:r w:rsidRPr="00591BFC">
        <w:rPr>
          <w:lang w:eastAsia="x-none"/>
        </w:rPr>
        <w:t>CI: 0.75-0.87) respectively. 30-day and 1-year mortality were likewise reduced following the introduction or expansion of a FLS: HR 0.80 (95% CI: 0.71-0.91) and HR 0.84 (</w:t>
      </w:r>
      <w:r w:rsidR="009A40DE">
        <w:rPr>
          <w:lang w:eastAsia="x-none"/>
        </w:rPr>
        <w:t xml:space="preserve">95% CI: </w:t>
      </w:r>
      <w:r w:rsidRPr="00591BFC">
        <w:rPr>
          <w:lang w:eastAsia="x-none"/>
        </w:rPr>
        <w:t>0.77-0.93) respectively. There was no significant impact on time to secondary hip fracture.</w:t>
      </w:r>
    </w:p>
    <w:p w14:paraId="0CAD5DEB" w14:textId="3E3353CD" w:rsidR="00904D67" w:rsidRDefault="00C36BC3" w:rsidP="00E86771">
      <w:pPr>
        <w:spacing w:line="360" w:lineRule="auto"/>
        <w:rPr>
          <w:lang w:eastAsia="x-none"/>
        </w:rPr>
      </w:pPr>
      <w:r w:rsidRPr="00591BFC">
        <w:rPr>
          <w:lang w:eastAsia="x-none"/>
        </w:rPr>
        <w:t>Natural experiment</w:t>
      </w:r>
      <w:r>
        <w:rPr>
          <w:lang w:eastAsia="x-none"/>
        </w:rPr>
        <w:t xml:space="preserve"> (Guidelines) </w:t>
      </w:r>
      <w:r w:rsidR="00ED43FF">
        <w:rPr>
          <w:lang w:eastAsia="x-none"/>
        </w:rPr>
        <w:t>–</w:t>
      </w:r>
      <w:r>
        <w:rPr>
          <w:lang w:eastAsia="x-none"/>
        </w:rPr>
        <w:t xml:space="preserve"> </w:t>
      </w:r>
      <w:r w:rsidR="00ED43FF">
        <w:t>Publication of the BOA blue book (Oct 2007) and NICE technological appraisal 161 (Sept 2007) was associated with a reduction in: subsequent hip fracture of -0.95% (95% CI: -1.67 to -0.23); 30-day mortality of -2.81% (95% CI: -3.73 to -1.85). Introduction of the Best Practice Tariff in 2010 saw a reduction in 1-year mortality of -5.56% (95% CI: -7.59 to -3.52). Publication of the NICE clinical guideline 21 (Nov 2004) and the NICE technological appraisal 87 (Jan 2005) saw a</w:t>
      </w:r>
      <w:r w:rsidR="00506BC0">
        <w:t>n increase</w:t>
      </w:r>
      <w:r w:rsidR="00ED43FF">
        <w:t xml:space="preserve"> in the proportion of patients receiving</w:t>
      </w:r>
      <w:r w:rsidR="0054186D">
        <w:t>:</w:t>
      </w:r>
      <w:r w:rsidR="00ED43FF">
        <w:t xml:space="preserve"> a bone strengthening drug of 14.5% (95% CI: 11.1-17.8)</w:t>
      </w:r>
      <w:r w:rsidR="0054186D">
        <w:t>;</w:t>
      </w:r>
      <w:r w:rsidR="00ED43FF">
        <w:t xml:space="preserve"> and prescribed at least one bisphosphonate at 10-14 months of 8.71% (95% CI: 5.04-12.4).</w:t>
      </w:r>
    </w:p>
    <w:p w14:paraId="71F8B2DF" w14:textId="77777777" w:rsidR="00BC6C54" w:rsidRPr="00591BFC" w:rsidRDefault="00BC6C54" w:rsidP="00E86771">
      <w:pPr>
        <w:spacing w:line="360" w:lineRule="auto"/>
        <w:rPr>
          <w:lang w:eastAsia="x-none"/>
        </w:rPr>
      </w:pPr>
      <w:r w:rsidRPr="00591BFC">
        <w:rPr>
          <w:lang w:eastAsia="x-none"/>
        </w:rPr>
        <w:t>Health economics (costs) - The annual cost in the year of the hip fracture was estimated to be £10,</w:t>
      </w:r>
      <w:r w:rsidR="00470C42">
        <w:rPr>
          <w:lang w:eastAsia="x-none"/>
        </w:rPr>
        <w:t>964</w:t>
      </w:r>
      <w:r w:rsidRPr="00591BFC">
        <w:rPr>
          <w:lang w:eastAsia="x-none"/>
        </w:rPr>
        <w:t xml:space="preserve"> (95% CI: £10,</w:t>
      </w:r>
      <w:r w:rsidR="00470C42">
        <w:rPr>
          <w:lang w:eastAsia="x-none"/>
        </w:rPr>
        <w:t>797to £11,161</w:t>
      </w:r>
      <w:r w:rsidRPr="00591BFC">
        <w:rPr>
          <w:lang w:eastAsia="x-none"/>
        </w:rPr>
        <w:t xml:space="preserve">) higher compared to the previous year. </w:t>
      </w:r>
      <w:r w:rsidR="00866F8C" w:rsidRPr="00866F8C">
        <w:rPr>
          <w:lang w:eastAsia="x-none"/>
        </w:rPr>
        <w:t>The primary care costs associated with primary hip fracture were £1,065 (median £660, SD 1798), of which medications and non-pharmaceuticals accounted for £614 (median £248, SD 1586) of the costs and GP contacts accounted for £358 (median £246, SD 409).</w:t>
      </w:r>
      <w:r w:rsidRPr="00591BFC">
        <w:rPr>
          <w:lang w:eastAsia="x-none"/>
        </w:rPr>
        <w:t xml:space="preserve"> The total annual costs associated with all incident hip fractures in the UK amongst those aged 50 (n=79,243) were estimated at £1,2</w:t>
      </w:r>
      <w:r w:rsidR="00470C42">
        <w:rPr>
          <w:lang w:eastAsia="x-none"/>
        </w:rPr>
        <w:t>1</w:t>
      </w:r>
      <w:r w:rsidRPr="00591BFC">
        <w:rPr>
          <w:lang w:eastAsia="x-none"/>
        </w:rPr>
        <w:t>5 million.</w:t>
      </w:r>
    </w:p>
    <w:p w14:paraId="6CF2FF2F" w14:textId="77777777" w:rsidR="00BC6C54" w:rsidRPr="00591BFC" w:rsidRDefault="00BC6C54" w:rsidP="00E86771">
      <w:pPr>
        <w:spacing w:line="360" w:lineRule="auto"/>
        <w:rPr>
          <w:lang w:eastAsia="x-none"/>
        </w:rPr>
      </w:pPr>
      <w:r w:rsidRPr="00591BFC">
        <w:rPr>
          <w:lang w:eastAsia="x-none"/>
        </w:rPr>
        <w:t xml:space="preserve">Health economics (cost-effectiveness) - After combining costs and outcomes in an incremental cost-effectiveness analysis, and at a £30,000 per QALY threshold, the most cost-effective model of care was introducing an orthogeriatrician. The population EVPI over 5 years was estimated to </w:t>
      </w:r>
      <w:r w:rsidR="00470C42" w:rsidRPr="00470C42">
        <w:rPr>
          <w:lang w:eastAsia="x-none"/>
        </w:rPr>
        <w:t xml:space="preserve">be between £23 million and </w:t>
      </w:r>
      <w:r w:rsidR="00470C42">
        <w:rPr>
          <w:lang w:eastAsia="x-none"/>
        </w:rPr>
        <w:t>£</w:t>
      </w:r>
      <w:r w:rsidR="00470C42" w:rsidRPr="00470C42">
        <w:rPr>
          <w:lang w:eastAsia="x-none"/>
        </w:rPr>
        <w:t xml:space="preserve">73 </w:t>
      </w:r>
      <w:r w:rsidR="00470C42">
        <w:rPr>
          <w:lang w:eastAsia="x-none"/>
        </w:rPr>
        <w:t>million</w:t>
      </w:r>
      <w:r w:rsidRPr="00591BFC">
        <w:rPr>
          <w:lang w:eastAsia="x-none"/>
        </w:rPr>
        <w:t xml:space="preserve"> at the £30,000 per QALY gained threshold. This suggests that undertaking additional major commissioned research work to further reduce decision uncertainty is likely to be of significant benefit.</w:t>
      </w:r>
    </w:p>
    <w:p w14:paraId="413496C0" w14:textId="77777777" w:rsidR="00D8677B" w:rsidRPr="00591BFC" w:rsidRDefault="00D8677B" w:rsidP="00E86771">
      <w:pPr>
        <w:pStyle w:val="Heading2"/>
        <w:spacing w:line="360" w:lineRule="auto"/>
        <w:rPr>
          <w:rFonts w:ascii="Calibri" w:hAnsi="Calibri"/>
          <w:lang w:val="en-GB"/>
        </w:rPr>
      </w:pPr>
      <w:bookmarkStart w:id="25" w:name="_Toc308300693"/>
      <w:bookmarkStart w:id="26" w:name="_Toc311366500"/>
      <w:r w:rsidRPr="00591BFC">
        <w:rPr>
          <w:rFonts w:ascii="Calibri" w:hAnsi="Calibri"/>
          <w:lang w:val="en-GB"/>
        </w:rPr>
        <w:t>Conclusion</w:t>
      </w:r>
      <w:bookmarkEnd w:id="25"/>
      <w:bookmarkEnd w:id="26"/>
    </w:p>
    <w:p w14:paraId="19881427" w14:textId="77777777" w:rsidR="00BC6C54" w:rsidRPr="00591BFC" w:rsidRDefault="00BC6C54" w:rsidP="00E86771">
      <w:pPr>
        <w:spacing w:line="360" w:lineRule="auto"/>
        <w:rPr>
          <w:lang w:eastAsia="x-none"/>
        </w:rPr>
      </w:pPr>
      <w:r w:rsidRPr="00591BFC">
        <w:rPr>
          <w:lang w:eastAsia="x-none"/>
        </w:rPr>
        <w:t>The finding in relation to the beneficial effects of OG and FLS models of care on reducing 30-day and 1-year mortality is a very positive one. The health economics analysis shows that these models of care are cost-effective.</w:t>
      </w:r>
      <w:r w:rsidR="00AD7188">
        <w:rPr>
          <w:lang w:eastAsia="x-none"/>
        </w:rPr>
        <w:t xml:space="preserve"> </w:t>
      </w:r>
      <w:r w:rsidR="00AD7188">
        <w:t>Evidence of</w:t>
      </w:r>
      <w:r w:rsidR="00AD7188" w:rsidRPr="005B7450">
        <w:t xml:space="preserve"> significant temporal associations with a number o</w:t>
      </w:r>
      <w:r w:rsidR="00AD7188">
        <w:t>f national guidelines suggests</w:t>
      </w:r>
      <w:r w:rsidR="00AD7188" w:rsidRPr="005B7450">
        <w:t xml:space="preserve"> </w:t>
      </w:r>
      <w:r w:rsidR="00AD7188">
        <w:t>a positive impact</w:t>
      </w:r>
      <w:r w:rsidR="00AD7188" w:rsidRPr="005B7450">
        <w:t xml:space="preserve"> on clinical decision-making and patient outcomes.</w:t>
      </w:r>
    </w:p>
    <w:p w14:paraId="1479CBD3" w14:textId="6E2D7FD4" w:rsidR="00BC6C54" w:rsidRPr="00591BFC" w:rsidRDefault="00BC6C54" w:rsidP="00E86771">
      <w:pPr>
        <w:spacing w:line="360" w:lineRule="auto"/>
        <w:rPr>
          <w:lang w:eastAsia="x-none"/>
        </w:rPr>
      </w:pPr>
      <w:r w:rsidRPr="00591BFC">
        <w:rPr>
          <w:lang w:eastAsia="x-none"/>
        </w:rPr>
        <w:t xml:space="preserve">We found that in hip fracture patients an FLS was not effective at reducing the risk of second hip fracture. Whilst this was initially a surprising finding, combining the data from both qualitative and quantitative components of the study, helped us to understand the reasons behind the lack of </w:t>
      </w:r>
      <w:r w:rsidR="00506BC0">
        <w:rPr>
          <w:lang w:eastAsia="x-none"/>
        </w:rPr>
        <w:lastRenderedPageBreak/>
        <w:t>effect</w:t>
      </w:r>
      <w:r w:rsidRPr="00591BFC">
        <w:rPr>
          <w:lang w:eastAsia="x-none"/>
        </w:rPr>
        <w:t>. The primary deficiencies in the models of FLS used by hospitals in this region lie in the component of monitoring and adherence to bisphosphonate therapy.</w:t>
      </w:r>
    </w:p>
    <w:p w14:paraId="1F8D2536" w14:textId="75AB8533" w:rsidR="00BC6C54" w:rsidRPr="00591BFC" w:rsidRDefault="00BC6C54" w:rsidP="00E86771">
      <w:pPr>
        <w:spacing w:line="360" w:lineRule="auto"/>
        <w:rPr>
          <w:lang w:eastAsia="x-none"/>
        </w:rPr>
      </w:pPr>
      <w:r w:rsidRPr="00591BFC">
        <w:rPr>
          <w:lang w:eastAsia="x-none"/>
        </w:rPr>
        <w:t xml:space="preserve">This study is in hip-fracture patients only. The effectiveness of a FLS for non-hip fracture patients remains unanswered. </w:t>
      </w:r>
      <w:r w:rsidR="00506BC0">
        <w:rPr>
          <w:lang w:eastAsia="x-none"/>
        </w:rPr>
        <w:t>W</w:t>
      </w:r>
      <w:r w:rsidRPr="00591BFC">
        <w:rPr>
          <w:lang w:eastAsia="x-none"/>
        </w:rPr>
        <w:t>e were only able to look at second hip re-fracture as an outcome, as other non-hip fractures are not captured by the routine data used. So effectiveness of an FLS for hip fracture patients on non-hip fracture outcomes also remains unanswered.</w:t>
      </w:r>
    </w:p>
    <w:p w14:paraId="04D94E01" w14:textId="77777777" w:rsidR="00BC6C54" w:rsidRPr="00591BFC" w:rsidRDefault="00BC6C54" w:rsidP="00E86771">
      <w:pPr>
        <w:spacing w:line="360" w:lineRule="auto"/>
        <w:rPr>
          <w:lang w:eastAsia="x-none"/>
        </w:rPr>
      </w:pPr>
      <w:r w:rsidRPr="00591BFC">
        <w:rPr>
          <w:lang w:eastAsia="x-none"/>
        </w:rPr>
        <w:t>To inform a decision on the value of undertaking further research in order to eliminate the uncertainty surrounding the decision of cost-effectiveness of FLS models of care, the Expected Value of Perfect Information (EVPI) over 5-years was estimated at £20 million at the £30,000 per QALY gained threshold. This suggests that undertaking additional major commissioned research work to further reduce decision uncertainty is likely to be of significant benefit.</w:t>
      </w:r>
    </w:p>
    <w:p w14:paraId="1F92377C" w14:textId="77777777" w:rsidR="00BC6C54" w:rsidRPr="00591BFC" w:rsidRDefault="00BC6C54" w:rsidP="00E86771">
      <w:pPr>
        <w:spacing w:line="360" w:lineRule="auto"/>
        <w:rPr>
          <w:lang w:eastAsia="x-none"/>
        </w:rPr>
      </w:pPr>
      <w:r w:rsidRPr="00591BFC">
        <w:rPr>
          <w:lang w:eastAsia="x-none"/>
        </w:rPr>
        <w:t>Recommendations for research</w:t>
      </w:r>
    </w:p>
    <w:p w14:paraId="47674F96" w14:textId="77777777" w:rsidR="00BC6C54" w:rsidRPr="00591BFC" w:rsidRDefault="00BC6C54" w:rsidP="00E86771">
      <w:pPr>
        <w:spacing w:line="360" w:lineRule="auto"/>
        <w:rPr>
          <w:lang w:eastAsia="x-none"/>
        </w:rPr>
      </w:pPr>
      <w:r w:rsidRPr="00591BFC">
        <w:rPr>
          <w:lang w:eastAsia="x-none"/>
        </w:rPr>
        <w:t>1.</w:t>
      </w:r>
      <w:r w:rsidRPr="00591BFC">
        <w:rPr>
          <w:lang w:eastAsia="x-none"/>
        </w:rPr>
        <w:tab/>
        <w:t>Further research is urgently needed to assess the clinical and cost-effectiveness of FLS models for non-hip fracture patients. This question cannot be answered using the natural experimental design of this study, as the routine data are not available. This question can only be answered through conducting a randomised controlled trial.</w:t>
      </w:r>
    </w:p>
    <w:p w14:paraId="61650887" w14:textId="77777777" w:rsidR="00BC6C54" w:rsidRPr="00591BFC" w:rsidRDefault="00BC6C54" w:rsidP="00E86771">
      <w:pPr>
        <w:spacing w:line="360" w:lineRule="auto"/>
        <w:rPr>
          <w:lang w:eastAsia="x-none"/>
        </w:rPr>
      </w:pPr>
      <w:r w:rsidRPr="00591BFC">
        <w:rPr>
          <w:lang w:eastAsia="x-none"/>
        </w:rPr>
        <w:t>2.</w:t>
      </w:r>
      <w:r w:rsidRPr="00591BFC">
        <w:rPr>
          <w:lang w:eastAsia="x-none"/>
        </w:rPr>
        <w:tab/>
        <w:t>For hip fracture patients, the clinical and cost-effectiveness of an FLS on non-hip re-fracture outcomes remains unanswered.</w:t>
      </w:r>
    </w:p>
    <w:p w14:paraId="7C05177A" w14:textId="77777777" w:rsidR="00BC6C54" w:rsidRPr="00591BFC" w:rsidRDefault="00BC6C54" w:rsidP="00E86771">
      <w:pPr>
        <w:spacing w:line="360" w:lineRule="auto"/>
        <w:rPr>
          <w:lang w:eastAsia="x-none"/>
        </w:rPr>
      </w:pPr>
      <w:r w:rsidRPr="00591BFC">
        <w:rPr>
          <w:lang w:eastAsia="x-none"/>
        </w:rPr>
        <w:t>3.</w:t>
      </w:r>
      <w:r w:rsidRPr="00591BFC">
        <w:rPr>
          <w:lang w:eastAsia="x-none"/>
        </w:rPr>
        <w:tab/>
        <w:t>For the cost-effectiveness analysis, although a great proportion of the data used was derived from healthcare records of patients with hip fracture; we had to obtain health state utility values from a review of the published literature. It was not possible to reliably estimate utility values for non-hip fractures or the additional impact these may have on the quality of life of individuals with a history of hip fracture.  To remove uncertainty in the decision model, high quality data on utility values is required.</w:t>
      </w:r>
    </w:p>
    <w:p w14:paraId="6A62ADDC" w14:textId="77777777" w:rsidR="00BC6C54" w:rsidRPr="00591BFC" w:rsidRDefault="00BC6C54" w:rsidP="00E86771">
      <w:pPr>
        <w:spacing w:line="360" w:lineRule="auto"/>
        <w:rPr>
          <w:lang w:eastAsia="x-none"/>
        </w:rPr>
      </w:pPr>
      <w:r w:rsidRPr="00591BFC">
        <w:rPr>
          <w:lang w:eastAsia="x-none"/>
        </w:rPr>
        <w:t>4.</w:t>
      </w:r>
      <w:r w:rsidRPr="00591BFC">
        <w:rPr>
          <w:lang w:eastAsia="x-none"/>
        </w:rPr>
        <w:tab/>
        <w:t>The qualitative study was focused solely on the perspectives of professionals working in secondary care. Further work could explore their experiences of engagement with fracture prevention services and service provision in primary care. This would offer a comprehensive, ‘system-wide’ perspective that would over arch the division between primary and secondary care.</w:t>
      </w:r>
    </w:p>
    <w:p w14:paraId="66B4CB94" w14:textId="77777777" w:rsidR="00BC6C54" w:rsidRPr="00591BFC" w:rsidRDefault="00BC6C54" w:rsidP="00E86771">
      <w:pPr>
        <w:spacing w:line="360" w:lineRule="auto"/>
        <w:rPr>
          <w:lang w:eastAsia="x-none"/>
        </w:rPr>
      </w:pPr>
      <w:r w:rsidRPr="00591BFC">
        <w:rPr>
          <w:lang w:eastAsia="x-none"/>
        </w:rPr>
        <w:t>5.</w:t>
      </w:r>
      <w:r w:rsidRPr="00591BFC">
        <w:rPr>
          <w:lang w:eastAsia="x-none"/>
        </w:rPr>
        <w:tab/>
        <w:t>Further qualitative research should explore the experiences of hip fracture patients and their significant others of accessing these services to add a ‘patient centred’ context to the implementation of these services.</w:t>
      </w:r>
    </w:p>
    <w:p w14:paraId="40F2D3DE" w14:textId="77777777" w:rsidR="00BC6C54" w:rsidRPr="00591BFC" w:rsidRDefault="00BC6C54" w:rsidP="00E86771">
      <w:pPr>
        <w:spacing w:line="360" w:lineRule="auto"/>
        <w:rPr>
          <w:lang w:eastAsia="x-none"/>
        </w:rPr>
      </w:pPr>
      <w:r w:rsidRPr="00591BFC">
        <w:rPr>
          <w:lang w:eastAsia="x-none"/>
        </w:rPr>
        <w:lastRenderedPageBreak/>
        <w:t>6.</w:t>
      </w:r>
      <w:r w:rsidRPr="00591BFC">
        <w:rPr>
          <w:lang w:eastAsia="x-none"/>
        </w:rPr>
        <w:tab/>
        <w:t>The study focused on fracture prevention rather than falls prevention services. We acknowledge these are interrelated and this represents an area of further qualitative and quantitative study.</w:t>
      </w:r>
    </w:p>
    <w:p w14:paraId="3EB6C317" w14:textId="3F339768" w:rsidR="00E22489" w:rsidRDefault="00E22489" w:rsidP="00E86771">
      <w:pPr>
        <w:spacing w:line="360" w:lineRule="auto"/>
        <w:rPr>
          <w:b/>
        </w:rPr>
      </w:pPr>
      <w:r>
        <w:rPr>
          <w:b/>
        </w:rPr>
        <w:t>Word count: 2,</w:t>
      </w:r>
      <w:r w:rsidR="00506BC0">
        <w:rPr>
          <w:b/>
        </w:rPr>
        <w:t>395</w:t>
      </w:r>
      <w:r>
        <w:rPr>
          <w:b/>
        </w:rPr>
        <w:t xml:space="preserve"> </w:t>
      </w:r>
    </w:p>
    <w:p w14:paraId="04672239" w14:textId="77777777" w:rsidR="00843947" w:rsidRPr="00591BFC" w:rsidRDefault="00843947" w:rsidP="00E86771">
      <w:pPr>
        <w:spacing w:line="360" w:lineRule="auto"/>
        <w:rPr>
          <w:b/>
        </w:rPr>
      </w:pPr>
      <w:r w:rsidRPr="00591BFC">
        <w:rPr>
          <w:b/>
        </w:rPr>
        <w:br w:type="page"/>
      </w:r>
    </w:p>
    <w:p w14:paraId="0398A885" w14:textId="77777777" w:rsidR="00764089" w:rsidRPr="00591BFC" w:rsidRDefault="00764089" w:rsidP="00E86771">
      <w:pPr>
        <w:pStyle w:val="Heading1"/>
        <w:spacing w:line="360" w:lineRule="auto"/>
        <w:rPr>
          <w:rFonts w:ascii="Calibri" w:hAnsi="Calibri"/>
          <w:lang w:val="en-GB"/>
        </w:rPr>
      </w:pPr>
      <w:bookmarkStart w:id="27" w:name="_Toc308300694"/>
      <w:bookmarkStart w:id="28" w:name="_Toc311366501"/>
      <w:r w:rsidRPr="00591BFC">
        <w:rPr>
          <w:rFonts w:ascii="Calibri" w:hAnsi="Calibri"/>
          <w:lang w:val="en-GB"/>
        </w:rPr>
        <w:t>Plain English Summary</w:t>
      </w:r>
      <w:bookmarkEnd w:id="27"/>
      <w:bookmarkEnd w:id="28"/>
    </w:p>
    <w:p w14:paraId="1285B88E" w14:textId="77777777" w:rsidR="00086A10" w:rsidRPr="00591BFC" w:rsidRDefault="00086A10" w:rsidP="00E86771">
      <w:pPr>
        <w:spacing w:line="360" w:lineRule="auto"/>
        <w:rPr>
          <w:lang w:eastAsia="x-none"/>
        </w:rPr>
      </w:pPr>
    </w:p>
    <w:p w14:paraId="2F05E8F1" w14:textId="15DDB2CB" w:rsidR="00A15BC1" w:rsidRPr="00A15BC1" w:rsidRDefault="00A15BC1" w:rsidP="00E86771">
      <w:pPr>
        <w:spacing w:line="360" w:lineRule="auto"/>
      </w:pPr>
      <w:r w:rsidRPr="00A15BC1">
        <w:t>87,000 people have a hip fracture each year in the UK. A broken hip (fracture) happen</w:t>
      </w:r>
      <w:r w:rsidR="008A546F">
        <w:t>s</w:t>
      </w:r>
      <w:r w:rsidRPr="00A15BC1">
        <w:t xml:space="preserve"> when a</w:t>
      </w:r>
      <w:r w:rsidR="008A546F">
        <w:t>n older</w:t>
      </w:r>
      <w:r w:rsidRPr="00A15BC1">
        <w:t xml:space="preserve"> person falls.</w:t>
      </w:r>
      <w:r w:rsidR="008A546F">
        <w:t xml:space="preserve"> They may have </w:t>
      </w:r>
      <w:r w:rsidRPr="00A15BC1">
        <w:t xml:space="preserve">osteoporosis. People who break a hip are at risk of another fracture or dying. The government recommends specialist fracture liaison services which aim to diagnose hip fracture patients who have osteoporosis and prescribe treatment. It is unclear how effective these services are in preventing further fractures and reducing mortality. </w:t>
      </w:r>
    </w:p>
    <w:p w14:paraId="10C638B9" w14:textId="2D91B259" w:rsidR="00A15BC1" w:rsidRPr="00A15BC1" w:rsidRDefault="00A15BC1" w:rsidP="00E86771">
      <w:pPr>
        <w:spacing w:line="360" w:lineRule="auto"/>
      </w:pPr>
      <w:r w:rsidRPr="00A15BC1">
        <w:t>We used data collected by hospitals and GP surgeries to look at changes in death rates and second fractures after a hospital starts a new service or change</w:t>
      </w:r>
      <w:r w:rsidR="004B2CE0">
        <w:t>s</w:t>
      </w:r>
      <w:r w:rsidRPr="00A15BC1">
        <w:t xml:space="preserve"> an existing service. Dates when changes were made were identified by speaking with doctors and nurses working at each hospital studied. </w:t>
      </w:r>
    </w:p>
    <w:p w14:paraId="1F7ADC83" w14:textId="131DF4D8" w:rsidR="00A15BC1" w:rsidRPr="00A15BC1" w:rsidRDefault="00A15BC1" w:rsidP="00E86771">
      <w:pPr>
        <w:spacing w:line="360" w:lineRule="auto"/>
      </w:pPr>
      <w:r w:rsidRPr="00A15BC1">
        <w:t xml:space="preserve">The appointment of a specialist doctor or nurse working in fracture prevention </w:t>
      </w:r>
      <w:r w:rsidR="003F7843">
        <w:t>was associated with a reduction in</w:t>
      </w:r>
      <w:r w:rsidRPr="00A15BC1">
        <w:t xml:space="preserve"> death rates in patients following a hip fracture. Specialist doctors had a bigger effect than nurses. </w:t>
      </w:r>
      <w:r w:rsidR="002068E6">
        <w:t>T</w:t>
      </w:r>
      <w:r w:rsidRPr="00A15BC1">
        <w:t xml:space="preserve">here was no effect on the chance of patients going on to have a second hip fracture.  After working out the costs of these services to the NHS, appointing a specialist doctor is more cost-effective than employing a specialist nurse. </w:t>
      </w:r>
    </w:p>
    <w:p w14:paraId="476A561F" w14:textId="7F46CBD2" w:rsidR="00E22489" w:rsidRDefault="00A15BC1" w:rsidP="00E86771">
      <w:pPr>
        <w:spacing w:line="360" w:lineRule="auto"/>
      </w:pPr>
      <w:r w:rsidRPr="00A15BC1">
        <w:t>Interviews with doctors and nurses working in these services suggested that little is done to follow-up patients after they leave hospital</w:t>
      </w:r>
      <w:r w:rsidR="008A546F">
        <w:t>.</w:t>
      </w:r>
      <w:r w:rsidRPr="00A15BC1">
        <w:t xml:space="preserve"> </w:t>
      </w:r>
      <w:r w:rsidR="008A546F">
        <w:t>M</w:t>
      </w:r>
      <w:r w:rsidRPr="00A15BC1">
        <w:t>any patients stop taking their medication</w:t>
      </w:r>
      <w:r w:rsidR="008A546F" w:rsidRPr="008A546F">
        <w:t xml:space="preserve"> and do not participate in exercise programs or other effective treatments</w:t>
      </w:r>
      <w:r w:rsidRPr="00A15BC1">
        <w:t>. This may be a reason why services don’t reduce the chance of a second hip fracture.</w:t>
      </w:r>
    </w:p>
    <w:p w14:paraId="5576B682" w14:textId="77777777" w:rsidR="00E22489" w:rsidRDefault="00E22489" w:rsidP="00E86771">
      <w:pPr>
        <w:spacing w:line="360" w:lineRule="auto"/>
        <w:sectPr w:rsidR="00E22489" w:rsidSect="007F258D">
          <w:headerReference w:type="default" r:id="rId10"/>
          <w:footerReference w:type="default" r:id="rId11"/>
          <w:pgSz w:w="11906" w:h="16838"/>
          <w:pgMar w:top="1440" w:right="1440" w:bottom="1440" w:left="1440" w:header="708" w:footer="708" w:gutter="0"/>
          <w:cols w:space="708"/>
          <w:docGrid w:linePitch="360"/>
        </w:sectPr>
      </w:pPr>
    </w:p>
    <w:p w14:paraId="46446B7F" w14:textId="3A8BDA1B" w:rsidR="00E22489" w:rsidRDefault="00A15BC1" w:rsidP="00E86771">
      <w:pPr>
        <w:spacing w:line="360" w:lineRule="auto"/>
      </w:pPr>
      <w:r w:rsidRPr="00A15BC1">
        <w:lastRenderedPageBreak/>
        <w:t xml:space="preserve"> </w:t>
      </w:r>
      <w:r w:rsidR="00866F8C">
        <w:t>Word count: 250</w:t>
      </w:r>
      <w:r w:rsidR="00764089" w:rsidRPr="00E814C1">
        <w:br w:type="page"/>
      </w:r>
      <w:r w:rsidR="00C627ED">
        <w:lastRenderedPageBreak/>
        <w:t>M</w:t>
      </w:r>
      <w:r w:rsidR="002B180B">
        <w:t>ain report</w:t>
      </w:r>
      <w:r w:rsidR="00E22489">
        <w:t xml:space="preserve"> word count: </w:t>
      </w:r>
      <w:r w:rsidR="008F4624">
        <w:t>47,329</w:t>
      </w:r>
    </w:p>
    <w:p w14:paraId="49DCD1E9" w14:textId="77777777" w:rsidR="00764089" w:rsidRPr="00E814C1" w:rsidRDefault="00843947" w:rsidP="00E86771">
      <w:pPr>
        <w:pStyle w:val="Heading1"/>
        <w:spacing w:line="360" w:lineRule="auto"/>
      </w:pPr>
      <w:bookmarkStart w:id="29" w:name="_Toc308300695"/>
      <w:bookmarkStart w:id="30" w:name="_Toc311366502"/>
      <w:r w:rsidRPr="00E814C1">
        <w:t xml:space="preserve">Chapter 1 </w:t>
      </w:r>
      <w:r w:rsidR="00764089" w:rsidRPr="00E814C1">
        <w:t>Introduction</w:t>
      </w:r>
      <w:bookmarkEnd w:id="29"/>
      <w:bookmarkEnd w:id="30"/>
    </w:p>
    <w:p w14:paraId="376DAB44" w14:textId="77777777" w:rsidR="00764089" w:rsidRPr="00591BFC" w:rsidRDefault="00764089" w:rsidP="00E86771">
      <w:pPr>
        <w:pStyle w:val="Heading2"/>
        <w:spacing w:line="360" w:lineRule="auto"/>
        <w:rPr>
          <w:rFonts w:ascii="Calibri" w:hAnsi="Calibri"/>
          <w:lang w:val="en-GB"/>
        </w:rPr>
      </w:pPr>
      <w:bookmarkStart w:id="31" w:name="_Toc308300696"/>
      <w:bookmarkStart w:id="32" w:name="_Toc311366503"/>
      <w:r w:rsidRPr="00591BFC">
        <w:rPr>
          <w:rFonts w:ascii="Calibri" w:hAnsi="Calibri"/>
          <w:lang w:val="en-GB"/>
        </w:rPr>
        <w:t>Background</w:t>
      </w:r>
      <w:bookmarkEnd w:id="31"/>
      <w:bookmarkEnd w:id="32"/>
    </w:p>
    <w:p w14:paraId="05501E75" w14:textId="77777777" w:rsidR="00F24EB9" w:rsidRPr="00591BFC" w:rsidRDefault="00F24EB9" w:rsidP="00E86771">
      <w:pPr>
        <w:spacing w:line="360" w:lineRule="auto"/>
      </w:pPr>
      <w:r w:rsidRPr="00591BFC">
        <w:t>There is a marked disparity in the delivery of secondary fracture prevention for hip fracture across England despite national guidelines, which is of concern for clinicians, patients, and commissioners. Given the substantial societal burden of hip fractures and the subsequent increased risk of fracture, understanding the causes and consequences of this disparity is a matter of urgent priority within the NHS.</w:t>
      </w:r>
    </w:p>
    <w:p w14:paraId="6DAD1E4E" w14:textId="3D6FC760" w:rsidR="00F24EB9" w:rsidRPr="00591BFC" w:rsidRDefault="00F24EB9" w:rsidP="00E86771">
      <w:pPr>
        <w:spacing w:line="360" w:lineRule="auto"/>
      </w:pPr>
      <w:r w:rsidRPr="00591BFC">
        <w:t>Osteoporosis is a common bone disease affecting three million patients in the UK. The clinical and public health implications are substantial due to the mortality, morbidity and cost of medical care associated with osteoporotic fractures</w:t>
      </w:r>
      <w:hyperlink w:anchor="_ENREF_1" w:tooltip="British Orthopaedic Association, 2007 #25" w:history="1">
        <w:r w:rsidR="00B24FEE">
          <w:fldChar w:fldCharType="begin"/>
        </w:r>
        <w:r w:rsidR="00B24FEE">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fldChar w:fldCharType="separate"/>
        </w:r>
        <w:r w:rsidR="00B24FEE" w:rsidRPr="00B24FEE">
          <w:rPr>
            <w:noProof/>
            <w:vertAlign w:val="superscript"/>
          </w:rPr>
          <w:t>1</w:t>
        </w:r>
        <w:r w:rsidR="00B24FEE">
          <w:fldChar w:fldCharType="end"/>
        </w:r>
      </w:hyperlink>
      <w:r w:rsidRPr="00591BFC">
        <w:t xml:space="preserve">. Of all the types of osteoporotic fracture, hip fractures are the most costly and a major public health problem due to an </w:t>
      </w:r>
      <w:r w:rsidR="00944A78" w:rsidRPr="00591BFC">
        <w:t>ageing</w:t>
      </w:r>
      <w:r w:rsidRPr="00591BFC">
        <w:t xml:space="preserve"> population. Hip fractures usually occur as result of a low-impact falls in individuals with underlying bone fragility due to osteoporosis</w:t>
      </w:r>
      <w:r w:rsidR="00B24FEE">
        <w:fldChar w:fldCharType="begin"/>
      </w:r>
      <w:r w:rsidR="00B24FEE">
        <w:instrText xml:space="preserve"> ADDIN EN.CITE &lt;EndNote&gt;&lt;Cite&gt;&lt;Author&gt;Dennison&lt;/Author&gt;&lt;Year&gt;2006&lt;/Year&gt;&lt;RecNum&gt;21&lt;/RecNum&gt;&lt;DisplayText&gt;&lt;style face="superscript"&gt;2 3&lt;/style&gt;&lt;/DisplayText&gt;&lt;record&gt;&lt;rec-number&gt;21&lt;/rec-number&gt;&lt;foreign-keys&gt;&lt;key app="EN" db-id="sxpszd2ti9dx04ewefrvfp5bpf5faazszr9p" timestamp="0"&gt;21&lt;/key&gt;&lt;/foreign-keys&gt;&lt;ref-type name="Journal Article"&gt;17&lt;/ref-type&gt;&lt;contributors&gt;&lt;authors&gt;&lt;author&gt;Dennison, Elaine&lt;/author&gt;&lt;author&gt;Mohamed, Maysam Abdin&lt;/author&gt;&lt;author&gt;Cooper, Cyrus&lt;/author&gt;&lt;/authors&gt;&lt;/contributors&gt;&lt;titles&gt;&lt;title&gt;Epidemiology of Osteoporosis&lt;/title&gt;&lt;secondary-title&gt;Rheumatic Disease Clinics of North America&lt;/secondary-title&gt;&lt;/titles&gt;&lt;pages&gt;617-629&lt;/pages&gt;&lt;volume&gt;32&lt;/volume&gt;&lt;number&gt;4&lt;/number&gt;&lt;dates&gt;&lt;year&gt;2006&lt;/year&gt;&lt;/dates&gt;&lt;isbn&gt;0889-857X&lt;/isbn&gt;&lt;urls&gt;&lt;related-urls&gt;&lt;url&gt;http://www.sciencedirect.com/science/article/pii/S0889857X0600072X&lt;/url&gt;&lt;/related-urls&gt;&lt;/urls&gt;&lt;electronic-resource-num&gt;10.1016/j.rdc.2006.08.003&lt;/electronic-resource-num&gt;&lt;/record&gt;&lt;/Cite&gt;&lt;Cite&gt;&lt;Author&gt;Chesser&lt;/Author&gt;&lt;Year&gt;2011&lt;/Year&gt;&lt;RecNum&gt;1&lt;/RecNum&gt;&lt;record&gt;&lt;rec-number&gt;1&lt;/rec-number&gt;&lt;foreign-keys&gt;&lt;key app="EN" db-id="sxpszd2ti9dx04ewefrvfp5bpf5faazszr9p" timestamp="0"&gt;1&lt;/key&gt;&lt;/foreign-keys&gt;&lt;ref-type name="Journal Article"&gt;17&lt;/ref-type&gt;&lt;contributors&gt;&lt;authors&gt;&lt;author&gt;Chesser, T. J. S.&lt;/author&gt;&lt;author&gt;Handley, R.&lt;/author&gt;&lt;author&gt;Swift, C.&lt;/author&gt;&lt;/authors&gt;&lt;/contributors&gt;&lt;titles&gt;&lt;title&gt;New NICE guideline to improve outcomes for hip fracture patients&lt;/title&gt;&lt;secondary-title&gt;Injury&lt;/secondary-title&gt;&lt;/titles&gt;&lt;periodical&gt;&lt;full-title&gt;Injury&lt;/full-title&gt;&lt;/periodical&gt;&lt;pages&gt;727-729&lt;/pages&gt;&lt;volume&gt;42&lt;/volume&gt;&lt;number&gt;8&lt;/number&gt;&lt;dates&gt;&lt;year&gt;2011&lt;/year&gt;&lt;/dates&gt;&lt;publisher&gt;Elsevier&lt;/publisher&gt;&lt;isbn&gt;0020-1383&lt;/isbn&gt;&lt;urls&gt;&lt;related-urls&gt;&lt;url&gt;http://linkinghub.elsevier.com/retrieve/pii/S0020138311002385?showall=true&lt;/url&gt;&lt;/related-urls&gt;&lt;/urls&gt;&lt;/record&gt;&lt;/Cite&gt;&lt;/EndNote&gt;</w:instrText>
      </w:r>
      <w:r w:rsidR="00B24FEE">
        <w:fldChar w:fldCharType="separate"/>
      </w:r>
      <w:hyperlink w:anchor="_ENREF_2" w:tooltip="Dennison, 2006 #21" w:history="1">
        <w:r w:rsidR="00B24FEE" w:rsidRPr="00B24FEE">
          <w:rPr>
            <w:noProof/>
            <w:vertAlign w:val="superscript"/>
          </w:rPr>
          <w:t>2</w:t>
        </w:r>
      </w:hyperlink>
      <w:r w:rsidR="00B24FEE" w:rsidRPr="00B24FEE">
        <w:rPr>
          <w:noProof/>
          <w:vertAlign w:val="superscript"/>
        </w:rPr>
        <w:t xml:space="preserve"> </w:t>
      </w:r>
      <w:hyperlink w:anchor="_ENREF_3" w:tooltip="Chesser, 2011 #1" w:history="1">
        <w:r w:rsidR="00B24FEE" w:rsidRPr="00B24FEE">
          <w:rPr>
            <w:noProof/>
            <w:vertAlign w:val="superscript"/>
          </w:rPr>
          <w:t>3</w:t>
        </w:r>
      </w:hyperlink>
      <w:r w:rsidR="00B24FEE">
        <w:fldChar w:fldCharType="end"/>
      </w:r>
      <w:r w:rsidRPr="00591BFC">
        <w:t>. About 87,000 hip fractures occur annually in the UK, with a cost (including medical and social care) amounting to about £2.3 billion a year</w:t>
      </w:r>
      <w:r w:rsidR="00B24FEE">
        <w:fldChar w:fldCharType="begin"/>
      </w:r>
      <w:r w:rsidR="00B24FEE">
        <w:instrText xml:space="preserve"> ADDIN EN.CITE &lt;EndNote&gt;&lt;Cite&gt;&lt;Author&gt;British Orthopaedic Association&lt;/Author&gt;&lt;Year&gt;2007&lt;/Year&gt;&lt;RecNum&gt;25&lt;/RecNum&gt;&lt;DisplayText&gt;&lt;style face="superscript"&gt;1 3&lt;/style&gt;&lt;/DisplayText&gt;&lt;record&gt;&lt;rec-number&gt;25&lt;/rec-number&gt;&lt;foreign-keys&gt;&lt;key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Cite&gt;&lt;Author&gt;Chesser&lt;/Author&gt;&lt;Year&gt;2011&lt;/Year&gt;&lt;RecNum&gt;1&lt;/RecNum&gt;&lt;record&gt;&lt;rec-number&gt;1&lt;/rec-number&gt;&lt;foreign-keys&gt;&lt;key app="EN" db-id="sxpszd2ti9dx04ewefrvfp5bpf5faazszr9p" timestamp="0"&gt;1&lt;/key&gt;&lt;/foreign-keys&gt;&lt;ref-type name="Journal Article"&gt;17&lt;/ref-type&gt;&lt;contributors&gt;&lt;authors&gt;&lt;author&gt;Chesser, T. J. S.&lt;/author&gt;&lt;author&gt;Handley, R.&lt;/author&gt;&lt;author&gt;Swift, C.&lt;/author&gt;&lt;/authors&gt;&lt;/contributors&gt;&lt;titles&gt;&lt;title&gt;New NICE guideline to improve outcomes for hip fracture patients&lt;/title&gt;&lt;secondary-title&gt;Injury&lt;/secondary-title&gt;&lt;/titles&gt;&lt;periodical&gt;&lt;full-title&gt;Injury&lt;/full-title&gt;&lt;/periodical&gt;&lt;pages&gt;727-729&lt;/pages&gt;&lt;volume&gt;42&lt;/volume&gt;&lt;number&gt;8&lt;/number&gt;&lt;dates&gt;&lt;year&gt;2011&lt;/year&gt;&lt;/dates&gt;&lt;publisher&gt;Elsevier&lt;/publisher&gt;&lt;isbn&gt;0020-1383&lt;/isbn&gt;&lt;urls&gt;&lt;related-urls&gt;&lt;url&gt;http://linkinghub.elsevier.com/retrieve/pii/S0020138311002385?showall=true&lt;/url&gt;&lt;/related-urls&gt;&lt;/urls&gt;&lt;/record&gt;&lt;/Cite&gt;&lt;/EndNote&gt;</w:instrText>
      </w:r>
      <w:r w:rsidR="00B24FEE">
        <w:fldChar w:fldCharType="separate"/>
      </w:r>
      <w:hyperlink w:anchor="_ENREF_1" w:tooltip="British Orthopaedic Association, 2007 #25" w:history="1">
        <w:r w:rsidR="00B24FEE" w:rsidRPr="00B24FEE">
          <w:rPr>
            <w:noProof/>
            <w:vertAlign w:val="superscript"/>
          </w:rPr>
          <w:t>1</w:t>
        </w:r>
      </w:hyperlink>
      <w:r w:rsidR="00B24FEE" w:rsidRPr="00B24FEE">
        <w:rPr>
          <w:noProof/>
          <w:vertAlign w:val="superscript"/>
        </w:rPr>
        <w:t xml:space="preserve"> </w:t>
      </w:r>
      <w:hyperlink w:anchor="_ENREF_3" w:tooltip="Chesser, 2011 #1" w:history="1">
        <w:r w:rsidR="00B24FEE" w:rsidRPr="00B24FEE">
          <w:rPr>
            <w:noProof/>
            <w:vertAlign w:val="superscript"/>
          </w:rPr>
          <w:t>3</w:t>
        </w:r>
      </w:hyperlink>
      <w:r w:rsidR="00B24FEE">
        <w:fldChar w:fldCharType="end"/>
      </w:r>
      <w:r w:rsidRPr="00591BFC">
        <w:t xml:space="preserve">. Length of stay accounts for the majority of overall hospital costs, </w:t>
      </w:r>
      <w:r w:rsidR="00557FDA" w:rsidRPr="00591BFC">
        <w:t xml:space="preserve">and has been </w:t>
      </w:r>
      <w:r w:rsidRPr="00591BFC">
        <w:t>estimated to be between £5,600 and £12,000 per case</w:t>
      </w:r>
      <w:hyperlink w:anchor="_ENREF_1" w:tooltip="British Orthopaedic Association, 2007 #25" w:history="1">
        <w:r w:rsidR="00B24FEE">
          <w:fldChar w:fldCharType="begin"/>
        </w:r>
        <w:r w:rsidR="00B24FEE">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fldChar w:fldCharType="separate"/>
        </w:r>
        <w:r w:rsidR="00B24FEE" w:rsidRPr="00B24FEE">
          <w:rPr>
            <w:noProof/>
            <w:vertAlign w:val="superscript"/>
          </w:rPr>
          <w:t>1</w:t>
        </w:r>
        <w:r w:rsidR="00B24FEE">
          <w:fldChar w:fldCharType="end"/>
        </w:r>
      </w:hyperlink>
      <w:r w:rsidRPr="00591BFC">
        <w:t>. After discharge from hospital, the cost of complex home and institutional care for people who make a poor recovery is very high, with average additional costs for health and social aftercare previously estimated to be £25,000 in the first two years</w:t>
      </w:r>
      <w:hyperlink w:anchor="_ENREF_1" w:tooltip="British Orthopaedic Association, 2007 #25" w:history="1">
        <w:r w:rsidR="00B24FEE">
          <w:fldChar w:fldCharType="begin"/>
        </w:r>
        <w:r w:rsidR="00B24FEE">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fldChar w:fldCharType="separate"/>
        </w:r>
        <w:r w:rsidR="00B24FEE" w:rsidRPr="00B24FEE">
          <w:rPr>
            <w:noProof/>
            <w:vertAlign w:val="superscript"/>
          </w:rPr>
          <w:t>1</w:t>
        </w:r>
        <w:r w:rsidR="00B24FEE">
          <w:fldChar w:fldCharType="end"/>
        </w:r>
      </w:hyperlink>
      <w:r w:rsidRPr="00591BFC">
        <w:t>.</w:t>
      </w:r>
    </w:p>
    <w:p w14:paraId="25709232" w14:textId="1925F6B2" w:rsidR="00F24EB9" w:rsidRPr="00591BFC" w:rsidRDefault="00F24EB9" w:rsidP="00E86771">
      <w:pPr>
        <w:spacing w:line="360" w:lineRule="auto"/>
      </w:pPr>
      <w:r w:rsidRPr="00591BFC">
        <w:t>Importantly, patients experiencing hip fracture after low-impact trauma are at consi</w:t>
      </w:r>
      <w:r w:rsidR="00FA34DF" w:rsidRPr="00591BFC">
        <w:t>derable risk of</w:t>
      </w:r>
      <w:r w:rsidRPr="00591BFC">
        <w:t xml:space="preserve"> subsequent falls, osteoporotic fractures and premature </w:t>
      </w:r>
      <w:r w:rsidR="003013C2" w:rsidRPr="00591BFC">
        <w:t xml:space="preserve">death </w:t>
      </w:r>
      <w:hyperlink w:anchor="_ENREF_4" w:tooltip="Cooper, 2011 #19" w:history="1">
        <w:r w:rsidR="00B24FEE">
          <w:fldChar w:fldCharType="begin">
            <w:fldData xml:space="preserve">PEVuZE5vdGU+PENpdGU+PEF1dGhvcj5Db29wZXI8L0F1dGhvcj48WWVhcj4yMDExPC9ZZWFyPjxS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</w:fldData>
          </w:fldChar>
        </w:r>
        <w:r w:rsidR="00B24FEE">
          <w:instrText xml:space="preserve"> ADDIN EN.CITE </w:instrText>
        </w:r>
        <w:r w:rsidR="00B24FEE">
          <w:fldChar w:fldCharType="begin">
            <w:fldData xml:space="preserve">PEVuZE5vdGU+PENpdGU+PEF1dGhvcj5Db29wZXI8L0F1dGhvcj48WWVhcj4yMDExPC9ZZWFyPjxS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</w:fldData>
          </w:fldChar>
        </w:r>
        <w:r w:rsidR="00B24FEE">
          <w:instrText xml:space="preserve"> ADDIN EN.CITE.DATA </w:instrText>
        </w:r>
        <w:r w:rsidR="00B24FEE">
          <w:fldChar w:fldCharType="end"/>
        </w:r>
        <w:r w:rsidR="00B24FEE">
          <w:fldChar w:fldCharType="separate"/>
        </w:r>
        <w:r w:rsidR="00B24FEE" w:rsidRPr="00B24FEE">
          <w:rPr>
            <w:noProof/>
            <w:vertAlign w:val="superscript"/>
          </w:rPr>
          <w:t>4-6</w:t>
        </w:r>
        <w:r w:rsidR="00B24FEE">
          <w:fldChar w:fldCharType="end"/>
        </w:r>
      </w:hyperlink>
      <w:r w:rsidR="003013C2" w:rsidRPr="00591BFC">
        <w:t xml:space="preserve">. </w:t>
      </w:r>
      <w:r w:rsidRPr="00591BFC">
        <w:t>The risk of second hip fracture ranges from 2.3% to 10.6%, where the majority of second hip fractures occurred within a few years of the first hip fracture</w:t>
      </w:r>
      <w:r w:rsidR="00B24FEE">
        <w:fldChar w:fldCharType="begin"/>
      </w:r>
      <w:r w:rsidR="00B24FEE">
        <w:instrText xml:space="preserve"> ADDIN EN.CITE &lt;EndNote&gt;&lt;Cite&gt;&lt;Author&gt;George&lt;/Author&gt;&lt;Year&gt;2000&lt;/Year&gt;&lt;RecNum&gt;35&lt;/RecNum&gt;&lt;DisplayText&gt;&lt;style face="superscript"&gt;7 8&lt;/style&gt;&lt;/DisplayText&gt;&lt;record&gt;&lt;rec-number&gt;35&lt;/rec-number&gt;&lt;foreign-keys&gt;&lt;key app="EN" db-id="sxpszd2ti9dx04ewefrvfp5bpf5faazszr9p" timestamp="0"&gt;35&lt;/key&gt;&lt;/foreign-keys&gt;&lt;ref-type name="Journal Article"&gt;17&lt;/ref-type&gt;&lt;contributors&gt;&lt;authors&gt;&lt;author&gt;George, G. H. M.&lt;/author&gt;&lt;author&gt;Patel, S.&lt;/author&gt;&lt;/authors&gt;&lt;/contributors&gt;&lt;titles&gt;&lt;title&gt;Secondary prevention of hip fracture&lt;/title&gt;&lt;secondary-title&gt;Rheumatology&lt;/secondary-title&gt;&lt;/titles&gt;&lt;pages&gt;346-349&lt;/pages&gt;&lt;volume&gt;39&lt;/volume&gt;&lt;number&gt;4&lt;/number&gt;&lt;dates&gt;&lt;year&gt;2000&lt;/year&gt;&lt;/dates&gt;&lt;urls&gt;&lt;related-urls&gt;&lt;url&gt;http://rheumatology.oxfordjournals.org/content/39/4/346.short&lt;/url&gt;&lt;/related-urls&gt;&lt;/urls&gt;&lt;/record&gt;&lt;/Cite&gt;&lt;Cite&gt;&lt;Author&gt;Melton&lt;/Author&gt;&lt;Year&gt;2009&lt;/Year&gt;&lt;RecNum&gt;36&lt;/RecNum&gt;&lt;record&gt;&lt;rec-number&gt;36&lt;/rec-number&gt;&lt;foreign-keys&gt;&lt;key app="EN" db-id="sxpszd2ti9dx04ewefrvfp5bpf5faazszr9p" timestamp="0"&gt;36&lt;/key&gt;&lt;/foreign-keys&gt;&lt;ref-type name="Journal Article"&gt;17&lt;/ref-type&gt;&lt;contributors&gt;&lt;authors&gt;&lt;author&gt;Melton, L.&lt;/author&gt;&lt;author&gt;Kearns, A.&lt;/author&gt;&lt;author&gt;Atkinson, E.&lt;/author&gt;&lt;author&gt;Bolander, M.&lt;/author&gt;&lt;author&gt;Achenbach, S.&lt;/author&gt;&lt;author&gt;Huddleston, J.&lt;/author&gt;&lt;author&gt;Therneau, T.&lt;/author&gt;&lt;author&gt;Leibson, C.&lt;/author&gt;&lt;/authors&gt;&lt;/contributors&gt;&lt;titles&gt;&lt;title&gt;Secular trends in hip fracture incidence and recurrence&lt;/title&gt;&lt;secondary-title&gt;Osteoporosis International&lt;/secondary-title&gt;&lt;/titles&gt;&lt;pages&gt;687-694&lt;/pages&gt;&lt;volume&gt;20&lt;/volume&gt;&lt;number&gt;5&lt;/number&gt;&lt;keywords&gt;&lt;keyword&gt;Medicine&lt;/keyword&gt;&lt;/keywords&gt;&lt;dates&gt;&lt;year&gt;2009&lt;/year&gt;&lt;/dates&gt;&lt;publisher&gt;Springer London&lt;/publisher&gt;&lt;isbn&gt;0937-941X&lt;/isbn&gt;&lt;urls&gt;&lt;related-urls&gt;&lt;url&gt;http://dx.doi.org/10.1007/s00198-008-0742-8&lt;/url&gt;&lt;/related-urls&gt;&lt;/urls&gt;&lt;electronic-resource-num&gt;10.1007/s00198-008-0742-8&lt;/electronic-resource-num&gt;&lt;/record&gt;&lt;/Cite&gt;&lt;/EndNote&gt;</w:instrText>
      </w:r>
      <w:r w:rsidR="00B24FEE">
        <w:fldChar w:fldCharType="separate"/>
      </w:r>
      <w:hyperlink w:anchor="_ENREF_7" w:tooltip="George, 2000 #35" w:history="1">
        <w:r w:rsidR="00B24FEE" w:rsidRPr="00B24FEE">
          <w:rPr>
            <w:noProof/>
            <w:vertAlign w:val="superscript"/>
          </w:rPr>
          <w:t>7</w:t>
        </w:r>
      </w:hyperlink>
      <w:r w:rsidR="00B24FEE" w:rsidRPr="00B24FEE">
        <w:rPr>
          <w:noProof/>
          <w:vertAlign w:val="superscript"/>
        </w:rPr>
        <w:t xml:space="preserve"> </w:t>
      </w:r>
      <w:hyperlink w:anchor="_ENREF_8" w:tooltip="Melton, 2009 #36" w:history="1">
        <w:r w:rsidR="00B24FEE" w:rsidRPr="00B24FEE">
          <w:rPr>
            <w:noProof/>
            <w:vertAlign w:val="superscript"/>
          </w:rPr>
          <w:t>8</w:t>
        </w:r>
      </w:hyperlink>
      <w:r w:rsidR="00B24FEE">
        <w:fldChar w:fldCharType="end"/>
      </w:r>
      <w:r w:rsidRPr="00591BFC">
        <w:t>. It has been estimated that 55.6% of hip fracture patients had at least 1 fall within 12-months, 11.8% sustained a fall related fracture, and 5% a fall related hip fracture</w:t>
      </w:r>
      <w:hyperlink w:anchor="_ENREF_9" w:tooltip="Lloyd, 2009 #33" w:history="1">
        <w:r w:rsidR="00B24FEE">
          <w:fldChar w:fldCharType="begin">
            <w:fldData xml:space="preserve">PEVuZE5vdGU+PENpdGU+PEF1dGhvcj5MbG95ZDwvQXV0aG9yPjxZZWFyPjIwMDk8L1llYXI+PFJl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</w:fldData>
          </w:fldChar>
        </w:r>
        <w:r w:rsidR="00B24FEE">
          <w:instrText xml:space="preserve"> ADDIN EN.CITE </w:instrText>
        </w:r>
        <w:r w:rsidR="00B24FEE">
          <w:fldChar w:fldCharType="begin">
            <w:fldData xml:space="preserve">PEVuZE5vdGU+PENpdGU+PEF1dGhvcj5MbG95ZDwvQXV0aG9yPjxZZWFyPjIwMDk8L1llYXI+PFJl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</w:fldData>
          </w:fldChar>
        </w:r>
        <w:r w:rsidR="00B24FEE">
          <w:instrText xml:space="preserve"> ADDIN EN.CITE.DATA </w:instrText>
        </w:r>
        <w:r w:rsidR="00B24FEE">
          <w:fldChar w:fldCharType="end"/>
        </w:r>
        <w:r w:rsidR="00B24FEE">
          <w:fldChar w:fldCharType="separate"/>
        </w:r>
        <w:r w:rsidR="00B24FEE" w:rsidRPr="00B24FEE">
          <w:rPr>
            <w:noProof/>
            <w:vertAlign w:val="superscript"/>
          </w:rPr>
          <w:t>9</w:t>
        </w:r>
        <w:r w:rsidR="00B24FEE">
          <w:fldChar w:fldCharType="end"/>
        </w:r>
      </w:hyperlink>
      <w:r w:rsidRPr="00591BFC">
        <w:t>. Mortality during the first year after fracture ranges from 8.4% to 36%</w:t>
      </w:r>
      <w:hyperlink w:anchor="_ENREF_4" w:tooltip="Cooper, 2011 #19" w:history="1">
        <w:r w:rsidR="00B24FEE">
          <w:fldChar w:fldCharType="begin"/>
        </w:r>
        <w:r w:rsidR="00B24FEE">
          <w:instrText xml:space="preserve"> ADDIN EN.CITE &lt;EndNote&gt;&lt;Cite&gt;&lt;Author&gt;Cooper&lt;/Author&gt;&lt;Year&gt;2011&lt;/Year&gt;&lt;RecNum&gt;19&lt;/RecNum&gt;&lt;DisplayText&gt;&lt;style face="superscript"&gt;4&lt;/style&gt;&lt;/DisplayText&gt;&lt;record&gt;&lt;rec-number&gt;19&lt;/rec-number&gt;&lt;foreign-keys&gt;&lt;key app="EN" db-id="sxpszd2ti9dx04ewefrvfp5bpf5faazszr9p" timestamp="0"&gt;19&lt;/key&gt;&lt;/foreign-keys&gt;&lt;ref-type name="Journal Article"&gt;17&lt;/ref-type&gt;&lt;contributors&gt;&lt;authors&gt;&lt;author&gt;Cooper, C.&lt;/author&gt;&lt;author&gt;Mitchell, P.&lt;/author&gt;&lt;author&gt;Kanis, J.&lt;/author&gt;&lt;/authors&gt;&lt;/contributors&gt;&lt;titles&gt;&lt;title&gt;Breaking the fragility fracture cycle&lt;/title&gt;&lt;secondary-title&gt;Osteoporosis International&lt;/secondary-title&gt;&lt;/titles&gt;&lt;pages&gt;2049-2050&lt;/pages&gt;&lt;volume&gt;22&lt;/volume&gt;&lt;number&gt;7&lt;/number&gt;&lt;keywords&gt;&lt;keyword&gt;Medicine&lt;/keyword&gt;&lt;/keywords&gt;&lt;dates&gt;&lt;year&gt;2011&lt;/year&gt;&lt;/dates&gt;&lt;publisher&gt;Springer London&lt;/publisher&gt;&lt;isbn&gt;0937-941X&lt;/isbn&gt;&lt;urls&gt;&lt;related-urls&gt;&lt;url&gt;http://dx.doi.org/10.1007/s00198-011-1643-9&lt;/url&gt;&lt;/related-urls&gt;&lt;/urls&gt;&lt;electronic-resource-num&gt;10.1007/s00198-011-1643-9&lt;/electronic-resource-num&gt;&lt;/record&gt;&lt;/Cite&gt;&lt;/EndNote&gt;</w:instrText>
        </w:r>
        <w:r w:rsidR="00B24FEE">
          <w:fldChar w:fldCharType="separate"/>
        </w:r>
        <w:r w:rsidR="00B24FEE" w:rsidRPr="00B24FEE">
          <w:rPr>
            <w:noProof/>
            <w:vertAlign w:val="superscript"/>
          </w:rPr>
          <w:t>4</w:t>
        </w:r>
        <w:r w:rsidR="00B24FEE">
          <w:fldChar w:fldCharType="end"/>
        </w:r>
      </w:hyperlink>
      <w:r w:rsidRPr="00591BFC">
        <w:t>.</w:t>
      </w:r>
    </w:p>
    <w:p w14:paraId="61638370" w14:textId="77777777" w:rsidR="00DD0D8D" w:rsidRPr="00591BFC" w:rsidRDefault="00DD0D8D" w:rsidP="00E86771">
      <w:pPr>
        <w:pStyle w:val="Heading3"/>
        <w:spacing w:line="360" w:lineRule="auto"/>
        <w:rPr>
          <w:rFonts w:ascii="Calibri" w:hAnsi="Calibri"/>
          <w:lang w:val="en-GB"/>
        </w:rPr>
      </w:pPr>
      <w:bookmarkStart w:id="33" w:name="_Toc308300697"/>
      <w:bookmarkStart w:id="34" w:name="_Toc311366504"/>
      <w:r w:rsidRPr="00591BFC">
        <w:rPr>
          <w:rFonts w:ascii="Calibri" w:hAnsi="Calibri"/>
          <w:lang w:val="en-GB"/>
        </w:rPr>
        <w:t>Current guidelines in fracture prevention</w:t>
      </w:r>
      <w:bookmarkEnd w:id="33"/>
      <w:bookmarkEnd w:id="34"/>
    </w:p>
    <w:p w14:paraId="41B63A6D" w14:textId="2D578E44" w:rsidR="00F24EB9" w:rsidRPr="00591BFC" w:rsidRDefault="00F24EB9" w:rsidP="00E86771">
      <w:pPr>
        <w:spacing w:line="360" w:lineRule="auto"/>
      </w:pPr>
      <w:r w:rsidRPr="00591BFC">
        <w:t>The onset of osteoporosis is asymptomatic and it is often only recogni</w:t>
      </w:r>
      <w:r w:rsidR="006433D3">
        <w:t>s</w:t>
      </w:r>
      <w:r w:rsidRPr="00591BFC">
        <w:t xml:space="preserve">ed after an older person falls and sustains a fracture. There have been widespread calls to improve the identification and treatment of hip fracture patients to reduce the risk of further </w:t>
      </w:r>
      <w:r w:rsidR="003013C2" w:rsidRPr="00591BFC">
        <w:t>falls, fractures and mortality</w:t>
      </w:r>
      <w:r w:rsidR="00B24FEE">
        <w:fldChar w:fldCharType="begin">
          <w:fldData xml:space="preserve">PEVuZE5vdGU+PENpdGU+PEF1dGhvcj5Ccml0aXNoIE9ydGhvcGFlZGljIEFzc29jaWF0aW9uPC9B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</w:fldData>
        </w:fldChar>
      </w:r>
      <w:r w:rsidR="00B24FEE">
        <w:instrText xml:space="preserve"> ADDIN EN.CITE </w:instrText>
      </w:r>
      <w:r w:rsidR="00B24FEE">
        <w:fldChar w:fldCharType="begin">
          <w:fldData xml:space="preserve">PEVuZE5vdGU+PENpdGU+PEF1dGhvcj5Ccml0aXNoIE9ydGhvcGFlZGljIEFzc29jaWF0aW9uPC9B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</w:fldData>
        </w:fldChar>
      </w:r>
      <w:r w:rsidR="00B24FEE">
        <w:instrText xml:space="preserve"> ADDIN EN.CITE.DATA </w:instrText>
      </w:r>
      <w:r w:rsidR="00B24FEE">
        <w:fldChar w:fldCharType="end"/>
      </w:r>
      <w:r w:rsidR="00B24FEE">
        <w:fldChar w:fldCharType="separate"/>
      </w:r>
      <w:hyperlink w:anchor="_ENREF_1" w:tooltip="British Orthopaedic Association, 2007 #25" w:history="1">
        <w:r w:rsidR="00B24FEE" w:rsidRPr="00B24FEE">
          <w:rPr>
            <w:noProof/>
            <w:vertAlign w:val="superscript"/>
          </w:rPr>
          <w:t>1</w:t>
        </w:r>
      </w:hyperlink>
      <w:r w:rsidR="00B24FEE" w:rsidRPr="00B24FEE">
        <w:rPr>
          <w:noProof/>
          <w:vertAlign w:val="superscript"/>
        </w:rPr>
        <w:t xml:space="preserve"> </w:t>
      </w:r>
      <w:hyperlink w:anchor="_ENREF_4" w:tooltip="Cooper, 2011 #19" w:history="1">
        <w:r w:rsidR="00B24FEE" w:rsidRPr="00B24FEE">
          <w:rPr>
            <w:noProof/>
            <w:vertAlign w:val="superscript"/>
          </w:rPr>
          <w:t>4</w:t>
        </w:r>
      </w:hyperlink>
      <w:r w:rsidR="00B24FEE" w:rsidRPr="00B24FEE">
        <w:rPr>
          <w:noProof/>
          <w:vertAlign w:val="superscript"/>
        </w:rPr>
        <w:t xml:space="preserve"> </w:t>
      </w:r>
      <w:hyperlink w:anchor="_ENREF_10" w:tooltip="Marsh, 2011 #18" w:history="1">
        <w:r w:rsidR="00B24FEE" w:rsidRPr="00B24FEE">
          <w:rPr>
            <w:noProof/>
            <w:vertAlign w:val="superscript"/>
          </w:rPr>
          <w:t>10</w:t>
        </w:r>
      </w:hyperlink>
      <w:r w:rsidR="00B24FEE">
        <w:fldChar w:fldCharType="end"/>
      </w:r>
      <w:r w:rsidRPr="00591BFC">
        <w:t>. The risk of further fracture can be reduced by up to half with bone protection therapy</w:t>
      </w:r>
      <w:r w:rsidR="00B24FEE">
        <w:fldChar w:fldCharType="begin">
          <w:fldData xml:space="preserve">PEVuZE5vdGU+PENpdGU+PEF1dGhvcj5Ccml0aXNoIE9ydGhvcGFlZGljIEFzc29jaWF0aW9uPC9B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</w:fldData>
        </w:fldChar>
      </w:r>
      <w:r w:rsidR="00B24FEE">
        <w:instrText xml:space="preserve"> ADDIN EN.CITE </w:instrText>
      </w:r>
      <w:r w:rsidR="00B24FEE">
        <w:fldChar w:fldCharType="begin">
          <w:fldData xml:space="preserve">PEVuZE5vdGU+PENpdGU+PEF1dGhvcj5Ccml0aXNoIE9ydGhvcGFlZGljIEFzc29jaWF0aW9uPC9B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</w:fldData>
        </w:fldChar>
      </w:r>
      <w:r w:rsidR="00B24FEE">
        <w:instrText xml:space="preserve"> ADDIN EN.CITE.DATA </w:instrText>
      </w:r>
      <w:r w:rsidR="00B24FEE">
        <w:fldChar w:fldCharType="end"/>
      </w:r>
      <w:r w:rsidR="00B24FEE">
        <w:fldChar w:fldCharType="separate"/>
      </w:r>
      <w:hyperlink w:anchor="_ENREF_1" w:tooltip="British Orthopaedic Association, 2007 #25" w:history="1">
        <w:r w:rsidR="00B24FEE" w:rsidRPr="00B24FEE">
          <w:rPr>
            <w:noProof/>
            <w:vertAlign w:val="superscript"/>
          </w:rPr>
          <w:t>1</w:t>
        </w:r>
      </w:hyperlink>
      <w:r w:rsidR="00B24FEE" w:rsidRPr="00B24FEE">
        <w:rPr>
          <w:noProof/>
          <w:vertAlign w:val="superscript"/>
        </w:rPr>
        <w:t xml:space="preserve"> </w:t>
      </w:r>
      <w:hyperlink w:anchor="_ENREF_11" w:tooltip="Knopp, 2005 #28" w:history="1">
        <w:r w:rsidR="00B24FEE" w:rsidRPr="00B24FEE">
          <w:rPr>
            <w:noProof/>
            <w:vertAlign w:val="superscript"/>
          </w:rPr>
          <w:t>11-13</w:t>
        </w:r>
      </w:hyperlink>
      <w:r w:rsidR="00B24FEE">
        <w:fldChar w:fldCharType="end"/>
      </w:r>
      <w:r w:rsidRPr="00591BFC">
        <w:t xml:space="preserve">.  As most fractures result from a fall, interventions to reduce the risk of falls may be effective in preventing </w:t>
      </w:r>
      <w:r w:rsidRPr="00591BFC">
        <w:lastRenderedPageBreak/>
        <w:t>further such events, however direct evidence is lacking. Over the past decade guidance from a number of professional bodies has been published for the management of hip fracture patients (B</w:t>
      </w:r>
      <w:r w:rsidR="00944A78" w:rsidRPr="00591BFC">
        <w:t xml:space="preserve">ritish Orthopaedic Association </w:t>
      </w:r>
      <w:r w:rsidR="007B18C0" w:rsidRPr="00591BFC">
        <w:t xml:space="preserve">(BOA) </w:t>
      </w:r>
      <w:r w:rsidR="00944A78" w:rsidRPr="00591BFC">
        <w:t>Blue Book</w:t>
      </w:r>
      <w:r w:rsidRPr="00591BFC">
        <w:t xml:space="preserve"> </w:t>
      </w:r>
      <w:hyperlink w:anchor="_ENREF_1" w:tooltip="British Orthopaedic Association, 2007 #25" w:history="1">
        <w:r w:rsidR="00B24FEE">
          <w:fldChar w:fldCharType="begin"/>
        </w:r>
        <w:r w:rsidR="00B24FEE">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fldChar w:fldCharType="separate"/>
        </w:r>
        <w:r w:rsidR="00B24FEE" w:rsidRPr="00B24FEE">
          <w:rPr>
            <w:noProof/>
            <w:vertAlign w:val="superscript"/>
          </w:rPr>
          <w:t>1</w:t>
        </w:r>
        <w:r w:rsidR="00B24FEE">
          <w:fldChar w:fldCharType="end"/>
        </w:r>
      </w:hyperlink>
      <w:r w:rsidRPr="00591BFC">
        <w:t>, SIGN</w:t>
      </w:r>
      <w:hyperlink w:anchor="_ENREF_14" w:tooltip="Scottish Intercollegiate Guidelines Network, 2009 #26" w:history="1">
        <w:r w:rsidR="00B24FEE">
          <w:fldChar w:fldCharType="begin"/>
        </w:r>
        <w:r w:rsidR="00B24FEE">
          <w:instrText xml:space="preserve"> ADDIN EN.CITE &lt;EndNote&gt;&lt;Cite&gt;&lt;Author&gt;Scottish Intercollegiate Guidelines Network&lt;/Author&gt;&lt;Year&gt;2009&lt;/Year&gt;&lt;RecNum&gt;26&lt;/RecNum&gt;&lt;DisplayText&gt;&lt;style face="superscript"&gt;14&lt;/style&gt;&lt;/DisplayText&gt;&lt;record&gt;&lt;rec-number&gt;26&lt;/rec-number&gt;&lt;foreign-keys&gt;&lt;key app="EN" db-id="sxpszd2ti9dx04ewefrvfp5bpf5faazszr9p" timestamp="0"&gt;26&lt;/key&gt;&lt;/foreign-keys&gt;&lt;ref-type name="Report"&gt;27&lt;/ref-type&gt;&lt;contributors&gt;&lt;authors&gt;&lt;author&gt;Scottish Intercollegiate Guidelines Network,&lt;/author&gt;&lt;/authors&gt;&lt;/contributors&gt;&lt;titles&gt;&lt;title&gt;Management of hip fracture in older patients.  A national clinical guideline 111.&lt;/title&gt;&lt;/titles&gt;&lt;dates&gt;&lt;year&gt;2009&lt;/year&gt;&lt;/dates&gt;&lt;urls&gt;&lt;/urls&gt;&lt;/record&gt;&lt;/Cite&gt;&lt;/EndNote&gt;</w:instrText>
        </w:r>
        <w:r w:rsidR="00B24FEE">
          <w:fldChar w:fldCharType="separate"/>
        </w:r>
        <w:r w:rsidR="00B24FEE" w:rsidRPr="00B24FEE">
          <w:rPr>
            <w:noProof/>
            <w:vertAlign w:val="superscript"/>
          </w:rPr>
          <w:t>14</w:t>
        </w:r>
        <w:r w:rsidR="00B24FEE">
          <w:fldChar w:fldCharType="end"/>
        </w:r>
      </w:hyperlink>
      <w:r w:rsidRPr="00591BFC">
        <w:t>, NICE</w:t>
      </w:r>
      <w:r w:rsidR="00B24FEE">
        <w:fldChar w:fldCharType="begin"/>
      </w:r>
      <w:r w:rsidR="00B24FEE">
        <w:instrText xml:space="preserve"> ADDIN EN.CITE &lt;EndNote&gt;&lt;Cite&gt;&lt;Author&gt;NICE&lt;/Author&gt;&lt;Year&gt;2008&lt;/Year&gt;&lt;RecNum&gt;29&lt;/RecNum&gt;&lt;DisplayText&gt;&lt;style face="superscript"&gt;13 15&lt;/style&gt;&lt;/DisplayText&gt;&lt;record&gt;&lt;rec-number&gt;29&lt;/rec-number&gt;&lt;foreign-keys&gt;&lt;key app="EN" db-id="sxpszd2ti9dx04ewefrvfp5bpf5faazszr9p" timestamp="0"&gt;29&lt;/key&gt;&lt;/foreign-keys&gt;&lt;ref-type name="Report"&gt;27&lt;/ref-type&gt;&lt;contributors&gt;&lt;authors&gt;&lt;author&gt;NICE,&lt;/author&gt;&lt;/authors&gt;&lt;/contributors&gt;&lt;titles&gt;&lt;title&gt;Technology appraisal (TA) 161.  Osteoporosis - secondary prevention including strontium ranelate&lt;/title&gt;&lt;/titles&gt;&lt;dates&gt;&lt;year&gt;2008&lt;/year&gt;&lt;/dates&gt;&lt;urls&gt;&lt;/urls&gt;&lt;/record&gt;&lt;/Cite&gt;&lt;Cite&gt;&lt;Author&gt;NICE&lt;/Author&gt;&lt;Year&gt;2004&lt;/Year&gt;&lt;RecNum&gt;30&lt;/RecNum&gt;&lt;record&gt;&lt;rec-number&gt;30&lt;/rec-number&gt;&lt;foreign-keys&gt;&lt;key app="EN" db-id="sxpszd2ti9dx04ewefrvfp5bpf5faazszr9p" timestamp="0"&gt;30&lt;/key&gt;&lt;/foreign-keys&gt;&lt;ref-type name="Report"&gt;27&lt;/ref-type&gt;&lt;contributors&gt;&lt;authors&gt;&lt;author&gt;NICE,&lt;/author&gt;&lt;/authors&gt;&lt;/contributors&gt;&lt;titles&gt;&lt;title&gt;Clinical guideline 21.  Clinical practice guideline for the assessment and prevention of falls in older people&lt;/title&gt;&lt;/titles&gt;&lt;dates&gt;&lt;year&gt;2004&lt;/year&gt;&lt;/dates&gt;&lt;urls&gt;&lt;/urls&gt;&lt;/record&gt;&lt;/Cite&gt;&lt;/EndNote&gt;</w:instrText>
      </w:r>
      <w:r w:rsidR="00B24FEE">
        <w:fldChar w:fldCharType="separate"/>
      </w:r>
      <w:hyperlink w:anchor="_ENREF_13" w:tooltip="NICE, 2008 #29" w:history="1">
        <w:r w:rsidR="00B24FEE" w:rsidRPr="00B24FEE">
          <w:rPr>
            <w:noProof/>
            <w:vertAlign w:val="superscript"/>
          </w:rPr>
          <w:t>13</w:t>
        </w:r>
      </w:hyperlink>
      <w:r w:rsidR="00B24FEE" w:rsidRPr="00B24FEE">
        <w:rPr>
          <w:noProof/>
          <w:vertAlign w:val="superscript"/>
        </w:rPr>
        <w:t xml:space="preserve"> </w:t>
      </w:r>
      <w:hyperlink w:anchor="_ENREF_15" w:tooltip="NICE, 2004 #30" w:history="1">
        <w:r w:rsidR="00B24FEE" w:rsidRPr="00B24FEE">
          <w:rPr>
            <w:noProof/>
            <w:vertAlign w:val="superscript"/>
          </w:rPr>
          <w:t>15</w:t>
        </w:r>
      </w:hyperlink>
      <w:r w:rsidR="00B24FEE">
        <w:fldChar w:fldCharType="end"/>
      </w:r>
      <w:r w:rsidRPr="00591BFC">
        <w:t>). NICE technology appraisal guidelines TA160/161</w:t>
      </w:r>
      <w:hyperlink w:anchor="_ENREF_13" w:tooltip="NICE, 2008 #29" w:history="1">
        <w:r w:rsidR="00B24FEE">
          <w:fldChar w:fldCharType="begin"/>
        </w:r>
        <w:r w:rsidR="00B24FEE">
          <w:instrText xml:space="preserve"> ADDIN EN.CITE &lt;EndNote&gt;&lt;Cite&gt;&lt;Author&gt;NICE&lt;/Author&gt;&lt;Year&gt;2008&lt;/Year&gt;&lt;RecNum&gt;29&lt;/RecNum&gt;&lt;DisplayText&gt;&lt;style face="superscript"&gt;13&lt;/style&gt;&lt;/DisplayText&gt;&lt;record&gt;&lt;rec-number&gt;29&lt;/rec-number&gt;&lt;foreign-keys&gt;&lt;key app="EN" db-id="sxpszd2ti9dx04ewefrvfp5bpf5faazszr9p" timestamp="0"&gt;29&lt;/key&gt;&lt;/foreign-keys&gt;&lt;ref-type name="Report"&gt;27&lt;/ref-type&gt;&lt;contributors&gt;&lt;authors&gt;&lt;author&gt;NICE,&lt;/author&gt;&lt;/authors&gt;&lt;/contributors&gt;&lt;titles&gt;&lt;title&gt;Technology appraisal (TA) 161.  Osteoporosis - secondary prevention including strontium ranelate&lt;/title&gt;&lt;/titles&gt;&lt;dates&gt;&lt;year&gt;2008&lt;/year&gt;&lt;/dates&gt;&lt;urls&gt;&lt;/urls&gt;&lt;/record&gt;&lt;/Cite&gt;&lt;/EndNote&gt;</w:instrText>
        </w:r>
        <w:r w:rsidR="00B24FEE">
          <w:fldChar w:fldCharType="separate"/>
        </w:r>
        <w:r w:rsidR="00B24FEE" w:rsidRPr="00B24FEE">
          <w:rPr>
            <w:noProof/>
            <w:vertAlign w:val="superscript"/>
          </w:rPr>
          <w:t>13</w:t>
        </w:r>
        <w:r w:rsidR="00B24FEE">
          <w:fldChar w:fldCharType="end"/>
        </w:r>
      </w:hyperlink>
      <w:r w:rsidRPr="00591BFC">
        <w:t xml:space="preserve"> are related to the effectiveness of bone protection therapy and CG21 falls prevention</w:t>
      </w:r>
      <w:hyperlink w:anchor="_ENREF_15" w:tooltip="NICE, 2004 #30" w:history="1">
        <w:r w:rsidR="00B24FEE">
          <w:fldChar w:fldCharType="begin"/>
        </w:r>
        <w:r w:rsidR="00B24FEE">
          <w:instrText xml:space="preserve"> ADDIN EN.CITE &lt;EndNote&gt;&lt;Cite&gt;&lt;Author&gt;NICE&lt;/Author&gt;&lt;Year&gt;2004&lt;/Year&gt;&lt;RecNum&gt;30&lt;/RecNum&gt;&lt;DisplayText&gt;&lt;style face="superscript"&gt;15&lt;/style&gt;&lt;/DisplayText&gt;&lt;record&gt;&lt;rec-number&gt;30&lt;/rec-number&gt;&lt;foreign-keys&gt;&lt;key app="EN" db-id="sxpszd2ti9dx04ewefrvfp5bpf5faazszr9p" timestamp="0"&gt;30&lt;/key&gt;&lt;/foreign-keys&gt;&lt;ref-type name="Report"&gt;27&lt;/ref-type&gt;&lt;contributors&gt;&lt;authors&gt;&lt;author&gt;NICE,&lt;/author&gt;&lt;/authors&gt;&lt;/contributors&gt;&lt;titles&gt;&lt;title&gt;Clinical guideline 21.  Clinical practice guideline for the assessment and prevention of falls in older people&lt;/title&gt;&lt;/titles&gt;&lt;dates&gt;&lt;year&gt;2004&lt;/year&gt;&lt;/dates&gt;&lt;urls&gt;&lt;/urls&gt;&lt;/record&gt;&lt;/Cite&gt;&lt;/EndNote&gt;</w:instrText>
        </w:r>
        <w:r w:rsidR="00B24FEE">
          <w:fldChar w:fldCharType="separate"/>
        </w:r>
        <w:r w:rsidR="00B24FEE" w:rsidRPr="00B24FEE">
          <w:rPr>
            <w:noProof/>
            <w:vertAlign w:val="superscript"/>
          </w:rPr>
          <w:t>15</w:t>
        </w:r>
        <w:r w:rsidR="00B24FEE">
          <w:fldChar w:fldCharType="end"/>
        </w:r>
      </w:hyperlink>
      <w:r w:rsidRPr="00591BFC">
        <w:t>. In the UK, secondary prevention of fracture is underutili</w:t>
      </w:r>
      <w:r w:rsidR="00FA34DF" w:rsidRPr="00591BFC">
        <w:t>s</w:t>
      </w:r>
      <w:r w:rsidRPr="00591BFC">
        <w:t>ed and widely neglected</w:t>
      </w:r>
      <w:hyperlink w:anchor="_ENREF_1" w:tooltip="British Orthopaedic Association, 2007 #25" w:history="1">
        <w:r w:rsidR="00B24FEE">
          <w:fldChar w:fldCharType="begin"/>
        </w:r>
        <w:r w:rsidR="00B24FEE">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fldChar w:fldCharType="separate"/>
        </w:r>
        <w:r w:rsidR="00B24FEE" w:rsidRPr="00B24FEE">
          <w:rPr>
            <w:noProof/>
            <w:vertAlign w:val="superscript"/>
          </w:rPr>
          <w:t>1</w:t>
        </w:r>
        <w:r w:rsidR="00B24FEE">
          <w:fldChar w:fldCharType="end"/>
        </w:r>
      </w:hyperlink>
      <w:r w:rsidRPr="00591BFC">
        <w:t>. As a consequence compliance with NICE publications TA161</w:t>
      </w:r>
      <w:hyperlink w:anchor="_ENREF_13" w:tooltip="NICE, 2008 #29" w:history="1">
        <w:r w:rsidR="00B24FEE">
          <w:fldChar w:fldCharType="begin"/>
        </w:r>
        <w:r w:rsidR="00B24FEE">
          <w:instrText xml:space="preserve"> ADDIN EN.CITE &lt;EndNote&gt;&lt;Cite&gt;&lt;Author&gt;NICE&lt;/Author&gt;&lt;Year&gt;2008&lt;/Year&gt;&lt;RecNum&gt;29&lt;/RecNum&gt;&lt;DisplayText&gt;&lt;style face="superscript"&gt;13&lt;/style&gt;&lt;/DisplayText&gt;&lt;record&gt;&lt;rec-number&gt;29&lt;/rec-number&gt;&lt;foreign-keys&gt;&lt;key app="EN" db-id="sxpszd2ti9dx04ewefrvfp5bpf5faazszr9p" timestamp="0"&gt;29&lt;/key&gt;&lt;/foreign-keys&gt;&lt;ref-type name="Report"&gt;27&lt;/ref-type&gt;&lt;contributors&gt;&lt;authors&gt;&lt;author&gt;NICE,&lt;/author&gt;&lt;/authors&gt;&lt;/contributors&gt;&lt;titles&gt;&lt;title&gt;Technology appraisal (TA) 161.  Osteoporosis - secondary prevention including strontium ranelate&lt;/title&gt;&lt;/titles&gt;&lt;dates&gt;&lt;year&gt;2008&lt;/year&gt;&lt;/dates&gt;&lt;urls&gt;&lt;/urls&gt;&lt;/record&gt;&lt;/Cite&gt;&lt;/EndNote&gt;</w:instrText>
        </w:r>
        <w:r w:rsidR="00B24FEE">
          <w:fldChar w:fldCharType="separate"/>
        </w:r>
        <w:r w:rsidR="00B24FEE" w:rsidRPr="00B24FEE">
          <w:rPr>
            <w:noProof/>
            <w:vertAlign w:val="superscript"/>
          </w:rPr>
          <w:t>13</w:t>
        </w:r>
        <w:r w:rsidR="00B24FEE">
          <w:fldChar w:fldCharType="end"/>
        </w:r>
      </w:hyperlink>
      <w:r w:rsidRPr="00591BFC">
        <w:t xml:space="preserve"> and CG21</w:t>
      </w:r>
      <w:hyperlink w:anchor="_ENREF_15" w:tooltip="NICE, 2004 #30" w:history="1">
        <w:r w:rsidR="00B24FEE">
          <w:fldChar w:fldCharType="begin"/>
        </w:r>
        <w:r w:rsidR="00B24FEE">
          <w:instrText xml:space="preserve"> ADDIN EN.CITE &lt;EndNote&gt;&lt;Cite&gt;&lt;Author&gt;NICE&lt;/Author&gt;&lt;Year&gt;2004&lt;/Year&gt;&lt;RecNum&gt;30&lt;/RecNum&gt;&lt;DisplayText&gt;&lt;style face="superscript"&gt;15&lt;/style&gt;&lt;/DisplayText&gt;&lt;record&gt;&lt;rec-number&gt;30&lt;/rec-number&gt;&lt;foreign-keys&gt;&lt;key app="EN" db-id="sxpszd2ti9dx04ewefrvfp5bpf5faazszr9p" timestamp="0"&gt;30&lt;/key&gt;&lt;/foreign-keys&gt;&lt;ref-type name="Report"&gt;27&lt;/ref-type&gt;&lt;contributors&gt;&lt;authors&gt;&lt;author&gt;NICE,&lt;/author&gt;&lt;/authors&gt;&lt;/contributors&gt;&lt;titles&gt;&lt;title&gt;Clinical guideline 21.  Clinical practice guideline for the assessment and prevention of falls in older people&lt;/title&gt;&lt;/titles&gt;&lt;dates&gt;&lt;year&gt;2004&lt;/year&gt;&lt;/dates&gt;&lt;urls&gt;&lt;/urls&gt;&lt;/record&gt;&lt;/Cite&gt;&lt;/EndNote&gt;</w:instrText>
        </w:r>
        <w:r w:rsidR="00B24FEE">
          <w:fldChar w:fldCharType="separate"/>
        </w:r>
        <w:r w:rsidR="00B24FEE" w:rsidRPr="00B24FEE">
          <w:rPr>
            <w:noProof/>
            <w:vertAlign w:val="superscript"/>
          </w:rPr>
          <w:t>15</w:t>
        </w:r>
        <w:r w:rsidR="00B24FEE">
          <w:fldChar w:fldCharType="end"/>
        </w:r>
      </w:hyperlink>
      <w:r w:rsidR="00354F4D" w:rsidRPr="00591BFC">
        <w:t xml:space="preserve"> </w:t>
      </w:r>
      <w:r w:rsidRPr="00591BFC">
        <w:t xml:space="preserve"> is low. Audits by the National Hip Fracture Database</w:t>
      </w:r>
      <w:r w:rsidR="00B24FEE">
        <w:fldChar w:fldCharType="begin"/>
      </w:r>
      <w:r w:rsidR="00B24FEE">
        <w:instrText xml:space="preserve"> ADDIN EN.CITE &lt;EndNote&gt;&lt;Cite&gt;&lt;Author&gt;Johansen&lt;/Author&gt;&lt;Year&gt;2014&lt;/Year&gt;&lt;RecNum&gt;1103&lt;/RecNum&gt;&lt;DisplayText&gt;&lt;style face="superscript"&gt;16 17&lt;/style&gt;&lt;/DisplayText&gt;&lt;record&gt;&lt;rec-number&gt;1103&lt;/rec-number&gt;&lt;foreign-keys&gt;&lt;key app="EN" db-id="sxpszd2ti9dx04ewefrvfp5bpf5faazszr9p" timestamp="1433413070"&gt;1103&lt;/key&gt;&lt;/foreign-keys&gt;&lt;ref-type name="Journal Article"&gt;17&lt;/ref-type&gt;&lt;contributors&gt;&lt;authors&gt;&lt;author&gt;A Johansen&lt;/author&gt;&lt;/authors&gt;&lt;/contributors&gt;&lt;titles&gt;&lt;title&gt;National Hip Fracture Database report&lt;/title&gt;&lt;/titles&gt;&lt;dates&gt;&lt;year&gt;2014&lt;/year&gt;&lt;/dates&gt;&lt;urls&gt;&lt;/urls&gt;&lt;/record&gt;&lt;/Cite&gt;&lt;Cite&gt;&lt;Author&gt;Johansen&lt;/Author&gt;&lt;Year&gt;2013&lt;/Year&gt;&lt;RecNum&gt;73&lt;/RecNum&gt;&lt;record&gt;&lt;rec-number&gt;73&lt;/rec-number&gt;&lt;foreign-keys&gt;&lt;key app="EN" db-id="sxpszd2ti9dx04ewefrvfp5bpf5faazszr9p" timestamp="0"&gt;73&lt;/key&gt;&lt;/foreign-keys&gt;&lt;ref-type name="Report"&gt;27&lt;/ref-type&gt;&lt;contributors&gt;&lt;authors&gt;&lt;author&gt;Johansen, A.&lt;/author&gt;&lt;author&gt;Wakeman, R.&lt;/author&gt;&lt;author&gt;Boulton, C.&lt;/author&gt;&lt;author&gt;Plant, F.&lt;/author&gt;&lt;author&gt;Roberts, J.&lt;/author&gt;&lt;author&gt;Williams, A.&lt;/author&gt;&lt;/authors&gt;&lt;/contributors&gt;&lt;titles&gt;&lt;title&gt;National Hip Fracture Database. National report 2013&lt;/title&gt;&lt;/titles&gt;&lt;dates&gt;&lt;year&gt;2013&lt;/year&gt;&lt;/dates&gt;&lt;urls&gt;&lt;/urls&gt;&lt;/record&gt;&lt;/Cite&gt;&lt;/EndNote&gt;</w:instrText>
      </w:r>
      <w:r w:rsidR="00B24FEE">
        <w:fldChar w:fldCharType="separate"/>
      </w:r>
      <w:hyperlink w:anchor="_ENREF_16" w:tooltip="Johansen, 2014 #1103" w:history="1">
        <w:r w:rsidR="00B24FEE" w:rsidRPr="00B24FEE">
          <w:rPr>
            <w:noProof/>
            <w:vertAlign w:val="superscript"/>
          </w:rPr>
          <w:t>16</w:t>
        </w:r>
      </w:hyperlink>
      <w:r w:rsidR="00B24FEE" w:rsidRPr="00B24FEE">
        <w:rPr>
          <w:noProof/>
          <w:vertAlign w:val="superscript"/>
        </w:rPr>
        <w:t xml:space="preserve"> </w:t>
      </w:r>
      <w:hyperlink w:anchor="_ENREF_17" w:tooltip="Johansen, 2013 #73" w:history="1">
        <w:r w:rsidR="00B24FEE" w:rsidRPr="00B24FEE">
          <w:rPr>
            <w:noProof/>
            <w:vertAlign w:val="superscript"/>
          </w:rPr>
          <w:t>17</w:t>
        </w:r>
      </w:hyperlink>
      <w:r w:rsidR="00B24FEE">
        <w:fldChar w:fldCharType="end"/>
      </w:r>
      <w:r w:rsidRPr="00591BFC">
        <w:t xml:space="preserve"> and the Royal College of Physicians Audit</w:t>
      </w:r>
      <w:hyperlink w:anchor="_ENREF_18" w:tooltip="Royal College of Physicians, 2009 #31" w:history="1">
        <w:r w:rsidR="00B24FEE">
          <w:fldChar w:fldCharType="begin"/>
        </w:r>
        <w:r w:rsidR="00B24FEE">
          <w:instrText xml:space="preserve"> ADDIN EN.CITE &lt;EndNote&gt;&lt;Cite&gt;&lt;Author&gt;Royal College of Physicians&lt;/Author&gt;&lt;Year&gt;2009&lt;/Year&gt;&lt;RecNum&gt;31&lt;/RecNum&gt;&lt;DisplayText&gt;&lt;style face="superscript"&gt;18&lt;/style&gt;&lt;/DisplayText&gt;&lt;record&gt;&lt;rec-number&gt;31&lt;/rec-number&gt;&lt;foreign-keys&gt;&lt;key app="EN" db-id="sxpszd2ti9dx04ewefrvfp5bpf5faazszr9p" timestamp="0"&gt;31&lt;/key&gt;&lt;/foreign-keys&gt;&lt;ref-type name="Report"&gt;27&lt;/ref-type&gt;&lt;contributors&gt;&lt;authors&gt;&lt;author&gt;Royal College of Physicians,&lt;/author&gt;&lt;/authors&gt;&lt;/contributors&gt;&lt;titles&gt;&lt;title&gt;National audit of the organisation of services for falls and bone health for older people&lt;/title&gt;&lt;/titles&gt;&lt;dates&gt;&lt;year&gt;2009&lt;/year&gt;&lt;/dates&gt;&lt;urls&gt;&lt;/urls&gt;&lt;/record&gt;&lt;/Cite&gt;&lt;/EndNote&gt;</w:instrText>
        </w:r>
        <w:r w:rsidR="00B24FEE">
          <w:fldChar w:fldCharType="separate"/>
        </w:r>
        <w:r w:rsidR="00B24FEE" w:rsidRPr="00B24FEE">
          <w:rPr>
            <w:noProof/>
            <w:vertAlign w:val="superscript"/>
          </w:rPr>
          <w:t>18</w:t>
        </w:r>
        <w:r w:rsidR="00B24FEE">
          <w:fldChar w:fldCharType="end"/>
        </w:r>
      </w:hyperlink>
      <w:r w:rsidRPr="00591BFC">
        <w:t xml:space="preserve"> suggests the situation is improving, but still inadequate, such that prior to discharge only 66% of hip fracture patients were on bone protection medication and 81% received a falls assessment</w:t>
      </w:r>
      <w:hyperlink w:anchor="_ENREF_17" w:tooltip="Johansen, 2013 #73" w:history="1">
        <w:r w:rsidR="00B24FEE">
          <w:fldChar w:fldCharType="begin"/>
        </w:r>
        <w:r w:rsidR="00B24FEE">
          <w:instrText xml:space="preserve"> ADDIN EN.CITE &lt;EndNote&gt;&lt;Cite&gt;&lt;Author&gt;Johansen&lt;/Author&gt;&lt;Year&gt;2013&lt;/Year&gt;&lt;RecNum&gt;73&lt;/RecNum&gt;&lt;DisplayText&gt;&lt;style face="superscript"&gt;17&lt;/style&gt;&lt;/DisplayText&gt;&lt;record&gt;&lt;rec-number&gt;73&lt;/rec-number&gt;&lt;foreign-keys&gt;&lt;key app="EN" db-id="sxpszd2ti9dx04ewefrvfp5bpf5faazszr9p" timestamp="0"&gt;73&lt;/key&gt;&lt;/foreign-keys&gt;&lt;ref-type name="Report"&gt;27&lt;/ref-type&gt;&lt;contributors&gt;&lt;authors&gt;&lt;author&gt;Johansen, A.&lt;/author&gt;&lt;author&gt;Wakeman, R.&lt;/author&gt;&lt;author&gt;Boulton, C.&lt;/author&gt;&lt;author&gt;Plant, F.&lt;/author&gt;&lt;author&gt;Roberts, J.&lt;/author&gt;&lt;author&gt;Williams, A.&lt;/author&gt;&lt;/authors&gt;&lt;/contributors&gt;&lt;titles&gt;&lt;title&gt;National Hip Fracture Database. National report 2013&lt;/title&gt;&lt;/titles&gt;&lt;dates&gt;&lt;year&gt;2013&lt;/year&gt;&lt;/dates&gt;&lt;urls&gt;&lt;/urls&gt;&lt;/record&gt;&lt;/Cite&gt;&lt;/EndNote&gt;</w:instrText>
        </w:r>
        <w:r w:rsidR="00B24FEE">
          <w:fldChar w:fldCharType="separate"/>
        </w:r>
        <w:r w:rsidR="00B24FEE" w:rsidRPr="00B24FEE">
          <w:rPr>
            <w:noProof/>
            <w:vertAlign w:val="superscript"/>
          </w:rPr>
          <w:t>17</w:t>
        </w:r>
        <w:r w:rsidR="00B24FEE">
          <w:fldChar w:fldCharType="end"/>
        </w:r>
      </w:hyperlink>
      <w:r w:rsidRPr="00591BFC">
        <w:t>.</w:t>
      </w:r>
    </w:p>
    <w:p w14:paraId="3066598F" w14:textId="1309D02D" w:rsidR="00F24EB9" w:rsidRPr="00591BFC" w:rsidRDefault="00F24EB9" w:rsidP="00E86771">
      <w:pPr>
        <w:spacing w:line="360" w:lineRule="auto"/>
      </w:pPr>
      <w:r w:rsidRPr="00591BFC">
        <w:t>As almost half of all hip fracture patients have had a prior fracture</w:t>
      </w:r>
      <w:hyperlink w:anchor="_ENREF_4" w:tooltip="Cooper, 2011 #19" w:history="1">
        <w:r w:rsidR="00B24FEE">
          <w:fldChar w:fldCharType="begin"/>
        </w:r>
        <w:r w:rsidR="00B24FEE">
          <w:instrText xml:space="preserve"> ADDIN EN.CITE &lt;EndNote&gt;&lt;Cite&gt;&lt;Author&gt;Cooper&lt;/Author&gt;&lt;Year&gt;2011&lt;/Year&gt;&lt;RecNum&gt;19&lt;/RecNum&gt;&lt;DisplayText&gt;&lt;style face="superscript"&gt;4&lt;/style&gt;&lt;/DisplayText&gt;&lt;record&gt;&lt;rec-number&gt;19&lt;/rec-number&gt;&lt;foreign-keys&gt;&lt;key app="EN" db-id="sxpszd2ti9dx04ewefrvfp5bpf5faazszr9p" timestamp="0"&gt;19&lt;/key&gt;&lt;/foreign-keys&gt;&lt;ref-type name="Journal Article"&gt;17&lt;/ref-type&gt;&lt;contributors&gt;&lt;authors&gt;&lt;author&gt;Cooper, C.&lt;/author&gt;&lt;author&gt;Mitchell, P.&lt;/author&gt;&lt;author&gt;Kanis, J.&lt;/author&gt;&lt;/authors&gt;&lt;/contributors&gt;&lt;titles&gt;&lt;title&gt;Breaking the fragility fracture cycle&lt;/title&gt;&lt;secondary-title&gt;Osteoporosis International&lt;/secondary-title&gt;&lt;/titles&gt;&lt;pages&gt;2049-2050&lt;/pages&gt;&lt;volume&gt;22&lt;/volume&gt;&lt;number&gt;7&lt;/number&gt;&lt;keywords&gt;&lt;keyword&gt;Medicine&lt;/keyword&gt;&lt;/keywords&gt;&lt;dates&gt;&lt;year&gt;2011&lt;/year&gt;&lt;/dates&gt;&lt;publisher&gt;Springer London&lt;/publisher&gt;&lt;isbn&gt;0937-941X&lt;/isbn&gt;&lt;urls&gt;&lt;related-urls&gt;&lt;url&gt;http://dx.doi.org/10.1007/s00198-011-1643-9&lt;/url&gt;&lt;/related-urls&gt;&lt;/urls&gt;&lt;electronic-resource-num&gt;10.1007/s00198-011-1643-9&lt;/electronic-resource-num&gt;&lt;/record&gt;&lt;/Cite&gt;&lt;/EndNote&gt;</w:instrText>
        </w:r>
        <w:r w:rsidR="00B24FEE">
          <w:fldChar w:fldCharType="separate"/>
        </w:r>
        <w:r w:rsidR="00B24FEE" w:rsidRPr="00B24FEE">
          <w:rPr>
            <w:noProof/>
            <w:vertAlign w:val="superscript"/>
          </w:rPr>
          <w:t>4</w:t>
        </w:r>
        <w:r w:rsidR="00B24FEE">
          <w:fldChar w:fldCharType="end"/>
        </w:r>
      </w:hyperlink>
      <w:r w:rsidRPr="00591BFC">
        <w:t>, responding to the first fracture provides a golden opportunity to prevent the second. The BOA Blue Book</w:t>
      </w:r>
      <w:hyperlink w:anchor="_ENREF_1" w:tooltip="British Orthopaedic Association, 2007 #25" w:history="1">
        <w:r w:rsidR="00B24FEE">
          <w:fldChar w:fldCharType="begin"/>
        </w:r>
        <w:r w:rsidR="00B24FEE">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fractures&lt;/title&gt;&lt;/titles&gt;&lt;dates&gt;&lt;year&gt;2007&lt;/year&gt;&lt;/dates&gt;&lt;urls&gt;&lt;/urls&gt;&lt;/record&gt;&lt;/Cite&gt;&lt;Cite&gt;&lt;Author&gt;British Orthopaedic Association&lt;/Author&gt;&lt;Year&gt;2007&lt;/Year&gt;&lt;RecNum&gt;25&lt;/RecNum&gt;&lt;record&gt;&lt;rec-number&gt;25&lt;/rec-number&gt;&lt;foreign-keys&gt;&lt;key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fldChar w:fldCharType="separate"/>
        </w:r>
        <w:r w:rsidR="00B24FEE" w:rsidRPr="00B24FEE">
          <w:rPr>
            <w:noProof/>
            <w:vertAlign w:val="superscript"/>
          </w:rPr>
          <w:t>1</w:t>
        </w:r>
        <w:r w:rsidR="00B24FEE">
          <w:fldChar w:fldCharType="end"/>
        </w:r>
      </w:hyperlink>
      <w:r w:rsidRPr="00591BFC">
        <w:t xml:space="preserve"> provided guidance on secondary prevention of fragility fractures. A comprehensive service should consist of osteoporosis assessment including a dual energy X-ray absorptiometry (DXA) scan to measure bone density if appropriate, treatment with bone protection therapy in osteoporosis patients, falls risk assessment and systems to improve adherence and persistence with therapy. Organising such services is challenging due to the multidisciplinary care patients require</w:t>
      </w:r>
      <w:hyperlink w:anchor="_ENREF_3" w:tooltip="Chesser, 2011 #1" w:history="1">
        <w:r w:rsidR="00B24FEE">
          <w:fldChar w:fldCharType="begin"/>
        </w:r>
        <w:r w:rsidR="00B24FEE">
          <w:instrText xml:space="preserve"> ADDIN EN.CITE &lt;EndNote&gt;&lt;Cite&gt;&lt;Author&gt;Chesser&lt;/Author&gt;&lt;Year&gt;2011&lt;/Year&gt;&lt;RecNum&gt;1&lt;/RecNum&gt;&lt;DisplayText&gt;&lt;style face="superscript"&gt;3&lt;/style&gt;&lt;/DisplayText&gt;&lt;record&gt;&lt;rec-number&gt;1&lt;/rec-number&gt;&lt;foreign-keys&gt;&lt;key app="EN" db-id="sxpszd2ti9dx04ewefrvfp5bpf5faazszr9p" timestamp="0"&gt;1&lt;/key&gt;&lt;/foreign-keys&gt;&lt;ref-type name="Journal Article"&gt;17&lt;/ref-type&gt;&lt;contributors&gt;&lt;authors&gt;&lt;author&gt;Chesser, T. J. S.&lt;/author&gt;&lt;author&gt;Handley, R.&lt;/author&gt;&lt;author&gt;Swift, C.&lt;/author&gt;&lt;/authors&gt;&lt;/contributors&gt;&lt;titles&gt;&lt;title&gt;New NICE guideline to improve outcomes for hip fracture patients&lt;/title&gt;&lt;secondary-title&gt;Injury&lt;/secondary-title&gt;&lt;/titles&gt;&lt;periodical&gt;&lt;full-title&gt;Injury&lt;/full-title&gt;&lt;/periodical&gt;&lt;pages&gt;727-729&lt;/pages&gt;&lt;volume&gt;42&lt;/volume&gt;&lt;number&gt;8&lt;/number&gt;&lt;dates&gt;&lt;year&gt;2011&lt;/year&gt;&lt;/dates&gt;&lt;publisher&gt;Elsevier&lt;/publisher&gt;&lt;isbn&gt;0020-1383&lt;/isbn&gt;&lt;urls&gt;&lt;related-urls&gt;&lt;url&gt;http://linkinghub.elsevier.com/retrieve/pii/S0020138311002385?showall=true&lt;/url&gt;&lt;/related-urls&gt;&lt;/urls&gt;&lt;/record&gt;&lt;/Cite&gt;&lt;/EndNote&gt;</w:instrText>
        </w:r>
        <w:r w:rsidR="00B24FEE">
          <w:fldChar w:fldCharType="separate"/>
        </w:r>
        <w:r w:rsidR="00B24FEE" w:rsidRPr="00B24FEE">
          <w:rPr>
            <w:noProof/>
            <w:vertAlign w:val="superscript"/>
          </w:rPr>
          <w:t>3</w:t>
        </w:r>
        <w:r w:rsidR="00B24FEE">
          <w:fldChar w:fldCharType="end"/>
        </w:r>
      </w:hyperlink>
      <w:r w:rsidRPr="00591BFC">
        <w:t>. The 2011 NICE Hip Fracture Clinical Guidelines make specific recommendations regarding the treatment and multidisciplinary management of patients including liaison and integration of services. A Fracture Liaison Service (FLS) is the recommended model proposed by the Department of Health to organi</w:t>
      </w:r>
      <w:r w:rsidR="006433D3">
        <w:t>s</w:t>
      </w:r>
      <w:r w:rsidRPr="00591BFC">
        <w:t>e secondary fracture prevention services</w:t>
      </w:r>
      <w:hyperlink w:anchor="_ENREF_1" w:tooltip="British Orthopaedic Association, 2007 #25" w:history="1">
        <w:r w:rsidR="00B24FEE">
          <w:fldChar w:fldCharType="begin"/>
        </w:r>
        <w:r w:rsidR="00B24FEE">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fractures&lt;/title&gt;&lt;/titles&gt;&lt;dates&gt;&lt;year&gt;2007&lt;/year&gt;&lt;/dates&gt;&lt;urls&gt;&lt;/urls&gt;&lt;/record&gt;&lt;/Cite&gt;&lt;Cite&gt;&lt;Author&gt;British Orthopaedic Association&lt;/Author&gt;&lt;Year&gt;2007&lt;/Year&gt;&lt;RecNum&gt;25&lt;/RecNum&gt;&lt;record&gt;&lt;rec-number&gt;25&lt;/rec-number&gt;&lt;foreign-keys&gt;&lt;key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fldChar w:fldCharType="separate"/>
        </w:r>
        <w:r w:rsidR="00B24FEE" w:rsidRPr="00B24FEE">
          <w:rPr>
            <w:noProof/>
            <w:vertAlign w:val="superscript"/>
          </w:rPr>
          <w:t>1</w:t>
        </w:r>
        <w:r w:rsidR="00B24FEE">
          <w:fldChar w:fldCharType="end"/>
        </w:r>
      </w:hyperlink>
      <w:r w:rsidRPr="00591BFC">
        <w:t xml:space="preserve"> in a ‘one-stop shop’ setting delivered by a Nurse Specialist supported by a Lead Clinician (‘Champion’) in osteoporosis</w:t>
      </w:r>
      <w:hyperlink w:anchor="_ENREF_19" w:tooltip="Mitchell, 2011 #46" w:history="1">
        <w:r w:rsidR="00B24FEE">
          <w:fldChar w:fldCharType="begin"/>
        </w:r>
        <w:r w:rsidR="00B24FEE">
          <w:instrText xml:space="preserve"> ADDIN EN.CITE &lt;EndNote&gt;&lt;Cite&gt;&lt;Author&gt;Mitchell&lt;/Author&gt;&lt;Year&gt;2011&lt;/Year&gt;&lt;RecNum&gt;46&lt;/RecNum&gt;&lt;DisplayText&gt;&lt;style face="superscript"&gt;19&lt;/style&gt;&lt;/DisplayText&gt;&lt;record&gt;&lt;rec-number&gt;46&lt;/rec-number&gt;&lt;foreign-keys&gt;&lt;key app="EN" db-id="sxpszd2ti9dx04ewefrvfp5bpf5faazszr9p" timestamp="0"&gt;46&lt;/key&gt;&lt;/foreign-keys&gt;&lt;ref-type name="Journal Article"&gt;17&lt;/ref-type&gt;&lt;contributors&gt;&lt;authors&gt;&lt;author&gt;Mitchell, P.&lt;/author&gt;&lt;/authors&gt;&lt;/contributors&gt;&lt;titles&gt;&lt;title&gt;Fracture Liaison Services: the UK experience&lt;/title&gt;&lt;secondary-title&gt;Osteoporosis International&lt;/secondary-title&gt;&lt;/titles&gt;&lt;pages&gt;487-494&lt;/pages&gt;&lt;volume&gt;22&lt;/volume&gt;&lt;number&gt;0&lt;/number&gt;&lt;keywords&gt;&lt;keyword&gt;Medicine&lt;/keyword&gt;&lt;/keywords&gt;&lt;dates&gt;&lt;year&gt;2011&lt;/year&gt;&lt;/dates&gt;&lt;publisher&gt;Springer London&lt;/publisher&gt;&lt;isbn&gt;0937-941X&lt;/isbn&gt;&lt;urls&gt;&lt;related-urls&gt;&lt;url&gt;http://dx.doi.org/10.1007/s00198-011-1702-2&lt;/url&gt;&lt;/related-urls&gt;&lt;/urls&gt;&lt;electronic-resource-num&gt;10.1007/s00198-011-1702-2&lt;/electronic-resource-num&gt;&lt;/record&gt;&lt;/Cite&gt;&lt;/EndNote&gt;</w:instrText>
        </w:r>
        <w:r w:rsidR="00B24FEE">
          <w:fldChar w:fldCharType="separate"/>
        </w:r>
        <w:r w:rsidR="00B24FEE" w:rsidRPr="00B24FEE">
          <w:rPr>
            <w:noProof/>
            <w:vertAlign w:val="superscript"/>
          </w:rPr>
          <w:t>19</w:t>
        </w:r>
        <w:r w:rsidR="00B24FEE">
          <w:fldChar w:fldCharType="end"/>
        </w:r>
      </w:hyperlink>
      <w:r w:rsidRPr="00591BFC">
        <w:t>. However, currently only 30% of hospitals in England have established a FLS</w:t>
      </w:r>
      <w:hyperlink w:anchor="_ENREF_17" w:tooltip="Johansen, 2013 #73" w:history="1">
        <w:r w:rsidR="00B24FEE">
          <w:fldChar w:fldCharType="begin"/>
        </w:r>
        <w:r w:rsidR="00B24FEE">
          <w:instrText xml:space="preserve"> ADDIN EN.CITE &lt;EndNote&gt;&lt;Cite&gt;&lt;Author&gt;Johansen&lt;/Author&gt;&lt;Year&gt;2013&lt;/Year&gt;&lt;RecNum&gt;73&lt;/RecNum&gt;&lt;DisplayText&gt;&lt;style face="superscript"&gt;17&lt;/style&gt;&lt;/DisplayText&gt;&lt;record&gt;&lt;rec-number&gt;73&lt;/rec-number&gt;&lt;foreign-keys&gt;&lt;key app="EN" db-id="sxpszd2ti9dx04ewefrvfp5bpf5faazszr9p" timestamp="0"&gt;73&lt;/key&gt;&lt;/foreign-keys&gt;&lt;ref-type name="Report"&gt;27&lt;/ref-type&gt;&lt;contributors&gt;&lt;authors&gt;&lt;author&gt;Johansen, A.&lt;/author&gt;&lt;author&gt;Wakeman, R.&lt;/author&gt;&lt;author&gt;Boulton, C.&lt;/author&gt;&lt;author&gt;Plant, F.&lt;/author&gt;&lt;author&gt;Roberts, J.&lt;/author&gt;&lt;author&gt;Williams, A.&lt;/author&gt;&lt;/authors&gt;&lt;/contributors&gt;&lt;titles&gt;&lt;title&gt;National Hip Fracture Database. National report 2013&lt;/title&gt;&lt;/titles&gt;&lt;dates&gt;&lt;year&gt;2013&lt;/year&gt;&lt;/dates&gt;&lt;urls&gt;&lt;/urls&gt;&lt;/record&gt;&lt;/Cite&gt;&lt;/EndNote&gt;</w:instrText>
        </w:r>
        <w:r w:rsidR="00B24FEE">
          <w:fldChar w:fldCharType="separate"/>
        </w:r>
        <w:r w:rsidR="00B24FEE" w:rsidRPr="00B24FEE">
          <w:rPr>
            <w:noProof/>
            <w:vertAlign w:val="superscript"/>
          </w:rPr>
          <w:t>17</w:t>
        </w:r>
        <w:r w:rsidR="00B24FEE">
          <w:fldChar w:fldCharType="end"/>
        </w:r>
      </w:hyperlink>
      <w:r w:rsidR="007B18C0" w:rsidRPr="00591BFC">
        <w:t xml:space="preserve">. </w:t>
      </w:r>
      <w:r w:rsidRPr="00591BFC">
        <w:t>A single model incorporating all components of secondary fracture prevention has not been mandated. Current practice is for various combinations of these components to be used within a hospital (and in some cases no components used).</w:t>
      </w:r>
    </w:p>
    <w:p w14:paraId="618695AB" w14:textId="77777777" w:rsidR="00DD0D8D" w:rsidRPr="00591BFC" w:rsidRDefault="00DD0D8D" w:rsidP="00E86771">
      <w:pPr>
        <w:pStyle w:val="Heading3"/>
        <w:spacing w:line="360" w:lineRule="auto"/>
        <w:rPr>
          <w:rFonts w:ascii="Calibri" w:hAnsi="Calibri"/>
          <w:lang w:val="en-GB"/>
        </w:rPr>
      </w:pPr>
      <w:bookmarkStart w:id="35" w:name="_Toc308300698"/>
      <w:bookmarkStart w:id="36" w:name="_Toc311366505"/>
      <w:r w:rsidRPr="00591BFC">
        <w:rPr>
          <w:rFonts w:ascii="Calibri" w:hAnsi="Calibri"/>
          <w:lang w:val="en-GB"/>
        </w:rPr>
        <w:t>Current knowledge</w:t>
      </w:r>
      <w:bookmarkEnd w:id="35"/>
      <w:bookmarkEnd w:id="36"/>
      <w:r w:rsidRPr="00591BFC">
        <w:rPr>
          <w:rFonts w:ascii="Calibri" w:hAnsi="Calibri"/>
          <w:lang w:val="en-GB"/>
        </w:rPr>
        <w:t xml:space="preserve"> </w:t>
      </w:r>
    </w:p>
    <w:p w14:paraId="0328AF58" w14:textId="68700446" w:rsidR="00F24EB9" w:rsidRPr="00591BFC" w:rsidRDefault="00F24EB9" w:rsidP="00E86771">
      <w:pPr>
        <w:spacing w:line="360" w:lineRule="auto"/>
      </w:pPr>
      <w:r w:rsidRPr="00591BFC">
        <w:t>The clinical effectiveness of coordinator-based models of care has been demonstrated, in terms of improving the uptake of appropriate osteoporosis management such as measuring bone density and the use of anti-resorptive drug therapy</w:t>
      </w:r>
      <w:r w:rsidR="00B24FEE">
        <w:fldChar w:fldCharType="begin">
          <w:fldData xml:space="preserve">PEVuZE5vdGU+PENpdGU+PEF1dGhvcj5Db29wZXI8L0F1dGhvcj48WWVhcj4yMDExPC9ZZWFyPjxS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</w:fldData>
        </w:fldChar>
      </w:r>
      <w:r w:rsidR="00B24FEE">
        <w:instrText xml:space="preserve"> ADDIN EN.CITE </w:instrText>
      </w:r>
      <w:r w:rsidR="00B24FEE">
        <w:fldChar w:fldCharType="begin">
          <w:fldData xml:space="preserve">PEVuZE5vdGU+PENpdGU+PEF1dGhvcj5Db29wZXI8L0F1dGhvcj48WWVhcj4yMDExPC9ZZWFyPjxS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</w:fldData>
        </w:fldChar>
      </w:r>
      <w:r w:rsidR="00B24FEE">
        <w:instrText xml:space="preserve"> ADDIN EN.CITE.DATA </w:instrText>
      </w:r>
      <w:r w:rsidR="00B24FEE">
        <w:fldChar w:fldCharType="end"/>
      </w:r>
      <w:r w:rsidR="00B24FEE">
        <w:fldChar w:fldCharType="separate"/>
      </w:r>
      <w:hyperlink w:anchor="_ENREF_4" w:tooltip="Cooper, 2011 #19" w:history="1">
        <w:r w:rsidR="00B24FEE" w:rsidRPr="00B24FEE">
          <w:rPr>
            <w:noProof/>
            <w:vertAlign w:val="superscript"/>
          </w:rPr>
          <w:t>4</w:t>
        </w:r>
      </w:hyperlink>
      <w:r w:rsidR="00B24FEE" w:rsidRPr="00B24FEE">
        <w:rPr>
          <w:noProof/>
          <w:vertAlign w:val="superscript"/>
        </w:rPr>
        <w:t xml:space="preserve"> </w:t>
      </w:r>
      <w:hyperlink w:anchor="_ENREF_10" w:tooltip="Marsh, 2011 #18" w:history="1">
        <w:r w:rsidR="00B24FEE" w:rsidRPr="00B24FEE">
          <w:rPr>
            <w:noProof/>
            <w:vertAlign w:val="superscript"/>
          </w:rPr>
          <w:t>10</w:t>
        </w:r>
      </w:hyperlink>
      <w:r w:rsidR="00B24FEE">
        <w:fldChar w:fldCharType="end"/>
      </w:r>
      <w:r w:rsidRPr="00591BFC">
        <w:t>. There is growing evidence of cost-effectiveness</w:t>
      </w:r>
      <w:r w:rsidR="00B24FEE">
        <w:fldChar w:fldCharType="begin">
          <w:fldData xml:space="preserve">PEVuZE5vdGU+PENpdGU+PEF1dGhvcj5NY0xlbGxhbjwvQXV0aG9yPjxZZWFyPjIwMTE8L1llYXI+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L3BlcmlvZGljYWw+PHBhZ2VzPjk3LTEwNzwvcGFnZXM+PHZvbHVtZT4yMzwvdm9sdW1lPjxudW1i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</w:fldData>
        </w:fldChar>
      </w:r>
      <w:r w:rsidR="00B24FEE">
        <w:instrText xml:space="preserve"> ADDIN EN.CITE </w:instrText>
      </w:r>
      <w:r w:rsidR="00B24FEE">
        <w:fldChar w:fldCharType="begin">
          <w:fldData xml:space="preserve">PEVuZE5vdGU+PENpdGU+PEF1dGhvcj5NY0xlbGxhbjwvQXV0aG9yPjxZZWFyPjIwMTE8L1llYXI+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L3BlcmlvZGljYWw+PHBhZ2VzPjk3LTEwNzwvcGFnZXM+PHZvbHVtZT4yMzwvdm9sdW1lPjxudW1i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</w:fldData>
        </w:fldChar>
      </w:r>
      <w:r w:rsidR="00B24FEE">
        <w:instrText xml:space="preserve"> ADDIN EN.CITE.DATA </w:instrText>
      </w:r>
      <w:r w:rsidR="00B24FEE">
        <w:fldChar w:fldCharType="end"/>
      </w:r>
      <w:r w:rsidR="00B24FEE">
        <w:fldChar w:fldCharType="separate"/>
      </w:r>
      <w:hyperlink w:anchor="_ENREF_20" w:tooltip="McLellan, 2011 #45" w:history="1">
        <w:r w:rsidR="00B24FEE" w:rsidRPr="00B24FEE">
          <w:rPr>
            <w:noProof/>
            <w:vertAlign w:val="superscript"/>
          </w:rPr>
          <w:t>20</w:t>
        </w:r>
      </w:hyperlink>
      <w:r w:rsidR="00B24FEE" w:rsidRPr="00B24FEE">
        <w:rPr>
          <w:noProof/>
          <w:vertAlign w:val="superscript"/>
        </w:rPr>
        <w:t xml:space="preserve"> </w:t>
      </w:r>
      <w:hyperlink w:anchor="_ENREF_21" w:tooltip="Cooper, 2012 #147" w:history="1">
        <w:r w:rsidR="00B24FEE" w:rsidRPr="00B24FEE">
          <w:rPr>
            <w:noProof/>
            <w:vertAlign w:val="superscript"/>
          </w:rPr>
          <w:t>21</w:t>
        </w:r>
      </w:hyperlink>
      <w:r w:rsidR="00B24FEE">
        <w:fldChar w:fldCharType="end"/>
      </w:r>
      <w:r w:rsidRPr="00591BFC">
        <w:t xml:space="preserve"> and that they can provide cost-savings to the NHS</w:t>
      </w:r>
      <w:r w:rsidR="00B24FEE">
        <w:fldChar w:fldCharType="begin">
          <w:fldData xml:space="preserve">PEVuZE5vdGU+PENpdGU+PEF1dGhvcj5Db29wZXI8L0F1dGhvcj48WWVhcj4yMDExPC9ZZWFyPjxS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</w:fldData>
        </w:fldChar>
      </w:r>
      <w:r w:rsidR="00B24FEE">
        <w:instrText xml:space="preserve"> ADDIN EN.CITE </w:instrText>
      </w:r>
      <w:r w:rsidR="00B24FEE">
        <w:fldChar w:fldCharType="begin">
          <w:fldData xml:space="preserve">PEVuZE5vdGU+PENpdGU+PEF1dGhvcj5Db29wZXI8L0F1dGhvcj48WWVhcj4yMDExPC9ZZWFyPjxS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</w:fldData>
        </w:fldChar>
      </w:r>
      <w:r w:rsidR="00B24FEE">
        <w:instrText xml:space="preserve"> ADDIN EN.CITE.DATA </w:instrText>
      </w:r>
      <w:r w:rsidR="00B24FEE">
        <w:fldChar w:fldCharType="end"/>
      </w:r>
      <w:r w:rsidR="00B24FEE">
        <w:fldChar w:fldCharType="separate"/>
      </w:r>
      <w:hyperlink w:anchor="_ENREF_4" w:tooltip="Cooper, 2011 #19" w:history="1">
        <w:r w:rsidR="00B24FEE" w:rsidRPr="00B24FEE">
          <w:rPr>
            <w:noProof/>
            <w:vertAlign w:val="superscript"/>
          </w:rPr>
          <w:t>4</w:t>
        </w:r>
      </w:hyperlink>
      <w:r w:rsidR="00B24FEE" w:rsidRPr="00B24FEE">
        <w:rPr>
          <w:noProof/>
          <w:vertAlign w:val="superscript"/>
        </w:rPr>
        <w:t xml:space="preserve"> </w:t>
      </w:r>
      <w:hyperlink w:anchor="_ENREF_10" w:tooltip="Marsh, 2011 #18" w:history="1">
        <w:r w:rsidR="00B24FEE" w:rsidRPr="00B24FEE">
          <w:rPr>
            <w:noProof/>
            <w:vertAlign w:val="superscript"/>
          </w:rPr>
          <w:t>10</w:t>
        </w:r>
      </w:hyperlink>
      <w:r w:rsidR="00B24FEE" w:rsidRPr="00B24FEE">
        <w:rPr>
          <w:noProof/>
          <w:vertAlign w:val="superscript"/>
        </w:rPr>
        <w:t xml:space="preserve"> </w:t>
      </w:r>
      <w:hyperlink w:anchor="_ENREF_22" w:tooltip="Papaioannou, 2010 #1100" w:history="1">
        <w:r w:rsidR="00B24FEE" w:rsidRPr="00B24FEE">
          <w:rPr>
            <w:noProof/>
            <w:vertAlign w:val="superscript"/>
          </w:rPr>
          <w:t>22</w:t>
        </w:r>
      </w:hyperlink>
      <w:r w:rsidR="00B24FEE" w:rsidRPr="00B24FEE">
        <w:rPr>
          <w:noProof/>
          <w:vertAlign w:val="superscript"/>
        </w:rPr>
        <w:t xml:space="preserve"> </w:t>
      </w:r>
      <w:hyperlink w:anchor="_ENREF_23" w:tooltip="Department of Health, 2009 #10" w:history="1">
        <w:r w:rsidR="00B24FEE" w:rsidRPr="00B24FEE">
          <w:rPr>
            <w:noProof/>
            <w:vertAlign w:val="superscript"/>
          </w:rPr>
          <w:t>23</w:t>
        </w:r>
      </w:hyperlink>
      <w:r w:rsidR="00B24FEE">
        <w:fldChar w:fldCharType="end"/>
      </w:r>
      <w:r w:rsidRPr="00591BFC">
        <w:t>. Evidence is emerging on the ability of coordinator based systems to reduce the incidence of hip fractures. A review of the Glasgow Osteoporosis and Falls Strategy reported that hip fracture rates in the city had reduced by 7.3% over the decade compared to a 17% increase in fracture rates for the entire population of England over the same period</w:t>
      </w:r>
      <w:r w:rsidR="00B24FEE">
        <w:fldChar w:fldCharType="begin"/>
      </w:r>
      <w:r w:rsidR="00B24FEE">
        <w:instrText xml:space="preserve"> ADDIN EN.CITE &lt;EndNote&gt;&lt;Cite&gt;&lt;Author&gt;Mitchell&lt;/Author&gt;&lt;Year&gt;2011&lt;/Year&gt;&lt;RecNum&gt;46&lt;/RecNum&gt;&lt;DisplayText&gt;&lt;style face="superscript"&gt;19 24&lt;/style&gt;&lt;/DisplayText&gt;&lt;record&gt;&lt;rec-number&gt;46&lt;/rec-number&gt;&lt;foreign-keys&gt;&lt;key app="EN" db-id="sxpszd2ti9dx04ewefrvfp5bpf5faazszr9p" timestamp="0"&gt;46&lt;/key&gt;&lt;/foreign-keys&gt;&lt;ref-type name="Journal Article"&gt;17&lt;/ref-type&gt;&lt;contributors&gt;&lt;authors&gt;&lt;author&gt;Mitchell, P.&lt;/author&gt;&lt;/authors&gt;&lt;/contributors&gt;&lt;titles&gt;&lt;title&gt;Fracture Liaison Services: the UK experience&lt;/title&gt;&lt;secondary-title&gt;Osteoporosis International&lt;/secondary-title&gt;&lt;/titles&gt;&lt;pages&gt;487-494&lt;/pages&gt;&lt;volume&gt;22&lt;/volume&gt;&lt;number&gt;0&lt;/number&gt;&lt;keywords&gt;&lt;keyword&gt;Medicine&lt;/keyword&gt;&lt;/keywords&gt;&lt;dates&gt;&lt;year&gt;2011&lt;/year&gt;&lt;/dates&gt;&lt;publisher&gt;Springer London&lt;/publisher&gt;&lt;isbn&gt;0937-941X&lt;/isbn&gt;&lt;urls&gt;&lt;related-urls&gt;&lt;url&gt;http://dx.doi.org/10.1007/s00198-011-1702-2&lt;/url&gt;&lt;/related-urls&gt;&lt;/urls&gt;&lt;electronic-resource-num&gt;10.1007/s00198-011-1702-2&lt;/electronic-resource-num&gt;&lt;/record&gt;&lt;/Cite&gt;&lt;Cite&gt;&lt;Author&gt;Skelton&lt;/Author&gt;&lt;Year&gt;2009&lt;/Year&gt;&lt;RecNum&gt;49&lt;/RecNum&gt;&lt;record&gt;&lt;rec-number&gt;49&lt;/rec-number&gt;&lt;foreign-keys&gt;&lt;key app="EN" db-id="sxpszd2ti9dx04ewefrvfp5bpf5faazszr9p" timestamp="0"&gt;49&lt;/key&gt;&lt;/foreign-keys&gt;&lt;ref-type name="Report"&gt;27&lt;/ref-type&gt;&lt;contributors&gt;&lt;authors&gt;&lt;author&gt;Skelton, D.&lt;/author&gt;&lt;author&gt;Neil, F.&lt;/author&gt;&lt;/authors&gt;&lt;/contributors&gt;&lt;titles&gt;&lt;title&gt;NHS Greater Glasgow and Clyde Strategy for Osteoporosis and Falls Prevention 2006–2010: an evaluation 2007–2009.&lt;/title&gt;&lt;/titles&gt;&lt;dates&gt;&lt;year&gt;2009&lt;/year&gt;&lt;/dates&gt;&lt;publisher&gt;Health QWest and Glasgow Caledonian University&lt;/publisher&gt;&lt;urls&gt;&lt;/urls&gt;&lt;/record&gt;&lt;/Cite&gt;&lt;/EndNote&gt;</w:instrText>
      </w:r>
      <w:r w:rsidR="00B24FEE">
        <w:fldChar w:fldCharType="separate"/>
      </w:r>
      <w:hyperlink w:anchor="_ENREF_19" w:tooltip="Mitchell, 2011 #46" w:history="1">
        <w:r w:rsidR="00B24FEE" w:rsidRPr="00B24FEE">
          <w:rPr>
            <w:noProof/>
            <w:vertAlign w:val="superscript"/>
          </w:rPr>
          <w:t>19</w:t>
        </w:r>
      </w:hyperlink>
      <w:r w:rsidR="00B24FEE" w:rsidRPr="00B24FEE">
        <w:rPr>
          <w:noProof/>
          <w:vertAlign w:val="superscript"/>
        </w:rPr>
        <w:t xml:space="preserve"> </w:t>
      </w:r>
      <w:hyperlink w:anchor="_ENREF_24" w:tooltip="Skelton, 2009 #49" w:history="1">
        <w:r w:rsidR="00B24FEE" w:rsidRPr="00B24FEE">
          <w:rPr>
            <w:noProof/>
            <w:vertAlign w:val="superscript"/>
          </w:rPr>
          <w:t>24</w:t>
        </w:r>
      </w:hyperlink>
      <w:r w:rsidR="00B24FEE">
        <w:fldChar w:fldCharType="end"/>
      </w:r>
      <w:r w:rsidR="0062467B" w:rsidRPr="00591BFC">
        <w:t xml:space="preserve">. </w:t>
      </w:r>
      <w:r w:rsidRPr="00591BFC">
        <w:t>These findings are consistent with observational data from the US by Dell and colleagues who reported a 37.2% reduction in hip fracture rates</w:t>
      </w:r>
      <w:hyperlink w:anchor="_ENREF_25" w:tooltip="Dell, 2011 #148" w:history="1">
        <w:r w:rsidR="00B24FEE">
          <w:fldChar w:fldCharType="begin">
            <w:fldData xml:space="preserve">PEVuZE5vdGU+PENpdGU+PEF1dGhvcj5EZWxsPC9BdXRob3I+PFllYXI+MjAxMTwvWWVhcj48UmVj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b3JvcyBJbnQ8L2Z1bGwtdGl0bGU+PC9wZXJpb2RpY2FsPjxwYWdlcz40NTctNjA8L3BhZ2VzPjx2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=
</w:fldData>
          </w:fldChar>
        </w:r>
        <w:r w:rsidR="00B24FEE">
          <w:instrText xml:space="preserve"> ADDIN EN.CITE </w:instrText>
        </w:r>
        <w:r w:rsidR="00B24FEE">
          <w:fldChar w:fldCharType="begin">
            <w:fldData xml:space="preserve">PEVuZE5vdGU+PENpdGU+PEF1dGhvcj5EZWxsPC9BdXRob3I+PFllYXI+MjAxMTwvWWVhcj48UmVj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b3JvcyBJbnQ8L2Z1bGwtdGl0bGU+PC9wZXJpb2RpY2FsPjxwYWdlcz40NTctNjA8L3BhZ2VzPjx2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=
</w:fldData>
          </w:fldChar>
        </w:r>
        <w:r w:rsidR="00B24FEE">
          <w:instrText xml:space="preserve"> ADDIN EN.CITE.DATA </w:instrText>
        </w:r>
        <w:r w:rsidR="00B24FEE">
          <w:fldChar w:fldCharType="end"/>
        </w:r>
        <w:r w:rsidR="00B24FEE">
          <w:fldChar w:fldCharType="separate"/>
        </w:r>
        <w:r w:rsidR="00B24FEE" w:rsidRPr="00B24FEE">
          <w:rPr>
            <w:noProof/>
            <w:vertAlign w:val="superscript"/>
          </w:rPr>
          <w:t>25</w:t>
        </w:r>
        <w:r w:rsidR="00B24FEE">
          <w:fldChar w:fldCharType="end"/>
        </w:r>
      </w:hyperlink>
      <w:r w:rsidRPr="00591BFC">
        <w:t xml:space="preserve">. However, the strongest evidence </w:t>
      </w:r>
      <w:r w:rsidRPr="00591BFC">
        <w:lastRenderedPageBreak/>
        <w:t>on effectiveness has recently been provided by an Australian study that was designed as a prospective observational trial with a concurrent control group where, compared to standard care, targeted identification and management significantly reduced the risk of re-fracture by more than 80%</w:t>
      </w:r>
      <w:hyperlink w:anchor="_ENREF_26" w:tooltip="Lih, 2011 #54" w:history="1">
        <w:r w:rsidR="00B24FEE">
          <w:fldChar w:fldCharType="begin"/>
        </w:r>
        <w:r w:rsidR="00B24FEE">
          <w:instrText xml:space="preserve"> ADDIN EN.CITE &lt;EndNote&gt;&lt;Cite&gt;&lt;Author&gt;Lih&lt;/Author&gt;&lt;Year&gt;2011&lt;/Year&gt;&lt;RecNum&gt;54&lt;/RecNum&gt;&lt;DisplayText&gt;&lt;style face="superscript"&gt;26&lt;/style&gt;&lt;/DisplayText&gt;&lt;record&gt;&lt;rec-number&gt;54&lt;/rec-number&gt;&lt;foreign-keys&gt;&lt;key app="EN" db-id="sxpszd2ti9dx04ewefrvfp5bpf5faazszr9p" timestamp="0"&gt;54&lt;/key&gt;&lt;/foreign-keys&gt;&lt;ref-type name="Journal Article"&gt;17&lt;/ref-type&gt;&lt;contributors&gt;&lt;authors&gt;&lt;author&gt;Lih, A.&lt;/author&gt;&lt;author&gt;Nandapalan, H.&lt;/author&gt;&lt;author&gt;Kim, M.&lt;/author&gt;&lt;author&gt;Yap, C.&lt;/author&gt;&lt;author&gt;Lee, P.&lt;/author&gt;&lt;author&gt;Ganda, K.&lt;/author&gt;&lt;author&gt;Seibel, M.&lt;/author&gt;&lt;/authors&gt;&lt;/contributors&gt;&lt;titles&gt;&lt;title&gt;Targeted intervention reduces refracture rates in patients with incident non-vertebral osteoporotic fractures: a 4-year prospective controlled study&lt;/title&gt;&lt;secondary-title&gt;Osteoporosis International&lt;/secondary-title&gt;&lt;/titles&gt;&lt;pages&gt;849-858&lt;/pages&gt;&lt;volume&gt;22&lt;/volume&gt;&lt;number&gt;3&lt;/number&gt;&lt;keywords&gt;&lt;keyword&gt;Medicine&lt;/keyword&gt;&lt;/keywords&gt;&lt;dates&gt;&lt;year&gt;2011&lt;/year&gt;&lt;/dates&gt;&lt;publisher&gt;Springer London&lt;/publisher&gt;&lt;isbn&gt;0937-941X&lt;/isbn&gt;&lt;urls&gt;&lt;related-urls&gt;&lt;url&gt;http://dx.doi.org/10.1007/s00198-010-1477-x&lt;/url&gt;&lt;/related-urls&gt;&lt;/urls&gt;&lt;electronic-resource-num&gt;10.1007/s00198-010-1477-x&lt;/electronic-resource-num&gt;&lt;/record&gt;&lt;/Cite&gt;&lt;/EndNote&gt;</w:instrText>
        </w:r>
        <w:r w:rsidR="00B24FEE">
          <w:fldChar w:fldCharType="separate"/>
        </w:r>
        <w:r w:rsidR="00B24FEE" w:rsidRPr="00B24FEE">
          <w:rPr>
            <w:noProof/>
            <w:vertAlign w:val="superscript"/>
          </w:rPr>
          <w:t>26</w:t>
        </w:r>
        <w:r w:rsidR="00B24FEE">
          <w:fldChar w:fldCharType="end"/>
        </w:r>
      </w:hyperlink>
      <w:r w:rsidRPr="00591BFC">
        <w:t xml:space="preserve">. </w:t>
      </w:r>
    </w:p>
    <w:p w14:paraId="4ADB7DDD" w14:textId="77777777" w:rsidR="00F24EB9" w:rsidRPr="00591BFC" w:rsidRDefault="00F24EB9" w:rsidP="00E86771">
      <w:pPr>
        <w:spacing w:line="360" w:lineRule="auto"/>
      </w:pPr>
      <w:r w:rsidRPr="00591BFC">
        <w:t>Across the UK there is variation in the care pathway of the treatment and management of hip fracture patients and in the way secondary fracture prevention services are structured and organised. Even with a coordinator based system in place, the structure of services can vary between hospitals. For example, hospitals use different models of orthogeriatric care, where some hospitals now have specialised orthogeriatric wards, and in others patients are seen on the trauma ward. Some hospitals may only co-ordinate the care of hip-fracture patients whilst admitted as an inpatient, whilst others have ensured their osteoporosis service is integrated across primary care to monitor patient’s adherence to bone protection therapy.</w:t>
      </w:r>
    </w:p>
    <w:p w14:paraId="61785849" w14:textId="77777777" w:rsidR="00505FB2" w:rsidRPr="00591BFC" w:rsidRDefault="00505FB2" w:rsidP="00E86771">
      <w:pPr>
        <w:pStyle w:val="Heading2"/>
        <w:spacing w:line="360" w:lineRule="auto"/>
        <w:rPr>
          <w:rFonts w:ascii="Calibri" w:hAnsi="Calibri"/>
          <w:lang w:val="en-GB"/>
        </w:rPr>
      </w:pPr>
      <w:bookmarkStart w:id="37" w:name="_Toc308300699"/>
      <w:bookmarkStart w:id="38" w:name="_Toc311366506"/>
      <w:r w:rsidRPr="00591BFC">
        <w:rPr>
          <w:rFonts w:ascii="Calibri" w:hAnsi="Calibri"/>
          <w:lang w:val="en-GB"/>
        </w:rPr>
        <w:t>Aims</w:t>
      </w:r>
      <w:bookmarkEnd w:id="37"/>
      <w:bookmarkEnd w:id="38"/>
    </w:p>
    <w:p w14:paraId="60DFC08F" w14:textId="53A8507F" w:rsidR="00505FB2" w:rsidRPr="00591BFC" w:rsidRDefault="00505FB2" w:rsidP="00591278">
      <w:pPr>
        <w:spacing w:line="360" w:lineRule="auto"/>
      </w:pPr>
      <w:r w:rsidRPr="00591BFC">
        <w:t>The aim of this study was to characterise the delivery of secondary fracture prevention services over the past decade across hospitals in the region. Using qualitative research methods we have identified the reasons why hospitals chose their specific model of service delivery and assessed barriers to change. Using a Natural Experimental design</w:t>
      </w:r>
      <w:hyperlink w:anchor="_ENREF_27" w:tooltip="Craig, 2011 #43" w:history="1">
        <w:r w:rsidR="00B24FEE">
          <w:fldChar w:fldCharType="begin"/>
        </w:r>
        <w:r w:rsidR="00B24FEE">
          <w:instrText xml:space="preserve"> ADDIN EN.CITE &lt;EndNote&gt;&lt;Cite&gt;&lt;Author&gt;Craig&lt;/Author&gt;&lt;Year&gt;2011&lt;/Year&gt;&lt;RecNum&gt;43&lt;/RecNum&gt;&lt;DisplayText&gt;&lt;style face="superscript"&gt;27&lt;/style&gt;&lt;/DisplayText&gt;&lt;record&gt;&lt;rec-number&gt;43&lt;/rec-number&gt;&lt;foreign-keys&gt;&lt;key app="EN" db-id="sxpszd2ti9dx04ewefrvfp5bpf5faazszr9p" timestamp="0"&gt;43&lt;/key&gt;&lt;/foreign-keys&gt;&lt;ref-type name="Report"&gt;27&lt;/ref-type&gt;&lt;contributors&gt;&lt;authors&gt;&lt;author&gt;Craig, Peter.&lt;/author&gt;&lt;author&gt;Cooper, C.&lt;/author&gt;&lt;author&gt;Gunnell, D.&lt;/author&gt;&lt;author&gt;Haw, S.&lt;/author&gt;&lt;author&gt;Lawson, K.&lt;/author&gt;&lt;author&gt;Macintyre, S.&lt;/author&gt;&lt;author&gt;Ogilvie, D.&lt;/author&gt;&lt;author&gt;Petticrew, M.&lt;/author&gt;&lt;author&gt;Reeves, B.&lt;/author&gt;&lt;author&gt;Sutton, M.&lt;/author&gt;&lt;author&gt;Thompson, S.&lt;/author&gt;&lt;/authors&gt;&lt;/contributors&gt;&lt;titles&gt;&lt;title&gt;Using natural experiments to evaluate population health interventions: guidance for producers and users of evidence&lt;/title&gt;&lt;/titles&gt;&lt;dates&gt;&lt;year&gt;2011&lt;/year&gt;&lt;/dates&gt;&lt;publisher&gt;Medical Research Council&lt;/publisher&gt;&lt;urls&gt;&lt;/urls&gt;&lt;/record&gt;&lt;/Cite&gt;&lt;/EndNote&gt;</w:instrText>
        </w:r>
        <w:r w:rsidR="00B24FEE">
          <w:fldChar w:fldCharType="separate"/>
        </w:r>
        <w:r w:rsidR="00B24FEE" w:rsidRPr="00B24FEE">
          <w:rPr>
            <w:noProof/>
            <w:vertAlign w:val="superscript"/>
          </w:rPr>
          <w:t>27</w:t>
        </w:r>
        <w:r w:rsidR="00B24FEE">
          <w:fldChar w:fldCharType="end"/>
        </w:r>
      </w:hyperlink>
      <w:r w:rsidRPr="00591BFC">
        <w:t xml:space="preserve"> we have established the cost-effectiveness of different models of care and the impact that changes to the delivery of care have had on altering trends in re-fracture rates, NHS costs and life expectancy.</w:t>
      </w:r>
    </w:p>
    <w:p w14:paraId="02EB1834" w14:textId="77777777" w:rsidR="00505FB2" w:rsidRPr="00591BFC" w:rsidRDefault="00505FB2" w:rsidP="00E86771">
      <w:pPr>
        <w:spacing w:line="360" w:lineRule="auto"/>
      </w:pPr>
    </w:p>
    <w:p w14:paraId="100C25BC" w14:textId="77777777" w:rsidR="00764089" w:rsidRPr="00591BFC" w:rsidRDefault="00764089" w:rsidP="00E86771">
      <w:pPr>
        <w:pStyle w:val="Heading2"/>
        <w:spacing w:line="360" w:lineRule="auto"/>
        <w:rPr>
          <w:rFonts w:ascii="Calibri" w:hAnsi="Calibri"/>
          <w:lang w:val="en-GB"/>
        </w:rPr>
      </w:pPr>
      <w:bookmarkStart w:id="39" w:name="_Toc308300700"/>
      <w:bookmarkStart w:id="40" w:name="_Toc311366507"/>
      <w:r w:rsidRPr="00591BFC">
        <w:rPr>
          <w:rFonts w:ascii="Calibri" w:hAnsi="Calibri"/>
          <w:lang w:val="en-GB"/>
        </w:rPr>
        <w:t>Objectives</w:t>
      </w:r>
      <w:bookmarkEnd w:id="39"/>
      <w:bookmarkEnd w:id="40"/>
    </w:p>
    <w:p w14:paraId="3D106289" w14:textId="77777777" w:rsidR="002D0608" w:rsidRPr="00591BFC" w:rsidRDefault="002D0608" w:rsidP="00E86771">
      <w:pPr>
        <w:pStyle w:val="NoSpacing"/>
        <w:spacing w:line="360" w:lineRule="auto"/>
      </w:pPr>
      <w:r w:rsidRPr="00591BFC">
        <w:rPr>
          <w:i/>
        </w:rPr>
        <w:t>Objective 1: C</w:t>
      </w:r>
      <w:r w:rsidR="007D1DD4" w:rsidRPr="00591BFC">
        <w:rPr>
          <w:i/>
        </w:rPr>
        <w:t xml:space="preserve">haracterising secondary prevention of hip fracture across hospitals in a region of England </w:t>
      </w:r>
      <w:r w:rsidRPr="00591BFC">
        <w:t>(</w:t>
      </w:r>
      <w:r w:rsidRPr="00591BFC">
        <w:rPr>
          <w:i/>
        </w:rPr>
        <w:t>Work Stream 1</w:t>
      </w:r>
      <w:r w:rsidRPr="00591BFC">
        <w:t>)</w:t>
      </w:r>
    </w:p>
    <w:p w14:paraId="38A0E5F4" w14:textId="77777777" w:rsidR="007D1DD4" w:rsidRPr="00591BFC" w:rsidRDefault="007D1DD4" w:rsidP="00E86771">
      <w:pPr>
        <w:spacing w:line="360" w:lineRule="auto"/>
      </w:pPr>
      <w:r w:rsidRPr="00591BFC">
        <w:t xml:space="preserve">The first phase of this project was to comprehensively describe and explore the variation and disparity in secondary fracture prevention services offered to hip fracture patients across hospitals in a region of England, and to identify the dates of key changes made to service delivery over the past decade. </w:t>
      </w:r>
    </w:p>
    <w:p w14:paraId="0FA2A6B9" w14:textId="77777777" w:rsidR="007D1DD4" w:rsidRPr="00591BFC" w:rsidRDefault="007D1DD4" w:rsidP="00E86771">
      <w:pPr>
        <w:pStyle w:val="NoSpacing"/>
        <w:spacing w:line="360" w:lineRule="auto"/>
        <w:rPr>
          <w:i/>
        </w:rPr>
      </w:pPr>
      <w:r w:rsidRPr="00591BFC">
        <w:rPr>
          <w:i/>
        </w:rPr>
        <w:t>Objective 2: Identify the reasons why hospitals chose their specific model of service delivery and assess barriers to change</w:t>
      </w:r>
      <w:r w:rsidRPr="00591BFC">
        <w:t xml:space="preserve"> </w:t>
      </w:r>
      <w:r w:rsidRPr="00591BFC">
        <w:rPr>
          <w:i/>
        </w:rPr>
        <w:t>(Work Stream 2)</w:t>
      </w:r>
    </w:p>
    <w:p w14:paraId="6DE2BBF4" w14:textId="77777777" w:rsidR="00543656" w:rsidRPr="00591BFC" w:rsidRDefault="000B172B" w:rsidP="00E86771">
      <w:pPr>
        <w:spacing w:line="360" w:lineRule="auto"/>
      </w:pPr>
      <w:r w:rsidRPr="00591BFC">
        <w:t xml:space="preserve">The aim of the qualitative study </w:t>
      </w:r>
      <w:r w:rsidR="00505FB2" w:rsidRPr="00591BFC">
        <w:t>was</w:t>
      </w:r>
      <w:r w:rsidRPr="00591BFC">
        <w:t xml:space="preserve"> to: a) ascertain the reasons why each hospital has adopted their current and most recent models of care; b) establish factors that facilitate or act as barriers to </w:t>
      </w:r>
      <w:r w:rsidRPr="00591BFC">
        <w:lastRenderedPageBreak/>
        <w:t>changes in service delivery; c) identify the elements of care of hip fracture patients that health professionals think are most effective.</w:t>
      </w:r>
    </w:p>
    <w:p w14:paraId="2E517B0D" w14:textId="77777777" w:rsidR="00B92641" w:rsidRPr="00591BFC" w:rsidRDefault="007D1DD4" w:rsidP="00B92641">
      <w:pPr>
        <w:spacing w:line="360" w:lineRule="auto"/>
        <w:rPr>
          <w:i/>
        </w:rPr>
      </w:pPr>
      <w:r w:rsidRPr="00591BFC">
        <w:rPr>
          <w:i/>
        </w:rPr>
        <w:t xml:space="preserve">Objective 3: </w:t>
      </w:r>
      <w:r w:rsidR="00B92641" w:rsidRPr="00591BFC">
        <w:rPr>
          <w:i/>
        </w:rPr>
        <w:t>Evaluate the impact that changes to the delivery of secondary fracture prevention have had on health outcomes by altering trends in hip re-fracture rates, NHS costs and life expectancy</w:t>
      </w:r>
      <w:r w:rsidR="00B92641" w:rsidRPr="00591BFC">
        <w:t xml:space="preserve"> </w:t>
      </w:r>
      <w:r w:rsidR="00B92641" w:rsidRPr="00591BFC">
        <w:rPr>
          <w:i/>
        </w:rPr>
        <w:t>(Work Stream 4)</w:t>
      </w:r>
    </w:p>
    <w:p w14:paraId="06EA5B7F" w14:textId="497AC4F5" w:rsidR="00B92641" w:rsidRPr="00591BFC" w:rsidRDefault="00B92641" w:rsidP="00B92641">
      <w:pPr>
        <w:spacing w:line="360" w:lineRule="auto"/>
      </w:pPr>
      <w:r w:rsidRPr="00591BFC">
        <w:t>A Natural Experimental study design</w:t>
      </w:r>
      <w:hyperlink w:anchor="_ENREF_27" w:tooltip="Craig, 2011 #43" w:history="1">
        <w:r w:rsidR="00B24FEE">
          <w:fldChar w:fldCharType="begin"/>
        </w:r>
        <w:r w:rsidR="00B24FEE">
          <w:instrText xml:space="preserve"> ADDIN EN.CITE &lt;EndNote&gt;&lt;Cite&gt;&lt;Author&gt;Craig&lt;/Author&gt;&lt;Year&gt;2011&lt;/Year&gt;&lt;RecNum&gt;43&lt;/RecNum&gt;&lt;DisplayText&gt;&lt;style face="superscript"&gt;27&lt;/style&gt;&lt;/DisplayText&gt;&lt;record&gt;&lt;rec-number&gt;43&lt;/rec-number&gt;&lt;foreign-keys&gt;&lt;key app="EN" db-id="sxpszd2ti9dx04ewefrvfp5bpf5faazszr9p" timestamp="0"&gt;43&lt;/key&gt;&lt;/foreign-keys&gt;&lt;ref-type name="Report"&gt;27&lt;/ref-type&gt;&lt;contributors&gt;&lt;authors&gt;&lt;author&gt;Craig, Peter.&lt;/author&gt;&lt;author&gt;Cooper, C.&lt;/author&gt;&lt;author&gt;Gunnell, D.&lt;/author&gt;&lt;author&gt;Haw, S.&lt;/author&gt;&lt;author&gt;Lawson, K.&lt;/author&gt;&lt;author&gt;Macintyre, S.&lt;/author&gt;&lt;author&gt;Ogilvie, D.&lt;/author&gt;&lt;author&gt;Petticrew, M.&lt;/author&gt;&lt;author&gt;Reeves, B.&lt;/author&gt;&lt;author&gt;Sutton, M.&lt;/author&gt;&lt;author&gt;Thompson, S.&lt;/author&gt;&lt;/authors&gt;&lt;/contributors&gt;&lt;titles&gt;&lt;title&gt;Using natural experiments to evaluate population health interventions: guidance for producers and users of evidence&lt;/title&gt;&lt;/titles&gt;&lt;dates&gt;&lt;year&gt;2011&lt;/year&gt;&lt;/dates&gt;&lt;publisher&gt;Medical Research Council&lt;/publisher&gt;&lt;urls&gt;&lt;/urls&gt;&lt;/record&gt;&lt;/Cite&gt;&lt;/EndNote&gt;</w:instrText>
        </w:r>
        <w:r w:rsidR="00B24FEE">
          <w:fldChar w:fldCharType="separate"/>
        </w:r>
        <w:r w:rsidR="00B24FEE" w:rsidRPr="00B24FEE">
          <w:rPr>
            <w:noProof/>
            <w:vertAlign w:val="superscript"/>
          </w:rPr>
          <w:t>27</w:t>
        </w:r>
        <w:r w:rsidR="00B24FEE">
          <w:fldChar w:fldCharType="end"/>
        </w:r>
      </w:hyperlink>
      <w:r w:rsidRPr="00591BFC">
        <w:t xml:space="preserve"> evaluates the impact that changes hospitals in the region have made to the way they deliver secondary fracture prevention services for hip fracture patients, have had on a range of health outcomes (mortality, second hip fracture, other fragility fractures).</w:t>
      </w:r>
    </w:p>
    <w:p w14:paraId="67C4CC55" w14:textId="5D3648B7" w:rsidR="007D1DD4" w:rsidRPr="00591BFC" w:rsidRDefault="00B92641" w:rsidP="00E86771">
      <w:pPr>
        <w:spacing w:line="360" w:lineRule="auto"/>
        <w:rPr>
          <w:i/>
        </w:rPr>
      </w:pPr>
      <w:r w:rsidRPr="00591BFC">
        <w:rPr>
          <w:i/>
        </w:rPr>
        <w:t>Objective 4</w:t>
      </w:r>
      <w:r w:rsidR="007D1DD4" w:rsidRPr="00591BFC">
        <w:rPr>
          <w:i/>
        </w:rPr>
        <w:t>: Establish the cost-effectiveness of different hospital models for delivery of secondary fracture prevention (Work Stream 3)</w:t>
      </w:r>
    </w:p>
    <w:p w14:paraId="03DFD7BD" w14:textId="77777777" w:rsidR="000B172B" w:rsidRPr="00591BFC" w:rsidRDefault="000B172B" w:rsidP="00E86771">
      <w:pPr>
        <w:spacing w:line="360" w:lineRule="auto"/>
      </w:pPr>
      <w:r w:rsidRPr="00591BFC">
        <w:t xml:space="preserve">The health economics work calculates the hospital and non-hospital costs associated with hip fracture in the year of fracture and subsequent years and evaluate the costs, (quality-adjusted) life expectancy and cost-effectiveness of the different hospital models of care. </w:t>
      </w:r>
    </w:p>
    <w:p w14:paraId="3D640EA1" w14:textId="77777777" w:rsidR="000B172B" w:rsidRPr="00591BFC" w:rsidRDefault="000B172B" w:rsidP="00B92641">
      <w:pPr>
        <w:spacing w:line="360" w:lineRule="auto"/>
      </w:pPr>
    </w:p>
    <w:p w14:paraId="083CD734" w14:textId="77777777" w:rsidR="00764089" w:rsidRPr="00591BFC" w:rsidRDefault="00764089" w:rsidP="00E86771">
      <w:pPr>
        <w:pStyle w:val="Heading2"/>
        <w:spacing w:line="360" w:lineRule="auto"/>
        <w:rPr>
          <w:rFonts w:ascii="Calibri" w:hAnsi="Calibri"/>
          <w:lang w:val="en-GB"/>
        </w:rPr>
      </w:pPr>
      <w:bookmarkStart w:id="41" w:name="_Toc308300701"/>
      <w:bookmarkStart w:id="42" w:name="_Toc311366508"/>
      <w:r w:rsidRPr="00591BFC">
        <w:rPr>
          <w:rFonts w:ascii="Calibri" w:hAnsi="Calibri"/>
          <w:lang w:val="en-GB"/>
        </w:rPr>
        <w:t>Design and methodology</w:t>
      </w:r>
      <w:bookmarkEnd w:id="41"/>
      <w:bookmarkEnd w:id="42"/>
    </w:p>
    <w:p w14:paraId="2118A535" w14:textId="77777777" w:rsidR="001C675E" w:rsidRPr="00591BFC" w:rsidRDefault="001C675E" w:rsidP="00E86771">
      <w:pPr>
        <w:spacing w:line="360" w:lineRule="auto"/>
        <w:rPr>
          <w:i/>
        </w:rPr>
      </w:pPr>
      <w:r w:rsidRPr="00591BFC">
        <w:rPr>
          <w:i/>
        </w:rPr>
        <w:t>Characterising secondary prevention of hip fracture across hospitals in a region of England (Work Stream 1)</w:t>
      </w:r>
    </w:p>
    <w:p w14:paraId="4986A863" w14:textId="77777777" w:rsidR="000B172B" w:rsidRPr="00591BFC" w:rsidRDefault="001C675E" w:rsidP="00E86771">
      <w:pPr>
        <w:spacing w:line="360" w:lineRule="auto"/>
      </w:pPr>
      <w:r w:rsidRPr="00591BFC">
        <w:t>In order to collect information on models of care for secondary fracture prevention at each hospital, we conducted a service evaluation which comprised:</w:t>
      </w:r>
    </w:p>
    <w:p w14:paraId="4DF6B867" w14:textId="77777777" w:rsidR="00E32774" w:rsidRPr="00591BFC" w:rsidRDefault="00427272" w:rsidP="00DB4F65">
      <w:pPr>
        <w:numPr>
          <w:ilvl w:val="0"/>
          <w:numId w:val="4"/>
        </w:numPr>
        <w:spacing w:line="360" w:lineRule="auto"/>
      </w:pPr>
      <w:r w:rsidRPr="00591BFC">
        <w:t xml:space="preserve">Developing </w:t>
      </w:r>
      <w:r w:rsidR="001C675E" w:rsidRPr="00591BFC">
        <w:t xml:space="preserve">a questionnaire to collect information on staffing levels and new appointments over the past decade, </w:t>
      </w:r>
      <w:r w:rsidR="00E32774" w:rsidRPr="00591BFC">
        <w:t xml:space="preserve">procedures for case-finding, osteoporosis assessment (including location of DXA scanner), falls assessments, treatment initiation and follow-up, as well as integration across primary, secondary and community care. </w:t>
      </w:r>
    </w:p>
    <w:p w14:paraId="0D0D2A7A" w14:textId="77777777" w:rsidR="001C675E" w:rsidRPr="00591BFC" w:rsidRDefault="00427272" w:rsidP="00DB4F65">
      <w:pPr>
        <w:numPr>
          <w:ilvl w:val="0"/>
          <w:numId w:val="4"/>
        </w:numPr>
        <w:spacing w:line="360" w:lineRule="auto"/>
      </w:pPr>
      <w:r w:rsidRPr="00591BFC">
        <w:t>Identifying h</w:t>
      </w:r>
      <w:r w:rsidR="00E32774" w:rsidRPr="00591BFC">
        <w:t xml:space="preserve">ealth professionals at each hospital to complete </w:t>
      </w:r>
      <w:r w:rsidR="006B62F7" w:rsidRPr="00591BFC">
        <w:t xml:space="preserve">the </w:t>
      </w:r>
      <w:r w:rsidR="00E32774" w:rsidRPr="00591BFC">
        <w:t xml:space="preserve">questionnaire through a regional network of clinicians working in osteoporosis management.  </w:t>
      </w:r>
    </w:p>
    <w:p w14:paraId="4D2342BE" w14:textId="77777777" w:rsidR="00427272" w:rsidRPr="00591BFC" w:rsidRDefault="00427272" w:rsidP="00E86771">
      <w:pPr>
        <w:spacing w:line="360" w:lineRule="auto"/>
        <w:rPr>
          <w:i/>
        </w:rPr>
      </w:pPr>
      <w:r w:rsidRPr="00591BFC">
        <w:rPr>
          <w:i/>
        </w:rPr>
        <w:t>Identify the reasons why hospitals chose their specific model of service delivery and assess barriers to change (Work Stream 2)</w:t>
      </w:r>
    </w:p>
    <w:p w14:paraId="5CC4443F" w14:textId="77777777" w:rsidR="00427272" w:rsidRPr="00591BFC" w:rsidRDefault="00427272" w:rsidP="00E86771">
      <w:pPr>
        <w:spacing w:line="360" w:lineRule="auto"/>
      </w:pPr>
      <w:r w:rsidRPr="00591BFC">
        <w:t>This qualitative research component involved the following stages:</w:t>
      </w:r>
    </w:p>
    <w:p w14:paraId="707AFAD4" w14:textId="77777777" w:rsidR="00427272" w:rsidRPr="00591BFC" w:rsidRDefault="00427272" w:rsidP="00DB4F65">
      <w:pPr>
        <w:numPr>
          <w:ilvl w:val="0"/>
          <w:numId w:val="5"/>
        </w:numPr>
        <w:spacing w:line="360" w:lineRule="auto"/>
      </w:pPr>
      <w:r w:rsidRPr="00591BFC">
        <w:lastRenderedPageBreak/>
        <w:t>Identifying a local collaborator at each hospital through a regional network of clinicians</w:t>
      </w:r>
      <w:r w:rsidR="001358E2" w:rsidRPr="00591BFC">
        <w:t xml:space="preserve"> and, with their input, identifying</w:t>
      </w:r>
      <w:r w:rsidRPr="00591BFC">
        <w:t xml:space="preserve"> other healthcare professionals and service mangers working at the hospital in secondary fracture prevention.  </w:t>
      </w:r>
    </w:p>
    <w:p w14:paraId="38F57DF8" w14:textId="77777777" w:rsidR="001358E2" w:rsidRPr="00591BFC" w:rsidRDefault="001358E2" w:rsidP="00DB4F65">
      <w:pPr>
        <w:numPr>
          <w:ilvl w:val="0"/>
          <w:numId w:val="5"/>
        </w:numPr>
        <w:spacing w:line="360" w:lineRule="auto"/>
      </w:pPr>
      <w:r w:rsidRPr="00591BFC">
        <w:t>Conducting qualitative interviews with 3-5 healthcare professionals or service managers at each hospital</w:t>
      </w:r>
      <w:r w:rsidR="0063484A" w:rsidRPr="00591BFC">
        <w:t>.</w:t>
      </w:r>
    </w:p>
    <w:p w14:paraId="78E8118D" w14:textId="70FB2850" w:rsidR="00633639" w:rsidRPr="00591BFC" w:rsidRDefault="0063484A" w:rsidP="00DB4F65">
      <w:pPr>
        <w:numPr>
          <w:ilvl w:val="0"/>
          <w:numId w:val="5"/>
        </w:numPr>
        <w:spacing w:line="360" w:lineRule="auto"/>
      </w:pPr>
      <w:r w:rsidRPr="00591BFC">
        <w:t>Thematic analysis conducted using codes to identify themes and sub-themes.</w:t>
      </w:r>
    </w:p>
    <w:p w14:paraId="581C32C5" w14:textId="209D5326" w:rsidR="00152EFF" w:rsidRPr="00591BFC" w:rsidRDefault="00152EFF" w:rsidP="00E86771">
      <w:pPr>
        <w:spacing w:line="360" w:lineRule="auto"/>
        <w:rPr>
          <w:i/>
        </w:rPr>
      </w:pPr>
      <w:r w:rsidRPr="00591BFC">
        <w:rPr>
          <w:i/>
        </w:rPr>
        <w:t xml:space="preserve">Evaluate the impact that changes to the delivery of secondary fracture prevention have had on health outcomes by altering trends in hip re-fracture rates, NHS costs and life expectancy (Work Stream </w:t>
      </w:r>
      <w:r w:rsidR="008A0BC3">
        <w:rPr>
          <w:i/>
        </w:rPr>
        <w:t>3</w:t>
      </w:r>
      <w:r w:rsidRPr="00591BFC">
        <w:rPr>
          <w:i/>
        </w:rPr>
        <w:t>)</w:t>
      </w:r>
    </w:p>
    <w:p w14:paraId="4CD4941F" w14:textId="77777777" w:rsidR="00152EFF" w:rsidRPr="00591BFC" w:rsidRDefault="00D603A3" w:rsidP="00E86771">
      <w:pPr>
        <w:spacing w:line="360" w:lineRule="auto"/>
      </w:pPr>
      <w:r w:rsidRPr="00591BFC">
        <w:t xml:space="preserve">A natural experiment study design was used to assess the clinical effectiveness of changes in service delivery in terms of reducing mortality and secondary fracture rates using the following procedure: </w:t>
      </w:r>
    </w:p>
    <w:p w14:paraId="124339F6" w14:textId="77777777" w:rsidR="00D603A3" w:rsidRPr="00591BFC" w:rsidRDefault="00D603A3" w:rsidP="00DB4F65">
      <w:pPr>
        <w:numPr>
          <w:ilvl w:val="0"/>
          <w:numId w:val="7"/>
        </w:numPr>
        <w:spacing w:line="360" w:lineRule="auto"/>
      </w:pPr>
      <w:r w:rsidRPr="00591BFC">
        <w:t>Trends in rates of 30-day mortality, one year mortality and secondary hip fracture established from HES data for hospital</w:t>
      </w:r>
      <w:r w:rsidR="006B62F7" w:rsidRPr="00591BFC">
        <w:t>s</w:t>
      </w:r>
      <w:r w:rsidRPr="00591BFC">
        <w:t xml:space="preserve"> in the region. </w:t>
      </w:r>
    </w:p>
    <w:p w14:paraId="38135DE5" w14:textId="77777777" w:rsidR="00F44B5C" w:rsidRPr="00591BFC" w:rsidRDefault="00D603A3" w:rsidP="00DB4F65">
      <w:pPr>
        <w:numPr>
          <w:ilvl w:val="0"/>
          <w:numId w:val="7"/>
        </w:numPr>
        <w:spacing w:line="360" w:lineRule="auto"/>
      </w:pPr>
      <w:r w:rsidRPr="00591BFC">
        <w:t>Interventions, or changes in service delivery,</w:t>
      </w:r>
      <w:r w:rsidR="00F44B5C" w:rsidRPr="00591BFC">
        <w:t xml:space="preserve"> and their corresponding dates</w:t>
      </w:r>
      <w:r w:rsidRPr="00591BFC">
        <w:t xml:space="preserve"> were identified from the service evaluation conducted in work stream 1</w:t>
      </w:r>
    </w:p>
    <w:p w14:paraId="5A05F7A0" w14:textId="77777777" w:rsidR="00D603A3" w:rsidRPr="00591BFC" w:rsidRDefault="00F44B5C" w:rsidP="00DB4F65">
      <w:pPr>
        <w:numPr>
          <w:ilvl w:val="0"/>
          <w:numId w:val="7"/>
        </w:numPr>
        <w:spacing w:line="360" w:lineRule="auto"/>
      </w:pPr>
      <w:r w:rsidRPr="00591BFC">
        <w:t xml:space="preserve">Interrupted time series analysis and Cox proportional </w:t>
      </w:r>
      <w:r w:rsidR="00A475D0" w:rsidRPr="00591BFC">
        <w:t>hazards</w:t>
      </w:r>
      <w:r w:rsidRPr="00591BFC">
        <w:t xml:space="preserve"> regression modelling </w:t>
      </w:r>
      <w:r w:rsidR="00A475D0" w:rsidRPr="00591BFC">
        <w:t>used to analyse impact of each intervention on outcomes of interest</w:t>
      </w:r>
    </w:p>
    <w:p w14:paraId="31F9A25F" w14:textId="77777777" w:rsidR="008A0BC3" w:rsidRPr="00591BFC" w:rsidRDefault="008A0BC3" w:rsidP="008A0BC3">
      <w:pPr>
        <w:spacing w:line="360" w:lineRule="auto"/>
        <w:rPr>
          <w:i/>
        </w:rPr>
      </w:pPr>
      <w:r w:rsidRPr="00591BFC">
        <w:rPr>
          <w:i/>
        </w:rPr>
        <w:t xml:space="preserve">Establish the cost-effectiveness of different hospital models for delivery of secondary fracture prevention (Work Stream </w:t>
      </w:r>
      <w:r>
        <w:rPr>
          <w:i/>
        </w:rPr>
        <w:t>4</w:t>
      </w:r>
      <w:r w:rsidRPr="00591BFC">
        <w:rPr>
          <w:i/>
        </w:rPr>
        <w:t>)</w:t>
      </w:r>
    </w:p>
    <w:p w14:paraId="50D6E9E8" w14:textId="77777777" w:rsidR="0063484A" w:rsidRPr="00591BFC" w:rsidRDefault="0063484A" w:rsidP="00E86771">
      <w:pPr>
        <w:spacing w:line="360" w:lineRule="auto"/>
      </w:pPr>
      <w:r w:rsidRPr="00591BFC">
        <w:t xml:space="preserve">An economic analysis of the costs and cost-effectiveness of different services will be undertaken as described below. </w:t>
      </w:r>
    </w:p>
    <w:p w14:paraId="5FD8497D" w14:textId="77777777" w:rsidR="0063484A" w:rsidRPr="00591BFC" w:rsidRDefault="0063484A" w:rsidP="00776C05">
      <w:pPr>
        <w:numPr>
          <w:ilvl w:val="0"/>
          <w:numId w:val="6"/>
        </w:numPr>
        <w:spacing w:line="360" w:lineRule="auto"/>
      </w:pPr>
      <w:r w:rsidRPr="00591BFC">
        <w:t>Data from Hospital Episode Statistics (HES) and Clinical Practi</w:t>
      </w:r>
      <w:r w:rsidR="006B62F7" w:rsidRPr="00591BFC">
        <w:t>c</w:t>
      </w:r>
      <w:r w:rsidRPr="00591BFC">
        <w:t xml:space="preserve">e Research Datalink (CPRD) used to identify the hospital and non-hospital costs of a hip fracture. </w:t>
      </w:r>
    </w:p>
    <w:p w14:paraId="078822F2" w14:textId="4E8BA455" w:rsidR="0063484A" w:rsidRPr="00591BFC" w:rsidRDefault="0063484A">
      <w:pPr>
        <w:numPr>
          <w:ilvl w:val="0"/>
          <w:numId w:val="6"/>
        </w:numPr>
        <w:spacing w:line="360" w:lineRule="auto"/>
      </w:pPr>
      <w:r w:rsidRPr="00591BFC">
        <w:t xml:space="preserve">Development of a Markov model </w:t>
      </w:r>
      <w:r w:rsidR="00152EFF" w:rsidRPr="00591BFC">
        <w:t xml:space="preserve">to evaluate costs and cost-effectiveness of each model of care (using a measure of clinical effectiveness from work stream </w:t>
      </w:r>
      <w:r w:rsidR="00E20EEF">
        <w:t>3</w:t>
      </w:r>
      <w:r w:rsidR="00152EFF" w:rsidRPr="00591BFC">
        <w:t xml:space="preserve">) </w:t>
      </w:r>
    </w:p>
    <w:p w14:paraId="0CB14BEC" w14:textId="19322BF1" w:rsidR="008A0BC3" w:rsidRPr="008A0BC3" w:rsidRDefault="008A0BC3" w:rsidP="00C43F88">
      <w:pPr>
        <w:numPr>
          <w:ilvl w:val="0"/>
          <w:numId w:val="6"/>
        </w:numPr>
        <w:spacing w:line="360" w:lineRule="auto"/>
        <w:contextualSpacing/>
      </w:pPr>
      <w:r w:rsidRPr="00591BFC">
        <w:t>Use utility scores (from literature search) to provide the weights required to calculate the Quality-adjusted Life Years (QALYs) of the different models of care under evaluation</w:t>
      </w:r>
      <w:hyperlink w:anchor="_ENREF_28" w:tooltip="Torrance, 1986 #63" w:history="1">
        <w:r w:rsidR="00B24FEE">
          <w:fldChar w:fldCharType="begin"/>
        </w:r>
        <w:r w:rsidR="00B24FEE">
          <w:instrText xml:space="preserve"> ADDIN EN.CITE &lt;EndNote&gt;&lt;Cite&gt;&lt;Author&gt;Torrance&lt;/Author&gt;&lt;Year&gt;1986&lt;/Year&gt;&lt;RecNum&gt;63&lt;/RecNum&gt;&lt;DisplayText&gt;&lt;style face="superscript"&gt;28&lt;/style&gt;&lt;/DisplayText&gt;&lt;record&gt;&lt;rec-number&gt;63&lt;/rec-number&gt;&lt;foreign-keys&gt;&lt;key app="EN" db-id="sxpszd2ti9dx04ewefrvfp5bpf5faazszr9p" timestamp="0"&gt;63&lt;/key&gt;&lt;/foreign-keys&gt;&lt;ref-type name="Journal Article"&gt;17&lt;/ref-type&gt;&lt;contributors&gt;&lt;authors&gt;&lt;author&gt;Torrance, George W&lt;/author&gt;&lt;/authors&gt;&lt;/contributors&gt;&lt;titles&gt;&lt;title&gt;Measurement of health state utilities for economic appraisal: A review&lt;/title&gt;&lt;secondary-title&gt;Journal of Health Economics&lt;/secondary-title&gt;&lt;/titles&gt;&lt;pages&gt;1-30&lt;/pages&gt;&lt;volume&gt;5&lt;/volume&gt;&lt;number&gt;1&lt;/number&gt;&lt;dates&gt;&lt;year&gt;1986&lt;/year&gt;&lt;/dates&gt;&lt;isbn&gt;0167-6296&lt;/isbn&gt;&lt;urls&gt;&lt;related-urls&gt;&lt;url&gt;http://www.sciencedirect.com/science/article/pii/0167629686900202&lt;/url&gt;&lt;/related-urls&gt;&lt;/urls&gt;&lt;electronic-resource-num&gt;10.1016/0167-6296(86)90020-2&lt;/electronic-resource-num&gt;&lt;/record&gt;&lt;/Cite&gt;&lt;/EndNote&gt;</w:instrText>
        </w:r>
        <w:r w:rsidR="00B24FEE">
          <w:fldChar w:fldCharType="separate"/>
        </w:r>
        <w:r w:rsidR="00B24FEE" w:rsidRPr="00B24FEE">
          <w:rPr>
            <w:noProof/>
            <w:vertAlign w:val="superscript"/>
          </w:rPr>
          <w:t>28</w:t>
        </w:r>
        <w:r w:rsidR="00B24FEE">
          <w:fldChar w:fldCharType="end"/>
        </w:r>
      </w:hyperlink>
      <w:r w:rsidRPr="00591BFC">
        <w:t>.</w:t>
      </w:r>
    </w:p>
    <w:p w14:paraId="08BA6472" w14:textId="77777777" w:rsidR="00AB5440" w:rsidRPr="00591BFC" w:rsidRDefault="00764089" w:rsidP="00E86771">
      <w:pPr>
        <w:pStyle w:val="Heading2"/>
        <w:spacing w:line="360" w:lineRule="auto"/>
        <w:rPr>
          <w:rFonts w:ascii="Calibri" w:hAnsi="Calibri"/>
          <w:lang w:val="en-GB"/>
        </w:rPr>
      </w:pPr>
      <w:bookmarkStart w:id="43" w:name="_Toc308300702"/>
      <w:bookmarkStart w:id="44" w:name="_Toc311366509"/>
      <w:r w:rsidRPr="00591BFC">
        <w:rPr>
          <w:rFonts w:ascii="Calibri" w:hAnsi="Calibri"/>
          <w:lang w:val="en-GB"/>
        </w:rPr>
        <w:lastRenderedPageBreak/>
        <w:t>Chapter conclusion</w:t>
      </w:r>
      <w:bookmarkEnd w:id="43"/>
      <w:bookmarkEnd w:id="44"/>
    </w:p>
    <w:p w14:paraId="71AC165E" w14:textId="77777777" w:rsidR="00EF1761" w:rsidRPr="00591BFC" w:rsidRDefault="00314D8E" w:rsidP="00E86771">
      <w:pPr>
        <w:spacing w:line="360" w:lineRule="auto"/>
      </w:pPr>
      <w:r w:rsidRPr="00591BFC">
        <w:t>This chapter has provided the relevant background information to introduce the health care need for this area of research. Each of the four work streams are outlined, along with the research methodology involved. These four work streams are described in detail in Chapters 2-</w:t>
      </w:r>
      <w:r w:rsidR="00721553" w:rsidRPr="00591BFC">
        <w:t>8</w:t>
      </w:r>
      <w:r w:rsidRPr="00591BFC">
        <w:t>.</w:t>
      </w:r>
    </w:p>
    <w:p w14:paraId="71E313C0" w14:textId="77777777" w:rsidR="00EF1761" w:rsidRPr="00591BFC" w:rsidRDefault="00EF1761" w:rsidP="00E86771">
      <w:pPr>
        <w:spacing w:line="360" w:lineRule="auto"/>
      </w:pPr>
    </w:p>
    <w:p w14:paraId="2F79937A" w14:textId="77777777" w:rsidR="002A7E4D" w:rsidRPr="00591BFC" w:rsidRDefault="00314D8E" w:rsidP="00E86771">
      <w:pPr>
        <w:pStyle w:val="Heading1"/>
        <w:spacing w:line="360" w:lineRule="auto"/>
        <w:rPr>
          <w:rFonts w:ascii="Calibri" w:hAnsi="Calibri"/>
          <w:lang w:val="en-GB"/>
        </w:rPr>
      </w:pPr>
      <w:r w:rsidRPr="00591BFC">
        <w:rPr>
          <w:rFonts w:ascii="Calibri" w:hAnsi="Calibri"/>
          <w:lang w:val="en-GB"/>
        </w:rPr>
        <w:t xml:space="preserve"> </w:t>
      </w:r>
      <w:r w:rsidR="00AB5440" w:rsidRPr="00591BFC">
        <w:rPr>
          <w:rFonts w:ascii="Calibri" w:hAnsi="Calibri"/>
          <w:sz w:val="36"/>
          <w:szCs w:val="36"/>
          <w:lang w:val="en-GB"/>
        </w:rPr>
        <w:br w:type="page"/>
      </w:r>
      <w:bookmarkStart w:id="45" w:name="_Toc308300703"/>
      <w:bookmarkStart w:id="46" w:name="_Toc311366510"/>
      <w:r w:rsidR="002A7E4D" w:rsidRPr="00591BFC">
        <w:rPr>
          <w:rFonts w:ascii="Calibri" w:hAnsi="Calibri"/>
          <w:lang w:val="en-GB"/>
        </w:rPr>
        <w:lastRenderedPageBreak/>
        <w:t>Chapter 2 Characterisation of secondary fracture prevention services at hospitals across a region of England, and identification of key changes in service delivery over the past 10 years</w:t>
      </w:r>
      <w:bookmarkEnd w:id="45"/>
      <w:bookmarkEnd w:id="46"/>
    </w:p>
    <w:p w14:paraId="661B8A5B" w14:textId="77777777" w:rsidR="002A7E4D" w:rsidRPr="00591BFC" w:rsidRDefault="002A7E4D" w:rsidP="00E86771">
      <w:pPr>
        <w:spacing w:line="360" w:lineRule="auto"/>
        <w:rPr>
          <w:b/>
          <w:sz w:val="36"/>
          <w:szCs w:val="36"/>
        </w:rPr>
      </w:pPr>
    </w:p>
    <w:p w14:paraId="4997B97F" w14:textId="77777777" w:rsidR="002A7E4D" w:rsidRPr="00591BFC" w:rsidRDefault="002A7E4D" w:rsidP="00E86771">
      <w:pPr>
        <w:pStyle w:val="Heading2"/>
        <w:spacing w:line="360" w:lineRule="auto"/>
        <w:rPr>
          <w:rFonts w:ascii="Calibri" w:hAnsi="Calibri"/>
          <w:lang w:val="en-GB"/>
        </w:rPr>
      </w:pPr>
      <w:bookmarkStart w:id="47" w:name="_Toc308300704"/>
      <w:bookmarkStart w:id="48" w:name="_Toc311366511"/>
      <w:r w:rsidRPr="00591BFC">
        <w:rPr>
          <w:rFonts w:ascii="Calibri" w:hAnsi="Calibri"/>
          <w:lang w:val="en-GB"/>
        </w:rPr>
        <w:t>Introduction</w:t>
      </w:r>
      <w:bookmarkEnd w:id="47"/>
      <w:bookmarkEnd w:id="48"/>
      <w:r w:rsidRPr="00591BFC">
        <w:rPr>
          <w:rFonts w:ascii="Calibri" w:hAnsi="Calibri"/>
          <w:lang w:val="en-GB"/>
        </w:rPr>
        <w:t xml:space="preserve">  </w:t>
      </w:r>
    </w:p>
    <w:p w14:paraId="5CB42150" w14:textId="5E2C2E50" w:rsidR="002A7E4D" w:rsidRPr="00591BFC" w:rsidRDefault="002A7E4D" w:rsidP="00E86771">
      <w:pPr>
        <w:spacing w:line="360" w:lineRule="auto"/>
        <w:rPr>
          <w:szCs w:val="24"/>
        </w:rPr>
      </w:pPr>
      <w:r w:rsidRPr="00591BFC">
        <w:rPr>
          <w:szCs w:val="24"/>
        </w:rPr>
        <w:t>In this chapter, we present findings of a service evaluation to look at the organisation of orthogeriatric and FLS available to patients being treated for a hip fracture. This was carried out at eleven acute hospitals in one region of England. We also identify the dates of key changes to service delivery, such as the appointment of fracture liaison nurses and orthogeriatricians. This work package was designed to inform the natural experiment study design described in Chapter</w:t>
      </w:r>
      <w:r w:rsidR="00754E59" w:rsidRPr="00591BFC">
        <w:rPr>
          <w:szCs w:val="24"/>
        </w:rPr>
        <w:t xml:space="preserve"> 5</w:t>
      </w:r>
      <w:r w:rsidRPr="00591BFC">
        <w:rPr>
          <w:szCs w:val="24"/>
        </w:rPr>
        <w:t xml:space="preserve">, in which we look at the effectiveness and cost-effectiveness of the interventions identified here. </w:t>
      </w:r>
    </w:p>
    <w:p w14:paraId="056EF4A6" w14:textId="77777777" w:rsidR="002A7E4D" w:rsidRPr="00591BFC" w:rsidRDefault="002A7E4D" w:rsidP="00E86771">
      <w:pPr>
        <w:spacing w:line="360" w:lineRule="auto"/>
        <w:rPr>
          <w:szCs w:val="24"/>
        </w:rPr>
      </w:pPr>
      <w:r w:rsidRPr="00591BFC">
        <w:rPr>
          <w:szCs w:val="24"/>
        </w:rPr>
        <w:t>We will initially begin by describing the evident variations in the structure of orthogeriatric and FLS across the different hospitals. Exploring the similarities and differences between these services in more detail will help clinicians and commissioners in England to identify gaps in care and provide them with information about which services to develop if necessary, which may help to reduce unwarranted variation.</w:t>
      </w:r>
    </w:p>
    <w:p w14:paraId="0CAC3E14" w14:textId="77777777" w:rsidR="002A7E4D" w:rsidRPr="00591BFC" w:rsidRDefault="002A7E4D" w:rsidP="00E86771">
      <w:pPr>
        <w:spacing w:line="360" w:lineRule="auto"/>
        <w:rPr>
          <w:szCs w:val="24"/>
        </w:rPr>
      </w:pPr>
      <w:r w:rsidRPr="00591BFC">
        <w:rPr>
          <w:szCs w:val="24"/>
        </w:rPr>
        <w:t xml:space="preserve">We will then present the key time points of interest we have identified when interventions occurred, and justify our reasons for these selections. </w:t>
      </w:r>
    </w:p>
    <w:p w14:paraId="46D63A77" w14:textId="77777777" w:rsidR="002A7E4D" w:rsidRPr="00591BFC" w:rsidRDefault="002A7E4D" w:rsidP="00E86771">
      <w:pPr>
        <w:pStyle w:val="Heading3"/>
        <w:spacing w:line="360" w:lineRule="auto"/>
        <w:rPr>
          <w:rFonts w:ascii="Calibri" w:hAnsi="Calibri"/>
          <w:lang w:val="en-GB"/>
        </w:rPr>
      </w:pPr>
      <w:bookmarkStart w:id="49" w:name="_Toc308300705"/>
      <w:bookmarkStart w:id="50" w:name="_Toc311366512"/>
      <w:r w:rsidRPr="00591BFC">
        <w:rPr>
          <w:rFonts w:ascii="Calibri" w:hAnsi="Calibri"/>
          <w:lang w:val="en-GB"/>
        </w:rPr>
        <w:t>Current knowledge of variations in delivery of fracture prevention services</w:t>
      </w:r>
      <w:bookmarkEnd w:id="49"/>
      <w:bookmarkEnd w:id="50"/>
      <w:r w:rsidRPr="00591BFC">
        <w:rPr>
          <w:rFonts w:ascii="Calibri" w:hAnsi="Calibri"/>
          <w:lang w:val="en-GB"/>
        </w:rPr>
        <w:t xml:space="preserve"> </w:t>
      </w:r>
    </w:p>
    <w:p w14:paraId="238DBFB9" w14:textId="3F19B0B4" w:rsidR="002A7E4D" w:rsidRPr="00591BFC" w:rsidRDefault="002A7E4D" w:rsidP="00E86771">
      <w:pPr>
        <w:spacing w:line="360" w:lineRule="auto"/>
        <w:rPr>
          <w:szCs w:val="24"/>
        </w:rPr>
      </w:pPr>
      <w:r w:rsidRPr="00591BFC">
        <w:rPr>
          <w:szCs w:val="24"/>
        </w:rPr>
        <w:t>Studies have shown a major variation in how hospitals organise their services for the treatment of hip fracture patients and management of secondary fracture prevention. The National Hip Fracture Database (NHFD) is a national audit from the Royal College of Physicians that includes information on the number of orthogeriatric sessions and specialist nurses per centre to deliver secondary fracture prevention</w:t>
      </w:r>
      <w:hyperlink w:anchor="_ENREF_17" w:tooltip="Johansen, 2013 #73" w:history="1">
        <w:r w:rsidR="00B24FEE">
          <w:rPr>
            <w:szCs w:val="24"/>
          </w:rPr>
          <w:fldChar w:fldCharType="begin"/>
        </w:r>
        <w:r w:rsidR="00B24FEE">
          <w:rPr>
            <w:szCs w:val="24"/>
          </w:rPr>
          <w:instrText xml:space="preserve"> ADDIN EN.CITE &lt;EndNote&gt;&lt;Cite&gt;&lt;Author&gt;Johansen&lt;/Author&gt;&lt;Year&gt;2013&lt;/Year&gt;&lt;RecNum&gt;73&lt;/RecNum&gt;&lt;DisplayText&gt;&lt;style face="superscript"&gt;17&lt;/style&gt;&lt;/DisplayText&gt;&lt;record&gt;&lt;rec-number&gt;73&lt;/rec-number&gt;&lt;foreign-keys&gt;&lt;key app="EN" db-id="sxpszd2ti9dx04ewefrvfp5bpf5faazszr9p" timestamp="0"&gt;73&lt;/key&gt;&lt;/foreign-keys&gt;&lt;ref-type name="Report"&gt;27&lt;/ref-type&gt;&lt;contributors&gt;&lt;authors&gt;&lt;author&gt;Johansen, A.&lt;/author&gt;&lt;author&gt;Wakeman, R.&lt;/author&gt;&lt;author&gt;Boulton, C.&lt;/author&gt;&lt;author&gt;Plant, F.&lt;/author&gt;&lt;author&gt;Roberts, J.&lt;/author&gt;&lt;author&gt;Williams, A.&lt;/author&gt;&lt;/authors&gt;&lt;/contributors&gt;&lt;titles&gt;&lt;title&gt;National Hip Fracture Database. National report 2013&lt;/title&gt;&lt;/titles&gt;&lt;dates&gt;&lt;year&gt;2013&lt;/year&gt;&lt;/dates&gt;&lt;urls&gt;&lt;/urls&gt;&lt;/record&gt;&lt;/Cite&gt;&lt;/EndNote&gt;</w:instrText>
        </w:r>
        <w:r w:rsidR="00B24FEE">
          <w:rPr>
            <w:szCs w:val="24"/>
          </w:rPr>
          <w:fldChar w:fldCharType="separate"/>
        </w:r>
        <w:r w:rsidR="00B24FEE" w:rsidRPr="00B24FEE">
          <w:rPr>
            <w:noProof/>
            <w:szCs w:val="24"/>
            <w:vertAlign w:val="superscript"/>
          </w:rPr>
          <w:t>17</w:t>
        </w:r>
        <w:r w:rsidR="00B24FEE">
          <w:rPr>
            <w:szCs w:val="24"/>
          </w:rPr>
          <w:fldChar w:fldCharType="end"/>
        </w:r>
      </w:hyperlink>
      <w:r w:rsidRPr="00591BFC">
        <w:rPr>
          <w:szCs w:val="24"/>
        </w:rPr>
        <w:t>. While the number of orthogeriatric hours per week is modestly related to reported hip fracture numbers, there was a wide variation in FLS service delivery. Sixty two percent of hospitals reported that they had no fracture liaison nurse and 27% reported up to one whole time equivalent (WTE) post and 11% more than one WTE in 2013. Further, in those centres with a specialist nurse, there was no relationship between volume of fragility fractures and number of staff (</w:t>
      </w:r>
      <w:r w:rsidRPr="00591BFC">
        <w:rPr>
          <w:szCs w:val="24"/>
        </w:rPr>
        <w:fldChar w:fldCharType="begin"/>
      </w:r>
      <w:r w:rsidRPr="00591BFC">
        <w:rPr>
          <w:szCs w:val="24"/>
        </w:rPr>
        <w:instrText xml:space="preserve"> REF _Ref420047726 \h </w:instrText>
      </w:r>
      <w:r w:rsidR="00E814C1" w:rsidRPr="00591BFC">
        <w:rPr>
          <w:szCs w:val="24"/>
        </w:rPr>
        <w:instrText xml:space="preserve"> \* MERGEFORMAT </w:instrText>
      </w:r>
      <w:r w:rsidRPr="00591BFC">
        <w:rPr>
          <w:szCs w:val="24"/>
        </w:rPr>
      </w:r>
      <w:r w:rsidRPr="00591BFC">
        <w:rPr>
          <w:szCs w:val="24"/>
        </w:rPr>
        <w:fldChar w:fldCharType="separate"/>
      </w:r>
      <w:r w:rsidR="007B18C0" w:rsidRPr="00591BFC">
        <w:t xml:space="preserve">Figure </w:t>
      </w:r>
      <w:r w:rsidR="007B18C0" w:rsidRPr="00591BFC">
        <w:rPr>
          <w:noProof/>
        </w:rPr>
        <w:t>1</w:t>
      </w:r>
      <w:r w:rsidRPr="00591BFC">
        <w:rPr>
          <w:szCs w:val="24"/>
        </w:rPr>
        <w:fldChar w:fldCharType="end"/>
      </w:r>
      <w:r w:rsidRPr="00591BFC">
        <w:rPr>
          <w:szCs w:val="24"/>
        </w:rPr>
        <w:t xml:space="preserve">). </w:t>
      </w:r>
    </w:p>
    <w:p w14:paraId="1000E38B" w14:textId="77777777" w:rsidR="002A7E4D" w:rsidRPr="00591BFC" w:rsidRDefault="002A7E4D" w:rsidP="00E86771">
      <w:pPr>
        <w:spacing w:line="360" w:lineRule="auto"/>
        <w:rPr>
          <w:szCs w:val="24"/>
        </w:rPr>
      </w:pPr>
      <w:r w:rsidRPr="00591BFC">
        <w:rPr>
          <w:szCs w:val="24"/>
        </w:rPr>
        <w:lastRenderedPageBreak/>
        <w:t>These variations in services using even crude metrics such as staff resource are too great to be explained by local case-mix and volume of hip fracture patients across hospitals. Establishing the differences between service models and levels of care in more details will allow clinicians and commissioners to identify existing gaps in care, and could help reduce unwarranted variation across hospitals.</w:t>
      </w:r>
    </w:p>
    <w:p w14:paraId="0D25FBFA" w14:textId="77777777" w:rsidR="002A7E4D" w:rsidRPr="00591BFC" w:rsidRDefault="002A7E4D" w:rsidP="00E86771">
      <w:pPr>
        <w:spacing w:line="360" w:lineRule="auto"/>
        <w:rPr>
          <w:szCs w:val="24"/>
        </w:rPr>
      </w:pPr>
    </w:p>
    <w:p w14:paraId="13AE07C1" w14:textId="77777777" w:rsidR="002A7E4D" w:rsidRPr="00591BFC" w:rsidRDefault="002149AD" w:rsidP="00E86771">
      <w:pPr>
        <w:spacing w:line="360" w:lineRule="auto"/>
        <w:rPr>
          <w:szCs w:val="24"/>
        </w:rPr>
      </w:pPr>
      <w:r>
        <w:rPr>
          <w:noProof/>
          <w:lang w:eastAsia="en-GB"/>
        </w:rPr>
        <w:pict w14:anchorId="594CC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24pt;height:210.95pt;visibility:visible">
            <v:imagedata r:id="rId12" o:title=""/>
          </v:shape>
        </w:pict>
      </w:r>
    </w:p>
    <w:p w14:paraId="166C365B" w14:textId="77777777" w:rsidR="002A7E4D" w:rsidRPr="00591BFC" w:rsidRDefault="002A7E4D" w:rsidP="00E86771">
      <w:pPr>
        <w:pStyle w:val="Caption"/>
        <w:spacing w:line="360" w:lineRule="auto"/>
        <w:rPr>
          <w:szCs w:val="24"/>
        </w:rPr>
      </w:pPr>
      <w:bookmarkStart w:id="51" w:name="_Ref420047726"/>
      <w:bookmarkStart w:id="52" w:name="_Toc424650314"/>
      <w:bookmarkStart w:id="53" w:name="_Toc311366703"/>
      <w:r w:rsidRPr="00591BFC">
        <w:t xml:space="preserve">Figure </w:t>
      </w:r>
      <w:r w:rsidR="002149AD">
        <w:fldChar w:fldCharType="begin"/>
      </w:r>
      <w:r w:rsidR="002149AD">
        <w:instrText xml:space="preserve"> SEQ Figure \* ARABIC </w:instrText>
      </w:r>
      <w:r w:rsidR="002149AD">
        <w:fldChar w:fldCharType="separate"/>
      </w:r>
      <w:r w:rsidR="003B2986">
        <w:rPr>
          <w:noProof/>
        </w:rPr>
        <w:t>1</w:t>
      </w:r>
      <w:r w:rsidR="002149AD">
        <w:rPr>
          <w:noProof/>
        </w:rPr>
        <w:fldChar w:fldCharType="end"/>
      </w:r>
      <w:bookmarkEnd w:id="51"/>
      <w:r w:rsidRPr="00591BFC">
        <w:t xml:space="preserve"> </w:t>
      </w:r>
      <w:r w:rsidRPr="00591BFC">
        <w:rPr>
          <w:szCs w:val="24"/>
        </w:rPr>
        <w:t xml:space="preserve">The relationship between reported number of WTE specialist nurses for secondary fracture prevention and estimated number of fragility fracture patients seen in that hospital per year.  Each data point represents a hospital that returned greater </w:t>
      </w:r>
      <w:r w:rsidR="002B180B">
        <w:rPr>
          <w:szCs w:val="24"/>
        </w:rPr>
        <w:t xml:space="preserve">than 0 WTE of specialist nurse </w:t>
      </w:r>
      <w:r w:rsidRPr="00591BFC">
        <w:rPr>
          <w:szCs w:val="24"/>
        </w:rPr>
        <w:t>in the NHFD 2014 report. The number of fragility fractures p</w:t>
      </w:r>
      <w:r w:rsidR="002B180B">
        <w:rPr>
          <w:szCs w:val="24"/>
        </w:rPr>
        <w:t>er hospital was estimated using</w:t>
      </w:r>
      <w:r w:rsidRPr="00591BFC">
        <w:rPr>
          <w:szCs w:val="24"/>
        </w:rPr>
        <w:t xml:space="preserve"> five times the number of proximal femoral fractures. The line shows a lowess plot with a bandwidth of 0.9.</w:t>
      </w:r>
      <w:bookmarkEnd w:id="52"/>
      <w:bookmarkEnd w:id="53"/>
      <w:r w:rsidRPr="00591BFC">
        <w:rPr>
          <w:szCs w:val="24"/>
        </w:rPr>
        <w:t xml:space="preserve"> </w:t>
      </w:r>
    </w:p>
    <w:p w14:paraId="506E0039" w14:textId="77777777" w:rsidR="002A7E4D" w:rsidRPr="00591BFC" w:rsidRDefault="002A7E4D" w:rsidP="00E86771">
      <w:pPr>
        <w:pStyle w:val="Heading3"/>
        <w:spacing w:line="360" w:lineRule="auto"/>
        <w:rPr>
          <w:rFonts w:ascii="Calibri" w:hAnsi="Calibri"/>
          <w:lang w:val="en-GB"/>
        </w:rPr>
      </w:pPr>
      <w:bookmarkStart w:id="54" w:name="_Toc308300706"/>
      <w:bookmarkStart w:id="55" w:name="_Toc311366513"/>
      <w:r w:rsidRPr="00591BFC">
        <w:rPr>
          <w:rFonts w:ascii="Calibri" w:hAnsi="Calibri"/>
          <w:lang w:val="en-GB"/>
        </w:rPr>
        <w:t>Current guidelines</w:t>
      </w:r>
      <w:bookmarkEnd w:id="54"/>
      <w:bookmarkEnd w:id="55"/>
    </w:p>
    <w:p w14:paraId="270B6945" w14:textId="269BCD4A" w:rsidR="002A7E4D" w:rsidRPr="00591BFC" w:rsidRDefault="002A7E4D" w:rsidP="00E86771">
      <w:pPr>
        <w:spacing w:line="360" w:lineRule="auto"/>
        <w:rPr>
          <w:szCs w:val="24"/>
        </w:rPr>
      </w:pPr>
      <w:r w:rsidRPr="00591BFC">
        <w:rPr>
          <w:szCs w:val="24"/>
        </w:rPr>
        <w:t>A number of professional bodies have provided national guidance for the care of hip fracture patients reflecting two key aspects. Firstly, optimi</w:t>
      </w:r>
      <w:r w:rsidR="001F0197">
        <w:rPr>
          <w:szCs w:val="24"/>
        </w:rPr>
        <w:t>s</w:t>
      </w:r>
      <w:r w:rsidRPr="00591BFC">
        <w:rPr>
          <w:szCs w:val="24"/>
        </w:rPr>
        <w:t xml:space="preserve">ing initial recovery after hip fracture and focuses around the provision of patient centred care </w:t>
      </w:r>
      <w:hyperlink w:anchor="_ENREF_29" w:tooltip="NICE, June 2011 #1099" w:history="1">
        <w:r w:rsidR="00B24FEE">
          <w:rPr>
            <w:szCs w:val="24"/>
          </w:rPr>
          <w:fldChar w:fldCharType="begin"/>
        </w:r>
        <w:r w:rsidR="00B24FEE">
          <w:rPr>
            <w:szCs w:val="24"/>
          </w:rPr>
          <w:instrText xml:space="preserve"> ADDIN EN.CITE &lt;EndNote&gt;&lt;Cite&gt;&lt;Author&gt;NICE&lt;/Author&gt;&lt;Year&gt;June 2011&lt;/Year&gt;&lt;RecNum&gt;1099&lt;/RecNum&gt;&lt;DisplayText&gt;&lt;style face="superscript"&gt;29&lt;/style&gt;&lt;/DisplayText&gt;&lt;record&gt;&lt;rec-number&gt;1099&lt;/rec-number&gt;&lt;foreign-keys&gt;&lt;key app="EN" db-id="sxpszd2ti9dx04ewefrvfp5bpf5faazszr9p" timestamp="0"&gt;1099&lt;/key&gt;&lt;/foreign-keys&gt;&lt;ref-type name="Report"&gt;27&lt;/ref-type&gt;&lt;contributors&gt;&lt;authors&gt;&lt;author&gt;NICE &lt;/author&gt;&lt;/authors&gt;&lt;/contributors&gt;&lt;titles&gt;&lt;title&gt;Clinical guidelines 124: The management of hip fracture in adults&lt;/title&gt;&lt;/titles&gt;&lt;dates&gt;&lt;year&gt;June 2011&lt;/year&gt;&lt;/dates&gt;&lt;urls&gt;&lt;/urls&gt;&lt;/record&gt;&lt;/Cite&gt;&lt;Cite&gt;&lt;Author&gt;NICE&lt;/Author&gt;&lt;Year&gt;June 2011&lt;/Year&gt;&lt;RecNum&gt;1099&lt;/RecNum&gt;&lt;record&gt;&lt;rec-number&gt;1099&lt;/rec-number&gt;&lt;foreign-keys&gt;&lt;key app="EN" db-id="sxpszd2ti9dx04ewefrvfp5bpf5faazszr9p" timestamp="0"&gt;1099&lt;/key&gt;&lt;/foreign-keys&gt;&lt;ref-type name="Report"&gt;27&lt;/ref-type&gt;&lt;contributors&gt;&lt;authors&gt;&lt;author&gt;NICE &lt;/author&gt;&lt;/authors&gt;&lt;/contributors&gt;&lt;titles&gt;&lt;title&gt;Clinical guidelines 124: The management of hip fracture in adults&lt;/title&gt;&lt;/titles&gt;&lt;dates&gt;&lt;year&gt;June 2011&lt;/year&gt;&lt;/dates&gt;&lt;urls&gt;&lt;/urls&gt;&lt;/record&gt;&lt;/Cite&gt;&lt;/EndNote&gt;</w:instrText>
        </w:r>
        <w:r w:rsidR="00B24FEE">
          <w:rPr>
            <w:szCs w:val="24"/>
          </w:rPr>
          <w:fldChar w:fldCharType="separate"/>
        </w:r>
        <w:r w:rsidR="00B24FEE" w:rsidRPr="00B24FEE">
          <w:rPr>
            <w:noProof/>
            <w:szCs w:val="24"/>
            <w:vertAlign w:val="superscript"/>
          </w:rPr>
          <w:t>29</w:t>
        </w:r>
        <w:r w:rsidR="00B24FEE">
          <w:rPr>
            <w:szCs w:val="24"/>
          </w:rPr>
          <w:fldChar w:fldCharType="end"/>
        </w:r>
      </w:hyperlink>
      <w:r w:rsidRPr="00591BFC">
        <w:rPr>
          <w:szCs w:val="24"/>
        </w:rPr>
        <w:t xml:space="preserve"> within three broad categories: </w:t>
      </w:r>
    </w:p>
    <w:p w14:paraId="7BD23861" w14:textId="77777777" w:rsidR="002A7E4D" w:rsidRPr="00591BFC" w:rsidRDefault="002A7E4D" w:rsidP="00E86771">
      <w:pPr>
        <w:numPr>
          <w:ilvl w:val="0"/>
          <w:numId w:val="9"/>
        </w:numPr>
        <w:spacing w:line="360" w:lineRule="auto"/>
        <w:rPr>
          <w:szCs w:val="24"/>
        </w:rPr>
      </w:pPr>
      <w:r w:rsidRPr="00591BFC">
        <w:rPr>
          <w:szCs w:val="24"/>
        </w:rPr>
        <w:t>Optimi</w:t>
      </w:r>
      <w:r w:rsidR="006B62F7" w:rsidRPr="00591BFC">
        <w:rPr>
          <w:szCs w:val="24"/>
        </w:rPr>
        <w:t>s</w:t>
      </w:r>
      <w:r w:rsidRPr="00591BFC">
        <w:rPr>
          <w:szCs w:val="24"/>
        </w:rPr>
        <w:t>ing surgical procedure – including early timing of surgery, pre-operative appropriate correction of co-morbidities and type of implant</w:t>
      </w:r>
    </w:p>
    <w:p w14:paraId="4AC9E9E8" w14:textId="77777777" w:rsidR="002A7E4D" w:rsidRPr="00591BFC" w:rsidRDefault="002A7E4D" w:rsidP="00E86771">
      <w:pPr>
        <w:numPr>
          <w:ilvl w:val="0"/>
          <w:numId w:val="9"/>
        </w:numPr>
        <w:spacing w:line="360" w:lineRule="auto"/>
        <w:rPr>
          <w:szCs w:val="24"/>
        </w:rPr>
      </w:pPr>
      <w:r w:rsidRPr="00591BFC">
        <w:rPr>
          <w:szCs w:val="24"/>
        </w:rPr>
        <w:t>Early mobili</w:t>
      </w:r>
      <w:r w:rsidR="006B62F7" w:rsidRPr="00591BFC">
        <w:rPr>
          <w:szCs w:val="24"/>
        </w:rPr>
        <w:t>s</w:t>
      </w:r>
      <w:r w:rsidRPr="00591BFC">
        <w:rPr>
          <w:szCs w:val="24"/>
        </w:rPr>
        <w:t>ation</w:t>
      </w:r>
    </w:p>
    <w:p w14:paraId="3F1F4F1C" w14:textId="77777777" w:rsidR="002A7E4D" w:rsidRPr="00591BFC" w:rsidRDefault="002A7E4D" w:rsidP="00E86771">
      <w:pPr>
        <w:numPr>
          <w:ilvl w:val="0"/>
          <w:numId w:val="9"/>
        </w:numPr>
        <w:spacing w:line="360" w:lineRule="auto"/>
        <w:rPr>
          <w:szCs w:val="24"/>
        </w:rPr>
      </w:pPr>
      <w:r w:rsidRPr="00591BFC">
        <w:rPr>
          <w:szCs w:val="24"/>
        </w:rPr>
        <w:t xml:space="preserve">Multidisciplinary management from admission to discharge. </w:t>
      </w:r>
    </w:p>
    <w:p w14:paraId="2F2AB93E" w14:textId="5164D142" w:rsidR="002A7E4D" w:rsidRPr="00591BFC" w:rsidRDefault="002A7E4D" w:rsidP="00E86771">
      <w:pPr>
        <w:spacing w:line="360" w:lineRule="auto"/>
        <w:rPr>
          <w:szCs w:val="24"/>
        </w:rPr>
      </w:pPr>
      <w:r w:rsidRPr="00591BFC">
        <w:rPr>
          <w:szCs w:val="24"/>
        </w:rPr>
        <w:t>The second type of guideline relates to secondary fracture prevention and there are many more guidelines available</w:t>
      </w:r>
      <w:r w:rsidR="00825F3D" w:rsidRPr="00591BFC">
        <w:rPr>
          <w:szCs w:val="24"/>
        </w:rPr>
        <w:t xml:space="preserve"> including guidance from Canada</w:t>
      </w:r>
      <w:r w:rsidR="00B24FEE">
        <w:rPr>
          <w:szCs w:val="24"/>
        </w:rPr>
        <w:fldChar w:fldCharType="begin">
          <w:fldData xml:space="preserve">PEVuZE5vdGU+PENpdGU+PEF1dGhvcj5DaGV1bmc8L0F1dGhvcj48WWVhcj4yMDA0PC9ZZWFyPjxS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</w:fldData>
        </w:fldChar>
      </w:r>
      <w:r w:rsidR="00B24FEE">
        <w:rPr>
          <w:szCs w:val="24"/>
        </w:rPr>
        <w:instrText xml:space="preserve"> ADDIN EN.CITE </w:instrText>
      </w:r>
      <w:r w:rsidR="00B24FEE">
        <w:rPr>
          <w:szCs w:val="24"/>
        </w:rPr>
        <w:fldChar w:fldCharType="begin">
          <w:fldData xml:space="preserve">PEVuZE5vdGU+PENpdGU+PEF1dGhvcj5DaGV1bmc8L0F1dGhvcj48WWVhcj4yMDA0PC9ZZWFyPjxS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</w:fldData>
        </w:fldChar>
      </w:r>
      <w:r w:rsidR="00B24FEE">
        <w:rPr>
          <w:szCs w:val="24"/>
        </w:rPr>
        <w:instrText xml:space="preserve"> ADDIN EN.CITE.DATA </w:instrText>
      </w:r>
      <w:r w:rsidR="00B24FEE">
        <w:rPr>
          <w:szCs w:val="24"/>
        </w:rPr>
      </w:r>
      <w:r w:rsidR="00B24FEE">
        <w:rPr>
          <w:szCs w:val="24"/>
        </w:rPr>
        <w:fldChar w:fldCharType="end"/>
      </w:r>
      <w:r w:rsidR="00B24FEE">
        <w:rPr>
          <w:szCs w:val="24"/>
        </w:rPr>
      </w:r>
      <w:r w:rsidR="00B24FEE">
        <w:rPr>
          <w:szCs w:val="24"/>
        </w:rPr>
        <w:fldChar w:fldCharType="separate"/>
      </w:r>
      <w:hyperlink w:anchor="_ENREF_22" w:tooltip="Papaioannou, 2010 #1100" w:history="1">
        <w:r w:rsidR="00B24FEE" w:rsidRPr="00B24FEE">
          <w:rPr>
            <w:noProof/>
            <w:szCs w:val="24"/>
            <w:vertAlign w:val="superscript"/>
          </w:rPr>
          <w:t>22</w:t>
        </w:r>
      </w:hyperlink>
      <w:r w:rsidR="00B24FEE" w:rsidRPr="00B24FEE">
        <w:rPr>
          <w:noProof/>
          <w:szCs w:val="24"/>
          <w:vertAlign w:val="superscript"/>
        </w:rPr>
        <w:t xml:space="preserve"> </w:t>
      </w:r>
      <w:hyperlink w:anchor="_ENREF_30" w:tooltip="Cheung, 2004 #1101" w:history="1">
        <w:r w:rsidR="00B24FEE" w:rsidRPr="00B24FEE">
          <w:rPr>
            <w:noProof/>
            <w:szCs w:val="24"/>
            <w:vertAlign w:val="superscript"/>
          </w:rPr>
          <w:t>30</w:t>
        </w:r>
      </w:hyperlink>
      <w:r w:rsidR="00B24FEE" w:rsidRPr="00B24FEE">
        <w:rPr>
          <w:noProof/>
          <w:szCs w:val="24"/>
          <w:vertAlign w:val="superscript"/>
        </w:rPr>
        <w:t xml:space="preserve"> </w:t>
      </w:r>
      <w:hyperlink w:anchor="_ENREF_31" w:tooltip="Lentle, 2011 #619" w:history="1">
        <w:r w:rsidR="00B24FEE" w:rsidRPr="00B24FEE">
          <w:rPr>
            <w:noProof/>
            <w:szCs w:val="24"/>
            <w:vertAlign w:val="superscript"/>
          </w:rPr>
          <w:t>31</w:t>
        </w:r>
      </w:hyperlink>
      <w:r w:rsidR="00B24FEE">
        <w:rPr>
          <w:szCs w:val="24"/>
        </w:rPr>
        <w:fldChar w:fldCharType="end"/>
      </w:r>
      <w:r w:rsidR="00825F3D" w:rsidRPr="00591BFC">
        <w:rPr>
          <w:szCs w:val="24"/>
        </w:rPr>
        <w:t xml:space="preserve"> </w:t>
      </w:r>
      <w:r w:rsidRPr="00591BFC">
        <w:rPr>
          <w:szCs w:val="24"/>
        </w:rPr>
        <w:t>America</w:t>
      </w:r>
      <w:hyperlink w:anchor="_ENREF_32" w:tooltip="Eisman, 2012 #1083" w:history="1">
        <w:r w:rsidR="00B24FEE">
          <w:rPr>
            <w:szCs w:val="24"/>
          </w:rPr>
          <w:fldChar w:fldCharType="begin"/>
        </w:r>
        <w:r w:rsidR="00B24FEE">
          <w:rPr>
            <w:szCs w:val="24"/>
          </w:rPr>
          <w:instrText xml:space="preserve"> ADDIN EN.CITE &lt;EndNote&gt;&lt;Cite&gt;&lt;Author&gt;Eisman&lt;/Author&gt;&lt;Year&gt;2012&lt;/Year&gt;&lt;RecNum&gt;1083&lt;/RecNum&gt;&lt;DisplayText&gt;&lt;style face="superscript"&gt;32&lt;/style&gt;&lt;/DisplayText&gt;&lt;record&gt;&lt;rec-number&gt;1083&lt;/rec-number&gt;&lt;foreign-keys&gt;&lt;key app="EN" db-id="sxpszd2ti9dx04ewefrvfp5bpf5faazszr9p" timestamp="0"&gt;1083&lt;/key&gt;&lt;/foreign-keys&gt;&lt;ref-type name="Journal Article"&gt;17&lt;/ref-type&gt;&lt;contributors&gt;&lt;authors&gt;&lt;author&gt;Eisman, J. A. et al.&lt;/author&gt;&lt;/authors&gt;&lt;/contributors&gt;&lt;titles&gt;&lt;title&gt;Supporting Appendix A: Making the first fracture the last fracture: ASBMR task force report on secondary fracture prevention&lt;/title&gt;&lt;secondary-title&gt;Journal of Bone and Mineral Research&lt;/secondary-title&gt;&lt;/titles&gt;&lt;pages&gt;2039 - 2046&lt;/pages&gt;&lt;volume&gt;27&lt;/volume&gt;&lt;number&gt;10&lt;/number&gt;&lt;dates&gt;&lt;year&gt;2012&lt;/year&gt;&lt;/dates&gt;&lt;urls&gt;&lt;/urls&gt;&lt;/record&gt;&lt;/Cite&gt;&lt;/EndNote&gt;</w:instrText>
        </w:r>
        <w:r w:rsidR="00B24FEE">
          <w:rPr>
            <w:szCs w:val="24"/>
          </w:rPr>
          <w:fldChar w:fldCharType="separate"/>
        </w:r>
        <w:r w:rsidR="00B24FEE" w:rsidRPr="00B24FEE">
          <w:rPr>
            <w:noProof/>
            <w:szCs w:val="24"/>
            <w:vertAlign w:val="superscript"/>
          </w:rPr>
          <w:t>32</w:t>
        </w:r>
        <w:r w:rsidR="00B24FEE">
          <w:rPr>
            <w:szCs w:val="24"/>
          </w:rPr>
          <w:fldChar w:fldCharType="end"/>
        </w:r>
      </w:hyperlink>
      <w:r w:rsidRPr="00591BFC">
        <w:rPr>
          <w:szCs w:val="24"/>
        </w:rPr>
        <w:t xml:space="preserve"> and the UK </w:t>
      </w:r>
      <w:r w:rsidR="00B24FEE">
        <w:rPr>
          <w:szCs w:val="24"/>
        </w:rPr>
        <w:fldChar w:fldCharType="begin">
          <w:fldData xml:space="preserve">PEVuZE5vdGU+PENpdGU+PEF1dGhvcj5TY290dGlzaCBJbnRlcmNvbGxlZ2lhdGUgR3VpZGVsaW5l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</w:fldData>
        </w:fldChar>
      </w:r>
      <w:r w:rsidR="00B24FEE">
        <w:rPr>
          <w:szCs w:val="24"/>
        </w:rPr>
        <w:instrText xml:space="preserve"> ADDIN EN.CITE </w:instrText>
      </w:r>
      <w:r w:rsidR="00B24FEE">
        <w:rPr>
          <w:szCs w:val="24"/>
        </w:rPr>
        <w:fldChar w:fldCharType="begin">
          <w:fldData xml:space="preserve">PEVuZE5vdGU+PENpdGU+PEF1dGhvcj5TY290dGlzaCBJbnRlcmNvbGxlZ2lhdGUgR3VpZGVsaW5l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</w:fldData>
        </w:fldChar>
      </w:r>
      <w:r w:rsidR="00B24FEE">
        <w:rPr>
          <w:szCs w:val="24"/>
        </w:rPr>
        <w:instrText xml:space="preserve"> ADDIN EN.CITE.DATA </w:instrText>
      </w:r>
      <w:r w:rsidR="00B24FEE">
        <w:rPr>
          <w:szCs w:val="24"/>
        </w:rPr>
      </w:r>
      <w:r w:rsidR="00B24FEE">
        <w:rPr>
          <w:szCs w:val="24"/>
        </w:rPr>
        <w:fldChar w:fldCharType="end"/>
      </w:r>
      <w:r w:rsidR="00B24FEE">
        <w:rPr>
          <w:szCs w:val="24"/>
        </w:rPr>
      </w:r>
      <w:r w:rsidR="00B24FEE">
        <w:rPr>
          <w:szCs w:val="24"/>
        </w:rPr>
        <w:fldChar w:fldCharType="separate"/>
      </w:r>
      <w:hyperlink w:anchor="_ENREF_1" w:tooltip="British Orthopaedic Association, 2007 #25" w:history="1">
        <w:r w:rsidR="00B24FEE" w:rsidRPr="00B24FEE">
          <w:rPr>
            <w:noProof/>
            <w:szCs w:val="24"/>
            <w:vertAlign w:val="superscript"/>
          </w:rPr>
          <w:t>1</w:t>
        </w:r>
      </w:hyperlink>
      <w:r w:rsidR="00B24FEE" w:rsidRPr="00B24FEE">
        <w:rPr>
          <w:noProof/>
          <w:szCs w:val="24"/>
          <w:vertAlign w:val="superscript"/>
        </w:rPr>
        <w:t xml:space="preserve"> </w:t>
      </w:r>
      <w:hyperlink w:anchor="_ENREF_14" w:tooltip="Scottish Intercollegiate Guidelines Network, 2009 #26" w:history="1">
        <w:r w:rsidR="00B24FEE" w:rsidRPr="00B24FEE">
          <w:rPr>
            <w:noProof/>
            <w:szCs w:val="24"/>
            <w:vertAlign w:val="superscript"/>
          </w:rPr>
          <w:t>14</w:t>
        </w:r>
      </w:hyperlink>
      <w:r w:rsidR="00B24FEE" w:rsidRPr="00B24FEE">
        <w:rPr>
          <w:noProof/>
          <w:szCs w:val="24"/>
          <w:vertAlign w:val="superscript"/>
        </w:rPr>
        <w:t xml:space="preserve"> </w:t>
      </w:r>
      <w:hyperlink w:anchor="_ENREF_15" w:tooltip="NICE, 2004 #30" w:history="1">
        <w:r w:rsidR="00B24FEE" w:rsidRPr="00B24FEE">
          <w:rPr>
            <w:noProof/>
            <w:szCs w:val="24"/>
            <w:vertAlign w:val="superscript"/>
          </w:rPr>
          <w:t>15</w:t>
        </w:r>
      </w:hyperlink>
      <w:r w:rsidR="00B24FEE" w:rsidRPr="00B24FEE">
        <w:rPr>
          <w:noProof/>
          <w:szCs w:val="24"/>
          <w:vertAlign w:val="superscript"/>
        </w:rPr>
        <w:t xml:space="preserve"> </w:t>
      </w:r>
      <w:hyperlink w:anchor="_ENREF_33" w:tooltip="NICE, 2005 #51" w:history="1">
        <w:r w:rsidR="00B24FEE" w:rsidRPr="00B24FEE">
          <w:rPr>
            <w:noProof/>
            <w:szCs w:val="24"/>
            <w:vertAlign w:val="superscript"/>
          </w:rPr>
          <w:t>33</w:t>
        </w:r>
      </w:hyperlink>
      <w:r w:rsidR="00B24FEE">
        <w:rPr>
          <w:szCs w:val="24"/>
        </w:rPr>
        <w:fldChar w:fldCharType="end"/>
      </w:r>
      <w:r w:rsidRPr="00591BFC">
        <w:rPr>
          <w:szCs w:val="24"/>
        </w:rPr>
        <w:t xml:space="preserve">. The ‘Capture </w:t>
      </w:r>
      <w:r w:rsidRPr="00591BFC">
        <w:rPr>
          <w:szCs w:val="24"/>
        </w:rPr>
        <w:lastRenderedPageBreak/>
        <w:t xml:space="preserve">the Fracture’ initiative from the International Osteoporosis Foundation (IOF) provides additional international guidance </w:t>
      </w:r>
      <w:hyperlink w:anchor="_ENREF_34" w:tooltip="Akesson, 2013 #92" w:history="1">
        <w:r w:rsidR="00B24FEE">
          <w:rPr>
            <w:szCs w:val="24"/>
          </w:rPr>
          <w:fldChar w:fldCharType="begin"/>
        </w:r>
        <w:r w:rsidR="00B24FEE">
          <w:rPr>
            <w:szCs w:val="24"/>
          </w:rPr>
          <w:instrText xml:space="preserve"> ADDIN EN.CITE &lt;EndNote&gt;&lt;Cite&gt;&lt;Author&gt;Akesson&lt;/Author&gt;&lt;Year&gt;2013&lt;/Year&gt;&lt;RecNum&gt;92&lt;/RecNum&gt;&lt;DisplayText&gt;&lt;style face="superscript"&gt;34&lt;/style&gt;&lt;/DisplayText&gt;&lt;record&gt;&lt;rec-number&gt;92&lt;/rec-number&gt;&lt;foreign-keys&gt;&lt;key app="EN" db-id="sxpszd2ti9dx04ewefrvfp5bpf5faazszr9p" timestamp="0"&gt;92&lt;/key&gt;&lt;/foreign-keys&gt;&lt;ref-type name="Journal Article"&gt;17&lt;/ref-type&gt;&lt;contributors&gt;&lt;authors&gt;&lt;author&gt;Akesson, K.&lt;/author&gt;&lt;author&gt;Marsh, D.&lt;/author&gt;&lt;author&gt;Mitchell, P. J.&lt;/author&gt;&lt;author&gt;McLellan, A. R.&lt;/author&gt;&lt;author&gt;Stenmark, J.&lt;/author&gt;&lt;author&gt;Pierroz, D. D.&lt;/author&gt;&lt;author&gt;Kyer, C.&lt;/author&gt;&lt;author&gt;Cooper, C.&lt;/author&gt;&lt;/authors&gt;&lt;/contributors&gt;&lt;auth-address&gt;Department of Orthopaedics Malmo, Skane University Hospital, Malmo, Sweden.&lt;/auth-address&gt;&lt;titles&gt;&lt;title&gt;Capture the Fracture: a Best Practice Framework and global campaign to break the fragility fracture cycle&lt;/title&gt;&lt;secondary-title&gt;Osteoporos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2135-52&lt;/pages&gt;&lt;volume&gt;24&lt;/volume&gt;&lt;number&gt;8&lt;/number&gt;&lt;edition&gt;2013/04/17&lt;/edition&gt;&lt;dates&gt;&lt;year&gt;2013&lt;/year&gt;&lt;pub-dates&gt;&lt;date&gt;Aug&lt;/date&gt;&lt;/pub-dates&gt;&lt;/dates&gt;&lt;isbn&gt;0937-941x&lt;/isbn&gt;&lt;accession-num&gt;23589162&lt;/accession-num&gt;&lt;urls&gt;&lt;/urls&gt;&lt;custom2&gt;Pmc3706734&lt;/custom2&gt;&lt;electronic-resource-num&gt;10.1007/s00198-013-2348-z&lt;/electronic-resource-num&gt;&lt;remote-database-provider&gt;Nlm&lt;/remote-database-provider&gt;&lt;language&gt;eng&lt;/language&gt;&lt;/record&gt;&lt;/Cite&gt;&lt;/EndNote&gt;</w:instrText>
        </w:r>
        <w:r w:rsidR="00B24FEE">
          <w:rPr>
            <w:szCs w:val="24"/>
          </w:rPr>
          <w:fldChar w:fldCharType="separate"/>
        </w:r>
        <w:r w:rsidR="00B24FEE" w:rsidRPr="00B24FEE">
          <w:rPr>
            <w:noProof/>
            <w:szCs w:val="24"/>
            <w:vertAlign w:val="superscript"/>
          </w:rPr>
          <w:t>34</w:t>
        </w:r>
        <w:r w:rsidR="00B24FEE">
          <w:rPr>
            <w:szCs w:val="24"/>
          </w:rPr>
          <w:fldChar w:fldCharType="end"/>
        </w:r>
      </w:hyperlink>
      <w:r w:rsidRPr="00591BFC">
        <w:rPr>
          <w:szCs w:val="24"/>
        </w:rPr>
        <w:t xml:space="preserve">. Guidelines describe a comprehensive fracture prevention service consisting of four main components: </w:t>
      </w:r>
    </w:p>
    <w:p w14:paraId="151151B9" w14:textId="77777777" w:rsidR="002A7E4D" w:rsidRPr="00591BFC" w:rsidRDefault="002A7E4D" w:rsidP="00E86771">
      <w:pPr>
        <w:numPr>
          <w:ilvl w:val="0"/>
          <w:numId w:val="2"/>
        </w:numPr>
        <w:spacing w:line="360" w:lineRule="auto"/>
        <w:contextualSpacing/>
        <w:rPr>
          <w:szCs w:val="24"/>
        </w:rPr>
      </w:pPr>
      <w:r w:rsidRPr="00591BFC">
        <w:rPr>
          <w:szCs w:val="24"/>
        </w:rPr>
        <w:t>Case finding those at risk of further fractures</w:t>
      </w:r>
    </w:p>
    <w:p w14:paraId="5478E3A6" w14:textId="77777777" w:rsidR="002A7E4D" w:rsidRPr="00591BFC" w:rsidRDefault="002A7E4D" w:rsidP="00E86771">
      <w:pPr>
        <w:numPr>
          <w:ilvl w:val="0"/>
          <w:numId w:val="2"/>
        </w:numPr>
        <w:spacing w:line="360" w:lineRule="auto"/>
        <w:contextualSpacing/>
        <w:rPr>
          <w:szCs w:val="24"/>
        </w:rPr>
      </w:pPr>
      <w:r w:rsidRPr="00591BFC">
        <w:rPr>
          <w:szCs w:val="24"/>
        </w:rPr>
        <w:t>Undertaking an evidence-based osteoporosis assessment, including a dual energy X-ray absorptiometry (DXA) scan to measure bone density if appropriate</w:t>
      </w:r>
    </w:p>
    <w:p w14:paraId="3CC22F0C" w14:textId="77777777" w:rsidR="002A7E4D" w:rsidRPr="00591BFC" w:rsidRDefault="002A7E4D" w:rsidP="00E86771">
      <w:pPr>
        <w:numPr>
          <w:ilvl w:val="0"/>
          <w:numId w:val="2"/>
        </w:numPr>
        <w:spacing w:line="360" w:lineRule="auto"/>
        <w:contextualSpacing/>
        <w:rPr>
          <w:szCs w:val="24"/>
        </w:rPr>
      </w:pPr>
      <w:r w:rsidRPr="00591BFC">
        <w:rPr>
          <w:szCs w:val="24"/>
        </w:rPr>
        <w:t>Treatment initiation in accordance with guidelines for both bone health and falls risk reduction</w:t>
      </w:r>
    </w:p>
    <w:p w14:paraId="0093ADBD" w14:textId="77777777" w:rsidR="002A7E4D" w:rsidRPr="00591BFC" w:rsidRDefault="002A7E4D" w:rsidP="00E86771">
      <w:pPr>
        <w:numPr>
          <w:ilvl w:val="0"/>
          <w:numId w:val="2"/>
        </w:numPr>
        <w:spacing w:line="360" w:lineRule="auto"/>
        <w:contextualSpacing/>
        <w:rPr>
          <w:szCs w:val="24"/>
        </w:rPr>
      </w:pPr>
      <w:r w:rsidRPr="00591BFC">
        <w:rPr>
          <w:szCs w:val="24"/>
        </w:rPr>
        <w:t>Monitoring and improving adherence to recommended therapies</w:t>
      </w:r>
    </w:p>
    <w:p w14:paraId="3C7CDEFD" w14:textId="77777777" w:rsidR="002A7E4D" w:rsidRPr="00591BFC" w:rsidRDefault="002A7E4D" w:rsidP="00E86771">
      <w:pPr>
        <w:spacing w:line="360" w:lineRule="auto"/>
        <w:ind w:left="1080"/>
        <w:rPr>
          <w:szCs w:val="24"/>
        </w:rPr>
      </w:pPr>
    </w:p>
    <w:p w14:paraId="1D8353A6" w14:textId="4044A289" w:rsidR="002A7E4D" w:rsidRPr="00591BFC" w:rsidRDefault="002A7E4D" w:rsidP="00E86771">
      <w:pPr>
        <w:spacing w:line="360" w:lineRule="auto"/>
        <w:rPr>
          <w:szCs w:val="24"/>
        </w:rPr>
      </w:pPr>
      <w:r w:rsidRPr="00591BFC">
        <w:rPr>
          <w:szCs w:val="24"/>
        </w:rPr>
        <w:t xml:space="preserve">Such services require multidisciplinary care from orthogeriatrics, rheumatology, falls services and primary care </w:t>
      </w:r>
      <w:hyperlink w:anchor="_ENREF_3" w:tooltip="Chesser, 2011 #1" w:history="1">
        <w:r w:rsidR="00B24FEE">
          <w:rPr>
            <w:szCs w:val="24"/>
          </w:rPr>
          <w:fldChar w:fldCharType="begin"/>
        </w:r>
        <w:r w:rsidR="00B24FEE">
          <w:rPr>
            <w:szCs w:val="24"/>
          </w:rPr>
          <w:instrText xml:space="preserve"> ADDIN EN.CITE &lt;EndNote&gt;&lt;Cite&gt;&lt;Author&gt;Chesser&lt;/Author&gt;&lt;Year&gt;2011&lt;/Year&gt;&lt;RecNum&gt;1&lt;/RecNum&gt;&lt;DisplayText&gt;&lt;style face="superscript"&gt;3&lt;/style&gt;&lt;/DisplayText&gt;&lt;record&gt;&lt;rec-number&gt;1&lt;/rec-number&gt;&lt;foreign-keys&gt;&lt;key app="EN" db-id="sxpszd2ti9dx04ewefrvfp5bpf5faazszr9p" timestamp="0"&gt;1&lt;/key&gt;&lt;/foreign-keys&gt;&lt;ref-type name="Journal Article"&gt;17&lt;/ref-type&gt;&lt;contributors&gt;&lt;authors&gt;&lt;author&gt;Chesser, T. J. S.&lt;/author&gt;&lt;author&gt;Handley, R.&lt;/author&gt;&lt;author&gt;Swift, C.&lt;/author&gt;&lt;/authors&gt;&lt;/contributors&gt;&lt;titles&gt;&lt;title&gt;New NICE guideline to improve outcomes for hip fracture patients&lt;/title&gt;&lt;secondary-title&gt;Injury&lt;/secondary-title&gt;&lt;/titles&gt;&lt;periodical&gt;&lt;full-title&gt;Injury&lt;/full-title&gt;&lt;/periodical&gt;&lt;pages&gt;727-729&lt;/pages&gt;&lt;volume&gt;42&lt;/volume&gt;&lt;number&gt;8&lt;/number&gt;&lt;dates&gt;&lt;year&gt;2011&lt;/year&gt;&lt;/dates&gt;&lt;publisher&gt;Elsevier&lt;/publisher&gt;&lt;isbn&gt;0020-1383&lt;/isbn&gt;&lt;urls&gt;&lt;related-urls&gt;&lt;url&gt;http://linkinghub.elsevier.com/retrieve/pii/S0020138311002385?showall=true&lt;/url&gt;&lt;/related-urls&gt;&lt;/urls&gt;&lt;/record&gt;&lt;/Cite&gt;&lt;/EndNote&gt;</w:instrText>
        </w:r>
        <w:r w:rsidR="00B24FEE">
          <w:rPr>
            <w:szCs w:val="24"/>
          </w:rPr>
          <w:fldChar w:fldCharType="separate"/>
        </w:r>
        <w:r w:rsidR="00B24FEE" w:rsidRPr="00B24FEE">
          <w:rPr>
            <w:noProof/>
            <w:szCs w:val="24"/>
            <w:vertAlign w:val="superscript"/>
          </w:rPr>
          <w:t>3</w:t>
        </w:r>
        <w:r w:rsidR="00B24FEE">
          <w:rPr>
            <w:szCs w:val="24"/>
          </w:rPr>
          <w:fldChar w:fldCharType="end"/>
        </w:r>
      </w:hyperlink>
      <w:r w:rsidRPr="00591BFC">
        <w:rPr>
          <w:szCs w:val="24"/>
        </w:rPr>
        <w:t>. Running such a service can be challenging and, as a result, such services often require a dedicated coordinator to provide a link between the different multi-disciplinary teams involved in the care pathway.  This is known as a c</w:t>
      </w:r>
      <w:r w:rsidR="00825F3D" w:rsidRPr="00591BFC">
        <w:rPr>
          <w:szCs w:val="24"/>
        </w:rPr>
        <w:t>oordinator based system of care</w:t>
      </w:r>
      <w:hyperlink w:anchor="_ENREF_10" w:tooltip="Marsh, 2011 #18" w:history="1">
        <w:r w:rsidR="00B24FEE">
          <w:rPr>
            <w:szCs w:val="24"/>
          </w:rPr>
          <w:fldChar w:fldCharType="begin"/>
        </w:r>
        <w:r w:rsidR="00B24FEE">
          <w:rPr>
            <w:szCs w:val="24"/>
          </w:rPr>
          <w:instrText xml:space="preserve"> ADDIN EN.CITE &lt;EndNote&gt;&lt;Cite&gt;&lt;Author&gt;Marsh&lt;/Author&gt;&lt;Year&gt;2011&lt;/Year&gt;&lt;RecNum&gt;18&lt;/RecNum&gt;&lt;DisplayText&gt;&lt;style face="superscript"&gt;10&lt;/style&gt;&lt;/DisplayText&gt;&lt;record&gt;&lt;rec-number&gt;18&lt;/rec-number&gt;&lt;foreign-keys&gt;&lt;key app="EN" db-id="sxpszd2ti9dx04ewefrvfp5bpf5faazszr9p" timestamp="0"&gt;18&lt;/key&gt;&lt;/foreign-keys&gt;&lt;ref-type name="Journal Article"&gt;17&lt;/ref-type&gt;&lt;contributors&gt;&lt;authors&gt;&lt;author&gt;Marsh, D.&lt;/author&gt;&lt;author&gt;Åkesson, K.&lt;/author&gt;&lt;author&gt;Beaton, D.&lt;/author&gt;&lt;author&gt;Bogoch, E.&lt;/author&gt;&lt;author&gt;Boonen, S.&lt;/author&gt;&lt;author&gt;Brandi, M. L.&lt;/author&gt;&lt;author&gt;McLellan, A.&lt;/author&gt;&lt;author&gt;Mitchell, P.&lt;/author&gt;&lt;author&gt;Sale, J.&lt;/author&gt;&lt;author&gt;Wahl, D.&lt;/author&gt;&lt;/authors&gt;&lt;/contributors&gt;&lt;titles&gt;&lt;title&gt;Coordinator-based systems for secondary prevention in fragility fracture patients&lt;/title&gt;&lt;secondary-title&gt;Osteoporosis International&lt;/secondary-title&gt;&lt;/titles&gt;&lt;pages&gt;2051-2065&lt;/pages&gt;&lt;volume&gt;22&lt;/volume&gt;&lt;number&gt;7&lt;/number&gt;&lt;keywords&gt;&lt;keyword&gt;Medicine&lt;/keyword&gt;&lt;/keywords&gt;&lt;dates&gt;&lt;year&gt;2011&lt;/year&gt;&lt;/dates&gt;&lt;publisher&gt;Springer London&lt;/publisher&gt;&lt;isbn&gt;0937-941X&lt;/isbn&gt;&lt;urls&gt;&lt;related-urls&gt;&lt;url&gt;http://dx.doi.org/10.1007/s00198-011-1642-x&lt;/url&gt;&lt;/related-urls&gt;&lt;/urls&gt;&lt;electronic-resource-num&gt;10.1007/s00198-011-1642-x&lt;/electronic-resource-num&gt;&lt;/record&gt;&lt;/Cite&gt;&lt;/EndNote&gt;</w:instrText>
        </w:r>
        <w:r w:rsidR="00B24FEE">
          <w:rPr>
            <w:szCs w:val="24"/>
          </w:rPr>
          <w:fldChar w:fldCharType="separate"/>
        </w:r>
        <w:r w:rsidR="00B24FEE" w:rsidRPr="00B24FEE">
          <w:rPr>
            <w:noProof/>
            <w:szCs w:val="24"/>
            <w:vertAlign w:val="superscript"/>
          </w:rPr>
          <w:t>10</w:t>
        </w:r>
        <w:r w:rsidR="00B24FEE">
          <w:rPr>
            <w:szCs w:val="24"/>
          </w:rPr>
          <w:fldChar w:fldCharType="end"/>
        </w:r>
      </w:hyperlink>
      <w:r w:rsidRPr="00591BFC">
        <w:rPr>
          <w:szCs w:val="24"/>
        </w:rPr>
        <w:t>. This coordinated, multi-disciplinary approach to patient care is known as a Fracture Liaison Service (FLS)</w:t>
      </w:r>
      <w:hyperlink w:anchor="_ENREF_19" w:tooltip="Mitchell, 2011 #46" w:history="1">
        <w:r w:rsidR="00B24FEE">
          <w:rPr>
            <w:szCs w:val="24"/>
          </w:rPr>
          <w:fldChar w:fldCharType="begin"/>
        </w:r>
        <w:r w:rsidR="00B24FEE">
          <w:rPr>
            <w:szCs w:val="24"/>
          </w:rPr>
          <w:instrText xml:space="preserve"> ADDIN EN.CITE &lt;EndNote&gt;&lt;Cite&gt;&lt;Author&gt;Mitchell&lt;/Author&gt;&lt;Year&gt;2011&lt;/Year&gt;&lt;RecNum&gt;46&lt;/RecNum&gt;&lt;DisplayText&gt;&lt;style face="superscript"&gt;19&lt;/style&gt;&lt;/DisplayText&gt;&lt;record&gt;&lt;rec-number&gt;46&lt;/rec-number&gt;&lt;foreign-keys&gt;&lt;key app="EN" db-id="sxpszd2ti9dx04ewefrvfp5bpf5faazszr9p" timestamp="0"&gt;46&lt;/key&gt;&lt;/foreign-keys&gt;&lt;ref-type name="Journal Article"&gt;17&lt;/ref-type&gt;&lt;contributors&gt;&lt;authors&gt;&lt;author&gt;Mitchell, P.&lt;/author&gt;&lt;/authors&gt;&lt;/contributors&gt;&lt;titles&gt;&lt;title&gt;Fracture Liaison Services: the UK experience&lt;/title&gt;&lt;secondary-title&gt;Osteoporosis International&lt;/secondary-title&gt;&lt;/titles&gt;&lt;pages&gt;487-494&lt;/pages&gt;&lt;volume&gt;22&lt;/volume&gt;&lt;number&gt;0&lt;/number&gt;&lt;keywords&gt;&lt;keyword&gt;Medicine&lt;/keyword&gt;&lt;/keywords&gt;&lt;dates&gt;&lt;year&gt;2011&lt;/year&gt;&lt;/dates&gt;&lt;publisher&gt;Springer London&lt;/publisher&gt;&lt;isbn&gt;0937-941X&lt;/isbn&gt;&lt;urls&gt;&lt;related-urls&gt;&lt;url&gt;http://dx.doi.org/10.1007/s00198-011-1702-2&lt;/url&gt;&lt;/related-urls&gt;&lt;/urls&gt;&lt;electronic-resource-num&gt;10.1007/s00198-011-1702-2&lt;/electronic-resource-num&gt;&lt;/record&gt;&lt;/Cite&gt;&lt;/EndNote&gt;</w:instrText>
        </w:r>
        <w:r w:rsidR="00B24FEE">
          <w:rPr>
            <w:szCs w:val="24"/>
          </w:rPr>
          <w:fldChar w:fldCharType="separate"/>
        </w:r>
        <w:r w:rsidR="00B24FEE" w:rsidRPr="00B24FEE">
          <w:rPr>
            <w:noProof/>
            <w:szCs w:val="24"/>
            <w:vertAlign w:val="superscript"/>
          </w:rPr>
          <w:t>19</w:t>
        </w:r>
        <w:r w:rsidR="00B24FEE">
          <w:rPr>
            <w:szCs w:val="24"/>
          </w:rPr>
          <w:fldChar w:fldCharType="end"/>
        </w:r>
      </w:hyperlink>
      <w:r w:rsidRPr="00591BFC">
        <w:rPr>
          <w:szCs w:val="24"/>
        </w:rPr>
        <w:t>. Fracture liaison services have now been introduced internationally</w:t>
      </w:r>
      <w:r w:rsidR="00B24FEE">
        <w:rPr>
          <w:szCs w:val="24"/>
        </w:rPr>
        <w:fldChar w:fldCharType="begin">
          <w:fldData xml:space="preserve">PEVuZE5vdGU+PENpdGU+PEF1dGhvcj5NaXRjaGVsbDwvQXV0aG9yPjxZZWFyPjIwMTM8L1llYXI+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</w:fldData>
        </w:fldChar>
      </w:r>
      <w:r w:rsidR="00B24FEE">
        <w:rPr>
          <w:szCs w:val="24"/>
        </w:rPr>
        <w:instrText xml:space="preserve"> ADDIN EN.CITE </w:instrText>
      </w:r>
      <w:r w:rsidR="00B24FEE">
        <w:rPr>
          <w:szCs w:val="24"/>
        </w:rPr>
        <w:fldChar w:fldCharType="begin">
          <w:fldData xml:space="preserve">PEVuZE5vdGU+PENpdGU+PEF1dGhvcj5NaXRjaGVsbDwvQXV0aG9yPjxZZWFyPjIwMTM8L1llYXI+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</w:fldData>
        </w:fldChar>
      </w:r>
      <w:r w:rsidR="00B24FEE">
        <w:rPr>
          <w:szCs w:val="24"/>
        </w:rPr>
        <w:instrText xml:space="preserve"> ADDIN EN.CITE.DATA </w:instrText>
      </w:r>
      <w:r w:rsidR="00B24FEE">
        <w:rPr>
          <w:szCs w:val="24"/>
        </w:rPr>
      </w:r>
      <w:r w:rsidR="00B24FEE">
        <w:rPr>
          <w:szCs w:val="24"/>
        </w:rPr>
        <w:fldChar w:fldCharType="end"/>
      </w:r>
      <w:r w:rsidR="00B24FEE">
        <w:rPr>
          <w:szCs w:val="24"/>
        </w:rPr>
      </w:r>
      <w:r w:rsidR="00B24FEE">
        <w:rPr>
          <w:szCs w:val="24"/>
        </w:rPr>
        <w:fldChar w:fldCharType="separate"/>
      </w:r>
      <w:hyperlink w:anchor="_ENREF_35" w:tooltip="Mitchell, 2013 #83" w:history="1">
        <w:r w:rsidR="00B24FEE" w:rsidRPr="00B24FEE">
          <w:rPr>
            <w:noProof/>
            <w:szCs w:val="24"/>
            <w:vertAlign w:val="superscript"/>
          </w:rPr>
          <w:t>35</w:t>
        </w:r>
      </w:hyperlink>
      <w:r w:rsidR="00B24FEE" w:rsidRPr="00B24FEE">
        <w:rPr>
          <w:noProof/>
          <w:szCs w:val="24"/>
          <w:vertAlign w:val="superscript"/>
        </w:rPr>
        <w:t xml:space="preserve"> </w:t>
      </w:r>
      <w:hyperlink w:anchor="_ENREF_36" w:tooltip="Ganda, 2013 #551" w:history="1">
        <w:r w:rsidR="00B24FEE" w:rsidRPr="00B24FEE">
          <w:rPr>
            <w:noProof/>
            <w:szCs w:val="24"/>
            <w:vertAlign w:val="superscript"/>
          </w:rPr>
          <w:t>36</w:t>
        </w:r>
      </w:hyperlink>
      <w:r w:rsidR="00B24FEE">
        <w:rPr>
          <w:szCs w:val="24"/>
        </w:rPr>
        <w:fldChar w:fldCharType="end"/>
      </w:r>
      <w:r w:rsidRPr="00591BFC">
        <w:rPr>
          <w:szCs w:val="24"/>
        </w:rPr>
        <w:t xml:space="preserve">. In the UK, the Department of Health has proposed a model of best practise which is delivered by a Nurse Specialist supported by a Lead Clinician (‘Champion’) in osteoporosis </w:t>
      </w:r>
      <w:hyperlink w:anchor="_ENREF_1" w:tooltip="British Orthopaedic Association, 2007 #25" w:history="1">
        <w:r w:rsidR="00B24FEE">
          <w:rPr>
            <w:szCs w:val="24"/>
          </w:rPr>
          <w:fldChar w:fldCharType="begin"/>
        </w:r>
        <w:r w:rsidR="00B24FEE">
          <w:rPr>
            <w:szCs w:val="24"/>
          </w:rPr>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rPr>
            <w:szCs w:val="24"/>
          </w:rPr>
          <w:fldChar w:fldCharType="separate"/>
        </w:r>
        <w:r w:rsidR="00B24FEE" w:rsidRPr="00B24FEE">
          <w:rPr>
            <w:noProof/>
            <w:szCs w:val="24"/>
            <w:vertAlign w:val="superscript"/>
          </w:rPr>
          <w:t>1</w:t>
        </w:r>
        <w:r w:rsidR="00B24FEE">
          <w:rPr>
            <w:szCs w:val="24"/>
          </w:rPr>
          <w:fldChar w:fldCharType="end"/>
        </w:r>
      </w:hyperlink>
      <w:r w:rsidRPr="00591BFC">
        <w:rPr>
          <w:szCs w:val="24"/>
        </w:rPr>
        <w:t>. Additionally, ‘the care of patients with fragility fracture’ published by the British Orthopaedic Association recommends that orthogeriatricians should be ‘fully integrated into the work of the fracture service’ in order to best meet the complex</w:t>
      </w:r>
      <w:r w:rsidR="00825F3D" w:rsidRPr="00591BFC">
        <w:rPr>
          <w:szCs w:val="24"/>
        </w:rPr>
        <w:t xml:space="preserve"> needs of hip fracture patients</w:t>
      </w:r>
      <w:hyperlink w:anchor="_ENREF_1" w:tooltip="British Orthopaedic Association, 2007 #25" w:history="1">
        <w:r w:rsidR="00B24FEE">
          <w:rPr>
            <w:szCs w:val="24"/>
          </w:rPr>
          <w:fldChar w:fldCharType="begin"/>
        </w:r>
        <w:r w:rsidR="00B24FEE">
          <w:rPr>
            <w:szCs w:val="24"/>
          </w:rPr>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rPr>
            <w:szCs w:val="24"/>
          </w:rPr>
          <w:fldChar w:fldCharType="separate"/>
        </w:r>
        <w:r w:rsidR="00B24FEE" w:rsidRPr="00B24FEE">
          <w:rPr>
            <w:noProof/>
            <w:szCs w:val="24"/>
            <w:vertAlign w:val="superscript"/>
          </w:rPr>
          <w:t>1</w:t>
        </w:r>
        <w:r w:rsidR="00B24FEE">
          <w:rPr>
            <w:szCs w:val="24"/>
          </w:rPr>
          <w:fldChar w:fldCharType="end"/>
        </w:r>
      </w:hyperlink>
      <w:r w:rsidRPr="00591BFC">
        <w:rPr>
          <w:szCs w:val="24"/>
        </w:rPr>
        <w:t xml:space="preserve">.  </w:t>
      </w:r>
    </w:p>
    <w:p w14:paraId="522CCE09" w14:textId="77777777" w:rsidR="002A7E4D" w:rsidRPr="00591BFC" w:rsidRDefault="002A7E4D" w:rsidP="00E86771">
      <w:pPr>
        <w:spacing w:line="360" w:lineRule="auto"/>
        <w:rPr>
          <w:szCs w:val="24"/>
        </w:rPr>
      </w:pPr>
      <w:r w:rsidRPr="00591BFC">
        <w:rPr>
          <w:szCs w:val="24"/>
        </w:rPr>
        <w:t xml:space="preserve">However, despite the guidance that is in place, there is no overall agreement on the best way to organise these services and a single model comprising all elements of a FLS has not been mandated. </w:t>
      </w:r>
    </w:p>
    <w:p w14:paraId="1BE91B18" w14:textId="77777777" w:rsidR="002A7E4D" w:rsidRPr="00591BFC" w:rsidRDefault="002A7E4D" w:rsidP="00E86771">
      <w:pPr>
        <w:pStyle w:val="Heading3"/>
        <w:spacing w:line="360" w:lineRule="auto"/>
        <w:rPr>
          <w:rFonts w:ascii="Calibri" w:hAnsi="Calibri"/>
          <w:lang w:val="en-GB"/>
        </w:rPr>
      </w:pPr>
      <w:bookmarkStart w:id="56" w:name="_Toc308300707"/>
      <w:bookmarkStart w:id="57" w:name="_Toc311366514"/>
      <w:r w:rsidRPr="00591BFC">
        <w:rPr>
          <w:rFonts w:ascii="Calibri" w:hAnsi="Calibri"/>
          <w:lang w:val="en-GB"/>
        </w:rPr>
        <w:t>Changes in hip fracture care over the past decade</w:t>
      </w:r>
      <w:bookmarkEnd w:id="56"/>
      <w:bookmarkEnd w:id="57"/>
    </w:p>
    <w:p w14:paraId="58C129CE" w14:textId="4972FC64" w:rsidR="002A7E4D" w:rsidRPr="00591BFC" w:rsidRDefault="002A7E4D" w:rsidP="00E86771">
      <w:pPr>
        <w:spacing w:line="360" w:lineRule="auto"/>
        <w:rPr>
          <w:szCs w:val="24"/>
        </w:rPr>
      </w:pPr>
      <w:r w:rsidRPr="00591BFC">
        <w:rPr>
          <w:szCs w:val="24"/>
        </w:rPr>
        <w:t>Guidance from a number of professional bodies for the management of hip f</w:t>
      </w:r>
      <w:r w:rsidR="007B18C0" w:rsidRPr="00591BFC">
        <w:rPr>
          <w:szCs w:val="24"/>
        </w:rPr>
        <w:t>racture patients (BOA Blue Book</w:t>
      </w:r>
      <w:hyperlink w:anchor="_ENREF_1" w:tooltip="British Orthopaedic Association, 2007 #25" w:history="1">
        <w:r w:rsidR="00B24FEE">
          <w:rPr>
            <w:szCs w:val="24"/>
          </w:rPr>
          <w:fldChar w:fldCharType="begin"/>
        </w:r>
        <w:r w:rsidR="00B24FEE">
          <w:rPr>
            <w:szCs w:val="24"/>
          </w:rPr>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rPr>
            <w:szCs w:val="24"/>
          </w:rPr>
          <w:fldChar w:fldCharType="separate"/>
        </w:r>
        <w:r w:rsidR="00B24FEE" w:rsidRPr="00B24FEE">
          <w:rPr>
            <w:noProof/>
            <w:szCs w:val="24"/>
            <w:vertAlign w:val="superscript"/>
          </w:rPr>
          <w:t>1</w:t>
        </w:r>
        <w:r w:rsidR="00B24FEE">
          <w:rPr>
            <w:szCs w:val="24"/>
          </w:rPr>
          <w:fldChar w:fldCharType="end"/>
        </w:r>
      </w:hyperlink>
      <w:r w:rsidRPr="00591BFC">
        <w:rPr>
          <w:szCs w:val="24"/>
        </w:rPr>
        <w:t xml:space="preserve">, SIGN </w:t>
      </w:r>
      <w:hyperlink w:anchor="_ENREF_14" w:tooltip="Scottish Intercollegiate Guidelines Network, 2009 #26" w:history="1">
        <w:r w:rsidR="00B24FEE">
          <w:rPr>
            <w:szCs w:val="24"/>
          </w:rPr>
          <w:fldChar w:fldCharType="begin"/>
        </w:r>
        <w:r w:rsidR="00B24FEE">
          <w:rPr>
            <w:szCs w:val="24"/>
          </w:rPr>
          <w:instrText xml:space="preserve"> ADDIN EN.CITE &lt;EndNote&gt;&lt;Cite&gt;&lt;Author&gt;Scottish Intercollegiate Guidelines Network&lt;/Author&gt;&lt;Year&gt;2009&lt;/Year&gt;&lt;RecNum&gt;26&lt;/RecNum&gt;&lt;DisplayText&gt;&lt;style face="superscript"&gt;14&lt;/style&gt;&lt;/DisplayText&gt;&lt;record&gt;&lt;rec-number&gt;26&lt;/rec-number&gt;&lt;foreign-keys&gt;&lt;key app="EN" db-id="sxpszd2ti9dx04ewefrvfp5bpf5faazszr9p" timestamp="0"&gt;26&lt;/key&gt;&lt;/foreign-keys&gt;&lt;ref-type name="Report"&gt;27&lt;/ref-type&gt;&lt;contributors&gt;&lt;authors&gt;&lt;author&gt;Scottish Intercollegiate Guidelines Network,&lt;/author&gt;&lt;/authors&gt;&lt;/contributors&gt;&lt;titles&gt;&lt;title&gt;Management of hip fracture in older patients.  A national clinical guideline 111.&lt;/title&gt;&lt;/titles&gt;&lt;dates&gt;&lt;year&gt;2009&lt;/year&gt;&lt;/dates&gt;&lt;urls&gt;&lt;/urls&gt;&lt;/record&gt;&lt;/Cite&gt;&lt;/EndNote&gt;</w:instrText>
        </w:r>
        <w:r w:rsidR="00B24FEE">
          <w:rPr>
            <w:szCs w:val="24"/>
          </w:rPr>
          <w:fldChar w:fldCharType="separate"/>
        </w:r>
        <w:r w:rsidR="00B24FEE" w:rsidRPr="00B24FEE">
          <w:rPr>
            <w:noProof/>
            <w:szCs w:val="24"/>
            <w:vertAlign w:val="superscript"/>
          </w:rPr>
          <w:t>14</w:t>
        </w:r>
        <w:r w:rsidR="00B24FEE">
          <w:rPr>
            <w:szCs w:val="24"/>
          </w:rPr>
          <w:fldChar w:fldCharType="end"/>
        </w:r>
      </w:hyperlink>
      <w:r w:rsidRPr="00591BFC">
        <w:rPr>
          <w:szCs w:val="24"/>
        </w:rPr>
        <w:t xml:space="preserve">, NICE </w:t>
      </w:r>
      <w:hyperlink w:anchor="_ENREF_33" w:tooltip="NICE, 2005 #51" w:history="1">
        <w:r w:rsidR="00B24FEE">
          <w:rPr>
            <w:szCs w:val="24"/>
          </w:rPr>
          <w:fldChar w:fldCharType="begin"/>
        </w:r>
        <w:r w:rsidR="00B24FEE">
          <w:rPr>
            <w:szCs w:val="24"/>
          </w:rPr>
          <w:instrText xml:space="preserve"> ADDIN EN.CITE &lt;EndNote&gt;&lt;Cite&gt;&lt;Author&gt;NICE&lt;/Author&gt;&lt;Year&gt;2005&lt;/Year&gt;&lt;RecNum&gt;51&lt;/RecNum&gt;&lt;DisplayText&gt;&lt;style face="superscript"&gt;33&lt;/style&gt;&lt;/DisplayText&gt;&lt;record&gt;&lt;rec-number&gt;51&lt;/rec-number&gt;&lt;foreign-keys&gt;&lt;key app="EN" db-id="sxpszd2ti9dx04ewefrvfp5bpf5faazszr9p" timestamp="0"&gt;51&lt;/key&gt;&lt;/foreign-keys&gt;&lt;ref-type name="Report"&gt;27&lt;/ref-type&gt;&lt;contributors&gt;&lt;authors&gt;&lt;author&gt;NICE,&lt;/author&gt;&lt;/authors&gt;&lt;/contributors&gt;&lt;titles&gt;&lt;title&gt;NICE Technology Appraisal 87: Bisphosphonates (alendronate, etidonate or risedronate), selective oestrogen receptor modulators (raloxifene) and parathyroid hormone (teriparatide) for the secondary prevention of osteoporotic fragility fractures in post menopausal women&lt;/title&gt;&lt;/titles&gt;&lt;dates&gt;&lt;year&gt;2005&lt;/year&gt;&lt;/dates&gt;&lt;urls&gt;&lt;/urls&gt;&lt;/record&gt;&lt;/Cite&gt;&lt;/EndNote&gt;</w:instrText>
        </w:r>
        <w:r w:rsidR="00B24FEE">
          <w:rPr>
            <w:szCs w:val="24"/>
          </w:rPr>
          <w:fldChar w:fldCharType="separate"/>
        </w:r>
        <w:r w:rsidR="00B24FEE" w:rsidRPr="00B24FEE">
          <w:rPr>
            <w:noProof/>
            <w:szCs w:val="24"/>
            <w:vertAlign w:val="superscript"/>
          </w:rPr>
          <w:t>33</w:t>
        </w:r>
        <w:r w:rsidR="00B24FEE">
          <w:rPr>
            <w:szCs w:val="24"/>
          </w:rPr>
          <w:fldChar w:fldCharType="end"/>
        </w:r>
      </w:hyperlink>
      <w:r w:rsidRPr="00591BFC">
        <w:rPr>
          <w:szCs w:val="24"/>
        </w:rPr>
        <w:t xml:space="preserve"> </w:t>
      </w:r>
      <w:hyperlink w:anchor="_ENREF_29" w:tooltip="NICE, June 2011 #1099" w:history="1">
        <w:r w:rsidR="00B24FEE">
          <w:rPr>
            <w:szCs w:val="24"/>
          </w:rPr>
          <w:fldChar w:fldCharType="begin"/>
        </w:r>
        <w:r w:rsidR="00B24FEE">
          <w:rPr>
            <w:szCs w:val="24"/>
          </w:rPr>
          <w:instrText xml:space="preserve"> ADDIN EN.CITE &lt;EndNote&gt;&lt;Cite&gt;&lt;Author&gt;NICE&lt;/Author&gt;&lt;Year&gt;June 2011&lt;/Year&gt;&lt;RecNum&gt;1099&lt;/RecNum&gt;&lt;DisplayText&gt;&lt;style face="superscript"&gt;29&lt;/style&gt;&lt;/DisplayText&gt;&lt;record&gt;&lt;rec-number&gt;1099&lt;/rec-number&gt;&lt;foreign-keys&gt;&lt;key app="EN" db-id="sxpszd2ti9dx04ewefrvfp5bpf5faazszr9p" timestamp="0"&gt;1099&lt;/key&gt;&lt;/foreign-keys&gt;&lt;ref-type name="Report"&gt;27&lt;/ref-type&gt;&lt;contributors&gt;&lt;authors&gt;&lt;author&gt;NICE &lt;/author&gt;&lt;/authors&gt;&lt;/contributors&gt;&lt;titles&gt;&lt;title&gt;Clinical guidelines 124: The management of hip fracture in adults&lt;/title&gt;&lt;/titles&gt;&lt;dates&gt;&lt;year&gt;June 2011&lt;/year&gt;&lt;/dates&gt;&lt;urls&gt;&lt;/urls&gt;&lt;/record&gt;&lt;/Cite&gt;&lt;/EndNote&gt;</w:instrText>
        </w:r>
        <w:r w:rsidR="00B24FEE">
          <w:rPr>
            <w:szCs w:val="24"/>
          </w:rPr>
          <w:fldChar w:fldCharType="separate"/>
        </w:r>
        <w:r w:rsidR="00B24FEE" w:rsidRPr="00B24FEE">
          <w:rPr>
            <w:noProof/>
            <w:szCs w:val="24"/>
            <w:vertAlign w:val="superscript"/>
          </w:rPr>
          <w:t>29</w:t>
        </w:r>
        <w:r w:rsidR="00B24FEE">
          <w:rPr>
            <w:szCs w:val="24"/>
          </w:rPr>
          <w:fldChar w:fldCharType="end"/>
        </w:r>
      </w:hyperlink>
      <w:r w:rsidRPr="00591BFC">
        <w:rPr>
          <w:szCs w:val="24"/>
        </w:rPr>
        <w:t xml:space="preserve">) has led to key changes in hip fracture care across the UK. The NHFD collects data on staffing levels as well as many other aspects of care, and has shown a significant increase in the number of consultant grade orthogeriatric hours per week since reporting began in 2009, and a particularly sharp upward trend in the number of FLN hours per week since 2012. </w:t>
      </w:r>
      <w:r w:rsidR="00B24FEE">
        <w:rPr>
          <w:szCs w:val="24"/>
        </w:rPr>
        <w:fldChar w:fldCharType="begin">
          <w:fldData xml:space="preserve">PEVuZE5vdGU+PENpdGU+PEF1dGhvcj5DdXJyaWU8L0F1dGhvcj48WWVhcj4yMDEwPC9ZZWFyPjxS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</w:fldData>
        </w:fldChar>
      </w:r>
      <w:r w:rsidR="00B24FEE">
        <w:rPr>
          <w:szCs w:val="24"/>
        </w:rPr>
        <w:instrText xml:space="preserve"> ADDIN EN.CITE </w:instrText>
      </w:r>
      <w:r w:rsidR="00B24FEE">
        <w:rPr>
          <w:szCs w:val="24"/>
        </w:rPr>
        <w:fldChar w:fldCharType="begin">
          <w:fldData xml:space="preserve">PEVuZE5vdGU+PENpdGU+PEF1dGhvcj5DdXJyaWU8L0F1dGhvcj48WWVhcj4yMDEwPC9ZZWFyPjxS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</w:fldData>
        </w:fldChar>
      </w:r>
      <w:r w:rsidR="00B24FEE">
        <w:rPr>
          <w:szCs w:val="24"/>
        </w:rPr>
        <w:instrText xml:space="preserve"> ADDIN EN.CITE.DATA </w:instrText>
      </w:r>
      <w:r w:rsidR="00B24FEE">
        <w:rPr>
          <w:szCs w:val="24"/>
        </w:rPr>
      </w:r>
      <w:r w:rsidR="00B24FEE">
        <w:rPr>
          <w:szCs w:val="24"/>
        </w:rPr>
        <w:fldChar w:fldCharType="end"/>
      </w:r>
      <w:r w:rsidR="00B24FEE">
        <w:rPr>
          <w:szCs w:val="24"/>
        </w:rPr>
      </w:r>
      <w:r w:rsidR="00B24FEE">
        <w:rPr>
          <w:szCs w:val="24"/>
        </w:rPr>
        <w:fldChar w:fldCharType="separate"/>
      </w:r>
      <w:hyperlink w:anchor="_ENREF_16" w:tooltip="Johansen, 2014 #1103" w:history="1">
        <w:r w:rsidR="00B24FEE" w:rsidRPr="00B24FEE">
          <w:rPr>
            <w:noProof/>
            <w:szCs w:val="24"/>
            <w:vertAlign w:val="superscript"/>
          </w:rPr>
          <w:t>16</w:t>
        </w:r>
      </w:hyperlink>
      <w:r w:rsidR="00B24FEE" w:rsidRPr="00B24FEE">
        <w:rPr>
          <w:noProof/>
          <w:szCs w:val="24"/>
          <w:vertAlign w:val="superscript"/>
        </w:rPr>
        <w:t xml:space="preserve"> </w:t>
      </w:r>
      <w:hyperlink w:anchor="_ENREF_17" w:tooltip="Johansen, 2013 #73" w:history="1">
        <w:r w:rsidR="00B24FEE" w:rsidRPr="00B24FEE">
          <w:rPr>
            <w:noProof/>
            <w:szCs w:val="24"/>
            <w:vertAlign w:val="superscript"/>
          </w:rPr>
          <w:t>17</w:t>
        </w:r>
      </w:hyperlink>
      <w:r w:rsidR="00B24FEE" w:rsidRPr="00B24FEE">
        <w:rPr>
          <w:noProof/>
          <w:szCs w:val="24"/>
          <w:vertAlign w:val="superscript"/>
        </w:rPr>
        <w:t xml:space="preserve"> </w:t>
      </w:r>
      <w:hyperlink w:anchor="_ENREF_37" w:tooltip="Currie, 2010 #3" w:history="1">
        <w:r w:rsidR="00B24FEE" w:rsidRPr="00B24FEE">
          <w:rPr>
            <w:noProof/>
            <w:szCs w:val="24"/>
            <w:vertAlign w:val="superscript"/>
          </w:rPr>
          <w:t>37</w:t>
        </w:r>
      </w:hyperlink>
      <w:r w:rsidR="00B24FEE" w:rsidRPr="00B24FEE">
        <w:rPr>
          <w:noProof/>
          <w:szCs w:val="24"/>
          <w:vertAlign w:val="superscript"/>
        </w:rPr>
        <w:t xml:space="preserve"> </w:t>
      </w:r>
      <w:hyperlink w:anchor="_ENREF_38" w:tooltip="Currie, 2011 #4" w:history="1">
        <w:r w:rsidR="00B24FEE" w:rsidRPr="00B24FEE">
          <w:rPr>
            <w:noProof/>
            <w:szCs w:val="24"/>
            <w:vertAlign w:val="superscript"/>
          </w:rPr>
          <w:t>38</w:t>
        </w:r>
      </w:hyperlink>
      <w:r w:rsidR="00B24FEE">
        <w:rPr>
          <w:szCs w:val="24"/>
        </w:rPr>
        <w:fldChar w:fldCharType="end"/>
      </w:r>
    </w:p>
    <w:p w14:paraId="056DA59F" w14:textId="77777777" w:rsidR="002A7E4D" w:rsidRPr="00591BFC" w:rsidRDefault="002A7E4D" w:rsidP="00E86771">
      <w:pPr>
        <w:pStyle w:val="Heading3"/>
        <w:spacing w:line="360" w:lineRule="auto"/>
        <w:rPr>
          <w:rFonts w:ascii="Calibri" w:hAnsi="Calibri"/>
          <w:lang w:val="en-GB"/>
        </w:rPr>
      </w:pPr>
      <w:bookmarkStart w:id="58" w:name="_Toc308300708"/>
      <w:bookmarkStart w:id="59" w:name="_Toc311366515"/>
      <w:r w:rsidRPr="00591BFC">
        <w:rPr>
          <w:rFonts w:ascii="Calibri" w:hAnsi="Calibri"/>
          <w:lang w:val="en-GB"/>
        </w:rPr>
        <w:lastRenderedPageBreak/>
        <w:t>Aim</w:t>
      </w:r>
      <w:bookmarkEnd w:id="58"/>
      <w:bookmarkEnd w:id="59"/>
    </w:p>
    <w:p w14:paraId="5A7779CF" w14:textId="77777777" w:rsidR="002A7E4D" w:rsidRPr="00591BFC" w:rsidRDefault="002A7E4D" w:rsidP="00E86771">
      <w:pPr>
        <w:spacing w:line="360" w:lineRule="auto"/>
        <w:rPr>
          <w:szCs w:val="24"/>
        </w:rPr>
      </w:pPr>
      <w:r w:rsidRPr="00591BFC">
        <w:rPr>
          <w:szCs w:val="24"/>
        </w:rPr>
        <w:t xml:space="preserve">The aim of this work package was to comprehensively describe the models of care for secondary fracture prevention for hip fracture patients across hospitals in one region of England, and describe the similarities and differences that exist across them.  </w:t>
      </w:r>
    </w:p>
    <w:p w14:paraId="3488EB1E" w14:textId="77777777" w:rsidR="002A7E4D" w:rsidRPr="00591BFC" w:rsidRDefault="002A7E4D" w:rsidP="00E86771">
      <w:pPr>
        <w:spacing w:line="360" w:lineRule="auto"/>
        <w:rPr>
          <w:szCs w:val="24"/>
        </w:rPr>
      </w:pPr>
      <w:r w:rsidRPr="00591BFC">
        <w:rPr>
          <w:szCs w:val="24"/>
        </w:rPr>
        <w:t xml:space="preserve">In addition, this work package will identify key changes in these services that have occurred at each hospital over the past ten years. This will form the basis of the ‘natural experiment’ described in Chapter </w:t>
      </w:r>
      <w:r w:rsidR="003E30D8" w:rsidRPr="00591BFC">
        <w:rPr>
          <w:szCs w:val="24"/>
        </w:rPr>
        <w:t>5</w:t>
      </w:r>
      <w:r w:rsidRPr="00591BFC">
        <w:rPr>
          <w:szCs w:val="24"/>
        </w:rPr>
        <w:t xml:space="preserve"> where the clinical effectiveness of changes to the care pathway established here will be evaluated. </w:t>
      </w:r>
    </w:p>
    <w:p w14:paraId="03B0AD7A" w14:textId="77777777" w:rsidR="002A7E4D" w:rsidRPr="00591BFC" w:rsidRDefault="002A7E4D" w:rsidP="00E86771">
      <w:pPr>
        <w:pStyle w:val="Heading2"/>
        <w:spacing w:line="360" w:lineRule="auto"/>
        <w:rPr>
          <w:rFonts w:ascii="Calibri" w:hAnsi="Calibri"/>
          <w:lang w:val="en-GB"/>
        </w:rPr>
      </w:pPr>
      <w:bookmarkStart w:id="60" w:name="_Toc308300709"/>
      <w:bookmarkStart w:id="61" w:name="_Toc311366516"/>
      <w:r w:rsidRPr="00591BFC">
        <w:rPr>
          <w:rFonts w:ascii="Calibri" w:hAnsi="Calibri"/>
          <w:lang w:val="en-GB"/>
        </w:rPr>
        <w:t>Methods</w:t>
      </w:r>
      <w:bookmarkEnd w:id="60"/>
      <w:bookmarkEnd w:id="61"/>
    </w:p>
    <w:p w14:paraId="2BFBD10D" w14:textId="0FEC1D38" w:rsidR="002A7E4D" w:rsidRPr="00591BFC" w:rsidRDefault="002A7E4D" w:rsidP="00E86771">
      <w:pPr>
        <w:spacing w:line="360" w:lineRule="auto"/>
        <w:rPr>
          <w:szCs w:val="24"/>
        </w:rPr>
      </w:pPr>
      <w:r w:rsidRPr="00591BFC">
        <w:rPr>
          <w:szCs w:val="24"/>
        </w:rPr>
        <w:t>The service evaluation was conducted in one regional area of England. There are 11 hospitals in this region which receive patients with acute hip fracture. The variation in size of these hospitals, in terms of catchment population and number of hip fracture patients seen each year was taken from the NHFD 201</w:t>
      </w:r>
      <w:r w:rsidR="003E30D8" w:rsidRPr="00591BFC">
        <w:rPr>
          <w:szCs w:val="24"/>
        </w:rPr>
        <w:t>3</w:t>
      </w:r>
      <w:r w:rsidRPr="00591BFC">
        <w:rPr>
          <w:szCs w:val="24"/>
        </w:rPr>
        <w:t xml:space="preserve"> Report</w:t>
      </w:r>
      <w:hyperlink w:anchor="_ENREF_17" w:tooltip="Johansen, 2013 #73" w:history="1">
        <w:r w:rsidR="00B24FEE">
          <w:rPr>
            <w:szCs w:val="24"/>
          </w:rPr>
          <w:fldChar w:fldCharType="begin"/>
        </w:r>
        <w:r w:rsidR="00B24FEE">
          <w:rPr>
            <w:szCs w:val="24"/>
          </w:rPr>
          <w:instrText xml:space="preserve"> ADDIN EN.CITE &lt;EndNote&gt;&lt;Cite&gt;&lt;Author&gt;Johansen&lt;/Author&gt;&lt;Year&gt;2013&lt;/Year&gt;&lt;RecNum&gt;73&lt;/RecNum&gt;&lt;DisplayText&gt;&lt;style face="superscript"&gt;17&lt;/style&gt;&lt;/DisplayText&gt;&lt;record&gt;&lt;rec-number&gt;73&lt;/rec-number&gt;&lt;foreign-keys&gt;&lt;key app="EN" db-id="sxpszd2ti9dx04ewefrvfp5bpf5faazszr9p" timestamp="0"&gt;73&lt;/key&gt;&lt;/foreign-keys&gt;&lt;ref-type name="Report"&gt;27&lt;/ref-type&gt;&lt;contributors&gt;&lt;authors&gt;&lt;author&gt;Johansen, A.&lt;/author&gt;&lt;author&gt;Wakeman, R.&lt;/author&gt;&lt;author&gt;Boulton, C.&lt;/author&gt;&lt;author&gt;Plant, F.&lt;/author&gt;&lt;author&gt;Roberts, J.&lt;/author&gt;&lt;author&gt;Williams, A.&lt;/author&gt;&lt;/authors&gt;&lt;/contributors&gt;&lt;titles&gt;&lt;title&gt;National Hip Fracture Database. National report 2013&lt;/title&gt;&lt;/titles&gt;&lt;dates&gt;&lt;year&gt;2013&lt;/year&gt;&lt;/dates&gt;&lt;urls&gt;&lt;/urls&gt;&lt;/record&gt;&lt;/Cite&gt;&lt;/EndNote&gt;</w:instrText>
        </w:r>
        <w:r w:rsidR="00B24FEE">
          <w:rPr>
            <w:szCs w:val="24"/>
          </w:rPr>
          <w:fldChar w:fldCharType="separate"/>
        </w:r>
        <w:r w:rsidR="00B24FEE" w:rsidRPr="00B24FEE">
          <w:rPr>
            <w:noProof/>
            <w:szCs w:val="24"/>
            <w:vertAlign w:val="superscript"/>
          </w:rPr>
          <w:t>17</w:t>
        </w:r>
        <w:r w:rsidR="00B24FEE">
          <w:rPr>
            <w:szCs w:val="24"/>
          </w:rPr>
          <w:fldChar w:fldCharType="end"/>
        </w:r>
      </w:hyperlink>
      <w:r w:rsidRPr="00591BFC">
        <w:rPr>
          <w:szCs w:val="24"/>
        </w:rPr>
        <w:t xml:space="preserve">. </w:t>
      </w:r>
    </w:p>
    <w:p w14:paraId="768FAE3F" w14:textId="453576C3" w:rsidR="002A7E4D" w:rsidRPr="00591BFC" w:rsidRDefault="002A7E4D" w:rsidP="00E86771">
      <w:pPr>
        <w:spacing w:line="360" w:lineRule="auto"/>
        <w:rPr>
          <w:szCs w:val="24"/>
        </w:rPr>
      </w:pPr>
      <w:r w:rsidRPr="00591BFC">
        <w:rPr>
          <w:szCs w:val="24"/>
        </w:rPr>
        <w:t>Data for the service evaluation was collected using a questionnaire designed to identify key changes to service delivery over the past ten years and characterise the level of service, closely based on the International Osteoporosis Foundation (IOF) Capture the F</w:t>
      </w:r>
      <w:r w:rsidR="003E30D8" w:rsidRPr="00591BFC">
        <w:rPr>
          <w:szCs w:val="24"/>
        </w:rPr>
        <w:t>racture Best Practise Framework</w:t>
      </w:r>
      <w:hyperlink w:anchor="_ENREF_34" w:tooltip="Akesson, 2013 #92" w:history="1">
        <w:r w:rsidR="00B24FEE">
          <w:rPr>
            <w:szCs w:val="24"/>
          </w:rPr>
          <w:fldChar w:fldCharType="begin"/>
        </w:r>
        <w:r w:rsidR="00B24FEE">
          <w:rPr>
            <w:szCs w:val="24"/>
          </w:rPr>
          <w:instrText xml:space="preserve"> ADDIN EN.CITE &lt;EndNote&gt;&lt;Cite&gt;&lt;Author&gt;Akesson&lt;/Author&gt;&lt;Year&gt;2013&lt;/Year&gt;&lt;RecNum&gt;92&lt;/RecNum&gt;&lt;DisplayText&gt;&lt;style face="superscript"&gt;34&lt;/style&gt;&lt;/DisplayText&gt;&lt;record&gt;&lt;rec-number&gt;92&lt;/rec-number&gt;&lt;foreign-keys&gt;&lt;key app="EN" db-id="sxpszd2ti9dx04ewefrvfp5bpf5faazszr9p" timestamp="0"&gt;92&lt;/key&gt;&lt;/foreign-keys&gt;&lt;ref-type name="Journal Article"&gt;17&lt;/ref-type&gt;&lt;contributors&gt;&lt;authors&gt;&lt;author&gt;Akesson, K.&lt;/author&gt;&lt;author&gt;Marsh, D.&lt;/author&gt;&lt;author&gt;Mitchell, P. J.&lt;/author&gt;&lt;author&gt;McLellan, A. R.&lt;/author&gt;&lt;author&gt;Stenmark, J.&lt;/author&gt;&lt;author&gt;Pierroz, D. D.&lt;/author&gt;&lt;author&gt;Kyer, C.&lt;/author&gt;&lt;author&gt;Cooper, C.&lt;/author&gt;&lt;/authors&gt;&lt;/contributors&gt;&lt;auth-address&gt;Department of Orthopaedics Malmo, Skane University Hospital, Malmo, Sweden.&lt;/auth-address&gt;&lt;titles&gt;&lt;title&gt;Capture the Fracture: a Best Practice Framework and global campaign to break the fragility fracture cycle&lt;/title&gt;&lt;secondary-title&gt;Osteoporos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2135-52&lt;/pages&gt;&lt;volume&gt;24&lt;/volume&gt;&lt;number&gt;8&lt;/number&gt;&lt;edition&gt;2013/04/17&lt;/edition&gt;&lt;dates&gt;&lt;year&gt;2013&lt;/year&gt;&lt;pub-dates&gt;&lt;date&gt;Aug&lt;/date&gt;&lt;/pub-dates&gt;&lt;/dates&gt;&lt;isbn&gt;0937-941x&lt;/isbn&gt;&lt;accession-num&gt;23589162&lt;/accession-num&gt;&lt;urls&gt;&lt;/urls&gt;&lt;custom2&gt;Pmc3706734&lt;/custom2&gt;&lt;electronic-resource-num&gt;10.1007/s00198-013-2348-z&lt;/electronic-resource-num&gt;&lt;remote-database-provider&gt;Nlm&lt;/remote-database-provider&gt;&lt;language&gt;eng&lt;/language&gt;&lt;/record&gt;&lt;/Cite&gt;&lt;/EndNote&gt;</w:instrText>
        </w:r>
        <w:r w:rsidR="00B24FEE">
          <w:rPr>
            <w:szCs w:val="24"/>
          </w:rPr>
          <w:fldChar w:fldCharType="separate"/>
        </w:r>
        <w:r w:rsidR="00B24FEE" w:rsidRPr="00B24FEE">
          <w:rPr>
            <w:noProof/>
            <w:szCs w:val="24"/>
            <w:vertAlign w:val="superscript"/>
          </w:rPr>
          <w:t>34</w:t>
        </w:r>
        <w:r w:rsidR="00B24FEE">
          <w:rPr>
            <w:szCs w:val="24"/>
          </w:rPr>
          <w:fldChar w:fldCharType="end"/>
        </w:r>
      </w:hyperlink>
      <w:r w:rsidRPr="00591BFC">
        <w:rPr>
          <w:szCs w:val="24"/>
        </w:rPr>
        <w:t xml:space="preserve"> which defines thirteen standards for an effective FLS. A copy of the questionnaire is included as </w:t>
      </w:r>
      <w:r w:rsidR="007947DA" w:rsidRPr="00591BFC">
        <w:rPr>
          <w:szCs w:val="24"/>
        </w:rPr>
        <w:t>A</w:t>
      </w:r>
      <w:r w:rsidRPr="00591BFC">
        <w:rPr>
          <w:szCs w:val="24"/>
        </w:rPr>
        <w:t xml:space="preserve">ppendix </w:t>
      </w:r>
      <w:r w:rsidR="007947DA" w:rsidRPr="00591BFC">
        <w:rPr>
          <w:szCs w:val="24"/>
        </w:rPr>
        <w:t>1</w:t>
      </w:r>
      <w:r w:rsidRPr="00591BFC">
        <w:rPr>
          <w:szCs w:val="24"/>
        </w:rPr>
        <w:t xml:space="preserve">, but briefly; data was collected on the following aspects of care: </w:t>
      </w:r>
    </w:p>
    <w:p w14:paraId="011C8E84" w14:textId="77777777" w:rsidR="002A7E4D" w:rsidRPr="00591BFC" w:rsidRDefault="002A7E4D" w:rsidP="00E86771">
      <w:pPr>
        <w:numPr>
          <w:ilvl w:val="0"/>
          <w:numId w:val="3"/>
        </w:numPr>
        <w:spacing w:line="360" w:lineRule="auto"/>
        <w:contextualSpacing/>
        <w:rPr>
          <w:szCs w:val="24"/>
        </w:rPr>
      </w:pPr>
      <w:r w:rsidRPr="00591BFC">
        <w:rPr>
          <w:szCs w:val="24"/>
        </w:rPr>
        <w:t>Dates of employment of orthogeriatricians, fracture liaison nurses, falls nurses and clinical osteoporosis ‘champions’, their role in coordinating care and clinical contact, and changes they introduced when appointed</w:t>
      </w:r>
    </w:p>
    <w:p w14:paraId="3F941985" w14:textId="77777777" w:rsidR="002A7E4D" w:rsidRPr="00591BFC" w:rsidRDefault="002A7E4D" w:rsidP="00E86771">
      <w:pPr>
        <w:numPr>
          <w:ilvl w:val="0"/>
          <w:numId w:val="3"/>
        </w:numPr>
        <w:spacing w:line="360" w:lineRule="auto"/>
        <w:contextualSpacing/>
        <w:rPr>
          <w:szCs w:val="24"/>
        </w:rPr>
      </w:pPr>
      <w:r w:rsidRPr="00591BFC">
        <w:rPr>
          <w:szCs w:val="24"/>
        </w:rPr>
        <w:t>Type of wards (trauma, geriatric orthopaedic rehabilitation unit, other rehabilitation ward) and date opened</w:t>
      </w:r>
    </w:p>
    <w:p w14:paraId="2FA3ECAB" w14:textId="77777777" w:rsidR="002A7E4D" w:rsidRPr="00591BFC" w:rsidRDefault="002A7E4D" w:rsidP="00E86771">
      <w:pPr>
        <w:numPr>
          <w:ilvl w:val="0"/>
          <w:numId w:val="3"/>
        </w:numPr>
        <w:spacing w:line="360" w:lineRule="auto"/>
        <w:contextualSpacing/>
        <w:rPr>
          <w:szCs w:val="24"/>
        </w:rPr>
      </w:pPr>
      <w:r w:rsidRPr="00591BFC">
        <w:rPr>
          <w:szCs w:val="24"/>
        </w:rPr>
        <w:t>Presence of any service level agreement for delivery of secondary fracture prevention</w:t>
      </w:r>
    </w:p>
    <w:p w14:paraId="3EBB29E6" w14:textId="77777777" w:rsidR="002A7E4D" w:rsidRPr="00591BFC" w:rsidRDefault="002A7E4D" w:rsidP="00E86771">
      <w:pPr>
        <w:numPr>
          <w:ilvl w:val="0"/>
          <w:numId w:val="3"/>
        </w:numPr>
        <w:spacing w:line="360" w:lineRule="auto"/>
        <w:contextualSpacing/>
        <w:rPr>
          <w:szCs w:val="24"/>
        </w:rPr>
      </w:pPr>
      <w:r w:rsidRPr="00591BFC">
        <w:rPr>
          <w:szCs w:val="24"/>
        </w:rPr>
        <w:t>Coordination of multidisciplinary care and across inpatients, outpatients, and primary care</w:t>
      </w:r>
    </w:p>
    <w:p w14:paraId="2D4324DD" w14:textId="77777777" w:rsidR="002A7E4D" w:rsidRPr="00591BFC" w:rsidRDefault="002A7E4D" w:rsidP="00E86771">
      <w:pPr>
        <w:numPr>
          <w:ilvl w:val="0"/>
          <w:numId w:val="3"/>
        </w:numPr>
        <w:spacing w:line="360" w:lineRule="auto"/>
        <w:contextualSpacing/>
        <w:rPr>
          <w:szCs w:val="24"/>
        </w:rPr>
      </w:pPr>
      <w:r w:rsidRPr="00591BFC">
        <w:rPr>
          <w:szCs w:val="24"/>
        </w:rPr>
        <w:t>Staff responsible for case finding</w:t>
      </w:r>
    </w:p>
    <w:p w14:paraId="03E9F0A1" w14:textId="77777777" w:rsidR="002A7E4D" w:rsidRPr="00591BFC" w:rsidRDefault="002A7E4D" w:rsidP="00E86771">
      <w:pPr>
        <w:numPr>
          <w:ilvl w:val="0"/>
          <w:numId w:val="3"/>
        </w:numPr>
        <w:spacing w:line="360" w:lineRule="auto"/>
        <w:contextualSpacing/>
        <w:rPr>
          <w:szCs w:val="24"/>
        </w:rPr>
      </w:pPr>
      <w:r w:rsidRPr="00591BFC">
        <w:rPr>
          <w:szCs w:val="24"/>
        </w:rPr>
        <w:t xml:space="preserve">DXA scanner location and referrals </w:t>
      </w:r>
    </w:p>
    <w:p w14:paraId="40C108C2" w14:textId="77777777" w:rsidR="002A7E4D" w:rsidRPr="00591BFC" w:rsidRDefault="002A7E4D" w:rsidP="00E86771">
      <w:pPr>
        <w:numPr>
          <w:ilvl w:val="0"/>
          <w:numId w:val="3"/>
        </w:numPr>
        <w:spacing w:line="360" w:lineRule="auto"/>
        <w:contextualSpacing/>
        <w:rPr>
          <w:szCs w:val="24"/>
        </w:rPr>
      </w:pPr>
      <w:r w:rsidRPr="00591BFC">
        <w:rPr>
          <w:szCs w:val="24"/>
        </w:rPr>
        <w:t>Monitoring</w:t>
      </w:r>
    </w:p>
    <w:p w14:paraId="4879E420" w14:textId="77777777" w:rsidR="002A7E4D" w:rsidRPr="00591BFC" w:rsidRDefault="002A7E4D" w:rsidP="00E86771">
      <w:pPr>
        <w:numPr>
          <w:ilvl w:val="0"/>
          <w:numId w:val="3"/>
        </w:numPr>
        <w:spacing w:line="360" w:lineRule="auto"/>
        <w:contextualSpacing/>
        <w:rPr>
          <w:szCs w:val="24"/>
        </w:rPr>
      </w:pPr>
      <w:r w:rsidRPr="00591BFC">
        <w:rPr>
          <w:szCs w:val="24"/>
        </w:rPr>
        <w:t>Falls assessments and other assessments</w:t>
      </w:r>
    </w:p>
    <w:p w14:paraId="07317DD0" w14:textId="77777777" w:rsidR="008C2757" w:rsidRDefault="008C2757" w:rsidP="00E86771">
      <w:pPr>
        <w:spacing w:line="360" w:lineRule="auto"/>
        <w:rPr>
          <w:szCs w:val="24"/>
        </w:rPr>
      </w:pPr>
    </w:p>
    <w:p w14:paraId="10B45468" w14:textId="77777777" w:rsidR="002A7E4D" w:rsidRPr="00591BFC" w:rsidRDefault="002A7E4D" w:rsidP="00E86771">
      <w:pPr>
        <w:spacing w:line="360" w:lineRule="auto"/>
        <w:rPr>
          <w:szCs w:val="24"/>
        </w:rPr>
      </w:pPr>
      <w:r w:rsidRPr="00591BFC">
        <w:rPr>
          <w:szCs w:val="24"/>
        </w:rPr>
        <w:t xml:space="preserve">A regional network of clinicians who work in osteoporosis services helped to identify health care professionals at each hospital who would be best placed to complete the questionnaire, including </w:t>
      </w:r>
      <w:r w:rsidRPr="00591BFC">
        <w:rPr>
          <w:szCs w:val="24"/>
        </w:rPr>
        <w:lastRenderedPageBreak/>
        <w:t xml:space="preserve">fracture liaison nurses, orthogeriatricians, geriatricians, rheumatologists, GPs with a special interest in osteoporosis, trauma surgeons, anaesthetists, endocrinologists and trauma nurses. Initially, one person at each hospital was approached to complete the questionnaire, and further healthcare professionals were identified if additional information was needed. To allow for clarification, the questionnaire was completed by healthcare professional in the presence of one of the research team. This enabled participants to elaborate on any of the more complex details of each component of care. </w:t>
      </w:r>
    </w:p>
    <w:p w14:paraId="7116C3F7" w14:textId="77777777" w:rsidR="002A7E4D" w:rsidRPr="00591BFC" w:rsidRDefault="002A7E4D" w:rsidP="00E86771">
      <w:pPr>
        <w:pStyle w:val="Heading3"/>
        <w:spacing w:line="360" w:lineRule="auto"/>
        <w:rPr>
          <w:rFonts w:ascii="Calibri" w:hAnsi="Calibri"/>
          <w:lang w:val="en-GB"/>
        </w:rPr>
      </w:pPr>
      <w:bookmarkStart w:id="62" w:name="_Toc308300710"/>
      <w:bookmarkStart w:id="63" w:name="_Toc311366517"/>
      <w:r w:rsidRPr="00591BFC">
        <w:rPr>
          <w:rFonts w:ascii="Calibri" w:hAnsi="Calibri"/>
          <w:lang w:val="en-GB"/>
        </w:rPr>
        <w:t>Comparison of services across hospitals</w:t>
      </w:r>
      <w:bookmarkEnd w:id="62"/>
      <w:bookmarkEnd w:id="63"/>
    </w:p>
    <w:p w14:paraId="1168BEB0" w14:textId="04F56C45" w:rsidR="002A7E4D" w:rsidRPr="00591BFC" w:rsidRDefault="002A7E4D" w:rsidP="00E86771">
      <w:pPr>
        <w:spacing w:line="360" w:lineRule="auto"/>
        <w:rPr>
          <w:szCs w:val="24"/>
        </w:rPr>
      </w:pPr>
      <w:r w:rsidRPr="00591BFC">
        <w:rPr>
          <w:szCs w:val="24"/>
        </w:rPr>
        <w:t>To allow direct comparison of service levels between hospitals, staffing levels were calculated as whole time equivalents (WTEs) and as ratios in terms of the number of whole time equivalents per 1000 hip fracture patients, using data on the number of hip fractures reported in the 2013 NHFD report</w:t>
      </w:r>
      <w:hyperlink w:anchor="_ENREF_17" w:tooltip="Johansen, 2013 #73" w:history="1">
        <w:r w:rsidR="00B24FEE">
          <w:rPr>
            <w:szCs w:val="24"/>
          </w:rPr>
          <w:fldChar w:fldCharType="begin"/>
        </w:r>
        <w:r w:rsidR="00B24FEE">
          <w:rPr>
            <w:szCs w:val="24"/>
          </w:rPr>
          <w:instrText xml:space="preserve"> ADDIN EN.CITE &lt;EndNote&gt;&lt;Cite&gt;&lt;Author&gt;Johansen&lt;/Author&gt;&lt;Year&gt;2013&lt;/Year&gt;&lt;RecNum&gt;73&lt;/RecNum&gt;&lt;DisplayText&gt;&lt;style face="superscript"&gt;17&lt;/style&gt;&lt;/DisplayText&gt;&lt;record&gt;&lt;rec-number&gt;73&lt;/rec-number&gt;&lt;foreign-keys&gt;&lt;key app="EN" db-id="sxpszd2ti9dx04ewefrvfp5bpf5faazszr9p" timestamp="0"&gt;73&lt;/key&gt;&lt;/foreign-keys&gt;&lt;ref-type name="Report"&gt;27&lt;/ref-type&gt;&lt;contributors&gt;&lt;authors&gt;&lt;author&gt;Johansen, A.&lt;/author&gt;&lt;author&gt;Wakeman, R.&lt;/author&gt;&lt;author&gt;Boulton, C.&lt;/author&gt;&lt;author&gt;Plant, F.&lt;/author&gt;&lt;author&gt;Roberts, J.&lt;/author&gt;&lt;author&gt;Williams, A.&lt;/author&gt;&lt;/authors&gt;&lt;/contributors&gt;&lt;titles&gt;&lt;title&gt;National Hip Fracture Database. National report 2013&lt;/title&gt;&lt;/titles&gt;&lt;dates&gt;&lt;year&gt;2013&lt;/year&gt;&lt;/dates&gt;&lt;urls&gt;&lt;/urls&gt;&lt;/record&gt;&lt;/Cite&gt;&lt;/EndNote&gt;</w:instrText>
        </w:r>
        <w:r w:rsidR="00B24FEE">
          <w:rPr>
            <w:szCs w:val="24"/>
          </w:rPr>
          <w:fldChar w:fldCharType="separate"/>
        </w:r>
        <w:r w:rsidR="00B24FEE" w:rsidRPr="00B24FEE">
          <w:rPr>
            <w:noProof/>
            <w:szCs w:val="24"/>
            <w:vertAlign w:val="superscript"/>
          </w:rPr>
          <w:t>17</w:t>
        </w:r>
        <w:r w:rsidR="00B24FEE">
          <w:rPr>
            <w:szCs w:val="24"/>
          </w:rPr>
          <w:fldChar w:fldCharType="end"/>
        </w:r>
      </w:hyperlink>
      <w:r w:rsidRPr="00591BFC">
        <w:rPr>
          <w:szCs w:val="24"/>
        </w:rPr>
        <w:t xml:space="preserve">. For simplicity, we grouped all nurses working in fracture prevention (e.g. trauma nurse, osteoporosis nurse specialist) together under the title ‘fracture liaison nurse’ (FLN). Additionally, we identified and described variations in how the four main elements of a fracture prevention service (identification, investigation, initiation and monitoring) are coordinated and conducted. </w:t>
      </w:r>
    </w:p>
    <w:p w14:paraId="7A682566" w14:textId="77777777" w:rsidR="002A7E4D" w:rsidRPr="00591BFC" w:rsidRDefault="002A7E4D" w:rsidP="00E86771">
      <w:pPr>
        <w:pStyle w:val="Heading3"/>
        <w:spacing w:line="360" w:lineRule="auto"/>
        <w:rPr>
          <w:rFonts w:ascii="Calibri" w:hAnsi="Calibri"/>
          <w:lang w:val="en-GB"/>
        </w:rPr>
      </w:pPr>
      <w:bookmarkStart w:id="64" w:name="_Toc308300711"/>
      <w:bookmarkStart w:id="65" w:name="_Toc311366518"/>
      <w:r w:rsidRPr="00591BFC">
        <w:rPr>
          <w:rFonts w:ascii="Calibri" w:hAnsi="Calibri"/>
          <w:lang w:val="en-GB"/>
        </w:rPr>
        <w:t>Identification of key changes in service delivery</w:t>
      </w:r>
      <w:bookmarkEnd w:id="64"/>
      <w:bookmarkEnd w:id="65"/>
      <w:r w:rsidRPr="00591BFC">
        <w:rPr>
          <w:rFonts w:ascii="Calibri" w:hAnsi="Calibri"/>
          <w:lang w:val="en-GB"/>
        </w:rPr>
        <w:t xml:space="preserve"> </w:t>
      </w:r>
    </w:p>
    <w:p w14:paraId="406BF1C2" w14:textId="3350015B" w:rsidR="002A7E4D" w:rsidRPr="00591BFC" w:rsidRDefault="002A7E4D" w:rsidP="00E86771">
      <w:pPr>
        <w:spacing w:line="360" w:lineRule="auto"/>
        <w:rPr>
          <w:szCs w:val="24"/>
        </w:rPr>
      </w:pPr>
      <w:r w:rsidRPr="00591BFC">
        <w:rPr>
          <w:szCs w:val="24"/>
        </w:rPr>
        <w:t xml:space="preserve">Information on changes in service delivery, such as appointment of a new member of staff, opening of a new ward, or changes in procedures for referring patients for DXA scans, was assembled and presented to the study team which included a number of clinicians. Together, the team identified the dates of the key changes to feed into the analysis in work stream </w:t>
      </w:r>
      <w:r w:rsidR="00E916AF">
        <w:rPr>
          <w:szCs w:val="24"/>
        </w:rPr>
        <w:t>3</w:t>
      </w:r>
      <w:r w:rsidRPr="00591BFC">
        <w:rPr>
          <w:szCs w:val="24"/>
        </w:rPr>
        <w:t xml:space="preserve">. Once a list of changes was assembled for each hospital, the list was sent to a healthcare professional at that hospital to ensure that they agreed with the changes that had been identified. </w:t>
      </w:r>
    </w:p>
    <w:p w14:paraId="08266ADC" w14:textId="4B394687" w:rsidR="002A7E4D" w:rsidRPr="00591BFC" w:rsidRDefault="00FC6CC9" w:rsidP="00E86771">
      <w:pPr>
        <w:pStyle w:val="Heading2"/>
        <w:spacing w:line="360" w:lineRule="auto"/>
        <w:rPr>
          <w:rFonts w:ascii="Calibri" w:hAnsi="Calibri"/>
          <w:lang w:val="en-GB"/>
        </w:rPr>
      </w:pPr>
      <w:bookmarkStart w:id="66" w:name="_Toc308300712"/>
      <w:r>
        <w:rPr>
          <w:rFonts w:ascii="Calibri" w:hAnsi="Calibri"/>
          <w:lang w:val="en-GB"/>
        </w:rPr>
        <w:br w:type="page"/>
      </w:r>
      <w:bookmarkStart w:id="67" w:name="_Toc311366519"/>
      <w:r w:rsidR="002A7E4D" w:rsidRPr="00591BFC">
        <w:rPr>
          <w:rFonts w:ascii="Calibri" w:hAnsi="Calibri"/>
          <w:lang w:val="en-GB"/>
        </w:rPr>
        <w:lastRenderedPageBreak/>
        <w:t>Results</w:t>
      </w:r>
      <w:bookmarkEnd w:id="66"/>
      <w:bookmarkEnd w:id="67"/>
    </w:p>
    <w:p w14:paraId="44DE230F" w14:textId="77777777" w:rsidR="002A7E4D" w:rsidRPr="00591BFC" w:rsidRDefault="002A7E4D" w:rsidP="00E86771">
      <w:pPr>
        <w:spacing w:line="360" w:lineRule="auto"/>
        <w:rPr>
          <w:b/>
          <w:szCs w:val="24"/>
        </w:rPr>
      </w:pPr>
    </w:p>
    <w:p w14:paraId="5AEF6B0C" w14:textId="6144F525" w:rsidR="002A7E4D" w:rsidRDefault="002A7E4D" w:rsidP="00043338">
      <w:pPr>
        <w:pStyle w:val="Heading2"/>
        <w:spacing w:line="360" w:lineRule="auto"/>
      </w:pPr>
      <w:bookmarkStart w:id="68" w:name="_Toc308300713"/>
      <w:bookmarkStart w:id="69" w:name="_Toc311366520"/>
      <w:r w:rsidRPr="00591BFC">
        <w:rPr>
          <w:rFonts w:ascii="Calibri" w:hAnsi="Calibri"/>
          <w:lang w:val="en-GB"/>
        </w:rPr>
        <w:t>Current disparity in fracture prevention across hospitals</w:t>
      </w:r>
      <w:bookmarkEnd w:id="68"/>
      <w:bookmarkEnd w:id="69"/>
      <w:r w:rsidRPr="00591BFC">
        <w:rPr>
          <w:rFonts w:ascii="Calibri" w:hAnsi="Calibri"/>
          <w:lang w:val="en-GB"/>
        </w:rPr>
        <w:t xml:space="preserve"> </w:t>
      </w:r>
    </w:p>
    <w:p w14:paraId="7F62C2BD" w14:textId="77777777" w:rsidR="001508BC" w:rsidRDefault="001508BC" w:rsidP="001508BC">
      <w:pPr>
        <w:pStyle w:val="Heading3"/>
        <w:spacing w:line="360" w:lineRule="auto"/>
        <w:rPr>
          <w:rFonts w:ascii="Calibri" w:hAnsi="Calibri"/>
          <w:lang w:val="en-GB"/>
        </w:rPr>
      </w:pPr>
      <w:bookmarkStart w:id="70" w:name="_Toc311366521"/>
      <w:r w:rsidRPr="00591BFC">
        <w:rPr>
          <w:rFonts w:ascii="Calibri" w:hAnsi="Calibri"/>
          <w:lang w:val="en-GB"/>
        </w:rPr>
        <w:t>Staffing levels across hospitals in 2013</w:t>
      </w:r>
      <w:bookmarkEnd w:id="70"/>
    </w:p>
    <w:p w14:paraId="03ED3813" w14:textId="77777777" w:rsidR="00FC6CC9" w:rsidRPr="00FC6CC9" w:rsidRDefault="00FC6CC9" w:rsidP="00FC6CC9"/>
    <w:p w14:paraId="2FF797DD" w14:textId="77777777" w:rsidR="00043338" w:rsidRPr="00043338" w:rsidRDefault="00043338" w:rsidP="00043338"/>
    <w:p w14:paraId="6C7462C2" w14:textId="72E7042C" w:rsidR="001508BC" w:rsidRDefault="00043338" w:rsidP="001508BC">
      <w:pPr>
        <w:pStyle w:val="Caption"/>
        <w:keepNext/>
        <w:spacing w:line="360" w:lineRule="auto"/>
      </w:pPr>
      <w:r w:rsidRPr="00043338">
        <w:t xml:space="preserve"> </w:t>
      </w:r>
      <w:bookmarkStart w:id="71" w:name="_Toc311366662"/>
      <w:r w:rsidRPr="00591BFC">
        <w:t xml:space="preserve">Table </w:t>
      </w:r>
      <w:r w:rsidR="002149AD">
        <w:fldChar w:fldCharType="begin"/>
      </w:r>
      <w:r w:rsidR="002149AD">
        <w:instrText xml:space="preserve"> SEQ Table \* ARABIC </w:instrText>
      </w:r>
      <w:r w:rsidR="002149AD">
        <w:fldChar w:fldCharType="separate"/>
      </w:r>
      <w:r w:rsidR="00B25D33">
        <w:rPr>
          <w:noProof/>
        </w:rPr>
        <w:t>1</w:t>
      </w:r>
      <w:r w:rsidR="002149AD">
        <w:rPr>
          <w:noProof/>
        </w:rPr>
        <w:fldChar w:fldCharType="end"/>
      </w:r>
      <w:r w:rsidRPr="00591BFC">
        <w:t xml:space="preserve"> Specialist fracture prevention staffing levels at the 11 hospitals as of April 2013 expressed as whole time equivalents (WTEs) spent working in a fracture prevention role. Ratios of staffing levels per 1000 patients calculated using the annual numbers of hip fractures from 2013 NHFD report </w:t>
      </w:r>
      <w:hyperlink w:anchor="_ENREF_17" w:tooltip="Johansen, 2013 #73" w:history="1">
        <w:r w:rsidR="00B24FEE">
          <w:fldChar w:fldCharType="begin"/>
        </w:r>
        <w:r w:rsidR="00B24FEE">
          <w:instrText xml:space="preserve"> ADDIN EN.CITE &lt;EndNote&gt;&lt;Cite&gt;&lt;Author&gt;Johansen&lt;/Author&gt;&lt;Year&gt;2013&lt;/Year&gt;&lt;RecNum&gt;73&lt;/RecNum&gt;&lt;DisplayText&gt;&lt;style face="superscript"&gt;17&lt;/style&gt;&lt;/DisplayText&gt;&lt;record&gt;&lt;rec-number&gt;73&lt;/rec-number&gt;&lt;foreign-keys&gt;&lt;key app="EN" db-id="sxpszd2ti9dx04ewefrvfp5bpf5faazszr9p" timestamp="0"&gt;73&lt;/key&gt;&lt;/foreign-keys&gt;&lt;ref-type name="Report"&gt;27&lt;/ref-type&gt;&lt;contributors&gt;&lt;authors&gt;&lt;author&gt;Johansen, A.&lt;/author&gt;&lt;author&gt;Wakeman, R.&lt;/author&gt;&lt;author&gt;Boulton, C.&lt;/author&gt;&lt;author&gt;Plant, F.&lt;/author&gt;&lt;author&gt;Roberts, J.&lt;/author&gt;&lt;author&gt;Williams, A.&lt;/author&gt;&lt;/authors&gt;&lt;/contributors&gt;&lt;titles&gt;&lt;title&gt;National Hip Fracture Database. National report 2013&lt;/title&gt;&lt;/titles&gt;&lt;dates&gt;&lt;year&gt;2013&lt;/year&gt;&lt;/dates&gt;&lt;urls&gt;&lt;/urls&gt;&lt;/record&gt;&lt;/Cite&gt;&lt;/EndNote&gt;</w:instrText>
        </w:r>
        <w:r w:rsidR="00B24FEE">
          <w:fldChar w:fldCharType="separate"/>
        </w:r>
        <w:r w:rsidR="00B24FEE" w:rsidRPr="00B24FEE">
          <w:rPr>
            <w:noProof/>
            <w:vertAlign w:val="superscript"/>
          </w:rPr>
          <w:t>17</w:t>
        </w:r>
        <w:r w:rsidR="00B24FEE">
          <w:fldChar w:fldCharType="end"/>
        </w:r>
      </w:hyperlink>
      <w:r w:rsidRPr="00591BFC">
        <w:t>.</w:t>
      </w:r>
      <w:bookmarkEnd w:id="71"/>
    </w:p>
    <w:tbl>
      <w:tblPr>
        <w:tblpPr w:leftFromText="180" w:rightFromText="180" w:vertAnchor="page" w:horzAnchor="page" w:tblpX="1369" w:tblpY="6121"/>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1760"/>
        <w:gridCol w:w="1852"/>
        <w:gridCol w:w="1171"/>
        <w:gridCol w:w="1495"/>
        <w:gridCol w:w="2070"/>
      </w:tblGrid>
      <w:tr w:rsidR="00FC6CC9" w:rsidRPr="00591BFC" w14:paraId="7C463B18" w14:textId="77777777" w:rsidTr="008B229C">
        <w:trPr>
          <w:trHeight w:val="209"/>
        </w:trPr>
        <w:tc>
          <w:tcPr>
            <w:tcW w:w="0" w:type="auto"/>
            <w:vMerge w:val="restart"/>
            <w:shd w:val="clear" w:color="auto" w:fill="D9D9D9"/>
            <w:vAlign w:val="center"/>
          </w:tcPr>
          <w:p w14:paraId="4A04D502" w14:textId="77777777" w:rsidR="00FC6CC9" w:rsidRPr="00591BFC" w:rsidRDefault="00FC6CC9" w:rsidP="008B229C">
            <w:pPr>
              <w:spacing w:after="0" w:line="360" w:lineRule="auto"/>
              <w:jc w:val="center"/>
              <w:rPr>
                <w:b/>
                <w:sz w:val="18"/>
                <w:szCs w:val="20"/>
              </w:rPr>
            </w:pPr>
            <w:r w:rsidRPr="00591BFC">
              <w:rPr>
                <w:b/>
                <w:sz w:val="18"/>
                <w:szCs w:val="20"/>
              </w:rPr>
              <w:t>Hospital</w:t>
            </w:r>
          </w:p>
        </w:tc>
        <w:tc>
          <w:tcPr>
            <w:tcW w:w="0" w:type="auto"/>
            <w:gridSpan w:val="5"/>
            <w:shd w:val="clear" w:color="auto" w:fill="D9D9D9"/>
            <w:vAlign w:val="center"/>
          </w:tcPr>
          <w:p w14:paraId="366C8565" w14:textId="77777777" w:rsidR="00FC6CC9" w:rsidRPr="00591BFC" w:rsidRDefault="00FC6CC9" w:rsidP="008B229C">
            <w:pPr>
              <w:spacing w:after="0" w:line="360" w:lineRule="auto"/>
              <w:jc w:val="center"/>
              <w:rPr>
                <w:b/>
                <w:sz w:val="18"/>
                <w:szCs w:val="20"/>
              </w:rPr>
            </w:pPr>
            <w:r w:rsidRPr="00591BFC">
              <w:rPr>
                <w:b/>
                <w:sz w:val="18"/>
                <w:szCs w:val="20"/>
              </w:rPr>
              <w:t>Specialist staff (levels expressed as Whole Time Equivalents (WTE))</w:t>
            </w:r>
          </w:p>
        </w:tc>
      </w:tr>
      <w:tr w:rsidR="00FC6CC9" w:rsidRPr="00591BFC" w14:paraId="2891567B" w14:textId="77777777" w:rsidTr="008B229C">
        <w:trPr>
          <w:trHeight w:val="143"/>
        </w:trPr>
        <w:tc>
          <w:tcPr>
            <w:tcW w:w="0" w:type="auto"/>
            <w:vMerge/>
            <w:tcBorders>
              <w:bottom w:val="single" w:sz="4" w:space="0" w:color="auto"/>
            </w:tcBorders>
            <w:shd w:val="clear" w:color="auto" w:fill="D9D9D9"/>
            <w:vAlign w:val="center"/>
          </w:tcPr>
          <w:p w14:paraId="2D560BE5" w14:textId="77777777" w:rsidR="00FC6CC9" w:rsidRPr="00591BFC" w:rsidRDefault="00FC6CC9" w:rsidP="008B229C">
            <w:pPr>
              <w:spacing w:after="0" w:line="360" w:lineRule="auto"/>
              <w:jc w:val="center"/>
              <w:rPr>
                <w:b/>
                <w:sz w:val="18"/>
                <w:szCs w:val="20"/>
              </w:rPr>
            </w:pPr>
          </w:p>
        </w:tc>
        <w:tc>
          <w:tcPr>
            <w:tcW w:w="0" w:type="auto"/>
            <w:shd w:val="clear" w:color="auto" w:fill="D9D9D9"/>
            <w:vAlign w:val="center"/>
          </w:tcPr>
          <w:p w14:paraId="5913138D" w14:textId="77777777" w:rsidR="00FC6CC9" w:rsidRPr="00591BFC" w:rsidRDefault="00FC6CC9" w:rsidP="008B229C">
            <w:pPr>
              <w:spacing w:after="0" w:line="360" w:lineRule="auto"/>
              <w:jc w:val="center"/>
              <w:rPr>
                <w:b/>
                <w:sz w:val="18"/>
                <w:szCs w:val="20"/>
              </w:rPr>
            </w:pPr>
            <w:r w:rsidRPr="00591BFC">
              <w:rPr>
                <w:b/>
                <w:sz w:val="18"/>
                <w:szCs w:val="20"/>
              </w:rPr>
              <w:t>Consultant orthogeriatrician (OG)</w:t>
            </w:r>
          </w:p>
        </w:tc>
        <w:tc>
          <w:tcPr>
            <w:tcW w:w="0" w:type="auto"/>
            <w:shd w:val="clear" w:color="auto" w:fill="D9D9D9"/>
            <w:vAlign w:val="center"/>
          </w:tcPr>
          <w:p w14:paraId="4BE1ED60" w14:textId="77777777" w:rsidR="00FC6CC9" w:rsidRPr="00591BFC" w:rsidRDefault="00FC6CC9" w:rsidP="008B229C">
            <w:pPr>
              <w:spacing w:after="0" w:line="360" w:lineRule="auto"/>
              <w:jc w:val="center"/>
              <w:rPr>
                <w:b/>
                <w:sz w:val="18"/>
                <w:szCs w:val="20"/>
              </w:rPr>
            </w:pPr>
            <w:r w:rsidRPr="00591BFC">
              <w:rPr>
                <w:b/>
                <w:sz w:val="18"/>
                <w:szCs w:val="20"/>
              </w:rPr>
              <w:t>Other orthogeriatric support</w:t>
            </w:r>
          </w:p>
        </w:tc>
        <w:tc>
          <w:tcPr>
            <w:tcW w:w="0" w:type="auto"/>
            <w:shd w:val="clear" w:color="auto" w:fill="D9D9D9"/>
            <w:vAlign w:val="center"/>
          </w:tcPr>
          <w:p w14:paraId="355C5DF5" w14:textId="77777777" w:rsidR="00FC6CC9" w:rsidRPr="00591BFC" w:rsidRDefault="00FC6CC9" w:rsidP="008B229C">
            <w:pPr>
              <w:spacing w:after="0" w:line="360" w:lineRule="auto"/>
              <w:jc w:val="center"/>
              <w:rPr>
                <w:b/>
                <w:sz w:val="18"/>
                <w:szCs w:val="20"/>
              </w:rPr>
            </w:pPr>
            <w:r w:rsidRPr="00591BFC">
              <w:rPr>
                <w:b/>
                <w:sz w:val="18"/>
                <w:szCs w:val="20"/>
              </w:rPr>
              <w:t>Fracture liaison nurse (FLN)</w:t>
            </w:r>
          </w:p>
        </w:tc>
        <w:tc>
          <w:tcPr>
            <w:tcW w:w="0" w:type="auto"/>
            <w:shd w:val="clear" w:color="auto" w:fill="D9D9D9"/>
            <w:vAlign w:val="center"/>
          </w:tcPr>
          <w:p w14:paraId="338D50ED" w14:textId="77777777" w:rsidR="00FC6CC9" w:rsidRPr="00591BFC" w:rsidRDefault="00FC6CC9" w:rsidP="008B229C">
            <w:pPr>
              <w:spacing w:after="0" w:line="360" w:lineRule="auto"/>
              <w:jc w:val="center"/>
              <w:rPr>
                <w:b/>
                <w:sz w:val="18"/>
                <w:szCs w:val="20"/>
              </w:rPr>
            </w:pPr>
            <w:r w:rsidRPr="00591BFC">
              <w:rPr>
                <w:b/>
                <w:sz w:val="18"/>
                <w:szCs w:val="20"/>
              </w:rPr>
              <w:t>Orthopaedic/ specialist nurse</w:t>
            </w:r>
          </w:p>
        </w:tc>
        <w:tc>
          <w:tcPr>
            <w:tcW w:w="0" w:type="auto"/>
            <w:shd w:val="clear" w:color="auto" w:fill="D9D9D9"/>
            <w:vAlign w:val="center"/>
          </w:tcPr>
          <w:p w14:paraId="4F667488" w14:textId="77777777" w:rsidR="00FC6CC9" w:rsidRPr="00591BFC" w:rsidRDefault="00FC6CC9" w:rsidP="008B229C">
            <w:pPr>
              <w:spacing w:after="0" w:line="360" w:lineRule="auto"/>
              <w:jc w:val="center"/>
              <w:rPr>
                <w:b/>
                <w:sz w:val="18"/>
                <w:szCs w:val="20"/>
              </w:rPr>
            </w:pPr>
            <w:r w:rsidRPr="00591BFC">
              <w:rPr>
                <w:b/>
                <w:sz w:val="18"/>
                <w:szCs w:val="20"/>
              </w:rPr>
              <w:t>Lead clinician</w:t>
            </w:r>
          </w:p>
        </w:tc>
      </w:tr>
      <w:tr w:rsidR="00FC6CC9" w:rsidRPr="00591BFC" w14:paraId="7827CAF6" w14:textId="77777777" w:rsidTr="008B229C">
        <w:trPr>
          <w:trHeight w:val="431"/>
        </w:trPr>
        <w:tc>
          <w:tcPr>
            <w:tcW w:w="0" w:type="auto"/>
            <w:shd w:val="clear" w:color="auto" w:fill="D9D9D9"/>
            <w:vAlign w:val="center"/>
          </w:tcPr>
          <w:p w14:paraId="6AAF74B0" w14:textId="77777777" w:rsidR="00FC6CC9" w:rsidRPr="00591BFC" w:rsidRDefault="00FC6CC9" w:rsidP="008B229C">
            <w:pPr>
              <w:spacing w:after="0" w:line="360" w:lineRule="auto"/>
              <w:jc w:val="center"/>
              <w:rPr>
                <w:b/>
                <w:sz w:val="18"/>
                <w:szCs w:val="20"/>
              </w:rPr>
            </w:pPr>
            <w:r w:rsidRPr="00591BFC">
              <w:rPr>
                <w:b/>
                <w:sz w:val="18"/>
                <w:szCs w:val="20"/>
              </w:rPr>
              <w:t>1</w:t>
            </w:r>
          </w:p>
        </w:tc>
        <w:tc>
          <w:tcPr>
            <w:tcW w:w="0" w:type="auto"/>
            <w:shd w:val="clear" w:color="auto" w:fill="auto"/>
            <w:vAlign w:val="center"/>
          </w:tcPr>
          <w:p w14:paraId="681C7321" w14:textId="77777777" w:rsidR="00FC6CC9" w:rsidRPr="00591BFC" w:rsidRDefault="00FC6CC9" w:rsidP="008B229C">
            <w:pPr>
              <w:spacing w:after="0" w:line="360" w:lineRule="auto"/>
              <w:jc w:val="center"/>
              <w:rPr>
                <w:sz w:val="18"/>
                <w:szCs w:val="20"/>
              </w:rPr>
            </w:pPr>
            <w:r w:rsidRPr="00591BFC">
              <w:rPr>
                <w:sz w:val="18"/>
                <w:szCs w:val="20"/>
              </w:rPr>
              <w:t>0</w:t>
            </w:r>
          </w:p>
        </w:tc>
        <w:tc>
          <w:tcPr>
            <w:tcW w:w="0" w:type="auto"/>
            <w:shd w:val="clear" w:color="auto" w:fill="auto"/>
            <w:vAlign w:val="center"/>
          </w:tcPr>
          <w:p w14:paraId="2679A81C" w14:textId="77777777" w:rsidR="00FC6CC9" w:rsidRPr="00591BFC" w:rsidRDefault="00FC6CC9" w:rsidP="008B229C">
            <w:pPr>
              <w:spacing w:after="0" w:line="360" w:lineRule="auto"/>
              <w:jc w:val="center"/>
              <w:rPr>
                <w:sz w:val="18"/>
                <w:szCs w:val="20"/>
              </w:rPr>
            </w:pPr>
            <w:r w:rsidRPr="00591BFC">
              <w:rPr>
                <w:sz w:val="18"/>
                <w:szCs w:val="20"/>
              </w:rPr>
              <w:t>0.5 WTE</w:t>
            </w:r>
          </w:p>
          <w:p w14:paraId="2432FBF6" w14:textId="77777777" w:rsidR="00FC6CC9" w:rsidRPr="00591BFC" w:rsidRDefault="00FC6CC9" w:rsidP="008B229C">
            <w:pPr>
              <w:spacing w:after="0" w:line="360" w:lineRule="auto"/>
              <w:jc w:val="center"/>
              <w:rPr>
                <w:sz w:val="18"/>
                <w:szCs w:val="20"/>
              </w:rPr>
            </w:pPr>
            <w:r w:rsidRPr="00591BFC">
              <w:rPr>
                <w:sz w:val="18"/>
                <w:szCs w:val="20"/>
              </w:rPr>
              <w:t>2.3:1000 patients</w:t>
            </w:r>
          </w:p>
        </w:tc>
        <w:tc>
          <w:tcPr>
            <w:tcW w:w="0" w:type="auto"/>
            <w:shd w:val="clear" w:color="auto" w:fill="auto"/>
            <w:vAlign w:val="center"/>
          </w:tcPr>
          <w:p w14:paraId="52F8D246" w14:textId="77777777" w:rsidR="00FC6CC9" w:rsidRPr="00591BFC" w:rsidRDefault="00FC6CC9" w:rsidP="008B229C">
            <w:pPr>
              <w:spacing w:after="0" w:line="360" w:lineRule="auto"/>
              <w:jc w:val="center"/>
              <w:rPr>
                <w:sz w:val="18"/>
                <w:szCs w:val="20"/>
              </w:rPr>
            </w:pPr>
            <w:r w:rsidRPr="00591BFC">
              <w:rPr>
                <w:sz w:val="18"/>
                <w:szCs w:val="20"/>
              </w:rPr>
              <w:t>1 WTE</w:t>
            </w:r>
          </w:p>
          <w:p w14:paraId="2EA7B354" w14:textId="77777777" w:rsidR="00FC6CC9" w:rsidRPr="00591BFC" w:rsidRDefault="00FC6CC9" w:rsidP="008B229C">
            <w:pPr>
              <w:spacing w:after="0" w:line="360" w:lineRule="auto"/>
              <w:jc w:val="center"/>
              <w:rPr>
                <w:sz w:val="18"/>
                <w:szCs w:val="20"/>
              </w:rPr>
            </w:pPr>
            <w:r w:rsidRPr="00591BFC">
              <w:rPr>
                <w:sz w:val="18"/>
                <w:szCs w:val="20"/>
              </w:rPr>
              <w:t>4.5:1000 patients</w:t>
            </w:r>
          </w:p>
        </w:tc>
        <w:tc>
          <w:tcPr>
            <w:tcW w:w="0" w:type="auto"/>
            <w:shd w:val="clear" w:color="auto" w:fill="auto"/>
            <w:vAlign w:val="center"/>
          </w:tcPr>
          <w:p w14:paraId="72976691" w14:textId="77777777" w:rsidR="00FC6CC9" w:rsidRPr="00591BFC" w:rsidRDefault="00FC6CC9" w:rsidP="008B229C">
            <w:pPr>
              <w:spacing w:after="0" w:line="360" w:lineRule="auto"/>
              <w:jc w:val="center"/>
              <w:rPr>
                <w:sz w:val="18"/>
                <w:szCs w:val="20"/>
              </w:rPr>
            </w:pPr>
            <w:r w:rsidRPr="00591BFC">
              <w:rPr>
                <w:sz w:val="18"/>
                <w:szCs w:val="20"/>
              </w:rPr>
              <w:t>0</w:t>
            </w:r>
          </w:p>
        </w:tc>
        <w:tc>
          <w:tcPr>
            <w:tcW w:w="0" w:type="auto"/>
            <w:shd w:val="clear" w:color="auto" w:fill="auto"/>
            <w:vAlign w:val="center"/>
          </w:tcPr>
          <w:p w14:paraId="3546CCB3" w14:textId="77777777" w:rsidR="00FC6CC9" w:rsidRPr="00591BFC" w:rsidRDefault="00FC6CC9" w:rsidP="008B229C">
            <w:pPr>
              <w:spacing w:after="0" w:line="360" w:lineRule="auto"/>
              <w:jc w:val="center"/>
              <w:rPr>
                <w:sz w:val="18"/>
                <w:szCs w:val="20"/>
              </w:rPr>
            </w:pPr>
            <w:r w:rsidRPr="00591BFC">
              <w:rPr>
                <w:sz w:val="18"/>
                <w:szCs w:val="20"/>
              </w:rPr>
              <w:t>1 (rheumatologist)</w:t>
            </w:r>
          </w:p>
        </w:tc>
      </w:tr>
      <w:tr w:rsidR="00FC6CC9" w:rsidRPr="00591BFC" w14:paraId="3103073C" w14:textId="77777777" w:rsidTr="008B229C">
        <w:trPr>
          <w:trHeight w:val="431"/>
        </w:trPr>
        <w:tc>
          <w:tcPr>
            <w:tcW w:w="0" w:type="auto"/>
            <w:shd w:val="clear" w:color="auto" w:fill="D9D9D9"/>
            <w:vAlign w:val="center"/>
          </w:tcPr>
          <w:p w14:paraId="29A23AB3" w14:textId="77777777" w:rsidR="00FC6CC9" w:rsidRPr="00591BFC" w:rsidRDefault="00FC6CC9" w:rsidP="008B229C">
            <w:pPr>
              <w:spacing w:after="0" w:line="360" w:lineRule="auto"/>
              <w:jc w:val="center"/>
              <w:rPr>
                <w:b/>
                <w:sz w:val="18"/>
                <w:szCs w:val="20"/>
              </w:rPr>
            </w:pPr>
            <w:r w:rsidRPr="00591BFC">
              <w:rPr>
                <w:b/>
                <w:sz w:val="18"/>
                <w:szCs w:val="20"/>
              </w:rPr>
              <w:t>2</w:t>
            </w:r>
          </w:p>
        </w:tc>
        <w:tc>
          <w:tcPr>
            <w:tcW w:w="0" w:type="auto"/>
            <w:shd w:val="clear" w:color="auto" w:fill="auto"/>
            <w:vAlign w:val="center"/>
          </w:tcPr>
          <w:p w14:paraId="4FB2BE44" w14:textId="77777777" w:rsidR="00FC6CC9" w:rsidRPr="00591BFC" w:rsidRDefault="00FC6CC9" w:rsidP="008B229C">
            <w:pPr>
              <w:spacing w:after="0" w:line="360" w:lineRule="auto"/>
              <w:jc w:val="center"/>
              <w:rPr>
                <w:sz w:val="18"/>
                <w:szCs w:val="20"/>
              </w:rPr>
            </w:pPr>
            <w:r w:rsidRPr="00591BFC">
              <w:rPr>
                <w:sz w:val="18"/>
                <w:szCs w:val="20"/>
              </w:rPr>
              <w:t>1.0 WTE</w:t>
            </w:r>
          </w:p>
          <w:p w14:paraId="173A1D5C" w14:textId="77777777" w:rsidR="00FC6CC9" w:rsidRPr="00591BFC" w:rsidRDefault="00FC6CC9" w:rsidP="008B229C">
            <w:pPr>
              <w:spacing w:after="0" w:line="360" w:lineRule="auto"/>
              <w:jc w:val="center"/>
              <w:rPr>
                <w:sz w:val="18"/>
                <w:szCs w:val="20"/>
              </w:rPr>
            </w:pPr>
            <w:r w:rsidRPr="00591BFC">
              <w:rPr>
                <w:sz w:val="18"/>
                <w:szCs w:val="20"/>
              </w:rPr>
              <w:t>2:1000 patients</w:t>
            </w:r>
          </w:p>
        </w:tc>
        <w:tc>
          <w:tcPr>
            <w:tcW w:w="0" w:type="auto"/>
            <w:shd w:val="clear" w:color="auto" w:fill="auto"/>
            <w:vAlign w:val="center"/>
          </w:tcPr>
          <w:p w14:paraId="2B85000E" w14:textId="77777777" w:rsidR="00FC6CC9" w:rsidRPr="00591BFC" w:rsidRDefault="00FC6CC9" w:rsidP="008B229C">
            <w:pPr>
              <w:spacing w:after="0" w:line="360" w:lineRule="auto"/>
              <w:jc w:val="center"/>
              <w:rPr>
                <w:sz w:val="18"/>
                <w:szCs w:val="20"/>
              </w:rPr>
            </w:pPr>
            <w:r w:rsidRPr="00591BFC">
              <w:rPr>
                <w:sz w:val="18"/>
                <w:szCs w:val="20"/>
              </w:rPr>
              <w:t>1 WTE</w:t>
            </w:r>
          </w:p>
          <w:p w14:paraId="285FE451" w14:textId="77777777" w:rsidR="00FC6CC9" w:rsidRPr="00591BFC" w:rsidRDefault="00FC6CC9" w:rsidP="008B229C">
            <w:pPr>
              <w:spacing w:after="0" w:line="360" w:lineRule="auto"/>
              <w:jc w:val="center"/>
              <w:rPr>
                <w:sz w:val="18"/>
                <w:szCs w:val="20"/>
              </w:rPr>
            </w:pPr>
            <w:r w:rsidRPr="00591BFC">
              <w:rPr>
                <w:sz w:val="18"/>
                <w:szCs w:val="20"/>
              </w:rPr>
              <w:t>2:1000 patients</w:t>
            </w:r>
          </w:p>
        </w:tc>
        <w:tc>
          <w:tcPr>
            <w:tcW w:w="0" w:type="auto"/>
            <w:shd w:val="clear" w:color="auto" w:fill="auto"/>
            <w:vAlign w:val="center"/>
          </w:tcPr>
          <w:p w14:paraId="01C6B8FE" w14:textId="77777777" w:rsidR="00FC6CC9" w:rsidRPr="00591BFC" w:rsidRDefault="00FC6CC9" w:rsidP="008B229C">
            <w:pPr>
              <w:spacing w:after="0" w:line="360" w:lineRule="auto"/>
              <w:jc w:val="center"/>
              <w:rPr>
                <w:sz w:val="18"/>
                <w:szCs w:val="20"/>
              </w:rPr>
            </w:pPr>
            <w:r w:rsidRPr="00591BFC">
              <w:rPr>
                <w:sz w:val="18"/>
                <w:szCs w:val="20"/>
              </w:rPr>
              <w:t>0</w:t>
            </w:r>
          </w:p>
        </w:tc>
        <w:tc>
          <w:tcPr>
            <w:tcW w:w="0" w:type="auto"/>
            <w:shd w:val="clear" w:color="auto" w:fill="auto"/>
            <w:vAlign w:val="center"/>
          </w:tcPr>
          <w:p w14:paraId="3FB39947" w14:textId="77777777" w:rsidR="00FC6CC9" w:rsidRPr="00591BFC" w:rsidRDefault="00FC6CC9" w:rsidP="008B229C">
            <w:pPr>
              <w:spacing w:after="0" w:line="360" w:lineRule="auto"/>
              <w:jc w:val="center"/>
              <w:rPr>
                <w:sz w:val="18"/>
                <w:szCs w:val="20"/>
              </w:rPr>
            </w:pPr>
            <w:r w:rsidRPr="00591BFC">
              <w:rPr>
                <w:sz w:val="18"/>
                <w:szCs w:val="20"/>
              </w:rPr>
              <w:t>0</w:t>
            </w:r>
          </w:p>
        </w:tc>
        <w:tc>
          <w:tcPr>
            <w:tcW w:w="0" w:type="auto"/>
            <w:shd w:val="clear" w:color="auto" w:fill="auto"/>
            <w:vAlign w:val="center"/>
          </w:tcPr>
          <w:p w14:paraId="680C0AB1" w14:textId="77777777" w:rsidR="00FC6CC9" w:rsidRPr="00591BFC" w:rsidRDefault="00FC6CC9" w:rsidP="008B229C">
            <w:pPr>
              <w:spacing w:after="0" w:line="360" w:lineRule="auto"/>
              <w:jc w:val="center"/>
              <w:rPr>
                <w:sz w:val="18"/>
                <w:szCs w:val="20"/>
              </w:rPr>
            </w:pPr>
            <w:r w:rsidRPr="00591BFC">
              <w:rPr>
                <w:sz w:val="18"/>
                <w:szCs w:val="20"/>
              </w:rPr>
              <w:t>1 (orthogeriatrician)</w:t>
            </w:r>
          </w:p>
        </w:tc>
      </w:tr>
      <w:tr w:rsidR="00FC6CC9" w:rsidRPr="00591BFC" w14:paraId="296AE7F4" w14:textId="77777777" w:rsidTr="008B229C">
        <w:trPr>
          <w:trHeight w:val="431"/>
        </w:trPr>
        <w:tc>
          <w:tcPr>
            <w:tcW w:w="0" w:type="auto"/>
            <w:shd w:val="clear" w:color="auto" w:fill="D9D9D9"/>
            <w:vAlign w:val="center"/>
          </w:tcPr>
          <w:p w14:paraId="5C3967F4" w14:textId="77777777" w:rsidR="00FC6CC9" w:rsidRPr="00591BFC" w:rsidRDefault="00FC6CC9" w:rsidP="008B229C">
            <w:pPr>
              <w:spacing w:after="0" w:line="360" w:lineRule="auto"/>
              <w:jc w:val="center"/>
              <w:rPr>
                <w:b/>
                <w:sz w:val="18"/>
                <w:szCs w:val="20"/>
              </w:rPr>
            </w:pPr>
            <w:r w:rsidRPr="00591BFC">
              <w:rPr>
                <w:b/>
                <w:sz w:val="18"/>
                <w:szCs w:val="20"/>
              </w:rPr>
              <w:t>3</w:t>
            </w:r>
          </w:p>
        </w:tc>
        <w:tc>
          <w:tcPr>
            <w:tcW w:w="0" w:type="auto"/>
            <w:shd w:val="clear" w:color="auto" w:fill="auto"/>
            <w:vAlign w:val="center"/>
          </w:tcPr>
          <w:p w14:paraId="2155EFB5" w14:textId="77777777" w:rsidR="00FC6CC9" w:rsidRPr="00591BFC" w:rsidRDefault="00FC6CC9" w:rsidP="008B229C">
            <w:pPr>
              <w:spacing w:after="0" w:line="360" w:lineRule="auto"/>
              <w:jc w:val="center"/>
              <w:rPr>
                <w:sz w:val="18"/>
                <w:szCs w:val="20"/>
              </w:rPr>
            </w:pPr>
            <w:r w:rsidRPr="00591BFC">
              <w:rPr>
                <w:sz w:val="18"/>
                <w:szCs w:val="20"/>
              </w:rPr>
              <w:t>0.1 WTE</w:t>
            </w:r>
          </w:p>
          <w:p w14:paraId="78D9B417" w14:textId="77777777" w:rsidR="00FC6CC9" w:rsidRPr="00591BFC" w:rsidRDefault="00FC6CC9" w:rsidP="008B229C">
            <w:pPr>
              <w:spacing w:after="0" w:line="360" w:lineRule="auto"/>
              <w:jc w:val="center"/>
              <w:rPr>
                <w:sz w:val="18"/>
                <w:szCs w:val="20"/>
              </w:rPr>
            </w:pPr>
            <w:r w:rsidRPr="00591BFC">
              <w:rPr>
                <w:sz w:val="18"/>
                <w:szCs w:val="20"/>
              </w:rPr>
              <w:t>0.3:1000 patients</w:t>
            </w:r>
          </w:p>
        </w:tc>
        <w:tc>
          <w:tcPr>
            <w:tcW w:w="0" w:type="auto"/>
            <w:shd w:val="clear" w:color="auto" w:fill="auto"/>
            <w:vAlign w:val="center"/>
          </w:tcPr>
          <w:p w14:paraId="52DEBF2E" w14:textId="77777777" w:rsidR="00FC6CC9" w:rsidRPr="00591BFC" w:rsidRDefault="00FC6CC9" w:rsidP="008B229C">
            <w:pPr>
              <w:spacing w:after="0" w:line="360" w:lineRule="auto"/>
              <w:jc w:val="center"/>
              <w:rPr>
                <w:sz w:val="18"/>
                <w:szCs w:val="20"/>
              </w:rPr>
            </w:pPr>
            <w:r w:rsidRPr="00591BFC">
              <w:rPr>
                <w:sz w:val="18"/>
                <w:szCs w:val="20"/>
              </w:rPr>
              <w:t>1 WTE</w:t>
            </w:r>
          </w:p>
          <w:p w14:paraId="4659260C" w14:textId="77777777" w:rsidR="00FC6CC9" w:rsidRPr="00591BFC" w:rsidRDefault="00FC6CC9" w:rsidP="008B229C">
            <w:pPr>
              <w:spacing w:after="0" w:line="360" w:lineRule="auto"/>
              <w:jc w:val="center"/>
              <w:rPr>
                <w:sz w:val="18"/>
                <w:szCs w:val="20"/>
              </w:rPr>
            </w:pPr>
            <w:r w:rsidRPr="00591BFC">
              <w:rPr>
                <w:sz w:val="18"/>
                <w:szCs w:val="20"/>
              </w:rPr>
              <w:t>3:1000 patients</w:t>
            </w:r>
          </w:p>
        </w:tc>
        <w:tc>
          <w:tcPr>
            <w:tcW w:w="0" w:type="auto"/>
            <w:shd w:val="clear" w:color="auto" w:fill="auto"/>
            <w:vAlign w:val="center"/>
          </w:tcPr>
          <w:p w14:paraId="65156822" w14:textId="77777777" w:rsidR="00FC6CC9" w:rsidRPr="00591BFC" w:rsidRDefault="00FC6CC9" w:rsidP="008B229C">
            <w:pPr>
              <w:spacing w:after="0" w:line="360" w:lineRule="auto"/>
              <w:jc w:val="center"/>
              <w:rPr>
                <w:sz w:val="18"/>
                <w:szCs w:val="20"/>
              </w:rPr>
            </w:pPr>
            <w:r w:rsidRPr="00591BFC">
              <w:rPr>
                <w:sz w:val="18"/>
                <w:szCs w:val="20"/>
              </w:rPr>
              <w:t>0</w:t>
            </w:r>
          </w:p>
        </w:tc>
        <w:tc>
          <w:tcPr>
            <w:tcW w:w="0" w:type="auto"/>
            <w:shd w:val="clear" w:color="auto" w:fill="auto"/>
            <w:vAlign w:val="center"/>
          </w:tcPr>
          <w:p w14:paraId="0148CF06" w14:textId="77777777" w:rsidR="00FC6CC9" w:rsidRPr="00591BFC" w:rsidRDefault="00FC6CC9" w:rsidP="008B229C">
            <w:pPr>
              <w:spacing w:after="0" w:line="360" w:lineRule="auto"/>
              <w:jc w:val="center"/>
              <w:rPr>
                <w:sz w:val="18"/>
                <w:szCs w:val="20"/>
              </w:rPr>
            </w:pPr>
            <w:r w:rsidRPr="00591BFC">
              <w:rPr>
                <w:sz w:val="18"/>
                <w:szCs w:val="20"/>
              </w:rPr>
              <w:t xml:space="preserve">0 </w:t>
            </w:r>
          </w:p>
        </w:tc>
        <w:tc>
          <w:tcPr>
            <w:tcW w:w="0" w:type="auto"/>
            <w:shd w:val="clear" w:color="auto" w:fill="auto"/>
            <w:vAlign w:val="center"/>
          </w:tcPr>
          <w:p w14:paraId="613AD785" w14:textId="77777777" w:rsidR="00FC6CC9" w:rsidRPr="00591BFC" w:rsidRDefault="00FC6CC9" w:rsidP="008B229C">
            <w:pPr>
              <w:spacing w:after="0" w:line="360" w:lineRule="auto"/>
              <w:jc w:val="center"/>
              <w:rPr>
                <w:sz w:val="18"/>
                <w:szCs w:val="20"/>
              </w:rPr>
            </w:pPr>
            <w:r w:rsidRPr="00591BFC">
              <w:rPr>
                <w:sz w:val="18"/>
                <w:szCs w:val="20"/>
              </w:rPr>
              <w:t>0</w:t>
            </w:r>
          </w:p>
        </w:tc>
      </w:tr>
      <w:tr w:rsidR="00FC6CC9" w:rsidRPr="00591BFC" w14:paraId="70534D43" w14:textId="77777777" w:rsidTr="008B229C">
        <w:trPr>
          <w:trHeight w:val="431"/>
        </w:trPr>
        <w:tc>
          <w:tcPr>
            <w:tcW w:w="0" w:type="auto"/>
            <w:shd w:val="clear" w:color="auto" w:fill="D9D9D9"/>
            <w:vAlign w:val="center"/>
          </w:tcPr>
          <w:p w14:paraId="05514A65" w14:textId="77777777" w:rsidR="00FC6CC9" w:rsidRPr="00591BFC" w:rsidRDefault="00FC6CC9" w:rsidP="008B229C">
            <w:pPr>
              <w:spacing w:after="0" w:line="360" w:lineRule="auto"/>
              <w:jc w:val="center"/>
              <w:rPr>
                <w:b/>
                <w:sz w:val="18"/>
                <w:szCs w:val="20"/>
              </w:rPr>
            </w:pPr>
            <w:r w:rsidRPr="00591BFC">
              <w:rPr>
                <w:b/>
                <w:sz w:val="18"/>
                <w:szCs w:val="20"/>
              </w:rPr>
              <w:t>4</w:t>
            </w:r>
          </w:p>
        </w:tc>
        <w:tc>
          <w:tcPr>
            <w:tcW w:w="0" w:type="auto"/>
            <w:shd w:val="clear" w:color="auto" w:fill="auto"/>
            <w:vAlign w:val="center"/>
          </w:tcPr>
          <w:p w14:paraId="1A9FB480" w14:textId="77777777" w:rsidR="00FC6CC9" w:rsidRPr="00591BFC" w:rsidRDefault="00FC6CC9" w:rsidP="008B229C">
            <w:pPr>
              <w:spacing w:after="0" w:line="360" w:lineRule="auto"/>
              <w:jc w:val="center"/>
              <w:rPr>
                <w:sz w:val="18"/>
                <w:szCs w:val="20"/>
              </w:rPr>
            </w:pPr>
            <w:r w:rsidRPr="00591BFC">
              <w:rPr>
                <w:sz w:val="18"/>
                <w:szCs w:val="20"/>
              </w:rPr>
              <w:t>0.5 WTE</w:t>
            </w:r>
          </w:p>
          <w:p w14:paraId="7BDC41A0" w14:textId="77777777" w:rsidR="00FC6CC9" w:rsidRPr="00591BFC" w:rsidRDefault="00FC6CC9" w:rsidP="008B229C">
            <w:pPr>
              <w:spacing w:after="0" w:line="360" w:lineRule="auto"/>
              <w:jc w:val="center"/>
              <w:rPr>
                <w:sz w:val="18"/>
                <w:szCs w:val="20"/>
              </w:rPr>
            </w:pPr>
            <w:r w:rsidRPr="00591BFC">
              <w:rPr>
                <w:sz w:val="18"/>
                <w:szCs w:val="20"/>
              </w:rPr>
              <w:t>1.3:1000 patient</w:t>
            </w:r>
          </w:p>
        </w:tc>
        <w:tc>
          <w:tcPr>
            <w:tcW w:w="0" w:type="auto"/>
            <w:shd w:val="clear" w:color="auto" w:fill="auto"/>
            <w:vAlign w:val="center"/>
          </w:tcPr>
          <w:p w14:paraId="4BCEA0FE" w14:textId="77777777" w:rsidR="00FC6CC9" w:rsidRPr="00591BFC" w:rsidRDefault="00FC6CC9" w:rsidP="008B229C">
            <w:pPr>
              <w:spacing w:after="0" w:line="360" w:lineRule="auto"/>
              <w:jc w:val="center"/>
              <w:rPr>
                <w:sz w:val="18"/>
                <w:szCs w:val="20"/>
              </w:rPr>
            </w:pPr>
            <w:r w:rsidRPr="00591BFC">
              <w:rPr>
                <w:sz w:val="18"/>
                <w:szCs w:val="20"/>
              </w:rPr>
              <w:t>0.2 WTE</w:t>
            </w:r>
          </w:p>
          <w:p w14:paraId="51031281" w14:textId="77777777" w:rsidR="00FC6CC9" w:rsidRPr="00591BFC" w:rsidRDefault="00FC6CC9" w:rsidP="008B229C">
            <w:pPr>
              <w:spacing w:after="0" w:line="360" w:lineRule="auto"/>
              <w:jc w:val="center"/>
              <w:rPr>
                <w:sz w:val="18"/>
                <w:szCs w:val="20"/>
              </w:rPr>
            </w:pPr>
            <w:r w:rsidRPr="00591BFC">
              <w:rPr>
                <w:sz w:val="18"/>
                <w:szCs w:val="20"/>
              </w:rPr>
              <w:t>0.5:1000 patients</w:t>
            </w:r>
          </w:p>
        </w:tc>
        <w:tc>
          <w:tcPr>
            <w:tcW w:w="0" w:type="auto"/>
            <w:shd w:val="clear" w:color="auto" w:fill="auto"/>
            <w:vAlign w:val="center"/>
          </w:tcPr>
          <w:p w14:paraId="7DE9BDB8" w14:textId="77777777" w:rsidR="00FC6CC9" w:rsidRPr="00591BFC" w:rsidRDefault="00FC6CC9" w:rsidP="008B229C">
            <w:pPr>
              <w:spacing w:after="0" w:line="360" w:lineRule="auto"/>
              <w:jc w:val="center"/>
              <w:rPr>
                <w:sz w:val="18"/>
                <w:szCs w:val="20"/>
              </w:rPr>
            </w:pPr>
            <w:r w:rsidRPr="00591BFC">
              <w:rPr>
                <w:sz w:val="18"/>
                <w:szCs w:val="20"/>
              </w:rPr>
              <w:t>0.5 WTE</w:t>
            </w:r>
          </w:p>
          <w:p w14:paraId="0B203A67" w14:textId="77777777" w:rsidR="00FC6CC9" w:rsidRPr="00591BFC" w:rsidRDefault="00FC6CC9" w:rsidP="008B229C">
            <w:pPr>
              <w:spacing w:after="0" w:line="360" w:lineRule="auto"/>
              <w:jc w:val="center"/>
              <w:rPr>
                <w:sz w:val="18"/>
                <w:szCs w:val="20"/>
              </w:rPr>
            </w:pPr>
            <w:r w:rsidRPr="00591BFC">
              <w:rPr>
                <w:sz w:val="18"/>
                <w:szCs w:val="20"/>
              </w:rPr>
              <w:t>1.3:1000 patients</w:t>
            </w:r>
          </w:p>
        </w:tc>
        <w:tc>
          <w:tcPr>
            <w:tcW w:w="0" w:type="auto"/>
            <w:shd w:val="clear" w:color="auto" w:fill="auto"/>
            <w:vAlign w:val="center"/>
          </w:tcPr>
          <w:p w14:paraId="6E6D2CF3" w14:textId="77777777" w:rsidR="00FC6CC9" w:rsidRPr="00591BFC" w:rsidRDefault="00FC6CC9" w:rsidP="008B229C">
            <w:pPr>
              <w:spacing w:after="0" w:line="360" w:lineRule="auto"/>
              <w:jc w:val="center"/>
              <w:rPr>
                <w:sz w:val="18"/>
                <w:szCs w:val="20"/>
              </w:rPr>
            </w:pPr>
            <w:r w:rsidRPr="00591BFC">
              <w:rPr>
                <w:sz w:val="18"/>
                <w:szCs w:val="20"/>
              </w:rPr>
              <w:t>0</w:t>
            </w:r>
          </w:p>
        </w:tc>
        <w:tc>
          <w:tcPr>
            <w:tcW w:w="0" w:type="auto"/>
            <w:shd w:val="clear" w:color="auto" w:fill="auto"/>
            <w:vAlign w:val="center"/>
          </w:tcPr>
          <w:p w14:paraId="6D625492" w14:textId="77777777" w:rsidR="00FC6CC9" w:rsidRPr="00591BFC" w:rsidRDefault="00FC6CC9" w:rsidP="008B229C">
            <w:pPr>
              <w:spacing w:after="0" w:line="360" w:lineRule="auto"/>
              <w:jc w:val="center"/>
              <w:rPr>
                <w:sz w:val="18"/>
                <w:szCs w:val="20"/>
              </w:rPr>
            </w:pPr>
            <w:r w:rsidRPr="00591BFC">
              <w:rPr>
                <w:sz w:val="18"/>
                <w:szCs w:val="20"/>
              </w:rPr>
              <w:t>1 (rheumatologist)</w:t>
            </w:r>
          </w:p>
        </w:tc>
      </w:tr>
      <w:tr w:rsidR="00FC6CC9" w:rsidRPr="00591BFC" w14:paraId="2A6C1576" w14:textId="77777777" w:rsidTr="008B229C">
        <w:trPr>
          <w:trHeight w:val="209"/>
        </w:trPr>
        <w:tc>
          <w:tcPr>
            <w:tcW w:w="0" w:type="auto"/>
            <w:shd w:val="clear" w:color="auto" w:fill="D9D9D9"/>
            <w:vAlign w:val="center"/>
          </w:tcPr>
          <w:p w14:paraId="46C7F6A8" w14:textId="77777777" w:rsidR="00FC6CC9" w:rsidRPr="00591BFC" w:rsidRDefault="00FC6CC9" w:rsidP="008B229C">
            <w:pPr>
              <w:spacing w:after="0" w:line="360" w:lineRule="auto"/>
              <w:jc w:val="center"/>
              <w:rPr>
                <w:b/>
                <w:sz w:val="18"/>
                <w:szCs w:val="20"/>
              </w:rPr>
            </w:pPr>
            <w:r w:rsidRPr="00591BFC">
              <w:rPr>
                <w:b/>
                <w:sz w:val="18"/>
                <w:szCs w:val="20"/>
              </w:rPr>
              <w:t>5</w:t>
            </w:r>
          </w:p>
        </w:tc>
        <w:tc>
          <w:tcPr>
            <w:tcW w:w="0" w:type="auto"/>
            <w:shd w:val="clear" w:color="auto" w:fill="auto"/>
            <w:vAlign w:val="center"/>
          </w:tcPr>
          <w:p w14:paraId="004E537E" w14:textId="77777777" w:rsidR="00FC6CC9" w:rsidRPr="00591BFC" w:rsidRDefault="00FC6CC9" w:rsidP="008B229C">
            <w:pPr>
              <w:spacing w:after="0" w:line="360" w:lineRule="auto"/>
              <w:jc w:val="center"/>
              <w:rPr>
                <w:sz w:val="18"/>
                <w:szCs w:val="20"/>
              </w:rPr>
            </w:pPr>
            <w:r w:rsidRPr="00591BFC">
              <w:rPr>
                <w:sz w:val="18"/>
                <w:szCs w:val="20"/>
              </w:rPr>
              <w:t>0.33 WTE</w:t>
            </w:r>
          </w:p>
          <w:p w14:paraId="57E5AEB0" w14:textId="77777777" w:rsidR="00FC6CC9" w:rsidRPr="00591BFC" w:rsidRDefault="00FC6CC9" w:rsidP="008B229C">
            <w:pPr>
              <w:spacing w:after="0" w:line="360" w:lineRule="auto"/>
              <w:jc w:val="center"/>
              <w:rPr>
                <w:sz w:val="18"/>
                <w:szCs w:val="20"/>
              </w:rPr>
            </w:pPr>
            <w:r w:rsidRPr="00591BFC">
              <w:rPr>
                <w:sz w:val="18"/>
                <w:szCs w:val="20"/>
              </w:rPr>
              <w:t>1.5:1000 patients</w:t>
            </w:r>
          </w:p>
        </w:tc>
        <w:tc>
          <w:tcPr>
            <w:tcW w:w="0" w:type="auto"/>
            <w:shd w:val="clear" w:color="auto" w:fill="auto"/>
            <w:vAlign w:val="center"/>
          </w:tcPr>
          <w:p w14:paraId="216B6C55" w14:textId="77777777" w:rsidR="00FC6CC9" w:rsidRPr="00591BFC" w:rsidRDefault="00FC6CC9" w:rsidP="008B229C">
            <w:pPr>
              <w:spacing w:after="0" w:line="360" w:lineRule="auto"/>
              <w:jc w:val="center"/>
              <w:rPr>
                <w:sz w:val="18"/>
                <w:szCs w:val="20"/>
              </w:rPr>
            </w:pPr>
            <w:r w:rsidRPr="00591BFC">
              <w:rPr>
                <w:sz w:val="18"/>
                <w:szCs w:val="20"/>
              </w:rPr>
              <w:t>0.6 WTE (trust grade orthogeriatrician)</w:t>
            </w:r>
          </w:p>
          <w:p w14:paraId="3127CB4D" w14:textId="77777777" w:rsidR="00FC6CC9" w:rsidRPr="00591BFC" w:rsidRDefault="00FC6CC9" w:rsidP="008B229C">
            <w:pPr>
              <w:spacing w:after="0" w:line="360" w:lineRule="auto"/>
              <w:jc w:val="center"/>
              <w:rPr>
                <w:sz w:val="18"/>
                <w:szCs w:val="20"/>
              </w:rPr>
            </w:pPr>
            <w:r w:rsidRPr="00591BFC">
              <w:rPr>
                <w:sz w:val="18"/>
                <w:szCs w:val="20"/>
              </w:rPr>
              <w:t>3.7:1000 patients</w:t>
            </w:r>
          </w:p>
        </w:tc>
        <w:tc>
          <w:tcPr>
            <w:tcW w:w="0" w:type="auto"/>
            <w:shd w:val="clear" w:color="auto" w:fill="auto"/>
            <w:vAlign w:val="center"/>
          </w:tcPr>
          <w:p w14:paraId="5EAF1B51" w14:textId="77777777" w:rsidR="00FC6CC9" w:rsidRPr="00591BFC" w:rsidRDefault="00FC6CC9" w:rsidP="008B229C">
            <w:pPr>
              <w:spacing w:after="0" w:line="360" w:lineRule="auto"/>
              <w:jc w:val="center"/>
              <w:rPr>
                <w:sz w:val="18"/>
                <w:szCs w:val="20"/>
              </w:rPr>
            </w:pPr>
            <w:r w:rsidRPr="00591BFC">
              <w:rPr>
                <w:sz w:val="18"/>
                <w:szCs w:val="20"/>
              </w:rPr>
              <w:t>0</w:t>
            </w:r>
          </w:p>
        </w:tc>
        <w:tc>
          <w:tcPr>
            <w:tcW w:w="0" w:type="auto"/>
            <w:shd w:val="clear" w:color="auto" w:fill="auto"/>
            <w:vAlign w:val="center"/>
          </w:tcPr>
          <w:p w14:paraId="7EB7E42A" w14:textId="77777777" w:rsidR="00FC6CC9" w:rsidRPr="00591BFC" w:rsidRDefault="00FC6CC9" w:rsidP="008B229C">
            <w:pPr>
              <w:spacing w:after="0" w:line="360" w:lineRule="auto"/>
              <w:jc w:val="center"/>
              <w:rPr>
                <w:sz w:val="18"/>
                <w:szCs w:val="20"/>
              </w:rPr>
            </w:pPr>
            <w:r w:rsidRPr="00591BFC">
              <w:rPr>
                <w:sz w:val="18"/>
                <w:szCs w:val="20"/>
              </w:rPr>
              <w:t>0</w:t>
            </w:r>
          </w:p>
        </w:tc>
        <w:tc>
          <w:tcPr>
            <w:tcW w:w="0" w:type="auto"/>
            <w:shd w:val="clear" w:color="auto" w:fill="auto"/>
            <w:vAlign w:val="center"/>
          </w:tcPr>
          <w:p w14:paraId="6FB9151E" w14:textId="77777777" w:rsidR="00FC6CC9" w:rsidRPr="00591BFC" w:rsidRDefault="00FC6CC9" w:rsidP="008B229C">
            <w:pPr>
              <w:spacing w:after="0" w:line="360" w:lineRule="auto"/>
              <w:jc w:val="center"/>
              <w:rPr>
                <w:sz w:val="18"/>
                <w:szCs w:val="20"/>
              </w:rPr>
            </w:pPr>
            <w:r w:rsidRPr="00591BFC">
              <w:rPr>
                <w:sz w:val="18"/>
                <w:szCs w:val="20"/>
              </w:rPr>
              <w:t>0</w:t>
            </w:r>
          </w:p>
        </w:tc>
      </w:tr>
      <w:tr w:rsidR="00FC6CC9" w:rsidRPr="00591BFC" w14:paraId="0B08EBAA" w14:textId="77777777" w:rsidTr="008B229C">
        <w:trPr>
          <w:trHeight w:val="223"/>
        </w:trPr>
        <w:tc>
          <w:tcPr>
            <w:tcW w:w="0" w:type="auto"/>
            <w:shd w:val="clear" w:color="auto" w:fill="D9D9D9"/>
            <w:vAlign w:val="center"/>
          </w:tcPr>
          <w:p w14:paraId="0F80298F" w14:textId="77777777" w:rsidR="00FC6CC9" w:rsidRPr="00591BFC" w:rsidRDefault="00FC6CC9" w:rsidP="008B229C">
            <w:pPr>
              <w:spacing w:after="0" w:line="360" w:lineRule="auto"/>
              <w:jc w:val="center"/>
              <w:rPr>
                <w:b/>
                <w:sz w:val="18"/>
                <w:szCs w:val="20"/>
              </w:rPr>
            </w:pPr>
            <w:r w:rsidRPr="00591BFC">
              <w:rPr>
                <w:b/>
                <w:sz w:val="18"/>
                <w:szCs w:val="20"/>
              </w:rPr>
              <w:t>6</w:t>
            </w:r>
          </w:p>
        </w:tc>
        <w:tc>
          <w:tcPr>
            <w:tcW w:w="0" w:type="auto"/>
            <w:shd w:val="clear" w:color="auto" w:fill="auto"/>
            <w:vAlign w:val="center"/>
          </w:tcPr>
          <w:p w14:paraId="42C716AF" w14:textId="77777777" w:rsidR="00FC6CC9" w:rsidRPr="00591BFC" w:rsidRDefault="00FC6CC9" w:rsidP="008B229C">
            <w:pPr>
              <w:spacing w:after="0" w:line="360" w:lineRule="auto"/>
              <w:jc w:val="center"/>
              <w:rPr>
                <w:sz w:val="18"/>
                <w:szCs w:val="20"/>
              </w:rPr>
            </w:pPr>
            <w:r w:rsidRPr="00591BFC">
              <w:rPr>
                <w:sz w:val="18"/>
                <w:szCs w:val="20"/>
              </w:rPr>
              <w:t>0.5 WTE</w:t>
            </w:r>
          </w:p>
          <w:p w14:paraId="6ABE1934" w14:textId="77777777" w:rsidR="00FC6CC9" w:rsidRPr="00591BFC" w:rsidRDefault="00FC6CC9" w:rsidP="008B229C">
            <w:pPr>
              <w:spacing w:after="0" w:line="360" w:lineRule="auto"/>
              <w:jc w:val="center"/>
              <w:rPr>
                <w:sz w:val="18"/>
                <w:szCs w:val="20"/>
              </w:rPr>
            </w:pPr>
            <w:r w:rsidRPr="00591BFC">
              <w:rPr>
                <w:sz w:val="18"/>
                <w:szCs w:val="20"/>
              </w:rPr>
              <w:t>2.1:1000 people</w:t>
            </w:r>
          </w:p>
        </w:tc>
        <w:tc>
          <w:tcPr>
            <w:tcW w:w="0" w:type="auto"/>
            <w:shd w:val="clear" w:color="auto" w:fill="auto"/>
            <w:vAlign w:val="center"/>
          </w:tcPr>
          <w:p w14:paraId="19D9D3BB" w14:textId="77777777" w:rsidR="00FC6CC9" w:rsidRPr="00591BFC" w:rsidRDefault="00FC6CC9" w:rsidP="008B229C">
            <w:pPr>
              <w:spacing w:after="0" w:line="360" w:lineRule="auto"/>
              <w:jc w:val="center"/>
              <w:rPr>
                <w:sz w:val="18"/>
                <w:szCs w:val="20"/>
              </w:rPr>
            </w:pPr>
            <w:r w:rsidRPr="00591BFC">
              <w:rPr>
                <w:sz w:val="18"/>
                <w:szCs w:val="20"/>
              </w:rPr>
              <w:t>0</w:t>
            </w:r>
          </w:p>
        </w:tc>
        <w:tc>
          <w:tcPr>
            <w:tcW w:w="0" w:type="auto"/>
            <w:shd w:val="clear" w:color="auto" w:fill="auto"/>
            <w:vAlign w:val="center"/>
          </w:tcPr>
          <w:p w14:paraId="549C7FBA" w14:textId="77777777" w:rsidR="00FC6CC9" w:rsidRPr="00591BFC" w:rsidRDefault="00FC6CC9" w:rsidP="008B229C">
            <w:pPr>
              <w:spacing w:after="0" w:line="360" w:lineRule="auto"/>
              <w:jc w:val="center"/>
              <w:rPr>
                <w:sz w:val="18"/>
                <w:szCs w:val="20"/>
              </w:rPr>
            </w:pPr>
            <w:r w:rsidRPr="00591BFC">
              <w:rPr>
                <w:sz w:val="18"/>
                <w:szCs w:val="20"/>
              </w:rPr>
              <w:t>0</w:t>
            </w:r>
          </w:p>
        </w:tc>
        <w:tc>
          <w:tcPr>
            <w:tcW w:w="0" w:type="auto"/>
            <w:shd w:val="clear" w:color="auto" w:fill="auto"/>
            <w:vAlign w:val="center"/>
          </w:tcPr>
          <w:p w14:paraId="12DCF7C3" w14:textId="77777777" w:rsidR="00FC6CC9" w:rsidRPr="00591BFC" w:rsidRDefault="00FC6CC9" w:rsidP="008B229C">
            <w:pPr>
              <w:spacing w:after="0" w:line="360" w:lineRule="auto"/>
              <w:jc w:val="center"/>
              <w:rPr>
                <w:sz w:val="18"/>
                <w:szCs w:val="20"/>
              </w:rPr>
            </w:pPr>
            <w:r w:rsidRPr="00591BFC">
              <w:rPr>
                <w:sz w:val="18"/>
                <w:szCs w:val="20"/>
              </w:rPr>
              <w:t>1 WTE</w:t>
            </w:r>
          </w:p>
          <w:p w14:paraId="4219AA9D" w14:textId="77777777" w:rsidR="00FC6CC9" w:rsidRPr="00591BFC" w:rsidRDefault="00FC6CC9" w:rsidP="008B229C">
            <w:pPr>
              <w:spacing w:after="0" w:line="360" w:lineRule="auto"/>
              <w:jc w:val="center"/>
              <w:rPr>
                <w:sz w:val="18"/>
                <w:szCs w:val="20"/>
              </w:rPr>
            </w:pPr>
            <w:r w:rsidRPr="00591BFC">
              <w:rPr>
                <w:sz w:val="18"/>
                <w:szCs w:val="20"/>
              </w:rPr>
              <w:t>4:1000 patients</w:t>
            </w:r>
          </w:p>
        </w:tc>
        <w:tc>
          <w:tcPr>
            <w:tcW w:w="0" w:type="auto"/>
            <w:shd w:val="clear" w:color="auto" w:fill="auto"/>
            <w:vAlign w:val="center"/>
          </w:tcPr>
          <w:p w14:paraId="6DB31A68" w14:textId="77777777" w:rsidR="00FC6CC9" w:rsidRPr="00591BFC" w:rsidRDefault="00FC6CC9" w:rsidP="008B229C">
            <w:pPr>
              <w:spacing w:after="0" w:line="360" w:lineRule="auto"/>
              <w:jc w:val="center"/>
              <w:rPr>
                <w:sz w:val="18"/>
                <w:szCs w:val="20"/>
              </w:rPr>
            </w:pPr>
            <w:r w:rsidRPr="00591BFC">
              <w:rPr>
                <w:sz w:val="18"/>
                <w:szCs w:val="20"/>
              </w:rPr>
              <w:t>1 (rheumatologist)</w:t>
            </w:r>
          </w:p>
        </w:tc>
      </w:tr>
      <w:tr w:rsidR="00FC6CC9" w:rsidRPr="00591BFC" w14:paraId="1996255A" w14:textId="77777777" w:rsidTr="008B229C">
        <w:trPr>
          <w:trHeight w:val="209"/>
        </w:trPr>
        <w:tc>
          <w:tcPr>
            <w:tcW w:w="0" w:type="auto"/>
            <w:shd w:val="clear" w:color="auto" w:fill="D9D9D9"/>
            <w:vAlign w:val="center"/>
          </w:tcPr>
          <w:p w14:paraId="7045912D" w14:textId="77777777" w:rsidR="00FC6CC9" w:rsidRPr="00591BFC" w:rsidRDefault="00FC6CC9" w:rsidP="008B229C">
            <w:pPr>
              <w:spacing w:after="0" w:line="360" w:lineRule="auto"/>
              <w:jc w:val="center"/>
              <w:rPr>
                <w:b/>
                <w:sz w:val="18"/>
                <w:szCs w:val="20"/>
              </w:rPr>
            </w:pPr>
            <w:r w:rsidRPr="00591BFC">
              <w:rPr>
                <w:b/>
                <w:sz w:val="18"/>
                <w:szCs w:val="20"/>
              </w:rPr>
              <w:t>7</w:t>
            </w:r>
          </w:p>
        </w:tc>
        <w:tc>
          <w:tcPr>
            <w:tcW w:w="0" w:type="auto"/>
            <w:shd w:val="clear" w:color="auto" w:fill="auto"/>
            <w:vAlign w:val="center"/>
          </w:tcPr>
          <w:p w14:paraId="37DF62EF" w14:textId="77777777" w:rsidR="00FC6CC9" w:rsidRPr="00591BFC" w:rsidRDefault="00FC6CC9" w:rsidP="008B229C">
            <w:pPr>
              <w:spacing w:after="0" w:line="360" w:lineRule="auto"/>
              <w:jc w:val="center"/>
              <w:rPr>
                <w:sz w:val="18"/>
                <w:szCs w:val="20"/>
              </w:rPr>
            </w:pPr>
            <w:r w:rsidRPr="00591BFC">
              <w:rPr>
                <w:sz w:val="18"/>
                <w:szCs w:val="20"/>
              </w:rPr>
              <w:t>0.7 WTE</w:t>
            </w:r>
          </w:p>
          <w:p w14:paraId="0FE340C5" w14:textId="77777777" w:rsidR="00FC6CC9" w:rsidRPr="00591BFC" w:rsidRDefault="00FC6CC9" w:rsidP="008B229C">
            <w:pPr>
              <w:spacing w:after="0" w:line="360" w:lineRule="auto"/>
              <w:jc w:val="center"/>
              <w:rPr>
                <w:sz w:val="18"/>
                <w:szCs w:val="20"/>
              </w:rPr>
            </w:pPr>
            <w:r w:rsidRPr="00591BFC">
              <w:rPr>
                <w:sz w:val="18"/>
                <w:szCs w:val="20"/>
              </w:rPr>
              <w:t>1:1000 patients</w:t>
            </w:r>
          </w:p>
        </w:tc>
        <w:tc>
          <w:tcPr>
            <w:tcW w:w="0" w:type="auto"/>
            <w:shd w:val="clear" w:color="auto" w:fill="auto"/>
            <w:vAlign w:val="center"/>
          </w:tcPr>
          <w:p w14:paraId="1C388628" w14:textId="77777777" w:rsidR="00FC6CC9" w:rsidRPr="00591BFC" w:rsidRDefault="00FC6CC9" w:rsidP="008B229C">
            <w:pPr>
              <w:spacing w:after="0" w:line="360" w:lineRule="auto"/>
              <w:jc w:val="center"/>
              <w:rPr>
                <w:sz w:val="18"/>
                <w:szCs w:val="20"/>
              </w:rPr>
            </w:pPr>
            <w:r w:rsidRPr="00591BFC">
              <w:rPr>
                <w:sz w:val="18"/>
                <w:szCs w:val="20"/>
              </w:rPr>
              <w:t>0.75 WTE</w:t>
            </w:r>
          </w:p>
          <w:p w14:paraId="3F7F7609" w14:textId="77777777" w:rsidR="00FC6CC9" w:rsidRPr="00591BFC" w:rsidRDefault="00FC6CC9" w:rsidP="008B229C">
            <w:pPr>
              <w:spacing w:after="0" w:line="360" w:lineRule="auto"/>
              <w:jc w:val="center"/>
              <w:rPr>
                <w:sz w:val="18"/>
                <w:szCs w:val="20"/>
              </w:rPr>
            </w:pPr>
            <w:r w:rsidRPr="00591BFC">
              <w:rPr>
                <w:sz w:val="18"/>
                <w:szCs w:val="20"/>
              </w:rPr>
              <w:t>1:1000 patients</w:t>
            </w:r>
          </w:p>
        </w:tc>
        <w:tc>
          <w:tcPr>
            <w:tcW w:w="0" w:type="auto"/>
            <w:shd w:val="clear" w:color="auto" w:fill="auto"/>
            <w:vAlign w:val="center"/>
          </w:tcPr>
          <w:p w14:paraId="17E01861" w14:textId="77777777" w:rsidR="00FC6CC9" w:rsidRPr="00591BFC" w:rsidRDefault="00FC6CC9" w:rsidP="008B229C">
            <w:pPr>
              <w:spacing w:after="0" w:line="360" w:lineRule="auto"/>
              <w:jc w:val="center"/>
              <w:rPr>
                <w:sz w:val="18"/>
                <w:szCs w:val="20"/>
              </w:rPr>
            </w:pPr>
            <w:r w:rsidRPr="00591BFC">
              <w:rPr>
                <w:sz w:val="18"/>
                <w:szCs w:val="20"/>
              </w:rPr>
              <w:t>0</w:t>
            </w:r>
          </w:p>
        </w:tc>
        <w:tc>
          <w:tcPr>
            <w:tcW w:w="0" w:type="auto"/>
            <w:shd w:val="clear" w:color="auto" w:fill="auto"/>
            <w:vAlign w:val="center"/>
          </w:tcPr>
          <w:p w14:paraId="0B14044D" w14:textId="77777777" w:rsidR="00FC6CC9" w:rsidRPr="00591BFC" w:rsidRDefault="00FC6CC9" w:rsidP="008B229C">
            <w:pPr>
              <w:spacing w:after="0" w:line="360" w:lineRule="auto"/>
              <w:jc w:val="center"/>
              <w:rPr>
                <w:sz w:val="18"/>
                <w:szCs w:val="20"/>
              </w:rPr>
            </w:pPr>
            <w:r w:rsidRPr="00591BFC">
              <w:rPr>
                <w:sz w:val="18"/>
                <w:szCs w:val="20"/>
              </w:rPr>
              <w:t>1.8 WTE</w:t>
            </w:r>
          </w:p>
          <w:p w14:paraId="19F5C741" w14:textId="77777777" w:rsidR="00FC6CC9" w:rsidRPr="00591BFC" w:rsidRDefault="00FC6CC9" w:rsidP="008B229C">
            <w:pPr>
              <w:spacing w:after="0" w:line="360" w:lineRule="auto"/>
              <w:jc w:val="center"/>
              <w:rPr>
                <w:sz w:val="18"/>
                <w:szCs w:val="20"/>
              </w:rPr>
            </w:pPr>
            <w:r w:rsidRPr="00591BFC">
              <w:rPr>
                <w:sz w:val="18"/>
                <w:szCs w:val="20"/>
              </w:rPr>
              <w:t>2.6:1000 patients</w:t>
            </w:r>
          </w:p>
        </w:tc>
        <w:tc>
          <w:tcPr>
            <w:tcW w:w="0" w:type="auto"/>
            <w:shd w:val="clear" w:color="auto" w:fill="auto"/>
            <w:vAlign w:val="center"/>
          </w:tcPr>
          <w:p w14:paraId="04E9D4D2" w14:textId="77777777" w:rsidR="00FC6CC9" w:rsidRPr="00591BFC" w:rsidRDefault="00FC6CC9" w:rsidP="008B229C">
            <w:pPr>
              <w:spacing w:after="0" w:line="360" w:lineRule="auto"/>
              <w:jc w:val="center"/>
              <w:rPr>
                <w:sz w:val="18"/>
                <w:szCs w:val="20"/>
              </w:rPr>
            </w:pPr>
            <w:r w:rsidRPr="00591BFC">
              <w:rPr>
                <w:sz w:val="18"/>
                <w:szCs w:val="20"/>
              </w:rPr>
              <w:t>1 (rheumatologist)</w:t>
            </w:r>
          </w:p>
        </w:tc>
      </w:tr>
      <w:tr w:rsidR="00FC6CC9" w:rsidRPr="00591BFC" w14:paraId="64E4014C" w14:textId="77777777" w:rsidTr="008B229C">
        <w:trPr>
          <w:trHeight w:val="209"/>
        </w:trPr>
        <w:tc>
          <w:tcPr>
            <w:tcW w:w="0" w:type="auto"/>
            <w:shd w:val="clear" w:color="auto" w:fill="D9D9D9"/>
            <w:vAlign w:val="center"/>
          </w:tcPr>
          <w:p w14:paraId="3023B5DA" w14:textId="77777777" w:rsidR="00FC6CC9" w:rsidRPr="00591BFC" w:rsidRDefault="00FC6CC9" w:rsidP="008B229C">
            <w:pPr>
              <w:spacing w:after="0" w:line="360" w:lineRule="auto"/>
              <w:jc w:val="center"/>
              <w:rPr>
                <w:b/>
                <w:sz w:val="18"/>
                <w:szCs w:val="20"/>
              </w:rPr>
            </w:pPr>
            <w:r w:rsidRPr="00591BFC">
              <w:rPr>
                <w:b/>
                <w:sz w:val="18"/>
                <w:szCs w:val="20"/>
              </w:rPr>
              <w:t>8</w:t>
            </w:r>
          </w:p>
        </w:tc>
        <w:tc>
          <w:tcPr>
            <w:tcW w:w="0" w:type="auto"/>
            <w:shd w:val="clear" w:color="auto" w:fill="auto"/>
            <w:vAlign w:val="center"/>
          </w:tcPr>
          <w:p w14:paraId="650442F6" w14:textId="77777777" w:rsidR="00FC6CC9" w:rsidRPr="00591BFC" w:rsidRDefault="00FC6CC9" w:rsidP="008B229C">
            <w:pPr>
              <w:spacing w:after="0" w:line="360" w:lineRule="auto"/>
              <w:jc w:val="center"/>
              <w:rPr>
                <w:sz w:val="18"/>
                <w:szCs w:val="20"/>
              </w:rPr>
            </w:pPr>
            <w:r w:rsidRPr="00591BFC">
              <w:rPr>
                <w:sz w:val="18"/>
                <w:szCs w:val="20"/>
              </w:rPr>
              <w:t>1 WTE</w:t>
            </w:r>
          </w:p>
          <w:p w14:paraId="6F89BE3E" w14:textId="77777777" w:rsidR="00FC6CC9" w:rsidRPr="00591BFC" w:rsidRDefault="00FC6CC9" w:rsidP="008B229C">
            <w:pPr>
              <w:spacing w:after="0" w:line="360" w:lineRule="auto"/>
              <w:jc w:val="center"/>
              <w:rPr>
                <w:sz w:val="18"/>
                <w:szCs w:val="20"/>
              </w:rPr>
            </w:pPr>
            <w:r w:rsidRPr="00591BFC">
              <w:rPr>
                <w:sz w:val="18"/>
                <w:szCs w:val="20"/>
              </w:rPr>
              <w:t>(1.6:1000 patients)</w:t>
            </w:r>
          </w:p>
        </w:tc>
        <w:tc>
          <w:tcPr>
            <w:tcW w:w="0" w:type="auto"/>
            <w:shd w:val="clear" w:color="auto" w:fill="auto"/>
            <w:vAlign w:val="center"/>
          </w:tcPr>
          <w:p w14:paraId="1254396D" w14:textId="77777777" w:rsidR="00FC6CC9" w:rsidRPr="00591BFC" w:rsidRDefault="00FC6CC9" w:rsidP="008B229C">
            <w:pPr>
              <w:spacing w:after="0" w:line="360" w:lineRule="auto"/>
              <w:jc w:val="center"/>
              <w:rPr>
                <w:sz w:val="18"/>
                <w:szCs w:val="20"/>
              </w:rPr>
            </w:pPr>
            <w:r w:rsidRPr="00591BFC">
              <w:rPr>
                <w:sz w:val="18"/>
                <w:szCs w:val="20"/>
              </w:rPr>
              <w:t>5 WTE</w:t>
            </w:r>
          </w:p>
          <w:p w14:paraId="442BC976" w14:textId="77777777" w:rsidR="00FC6CC9" w:rsidRPr="00591BFC" w:rsidRDefault="00FC6CC9" w:rsidP="008B229C">
            <w:pPr>
              <w:spacing w:after="0" w:line="360" w:lineRule="auto"/>
              <w:jc w:val="center"/>
              <w:rPr>
                <w:sz w:val="18"/>
                <w:szCs w:val="20"/>
              </w:rPr>
            </w:pPr>
            <w:r w:rsidRPr="00591BFC">
              <w:rPr>
                <w:sz w:val="18"/>
                <w:szCs w:val="20"/>
              </w:rPr>
              <w:t>8:1000 patients</w:t>
            </w:r>
          </w:p>
        </w:tc>
        <w:tc>
          <w:tcPr>
            <w:tcW w:w="0" w:type="auto"/>
            <w:shd w:val="clear" w:color="auto" w:fill="auto"/>
            <w:vAlign w:val="center"/>
          </w:tcPr>
          <w:p w14:paraId="5EDC9CEA" w14:textId="77777777" w:rsidR="00FC6CC9" w:rsidRPr="00591BFC" w:rsidRDefault="00FC6CC9" w:rsidP="008B229C">
            <w:pPr>
              <w:spacing w:after="0" w:line="360" w:lineRule="auto"/>
              <w:jc w:val="center"/>
              <w:rPr>
                <w:sz w:val="18"/>
                <w:szCs w:val="20"/>
              </w:rPr>
            </w:pPr>
            <w:r w:rsidRPr="00591BFC">
              <w:rPr>
                <w:sz w:val="18"/>
                <w:szCs w:val="20"/>
              </w:rPr>
              <w:t>0</w:t>
            </w:r>
          </w:p>
        </w:tc>
        <w:tc>
          <w:tcPr>
            <w:tcW w:w="0" w:type="auto"/>
            <w:shd w:val="clear" w:color="auto" w:fill="auto"/>
            <w:vAlign w:val="center"/>
          </w:tcPr>
          <w:p w14:paraId="507CB02C" w14:textId="77777777" w:rsidR="00FC6CC9" w:rsidRPr="00591BFC" w:rsidRDefault="00FC6CC9" w:rsidP="008B229C">
            <w:pPr>
              <w:spacing w:after="0" w:line="360" w:lineRule="auto"/>
              <w:jc w:val="center"/>
              <w:rPr>
                <w:sz w:val="18"/>
                <w:szCs w:val="20"/>
              </w:rPr>
            </w:pPr>
            <w:r w:rsidRPr="00591BFC">
              <w:rPr>
                <w:sz w:val="18"/>
                <w:szCs w:val="20"/>
              </w:rPr>
              <w:t>0</w:t>
            </w:r>
          </w:p>
        </w:tc>
        <w:tc>
          <w:tcPr>
            <w:tcW w:w="0" w:type="auto"/>
            <w:shd w:val="clear" w:color="auto" w:fill="auto"/>
            <w:vAlign w:val="center"/>
          </w:tcPr>
          <w:p w14:paraId="5A7F68CA" w14:textId="77777777" w:rsidR="00FC6CC9" w:rsidRPr="00591BFC" w:rsidRDefault="00FC6CC9" w:rsidP="008B229C">
            <w:pPr>
              <w:spacing w:after="0" w:line="360" w:lineRule="auto"/>
              <w:jc w:val="center"/>
              <w:rPr>
                <w:sz w:val="18"/>
                <w:szCs w:val="20"/>
              </w:rPr>
            </w:pPr>
            <w:r w:rsidRPr="00591BFC">
              <w:rPr>
                <w:sz w:val="18"/>
                <w:szCs w:val="20"/>
              </w:rPr>
              <w:t>1 (orthogeriatrician)</w:t>
            </w:r>
          </w:p>
        </w:tc>
      </w:tr>
      <w:tr w:rsidR="00FC6CC9" w:rsidRPr="00591BFC" w14:paraId="653D3A5A" w14:textId="77777777" w:rsidTr="008B229C">
        <w:trPr>
          <w:trHeight w:val="223"/>
        </w:trPr>
        <w:tc>
          <w:tcPr>
            <w:tcW w:w="0" w:type="auto"/>
            <w:shd w:val="clear" w:color="auto" w:fill="D9D9D9"/>
            <w:vAlign w:val="center"/>
          </w:tcPr>
          <w:p w14:paraId="1A129A60" w14:textId="77777777" w:rsidR="00FC6CC9" w:rsidRPr="00591BFC" w:rsidRDefault="00FC6CC9" w:rsidP="008B229C">
            <w:pPr>
              <w:spacing w:after="0" w:line="360" w:lineRule="auto"/>
              <w:jc w:val="center"/>
              <w:rPr>
                <w:b/>
                <w:sz w:val="18"/>
                <w:szCs w:val="20"/>
              </w:rPr>
            </w:pPr>
            <w:r w:rsidRPr="00591BFC">
              <w:rPr>
                <w:b/>
                <w:sz w:val="18"/>
                <w:szCs w:val="20"/>
              </w:rPr>
              <w:t>9</w:t>
            </w:r>
          </w:p>
        </w:tc>
        <w:tc>
          <w:tcPr>
            <w:tcW w:w="0" w:type="auto"/>
            <w:shd w:val="clear" w:color="auto" w:fill="auto"/>
            <w:vAlign w:val="center"/>
          </w:tcPr>
          <w:p w14:paraId="56B91F94" w14:textId="77777777" w:rsidR="00FC6CC9" w:rsidRPr="00591BFC" w:rsidRDefault="00FC6CC9" w:rsidP="008B229C">
            <w:pPr>
              <w:spacing w:after="0" w:line="360" w:lineRule="auto"/>
              <w:jc w:val="center"/>
              <w:rPr>
                <w:sz w:val="18"/>
                <w:szCs w:val="20"/>
              </w:rPr>
            </w:pPr>
            <w:r w:rsidRPr="00591BFC">
              <w:rPr>
                <w:sz w:val="18"/>
                <w:szCs w:val="20"/>
              </w:rPr>
              <w:t>0</w:t>
            </w:r>
          </w:p>
        </w:tc>
        <w:tc>
          <w:tcPr>
            <w:tcW w:w="0" w:type="auto"/>
            <w:shd w:val="clear" w:color="auto" w:fill="auto"/>
            <w:vAlign w:val="center"/>
          </w:tcPr>
          <w:p w14:paraId="16FD4E47" w14:textId="77777777" w:rsidR="00FC6CC9" w:rsidRPr="00591BFC" w:rsidRDefault="00FC6CC9" w:rsidP="008B229C">
            <w:pPr>
              <w:spacing w:after="0" w:line="360" w:lineRule="auto"/>
              <w:jc w:val="center"/>
              <w:rPr>
                <w:sz w:val="18"/>
                <w:szCs w:val="20"/>
              </w:rPr>
            </w:pPr>
            <w:r w:rsidRPr="00591BFC">
              <w:rPr>
                <w:sz w:val="18"/>
                <w:szCs w:val="20"/>
              </w:rPr>
              <w:t>0.25 WTE</w:t>
            </w:r>
          </w:p>
          <w:p w14:paraId="0EB0C7A6" w14:textId="77777777" w:rsidR="00FC6CC9" w:rsidRPr="00591BFC" w:rsidRDefault="00FC6CC9" w:rsidP="008B229C">
            <w:pPr>
              <w:spacing w:after="0" w:line="360" w:lineRule="auto"/>
              <w:jc w:val="center"/>
              <w:rPr>
                <w:sz w:val="18"/>
                <w:szCs w:val="20"/>
              </w:rPr>
            </w:pPr>
            <w:r w:rsidRPr="00591BFC">
              <w:rPr>
                <w:sz w:val="18"/>
                <w:szCs w:val="20"/>
              </w:rPr>
              <w:t>1:1000 patents</w:t>
            </w:r>
          </w:p>
        </w:tc>
        <w:tc>
          <w:tcPr>
            <w:tcW w:w="0" w:type="auto"/>
            <w:shd w:val="clear" w:color="auto" w:fill="auto"/>
            <w:vAlign w:val="center"/>
          </w:tcPr>
          <w:p w14:paraId="2EE7D438" w14:textId="77777777" w:rsidR="00FC6CC9" w:rsidRPr="00591BFC" w:rsidRDefault="00FC6CC9" w:rsidP="008B229C">
            <w:pPr>
              <w:spacing w:after="0" w:line="360" w:lineRule="auto"/>
              <w:jc w:val="center"/>
              <w:rPr>
                <w:sz w:val="18"/>
                <w:szCs w:val="20"/>
              </w:rPr>
            </w:pPr>
            <w:r w:rsidRPr="00591BFC">
              <w:rPr>
                <w:sz w:val="18"/>
                <w:szCs w:val="20"/>
              </w:rPr>
              <w:t>0</w:t>
            </w:r>
          </w:p>
        </w:tc>
        <w:tc>
          <w:tcPr>
            <w:tcW w:w="0" w:type="auto"/>
            <w:shd w:val="clear" w:color="auto" w:fill="auto"/>
            <w:vAlign w:val="center"/>
          </w:tcPr>
          <w:p w14:paraId="0EC52291" w14:textId="77777777" w:rsidR="00FC6CC9" w:rsidRPr="00591BFC" w:rsidRDefault="00FC6CC9" w:rsidP="008B229C">
            <w:pPr>
              <w:spacing w:after="0" w:line="360" w:lineRule="auto"/>
              <w:jc w:val="center"/>
              <w:rPr>
                <w:sz w:val="18"/>
                <w:szCs w:val="20"/>
              </w:rPr>
            </w:pPr>
            <w:r w:rsidRPr="00591BFC">
              <w:rPr>
                <w:sz w:val="18"/>
                <w:szCs w:val="20"/>
              </w:rPr>
              <w:t>2 WTE</w:t>
            </w:r>
          </w:p>
          <w:p w14:paraId="3BCBCD52" w14:textId="77777777" w:rsidR="00FC6CC9" w:rsidRPr="00591BFC" w:rsidRDefault="00FC6CC9" w:rsidP="008B229C">
            <w:pPr>
              <w:spacing w:after="0" w:line="360" w:lineRule="auto"/>
              <w:jc w:val="center"/>
              <w:rPr>
                <w:sz w:val="18"/>
                <w:szCs w:val="20"/>
              </w:rPr>
            </w:pPr>
            <w:r w:rsidRPr="00591BFC">
              <w:rPr>
                <w:sz w:val="18"/>
                <w:szCs w:val="20"/>
              </w:rPr>
              <w:t>8:1000 patients</w:t>
            </w:r>
          </w:p>
        </w:tc>
        <w:tc>
          <w:tcPr>
            <w:tcW w:w="0" w:type="auto"/>
            <w:shd w:val="clear" w:color="auto" w:fill="auto"/>
            <w:vAlign w:val="center"/>
          </w:tcPr>
          <w:p w14:paraId="1490A8EB" w14:textId="77777777" w:rsidR="00FC6CC9" w:rsidRPr="00591BFC" w:rsidRDefault="00FC6CC9" w:rsidP="008B229C">
            <w:pPr>
              <w:spacing w:after="0" w:line="360" w:lineRule="auto"/>
              <w:jc w:val="center"/>
              <w:rPr>
                <w:sz w:val="18"/>
                <w:szCs w:val="20"/>
              </w:rPr>
            </w:pPr>
            <w:r w:rsidRPr="00591BFC">
              <w:rPr>
                <w:sz w:val="18"/>
                <w:szCs w:val="20"/>
              </w:rPr>
              <w:t>2 (specialist</w:t>
            </w:r>
          </w:p>
          <w:p w14:paraId="0CAD08F4" w14:textId="77777777" w:rsidR="00FC6CC9" w:rsidRPr="00591BFC" w:rsidRDefault="00FC6CC9" w:rsidP="008B229C">
            <w:pPr>
              <w:spacing w:after="0" w:line="360" w:lineRule="auto"/>
              <w:jc w:val="center"/>
              <w:rPr>
                <w:sz w:val="18"/>
                <w:szCs w:val="20"/>
              </w:rPr>
            </w:pPr>
            <w:r w:rsidRPr="00591BFC">
              <w:rPr>
                <w:sz w:val="18"/>
                <w:szCs w:val="20"/>
              </w:rPr>
              <w:t>nurse-outpatient, orthopaedic surgeon-inpatient)</w:t>
            </w:r>
          </w:p>
        </w:tc>
      </w:tr>
      <w:tr w:rsidR="00FC6CC9" w:rsidRPr="00591BFC" w14:paraId="01CD9DF9" w14:textId="77777777" w:rsidTr="008B229C">
        <w:trPr>
          <w:trHeight w:val="223"/>
        </w:trPr>
        <w:tc>
          <w:tcPr>
            <w:tcW w:w="0" w:type="auto"/>
            <w:shd w:val="clear" w:color="auto" w:fill="D9D9D9"/>
            <w:vAlign w:val="center"/>
          </w:tcPr>
          <w:p w14:paraId="78F473FF" w14:textId="77777777" w:rsidR="00FC6CC9" w:rsidRPr="00591BFC" w:rsidRDefault="00FC6CC9" w:rsidP="008B229C">
            <w:pPr>
              <w:spacing w:after="0" w:line="360" w:lineRule="auto"/>
              <w:jc w:val="center"/>
              <w:rPr>
                <w:b/>
                <w:sz w:val="18"/>
                <w:szCs w:val="20"/>
              </w:rPr>
            </w:pPr>
            <w:r w:rsidRPr="00591BFC">
              <w:rPr>
                <w:b/>
                <w:sz w:val="18"/>
                <w:szCs w:val="20"/>
              </w:rPr>
              <w:t>10</w:t>
            </w:r>
          </w:p>
        </w:tc>
        <w:tc>
          <w:tcPr>
            <w:tcW w:w="0" w:type="auto"/>
            <w:shd w:val="clear" w:color="auto" w:fill="auto"/>
            <w:vAlign w:val="center"/>
          </w:tcPr>
          <w:p w14:paraId="5512EDA7" w14:textId="77777777" w:rsidR="00FC6CC9" w:rsidRPr="00591BFC" w:rsidRDefault="00FC6CC9" w:rsidP="008B229C">
            <w:pPr>
              <w:spacing w:after="0" w:line="360" w:lineRule="auto"/>
              <w:jc w:val="center"/>
              <w:rPr>
                <w:sz w:val="18"/>
                <w:szCs w:val="20"/>
              </w:rPr>
            </w:pPr>
            <w:r w:rsidRPr="00591BFC">
              <w:rPr>
                <w:sz w:val="18"/>
                <w:szCs w:val="20"/>
              </w:rPr>
              <w:t>0.9 WTE</w:t>
            </w:r>
          </w:p>
          <w:p w14:paraId="52340EC9" w14:textId="77777777" w:rsidR="00FC6CC9" w:rsidRPr="00591BFC" w:rsidRDefault="00FC6CC9" w:rsidP="008B229C">
            <w:pPr>
              <w:spacing w:after="0" w:line="360" w:lineRule="auto"/>
              <w:jc w:val="center"/>
              <w:rPr>
                <w:sz w:val="18"/>
                <w:szCs w:val="20"/>
              </w:rPr>
            </w:pPr>
            <w:r w:rsidRPr="00591BFC">
              <w:rPr>
                <w:sz w:val="18"/>
                <w:szCs w:val="20"/>
              </w:rPr>
              <w:lastRenderedPageBreak/>
              <w:t>2:1000 patients</w:t>
            </w:r>
          </w:p>
        </w:tc>
        <w:tc>
          <w:tcPr>
            <w:tcW w:w="0" w:type="auto"/>
            <w:shd w:val="clear" w:color="auto" w:fill="auto"/>
            <w:vAlign w:val="center"/>
          </w:tcPr>
          <w:p w14:paraId="32281D2C" w14:textId="77777777" w:rsidR="00FC6CC9" w:rsidRPr="00591BFC" w:rsidRDefault="00FC6CC9" w:rsidP="008B229C">
            <w:pPr>
              <w:spacing w:after="0" w:line="360" w:lineRule="auto"/>
              <w:jc w:val="center"/>
              <w:rPr>
                <w:sz w:val="18"/>
                <w:szCs w:val="20"/>
              </w:rPr>
            </w:pPr>
            <w:r w:rsidRPr="00591BFC">
              <w:rPr>
                <w:sz w:val="18"/>
                <w:szCs w:val="20"/>
              </w:rPr>
              <w:lastRenderedPageBreak/>
              <w:t>1 WTE</w:t>
            </w:r>
          </w:p>
          <w:p w14:paraId="47F3E6E4" w14:textId="77777777" w:rsidR="00FC6CC9" w:rsidRPr="00591BFC" w:rsidRDefault="00FC6CC9" w:rsidP="008B229C">
            <w:pPr>
              <w:spacing w:after="0" w:line="360" w:lineRule="auto"/>
              <w:jc w:val="center"/>
              <w:rPr>
                <w:sz w:val="18"/>
                <w:szCs w:val="20"/>
              </w:rPr>
            </w:pPr>
            <w:r w:rsidRPr="00591BFC">
              <w:rPr>
                <w:sz w:val="18"/>
                <w:szCs w:val="20"/>
              </w:rPr>
              <w:lastRenderedPageBreak/>
              <w:t>2:1000 patients</w:t>
            </w:r>
          </w:p>
        </w:tc>
        <w:tc>
          <w:tcPr>
            <w:tcW w:w="0" w:type="auto"/>
            <w:shd w:val="clear" w:color="auto" w:fill="auto"/>
            <w:vAlign w:val="center"/>
          </w:tcPr>
          <w:p w14:paraId="72EDA4B9" w14:textId="77777777" w:rsidR="00FC6CC9" w:rsidRPr="00591BFC" w:rsidRDefault="00FC6CC9" w:rsidP="008B229C">
            <w:pPr>
              <w:spacing w:after="0" w:line="360" w:lineRule="auto"/>
              <w:jc w:val="center"/>
              <w:rPr>
                <w:sz w:val="18"/>
                <w:szCs w:val="20"/>
              </w:rPr>
            </w:pPr>
            <w:r w:rsidRPr="00591BFC">
              <w:rPr>
                <w:sz w:val="18"/>
                <w:szCs w:val="20"/>
              </w:rPr>
              <w:lastRenderedPageBreak/>
              <w:t>1.6 WTE</w:t>
            </w:r>
          </w:p>
          <w:p w14:paraId="21D53CA1" w14:textId="77777777" w:rsidR="00FC6CC9" w:rsidRPr="00591BFC" w:rsidRDefault="00FC6CC9" w:rsidP="008B229C">
            <w:pPr>
              <w:spacing w:after="0" w:line="360" w:lineRule="auto"/>
              <w:jc w:val="center"/>
              <w:rPr>
                <w:sz w:val="18"/>
                <w:szCs w:val="20"/>
              </w:rPr>
            </w:pPr>
            <w:r w:rsidRPr="00591BFC">
              <w:rPr>
                <w:sz w:val="18"/>
                <w:szCs w:val="20"/>
              </w:rPr>
              <w:lastRenderedPageBreak/>
              <w:t>3:1000 patients</w:t>
            </w:r>
          </w:p>
        </w:tc>
        <w:tc>
          <w:tcPr>
            <w:tcW w:w="0" w:type="auto"/>
            <w:shd w:val="clear" w:color="auto" w:fill="auto"/>
            <w:vAlign w:val="center"/>
          </w:tcPr>
          <w:p w14:paraId="0C83A3DD" w14:textId="77777777" w:rsidR="00FC6CC9" w:rsidRPr="00591BFC" w:rsidRDefault="00FC6CC9" w:rsidP="008B229C">
            <w:pPr>
              <w:spacing w:after="0" w:line="360" w:lineRule="auto"/>
              <w:jc w:val="center"/>
              <w:rPr>
                <w:sz w:val="18"/>
                <w:szCs w:val="20"/>
              </w:rPr>
            </w:pPr>
            <w:r w:rsidRPr="00591BFC">
              <w:rPr>
                <w:sz w:val="18"/>
                <w:szCs w:val="20"/>
              </w:rPr>
              <w:lastRenderedPageBreak/>
              <w:t>2.2 WTE</w:t>
            </w:r>
          </w:p>
          <w:p w14:paraId="313211AE" w14:textId="77777777" w:rsidR="00FC6CC9" w:rsidRPr="00591BFC" w:rsidRDefault="00FC6CC9" w:rsidP="008B229C">
            <w:pPr>
              <w:spacing w:after="0" w:line="360" w:lineRule="auto"/>
              <w:jc w:val="center"/>
              <w:rPr>
                <w:sz w:val="18"/>
                <w:szCs w:val="20"/>
              </w:rPr>
            </w:pPr>
            <w:r w:rsidRPr="00591BFC">
              <w:rPr>
                <w:sz w:val="18"/>
                <w:szCs w:val="20"/>
              </w:rPr>
              <w:lastRenderedPageBreak/>
              <w:t>4.6:1000 patients</w:t>
            </w:r>
          </w:p>
        </w:tc>
        <w:tc>
          <w:tcPr>
            <w:tcW w:w="0" w:type="auto"/>
            <w:shd w:val="clear" w:color="auto" w:fill="auto"/>
            <w:vAlign w:val="center"/>
          </w:tcPr>
          <w:p w14:paraId="68DD031F" w14:textId="77777777" w:rsidR="00FC6CC9" w:rsidRPr="00591BFC" w:rsidRDefault="00FC6CC9" w:rsidP="008B229C">
            <w:pPr>
              <w:spacing w:after="0" w:line="360" w:lineRule="auto"/>
              <w:jc w:val="center"/>
              <w:rPr>
                <w:sz w:val="18"/>
                <w:szCs w:val="20"/>
              </w:rPr>
            </w:pPr>
            <w:r w:rsidRPr="00591BFC">
              <w:rPr>
                <w:sz w:val="18"/>
                <w:szCs w:val="20"/>
              </w:rPr>
              <w:lastRenderedPageBreak/>
              <w:t>1 (rheumatologist)</w:t>
            </w:r>
          </w:p>
        </w:tc>
      </w:tr>
      <w:tr w:rsidR="00FC6CC9" w:rsidRPr="00591BFC" w14:paraId="0CBC6A8B" w14:textId="77777777" w:rsidTr="008B229C">
        <w:trPr>
          <w:trHeight w:val="223"/>
        </w:trPr>
        <w:tc>
          <w:tcPr>
            <w:tcW w:w="0" w:type="auto"/>
            <w:shd w:val="clear" w:color="auto" w:fill="D9D9D9"/>
            <w:vAlign w:val="center"/>
          </w:tcPr>
          <w:p w14:paraId="4832078A" w14:textId="77777777" w:rsidR="00FC6CC9" w:rsidRPr="00591BFC" w:rsidRDefault="00FC6CC9" w:rsidP="008B229C">
            <w:pPr>
              <w:spacing w:after="0" w:line="360" w:lineRule="auto"/>
              <w:jc w:val="center"/>
              <w:rPr>
                <w:b/>
                <w:sz w:val="18"/>
                <w:szCs w:val="20"/>
              </w:rPr>
            </w:pPr>
            <w:r w:rsidRPr="00591BFC">
              <w:rPr>
                <w:b/>
                <w:sz w:val="18"/>
                <w:szCs w:val="20"/>
              </w:rPr>
              <w:lastRenderedPageBreak/>
              <w:t>11</w:t>
            </w:r>
          </w:p>
        </w:tc>
        <w:tc>
          <w:tcPr>
            <w:tcW w:w="0" w:type="auto"/>
            <w:shd w:val="clear" w:color="auto" w:fill="auto"/>
            <w:vAlign w:val="center"/>
          </w:tcPr>
          <w:p w14:paraId="425807CF" w14:textId="77777777" w:rsidR="00FC6CC9" w:rsidRPr="00591BFC" w:rsidRDefault="00FC6CC9" w:rsidP="008B229C">
            <w:pPr>
              <w:spacing w:after="0" w:line="360" w:lineRule="auto"/>
              <w:jc w:val="center"/>
              <w:rPr>
                <w:sz w:val="18"/>
                <w:szCs w:val="20"/>
              </w:rPr>
            </w:pPr>
            <w:r w:rsidRPr="00591BFC">
              <w:rPr>
                <w:sz w:val="18"/>
                <w:szCs w:val="20"/>
              </w:rPr>
              <w:t>0.4 WTE</w:t>
            </w:r>
          </w:p>
          <w:p w14:paraId="46307667" w14:textId="77777777" w:rsidR="00FC6CC9" w:rsidRPr="00591BFC" w:rsidRDefault="00FC6CC9" w:rsidP="008B229C">
            <w:pPr>
              <w:spacing w:after="0" w:line="360" w:lineRule="auto"/>
              <w:jc w:val="center"/>
              <w:rPr>
                <w:sz w:val="18"/>
                <w:szCs w:val="20"/>
              </w:rPr>
            </w:pPr>
            <w:r w:rsidRPr="00591BFC">
              <w:rPr>
                <w:sz w:val="18"/>
                <w:szCs w:val="20"/>
              </w:rPr>
              <w:t>2.3:1000 patients</w:t>
            </w:r>
          </w:p>
        </w:tc>
        <w:tc>
          <w:tcPr>
            <w:tcW w:w="0" w:type="auto"/>
            <w:shd w:val="clear" w:color="auto" w:fill="auto"/>
            <w:vAlign w:val="center"/>
          </w:tcPr>
          <w:p w14:paraId="4C3B1DF7" w14:textId="77777777" w:rsidR="00FC6CC9" w:rsidRPr="00591BFC" w:rsidRDefault="00FC6CC9" w:rsidP="008B229C">
            <w:pPr>
              <w:spacing w:after="0" w:line="360" w:lineRule="auto"/>
              <w:jc w:val="center"/>
              <w:rPr>
                <w:sz w:val="18"/>
                <w:szCs w:val="20"/>
              </w:rPr>
            </w:pPr>
            <w:r w:rsidRPr="00591BFC">
              <w:rPr>
                <w:sz w:val="18"/>
                <w:szCs w:val="20"/>
              </w:rPr>
              <w:t>1 WTE</w:t>
            </w:r>
          </w:p>
          <w:p w14:paraId="12F970B0" w14:textId="77777777" w:rsidR="00FC6CC9" w:rsidRPr="00591BFC" w:rsidRDefault="00FC6CC9" w:rsidP="008B229C">
            <w:pPr>
              <w:spacing w:after="0" w:line="360" w:lineRule="auto"/>
              <w:jc w:val="center"/>
              <w:rPr>
                <w:sz w:val="18"/>
                <w:szCs w:val="20"/>
              </w:rPr>
            </w:pPr>
            <w:r w:rsidRPr="00591BFC">
              <w:rPr>
                <w:sz w:val="18"/>
                <w:szCs w:val="20"/>
              </w:rPr>
              <w:t>5.7:1000 patients</w:t>
            </w:r>
          </w:p>
        </w:tc>
        <w:tc>
          <w:tcPr>
            <w:tcW w:w="0" w:type="auto"/>
            <w:shd w:val="clear" w:color="auto" w:fill="auto"/>
            <w:vAlign w:val="center"/>
          </w:tcPr>
          <w:p w14:paraId="0664CF41" w14:textId="77777777" w:rsidR="00FC6CC9" w:rsidRPr="00591BFC" w:rsidRDefault="00FC6CC9" w:rsidP="008B229C">
            <w:pPr>
              <w:spacing w:after="0" w:line="360" w:lineRule="auto"/>
              <w:jc w:val="center"/>
              <w:rPr>
                <w:sz w:val="18"/>
                <w:szCs w:val="20"/>
              </w:rPr>
            </w:pPr>
            <w:r w:rsidRPr="00591BFC">
              <w:rPr>
                <w:sz w:val="18"/>
                <w:szCs w:val="20"/>
              </w:rPr>
              <w:t>0.2 WTE</w:t>
            </w:r>
          </w:p>
          <w:p w14:paraId="646FB6BF" w14:textId="77777777" w:rsidR="00FC6CC9" w:rsidRPr="00591BFC" w:rsidRDefault="00FC6CC9" w:rsidP="008B229C">
            <w:pPr>
              <w:spacing w:after="0" w:line="360" w:lineRule="auto"/>
              <w:jc w:val="center"/>
              <w:rPr>
                <w:sz w:val="18"/>
                <w:szCs w:val="20"/>
              </w:rPr>
            </w:pPr>
            <w:r w:rsidRPr="00591BFC">
              <w:rPr>
                <w:sz w:val="18"/>
                <w:szCs w:val="20"/>
              </w:rPr>
              <w:t>1:1000 patients</w:t>
            </w:r>
          </w:p>
        </w:tc>
        <w:tc>
          <w:tcPr>
            <w:tcW w:w="0" w:type="auto"/>
            <w:shd w:val="clear" w:color="auto" w:fill="auto"/>
            <w:vAlign w:val="center"/>
          </w:tcPr>
          <w:p w14:paraId="2CC297D4" w14:textId="77777777" w:rsidR="00FC6CC9" w:rsidRPr="00591BFC" w:rsidRDefault="00FC6CC9" w:rsidP="008B229C">
            <w:pPr>
              <w:spacing w:after="0" w:line="360" w:lineRule="auto"/>
              <w:jc w:val="center"/>
              <w:rPr>
                <w:sz w:val="18"/>
                <w:szCs w:val="20"/>
              </w:rPr>
            </w:pPr>
            <w:r w:rsidRPr="00591BFC">
              <w:rPr>
                <w:sz w:val="18"/>
                <w:szCs w:val="20"/>
              </w:rPr>
              <w:t>0</w:t>
            </w:r>
          </w:p>
        </w:tc>
        <w:tc>
          <w:tcPr>
            <w:tcW w:w="0" w:type="auto"/>
            <w:shd w:val="clear" w:color="auto" w:fill="auto"/>
            <w:vAlign w:val="center"/>
          </w:tcPr>
          <w:p w14:paraId="40475CB5" w14:textId="77777777" w:rsidR="00FC6CC9" w:rsidRPr="00591BFC" w:rsidRDefault="00FC6CC9" w:rsidP="008B229C">
            <w:pPr>
              <w:spacing w:after="0" w:line="360" w:lineRule="auto"/>
              <w:jc w:val="center"/>
              <w:rPr>
                <w:sz w:val="18"/>
                <w:szCs w:val="20"/>
              </w:rPr>
            </w:pPr>
            <w:r w:rsidRPr="00591BFC">
              <w:rPr>
                <w:sz w:val="18"/>
                <w:szCs w:val="20"/>
              </w:rPr>
              <w:t>1 (orthogeriatrician)</w:t>
            </w:r>
          </w:p>
        </w:tc>
      </w:tr>
    </w:tbl>
    <w:p w14:paraId="7A6DD795" w14:textId="77777777" w:rsidR="00D60A7D" w:rsidRDefault="00D60A7D" w:rsidP="00FC6CC9"/>
    <w:p w14:paraId="62F46EBB" w14:textId="77777777" w:rsidR="00D60A7D" w:rsidRPr="00D60A7D" w:rsidRDefault="00D60A7D" w:rsidP="00FC6CC9"/>
    <w:p w14:paraId="7112F58B" w14:textId="77777777" w:rsidR="001508BC" w:rsidRPr="00591BFC" w:rsidRDefault="001508BC" w:rsidP="00E86771">
      <w:pPr>
        <w:spacing w:line="360" w:lineRule="auto"/>
        <w:rPr>
          <w:i/>
          <w:szCs w:val="24"/>
        </w:rPr>
      </w:pPr>
    </w:p>
    <w:p w14:paraId="7766FA23" w14:textId="4B61E47A" w:rsidR="002A7E4D" w:rsidRPr="00591BFC" w:rsidRDefault="001508BC" w:rsidP="00E86771">
      <w:pPr>
        <w:spacing w:line="360" w:lineRule="auto"/>
        <w:rPr>
          <w:szCs w:val="24"/>
        </w:rPr>
      </w:pPr>
      <w:r w:rsidRPr="00591BFC">
        <w:rPr>
          <w:szCs w:val="24"/>
        </w:rPr>
        <w:fldChar w:fldCharType="begin"/>
      </w:r>
      <w:r w:rsidRPr="00591BFC">
        <w:rPr>
          <w:szCs w:val="24"/>
        </w:rPr>
        <w:instrText xml:space="preserve"> REF _Ref421171375 \h  \* MERGEFORMAT </w:instrText>
      </w:r>
      <w:r w:rsidRPr="00591BFC">
        <w:rPr>
          <w:szCs w:val="24"/>
        </w:rPr>
      </w:r>
      <w:r w:rsidRPr="00591BFC">
        <w:rPr>
          <w:szCs w:val="24"/>
        </w:rPr>
        <w:fldChar w:fldCharType="separate"/>
      </w:r>
      <w:r w:rsidRPr="00591BFC">
        <w:t xml:space="preserve">Table </w:t>
      </w:r>
      <w:r>
        <w:rPr>
          <w:noProof/>
        </w:rPr>
        <w:t>1</w:t>
      </w:r>
      <w:r w:rsidRPr="00591BFC">
        <w:rPr>
          <w:szCs w:val="24"/>
        </w:rPr>
        <w:fldChar w:fldCharType="end"/>
      </w:r>
      <w:r w:rsidRPr="00591BFC">
        <w:rPr>
          <w:szCs w:val="24"/>
        </w:rPr>
        <w:t xml:space="preserve"> provides the WTEs and proportion of specialist staff per 1000 hip fracture patients at each hospital, including orthogeriatricians, fracture liaison nurses, falls nurses, lead clinicians or ‘osteoporosis champions’. This highlights the differences in staffing levels across hospitals. For example, two hospitals had no consultant level orthogeriatric support, while one hospital had a full time consultant orthogeriatrician in place supported by 5 WTE lower grade orthogeriatric staff.</w:t>
      </w:r>
    </w:p>
    <w:p w14:paraId="44970C32" w14:textId="77777777" w:rsidR="002A7E4D" w:rsidRPr="00591BFC" w:rsidRDefault="002A7E4D" w:rsidP="00E86771">
      <w:pPr>
        <w:spacing w:line="360" w:lineRule="auto"/>
        <w:rPr>
          <w:szCs w:val="24"/>
        </w:rPr>
      </w:pPr>
      <w:r w:rsidRPr="00591BFC">
        <w:rPr>
          <w:szCs w:val="24"/>
        </w:rPr>
        <w:t xml:space="preserve">Several hospitals still had no fracture liaison or specialist nurses in post as of April 2013, while one hospital had 3.8 WTE of specialist nurses. When considering the number of hip fracture patients seen at each hospital, the variation in staffing becomes even more pronounced, with overall orthogeriatric staff ranging from 1 WTE per 1000 patients to 9.6 WTE per 1000 patients, and overall nursing staff ranging from zero input to 7.6 WTE per 1000 patients. </w:t>
      </w:r>
    </w:p>
    <w:p w14:paraId="71BBC130" w14:textId="77777777" w:rsidR="002A7E4D" w:rsidRPr="00591BFC" w:rsidRDefault="002A7E4D" w:rsidP="00E86771">
      <w:pPr>
        <w:spacing w:line="360" w:lineRule="auto"/>
        <w:rPr>
          <w:szCs w:val="24"/>
        </w:rPr>
      </w:pPr>
    </w:p>
    <w:p w14:paraId="4AEF4546" w14:textId="77777777" w:rsidR="002A7E4D" w:rsidRPr="00591BFC" w:rsidRDefault="002A7E4D" w:rsidP="00E86771">
      <w:pPr>
        <w:pStyle w:val="Heading3"/>
        <w:spacing w:line="360" w:lineRule="auto"/>
        <w:rPr>
          <w:rFonts w:ascii="Calibri" w:hAnsi="Calibri"/>
          <w:lang w:val="en-GB"/>
        </w:rPr>
      </w:pPr>
      <w:bookmarkStart w:id="72" w:name="_Toc308300715"/>
      <w:bookmarkStart w:id="73" w:name="_Toc311366522"/>
      <w:r w:rsidRPr="00591BFC">
        <w:rPr>
          <w:rFonts w:ascii="Calibri" w:hAnsi="Calibri"/>
          <w:lang w:val="en-GB"/>
        </w:rPr>
        <w:t>Co-ordinator based models of care</w:t>
      </w:r>
      <w:bookmarkEnd w:id="72"/>
      <w:bookmarkEnd w:id="73"/>
    </w:p>
    <w:p w14:paraId="58416B90" w14:textId="77777777" w:rsidR="002A7E4D" w:rsidRPr="00591BFC" w:rsidRDefault="002A7E4D" w:rsidP="00E86771">
      <w:pPr>
        <w:spacing w:line="360" w:lineRule="auto"/>
        <w:rPr>
          <w:szCs w:val="24"/>
        </w:rPr>
      </w:pPr>
      <w:r w:rsidRPr="00591BFC">
        <w:rPr>
          <w:szCs w:val="24"/>
        </w:rPr>
        <w:t xml:space="preserve">Information was gathered on the role of orthogeriatricians and fracture liaison nurses in the fracture prevention service. It is clear that some hospitals operated a nurse led model, in which nurses were responsible for case-finding, osteoporosis assessment and making treatment recommendations. In other hospitals, such roles were performed by consultant orthogeriatricians. At some hospitals, specialist nurses such as orthopaedic nurses were essentially performing the role of a fracture liaison nurse despite no one officially being employed in that role. The majority of services were inpatient led only, with only a few services being integrated with outpatient care, and in some cases also community care. One hospital operated a service which was mainly outpatient led.  </w:t>
      </w:r>
    </w:p>
    <w:p w14:paraId="60C86B0C" w14:textId="77777777" w:rsidR="002A7E4D" w:rsidRPr="00591BFC" w:rsidRDefault="002A7E4D" w:rsidP="00E86771">
      <w:pPr>
        <w:spacing w:line="360" w:lineRule="auto"/>
        <w:rPr>
          <w:szCs w:val="24"/>
        </w:rPr>
      </w:pPr>
      <w:r w:rsidRPr="00591BFC">
        <w:rPr>
          <w:szCs w:val="24"/>
        </w:rPr>
        <w:t xml:space="preserve">The majority of hospitals followed NICE implementation guidelines, holding multidisciplinary team meetings on a regular basis to coordinate care between orthopaedics, rheumatology and any other departments involved in care. Some hospitals also used multidisciplinary paperwork, but only two hospitals reported conducting multidisciplinary ward rounds. Only one of the hospitals in the study </w:t>
      </w:r>
      <w:r w:rsidRPr="00591BFC">
        <w:rPr>
          <w:szCs w:val="24"/>
        </w:rPr>
        <w:lastRenderedPageBreak/>
        <w:t xml:space="preserve">demonstrated little coordination of care and a lack of agreed protocols and meetings with staff from other departments. </w:t>
      </w:r>
    </w:p>
    <w:p w14:paraId="03BF8F3E" w14:textId="77777777" w:rsidR="002A7E4D" w:rsidRPr="00591BFC" w:rsidRDefault="002A7E4D" w:rsidP="00E86771">
      <w:pPr>
        <w:pStyle w:val="Heading3"/>
        <w:spacing w:line="360" w:lineRule="auto"/>
        <w:rPr>
          <w:rFonts w:ascii="Calibri" w:hAnsi="Calibri"/>
          <w:lang w:val="en-GB"/>
        </w:rPr>
      </w:pPr>
      <w:bookmarkStart w:id="74" w:name="_Toc308300716"/>
      <w:bookmarkStart w:id="75" w:name="_Toc311366523"/>
      <w:r w:rsidRPr="00591BFC">
        <w:rPr>
          <w:rFonts w:ascii="Calibri" w:hAnsi="Calibri"/>
          <w:lang w:val="en-GB"/>
        </w:rPr>
        <w:t>Case-finding</w:t>
      </w:r>
      <w:bookmarkEnd w:id="74"/>
      <w:bookmarkEnd w:id="75"/>
    </w:p>
    <w:p w14:paraId="66E6F5DE" w14:textId="77777777" w:rsidR="002A7E4D" w:rsidRPr="00591BFC" w:rsidRDefault="002A7E4D" w:rsidP="00E86771">
      <w:pPr>
        <w:spacing w:line="360" w:lineRule="auto"/>
        <w:rPr>
          <w:szCs w:val="24"/>
        </w:rPr>
      </w:pPr>
      <w:r w:rsidRPr="00591BFC">
        <w:rPr>
          <w:szCs w:val="24"/>
        </w:rPr>
        <w:t xml:space="preserve">Fracture liaison nurses or orthogeriatricians were generally responsible for undertaking case-finding at most hospitals in an inpatient setting. When questioned about methods for case finding, most hospitals reported ward rounds and multidisciplinary team meetings as the most widely used methods. This interaction was often done informally by liaising with trauma and orthopaedic surgeons and other staff. </w:t>
      </w:r>
      <w:r w:rsidRPr="00591BFC">
        <w:t xml:space="preserve"> </w:t>
      </w:r>
      <w:r w:rsidRPr="00591BFC">
        <w:rPr>
          <w:szCs w:val="24"/>
        </w:rPr>
        <w:t xml:space="preserve">At one hospital, healthcare professionals attended joint trauma meetings which were followed by a joint trauma round that included an Orthogeriatrician, Orthopaedic Surgeon and a Registrar five days a week.  Computer systems were also important for logging trauma referrals and admissions, allowing staff to search the database for hip fracture patients. Nurses could then look at patient notes to distinguish low-impact, osteoporotic fractures from those caused by high-impact trauma using locally agreed criteria. </w:t>
      </w:r>
      <w:r w:rsidRPr="00591BFC">
        <w:rPr>
          <w:szCs w:val="24"/>
        </w:rPr>
        <w:fldChar w:fldCharType="begin"/>
      </w:r>
      <w:r w:rsidRPr="00591BFC">
        <w:rPr>
          <w:szCs w:val="24"/>
        </w:rPr>
        <w:instrText xml:space="preserve"> REF _Ref420048584 \h </w:instrText>
      </w:r>
      <w:r w:rsidR="00E814C1" w:rsidRPr="00591BFC">
        <w:rPr>
          <w:szCs w:val="24"/>
        </w:rPr>
        <w:instrText xml:space="preserve"> \* MERGEFORMAT </w:instrText>
      </w:r>
      <w:r w:rsidRPr="00591BFC">
        <w:rPr>
          <w:szCs w:val="24"/>
        </w:rPr>
      </w:r>
      <w:r w:rsidRPr="00591BFC">
        <w:rPr>
          <w:szCs w:val="24"/>
        </w:rPr>
        <w:fldChar w:fldCharType="separate"/>
      </w:r>
      <w:r w:rsidR="007B18C0" w:rsidRPr="00591BFC">
        <w:t xml:space="preserve">Table </w:t>
      </w:r>
      <w:r w:rsidR="007B18C0" w:rsidRPr="00591BFC">
        <w:rPr>
          <w:noProof/>
        </w:rPr>
        <w:t>2</w:t>
      </w:r>
      <w:r w:rsidRPr="00591BFC">
        <w:rPr>
          <w:szCs w:val="24"/>
        </w:rPr>
        <w:fldChar w:fldCharType="end"/>
      </w:r>
      <w:r w:rsidRPr="00591BFC">
        <w:rPr>
          <w:szCs w:val="24"/>
        </w:rPr>
        <w:t xml:space="preserve"> outlines some of the case-finding procedures used at the hospitals with varying methods. </w:t>
      </w:r>
    </w:p>
    <w:p w14:paraId="45733644" w14:textId="77777777" w:rsidR="002A7E4D" w:rsidRPr="00591BFC" w:rsidRDefault="002A7E4D" w:rsidP="00E86771">
      <w:pPr>
        <w:pStyle w:val="Caption"/>
        <w:keepNext/>
        <w:spacing w:line="360" w:lineRule="auto"/>
      </w:pPr>
      <w:bookmarkStart w:id="76" w:name="_Ref420048584"/>
      <w:bookmarkStart w:id="77" w:name="_Toc308262397"/>
      <w:bookmarkStart w:id="78" w:name="_Toc311366663"/>
      <w:r w:rsidRPr="00591BFC">
        <w:t xml:space="preserve">Table </w:t>
      </w:r>
      <w:r w:rsidR="002149AD">
        <w:fldChar w:fldCharType="begin"/>
      </w:r>
      <w:r w:rsidR="002149AD">
        <w:instrText xml:space="preserve"> SEQ Table \* ARABIC </w:instrText>
      </w:r>
      <w:r w:rsidR="002149AD">
        <w:fldChar w:fldCharType="separate"/>
      </w:r>
      <w:r w:rsidR="00655089">
        <w:rPr>
          <w:noProof/>
        </w:rPr>
        <w:t>2</w:t>
      </w:r>
      <w:r w:rsidR="002149AD">
        <w:rPr>
          <w:noProof/>
        </w:rPr>
        <w:fldChar w:fldCharType="end"/>
      </w:r>
      <w:bookmarkEnd w:id="76"/>
      <w:r w:rsidRPr="00591BFC">
        <w:t>: Brief description of case finding procedures at hospitals using different methods. OG=Orthogeriatrician, FLN = fracture liaison nurse.</w:t>
      </w:r>
      <w:bookmarkEnd w:id="77"/>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843"/>
        <w:gridCol w:w="3562"/>
        <w:gridCol w:w="2311"/>
      </w:tblGrid>
      <w:tr w:rsidR="002A7E4D" w:rsidRPr="00591BFC" w14:paraId="3FBBC52D" w14:textId="77777777" w:rsidTr="00FA34DF">
        <w:tc>
          <w:tcPr>
            <w:tcW w:w="1526" w:type="dxa"/>
          </w:tcPr>
          <w:p w14:paraId="6FF5A8C4" w14:textId="77777777" w:rsidR="002A7E4D" w:rsidRPr="00591BFC" w:rsidRDefault="002A7E4D" w:rsidP="00E86771">
            <w:pPr>
              <w:spacing w:after="0" w:line="360" w:lineRule="auto"/>
              <w:rPr>
                <w:b/>
                <w:szCs w:val="24"/>
              </w:rPr>
            </w:pPr>
            <w:r w:rsidRPr="00591BFC">
              <w:rPr>
                <w:b/>
                <w:szCs w:val="24"/>
              </w:rPr>
              <w:t>Hospital</w:t>
            </w:r>
          </w:p>
        </w:tc>
        <w:tc>
          <w:tcPr>
            <w:tcW w:w="1843" w:type="dxa"/>
          </w:tcPr>
          <w:p w14:paraId="3E584DC8" w14:textId="77777777" w:rsidR="002A7E4D" w:rsidRPr="00591BFC" w:rsidRDefault="002A7E4D" w:rsidP="00E86771">
            <w:pPr>
              <w:spacing w:after="0" w:line="360" w:lineRule="auto"/>
              <w:rPr>
                <w:b/>
                <w:szCs w:val="24"/>
              </w:rPr>
            </w:pPr>
            <w:r w:rsidRPr="00591BFC">
              <w:rPr>
                <w:b/>
                <w:szCs w:val="24"/>
              </w:rPr>
              <w:t>Who?</w:t>
            </w:r>
          </w:p>
        </w:tc>
        <w:tc>
          <w:tcPr>
            <w:tcW w:w="3562" w:type="dxa"/>
          </w:tcPr>
          <w:p w14:paraId="5CACBEC2" w14:textId="77777777" w:rsidR="002A7E4D" w:rsidRPr="00591BFC" w:rsidRDefault="002A7E4D" w:rsidP="00E86771">
            <w:pPr>
              <w:spacing w:after="0" w:line="360" w:lineRule="auto"/>
              <w:rPr>
                <w:b/>
                <w:szCs w:val="24"/>
              </w:rPr>
            </w:pPr>
            <w:r w:rsidRPr="00591BFC">
              <w:rPr>
                <w:b/>
                <w:szCs w:val="24"/>
              </w:rPr>
              <w:t>How?</w:t>
            </w:r>
          </w:p>
        </w:tc>
        <w:tc>
          <w:tcPr>
            <w:tcW w:w="2311" w:type="dxa"/>
          </w:tcPr>
          <w:p w14:paraId="6A1EEECB" w14:textId="77777777" w:rsidR="002A7E4D" w:rsidRPr="00591BFC" w:rsidRDefault="002A7E4D" w:rsidP="00E86771">
            <w:pPr>
              <w:spacing w:after="0" w:line="360" w:lineRule="auto"/>
              <w:rPr>
                <w:b/>
                <w:szCs w:val="24"/>
              </w:rPr>
            </w:pPr>
            <w:r w:rsidRPr="00591BFC">
              <w:rPr>
                <w:b/>
                <w:szCs w:val="24"/>
              </w:rPr>
              <w:t>Patient groups</w:t>
            </w:r>
          </w:p>
        </w:tc>
      </w:tr>
      <w:tr w:rsidR="001F06AE" w:rsidRPr="00591BFC" w14:paraId="05003AE6" w14:textId="77777777" w:rsidTr="001F06AE">
        <w:tc>
          <w:tcPr>
            <w:tcW w:w="1526" w:type="dxa"/>
          </w:tcPr>
          <w:p w14:paraId="21882A9D" w14:textId="77777777" w:rsidR="001F06AE" w:rsidRPr="00591BFC" w:rsidRDefault="001F06AE" w:rsidP="00E86771">
            <w:pPr>
              <w:spacing w:after="0" w:line="360" w:lineRule="auto"/>
              <w:rPr>
                <w:szCs w:val="24"/>
              </w:rPr>
            </w:pPr>
            <w:r w:rsidRPr="00591BFC">
              <w:rPr>
                <w:szCs w:val="24"/>
              </w:rPr>
              <w:t>8</w:t>
            </w:r>
          </w:p>
        </w:tc>
        <w:tc>
          <w:tcPr>
            <w:tcW w:w="1843" w:type="dxa"/>
          </w:tcPr>
          <w:p w14:paraId="7FD785A6" w14:textId="77777777" w:rsidR="001F06AE" w:rsidRPr="00591BFC" w:rsidRDefault="001F06AE" w:rsidP="00E86771">
            <w:pPr>
              <w:spacing w:after="0" w:line="360" w:lineRule="auto"/>
              <w:rPr>
                <w:szCs w:val="24"/>
              </w:rPr>
            </w:pPr>
            <w:r w:rsidRPr="00591BFC">
              <w:rPr>
                <w:szCs w:val="24"/>
              </w:rPr>
              <w:t>OG, orthopaedic surgeons, registrar</w:t>
            </w:r>
          </w:p>
        </w:tc>
        <w:tc>
          <w:tcPr>
            <w:tcW w:w="3562" w:type="dxa"/>
          </w:tcPr>
          <w:p w14:paraId="0A2F2F7D" w14:textId="77777777" w:rsidR="001F06AE" w:rsidRPr="00591BFC" w:rsidRDefault="001F06AE" w:rsidP="00E86771">
            <w:pPr>
              <w:spacing w:after="0" w:line="360" w:lineRule="auto"/>
              <w:rPr>
                <w:szCs w:val="24"/>
              </w:rPr>
            </w:pPr>
            <w:r w:rsidRPr="00591BFC">
              <w:rPr>
                <w:szCs w:val="24"/>
              </w:rPr>
              <w:t xml:space="preserve">Pre-operative joint trauma round, joint trauma meeting </w:t>
            </w:r>
          </w:p>
        </w:tc>
        <w:tc>
          <w:tcPr>
            <w:tcW w:w="2311" w:type="dxa"/>
          </w:tcPr>
          <w:p w14:paraId="4F3D7D64" w14:textId="77777777" w:rsidR="001F06AE" w:rsidRPr="00591BFC" w:rsidRDefault="001F06AE" w:rsidP="00E86771">
            <w:pPr>
              <w:spacing w:after="0" w:line="360" w:lineRule="auto"/>
              <w:rPr>
                <w:szCs w:val="24"/>
              </w:rPr>
            </w:pPr>
            <w:r w:rsidRPr="00591BFC">
              <w:rPr>
                <w:szCs w:val="24"/>
              </w:rPr>
              <w:t>All over 60 with a fragility fracture</w:t>
            </w:r>
          </w:p>
        </w:tc>
      </w:tr>
      <w:tr w:rsidR="001F06AE" w:rsidRPr="00591BFC" w14:paraId="686F1E4B" w14:textId="77777777" w:rsidTr="001F06AE">
        <w:tc>
          <w:tcPr>
            <w:tcW w:w="1526" w:type="dxa"/>
          </w:tcPr>
          <w:p w14:paraId="74E04DA9" w14:textId="77777777" w:rsidR="001F06AE" w:rsidRPr="00591BFC" w:rsidRDefault="001F06AE" w:rsidP="00E86771">
            <w:pPr>
              <w:spacing w:after="0" w:line="360" w:lineRule="auto"/>
              <w:rPr>
                <w:szCs w:val="24"/>
              </w:rPr>
            </w:pPr>
            <w:r w:rsidRPr="00591BFC">
              <w:rPr>
                <w:szCs w:val="24"/>
              </w:rPr>
              <w:t>9</w:t>
            </w:r>
          </w:p>
        </w:tc>
        <w:tc>
          <w:tcPr>
            <w:tcW w:w="1843" w:type="dxa"/>
          </w:tcPr>
          <w:p w14:paraId="5C1050DE" w14:textId="77777777" w:rsidR="001F06AE" w:rsidRPr="00591BFC" w:rsidRDefault="001F06AE" w:rsidP="00E86771">
            <w:pPr>
              <w:spacing w:after="0" w:line="360" w:lineRule="auto"/>
              <w:rPr>
                <w:szCs w:val="24"/>
              </w:rPr>
            </w:pPr>
            <w:r w:rsidRPr="00591BFC">
              <w:rPr>
                <w:szCs w:val="24"/>
              </w:rPr>
              <w:t>Osteoporosis nurse specialist</w:t>
            </w:r>
          </w:p>
        </w:tc>
        <w:tc>
          <w:tcPr>
            <w:tcW w:w="3562" w:type="dxa"/>
          </w:tcPr>
          <w:p w14:paraId="78FB33E1" w14:textId="77777777" w:rsidR="001F06AE" w:rsidRPr="00591BFC" w:rsidRDefault="001F06AE" w:rsidP="00E86771">
            <w:pPr>
              <w:spacing w:after="0" w:line="360" w:lineRule="auto"/>
              <w:rPr>
                <w:szCs w:val="24"/>
              </w:rPr>
            </w:pPr>
            <w:r w:rsidRPr="00591BFC">
              <w:rPr>
                <w:szCs w:val="24"/>
              </w:rPr>
              <w:t>Referred for outpatient appointment</w:t>
            </w:r>
          </w:p>
        </w:tc>
        <w:tc>
          <w:tcPr>
            <w:tcW w:w="2311" w:type="dxa"/>
          </w:tcPr>
          <w:p w14:paraId="580239C5" w14:textId="77777777" w:rsidR="001F06AE" w:rsidRPr="00591BFC" w:rsidRDefault="001F06AE" w:rsidP="00E86771">
            <w:pPr>
              <w:spacing w:after="0" w:line="360" w:lineRule="auto"/>
              <w:rPr>
                <w:szCs w:val="24"/>
              </w:rPr>
            </w:pPr>
            <w:r w:rsidRPr="00591BFC">
              <w:rPr>
                <w:szCs w:val="24"/>
              </w:rPr>
              <w:t>All inpatient hip fractures</w:t>
            </w:r>
          </w:p>
        </w:tc>
      </w:tr>
      <w:tr w:rsidR="002A7E4D" w:rsidRPr="00591BFC" w14:paraId="3A98B8F0" w14:textId="77777777" w:rsidTr="00FA34DF">
        <w:tc>
          <w:tcPr>
            <w:tcW w:w="1526" w:type="dxa"/>
          </w:tcPr>
          <w:p w14:paraId="09EA1A63" w14:textId="77777777" w:rsidR="002A7E4D" w:rsidRPr="00591BFC" w:rsidRDefault="002A7E4D" w:rsidP="00E86771">
            <w:pPr>
              <w:spacing w:after="0" w:line="360" w:lineRule="auto"/>
              <w:rPr>
                <w:szCs w:val="24"/>
              </w:rPr>
            </w:pPr>
            <w:r w:rsidRPr="00591BFC">
              <w:rPr>
                <w:szCs w:val="24"/>
              </w:rPr>
              <w:t>1</w:t>
            </w:r>
            <w:r w:rsidR="004F58AD" w:rsidRPr="00591BFC">
              <w:rPr>
                <w:szCs w:val="24"/>
              </w:rPr>
              <w:t>0</w:t>
            </w:r>
          </w:p>
        </w:tc>
        <w:tc>
          <w:tcPr>
            <w:tcW w:w="1843" w:type="dxa"/>
          </w:tcPr>
          <w:p w14:paraId="7502F418" w14:textId="77777777" w:rsidR="002A7E4D" w:rsidRPr="00591BFC" w:rsidRDefault="002A7E4D" w:rsidP="00E86771">
            <w:pPr>
              <w:spacing w:after="0" w:line="360" w:lineRule="auto"/>
              <w:rPr>
                <w:szCs w:val="24"/>
              </w:rPr>
            </w:pPr>
            <w:r w:rsidRPr="00591BFC">
              <w:rPr>
                <w:szCs w:val="24"/>
              </w:rPr>
              <w:t>FLN in liaison with OG</w:t>
            </w:r>
          </w:p>
        </w:tc>
        <w:tc>
          <w:tcPr>
            <w:tcW w:w="3562" w:type="dxa"/>
          </w:tcPr>
          <w:p w14:paraId="0D5B3C66" w14:textId="77777777" w:rsidR="002A7E4D" w:rsidRPr="00591BFC" w:rsidRDefault="002A7E4D" w:rsidP="00E86771">
            <w:pPr>
              <w:spacing w:after="0" w:line="360" w:lineRule="auto"/>
              <w:rPr>
                <w:szCs w:val="24"/>
              </w:rPr>
            </w:pPr>
            <w:r w:rsidRPr="00591BFC">
              <w:rPr>
                <w:szCs w:val="24"/>
              </w:rPr>
              <w:t>Computer system logs admissions and referrals</w:t>
            </w:r>
          </w:p>
        </w:tc>
        <w:tc>
          <w:tcPr>
            <w:tcW w:w="2311" w:type="dxa"/>
          </w:tcPr>
          <w:p w14:paraId="0028DC51" w14:textId="77777777" w:rsidR="002A7E4D" w:rsidRPr="00591BFC" w:rsidRDefault="002A7E4D" w:rsidP="00E86771">
            <w:pPr>
              <w:spacing w:after="0" w:line="360" w:lineRule="auto"/>
              <w:rPr>
                <w:szCs w:val="24"/>
              </w:rPr>
            </w:pPr>
            <w:r w:rsidRPr="00591BFC">
              <w:rPr>
                <w:szCs w:val="24"/>
              </w:rPr>
              <w:t>All over 50 with a fragility fracture</w:t>
            </w:r>
          </w:p>
        </w:tc>
      </w:tr>
      <w:tr w:rsidR="002A7E4D" w:rsidRPr="00591BFC" w14:paraId="48076D3C" w14:textId="77777777" w:rsidTr="00FA34DF">
        <w:tc>
          <w:tcPr>
            <w:tcW w:w="1526" w:type="dxa"/>
          </w:tcPr>
          <w:p w14:paraId="0FFB9ACB" w14:textId="77777777" w:rsidR="002A7E4D" w:rsidRPr="00591BFC" w:rsidRDefault="004F58AD" w:rsidP="00E86771">
            <w:pPr>
              <w:spacing w:after="0" w:line="360" w:lineRule="auto"/>
              <w:rPr>
                <w:szCs w:val="24"/>
              </w:rPr>
            </w:pPr>
            <w:r w:rsidRPr="00591BFC">
              <w:rPr>
                <w:szCs w:val="24"/>
              </w:rPr>
              <w:t>11</w:t>
            </w:r>
          </w:p>
        </w:tc>
        <w:tc>
          <w:tcPr>
            <w:tcW w:w="1843" w:type="dxa"/>
          </w:tcPr>
          <w:p w14:paraId="426E2A2C" w14:textId="77777777" w:rsidR="002A7E4D" w:rsidRPr="00591BFC" w:rsidRDefault="002A7E4D" w:rsidP="00E86771">
            <w:pPr>
              <w:spacing w:after="0" w:line="360" w:lineRule="auto"/>
              <w:rPr>
                <w:szCs w:val="24"/>
              </w:rPr>
            </w:pPr>
            <w:r w:rsidRPr="00591BFC">
              <w:rPr>
                <w:szCs w:val="24"/>
              </w:rPr>
              <w:t>FLN in liaison with OG</w:t>
            </w:r>
          </w:p>
        </w:tc>
        <w:tc>
          <w:tcPr>
            <w:tcW w:w="3562" w:type="dxa"/>
          </w:tcPr>
          <w:p w14:paraId="1754BE51" w14:textId="77777777" w:rsidR="002A7E4D" w:rsidRPr="00591BFC" w:rsidRDefault="002A7E4D" w:rsidP="00E86771">
            <w:pPr>
              <w:spacing w:after="0" w:line="360" w:lineRule="auto"/>
              <w:rPr>
                <w:szCs w:val="24"/>
              </w:rPr>
            </w:pPr>
            <w:r w:rsidRPr="00591BFC">
              <w:rPr>
                <w:szCs w:val="24"/>
              </w:rPr>
              <w:t>Post-operative ward rounds</w:t>
            </w:r>
          </w:p>
        </w:tc>
        <w:tc>
          <w:tcPr>
            <w:tcW w:w="2311" w:type="dxa"/>
          </w:tcPr>
          <w:p w14:paraId="2915E538" w14:textId="77777777" w:rsidR="002A7E4D" w:rsidRPr="00591BFC" w:rsidRDefault="002A7E4D" w:rsidP="00E86771">
            <w:pPr>
              <w:spacing w:after="0" w:line="360" w:lineRule="auto"/>
              <w:rPr>
                <w:szCs w:val="24"/>
              </w:rPr>
            </w:pPr>
            <w:r w:rsidRPr="00591BFC">
              <w:rPr>
                <w:szCs w:val="24"/>
              </w:rPr>
              <w:t>All over 50 with a fragility fracture</w:t>
            </w:r>
          </w:p>
        </w:tc>
      </w:tr>
    </w:tbl>
    <w:p w14:paraId="5FF6731B" w14:textId="77777777" w:rsidR="002A7E4D" w:rsidRPr="00591BFC" w:rsidRDefault="002A7E4D" w:rsidP="00E86771">
      <w:pPr>
        <w:spacing w:line="360" w:lineRule="auto"/>
        <w:rPr>
          <w:szCs w:val="24"/>
        </w:rPr>
      </w:pPr>
    </w:p>
    <w:p w14:paraId="0CAACA9F" w14:textId="77777777" w:rsidR="002A7E4D" w:rsidRPr="00591BFC" w:rsidRDefault="002A7E4D" w:rsidP="00E86771">
      <w:pPr>
        <w:pStyle w:val="Heading3"/>
        <w:spacing w:line="360" w:lineRule="auto"/>
        <w:rPr>
          <w:rFonts w:ascii="Calibri" w:hAnsi="Calibri"/>
          <w:lang w:val="en-GB"/>
        </w:rPr>
      </w:pPr>
      <w:bookmarkStart w:id="79" w:name="_Toc308300717"/>
      <w:bookmarkStart w:id="80" w:name="_Toc311366524"/>
      <w:r w:rsidRPr="00591BFC">
        <w:rPr>
          <w:rFonts w:ascii="Calibri" w:hAnsi="Calibri"/>
          <w:lang w:val="en-GB"/>
        </w:rPr>
        <w:t>Osteoporosis assessment</w:t>
      </w:r>
      <w:bookmarkEnd w:id="79"/>
      <w:bookmarkEnd w:id="80"/>
    </w:p>
    <w:p w14:paraId="0F2BFA40" w14:textId="77777777" w:rsidR="002A7E4D" w:rsidRPr="00591BFC" w:rsidRDefault="002A7E4D" w:rsidP="00E86771">
      <w:pPr>
        <w:spacing w:line="360" w:lineRule="auto"/>
        <w:rPr>
          <w:szCs w:val="24"/>
        </w:rPr>
      </w:pPr>
      <w:r w:rsidRPr="00591BFC">
        <w:rPr>
          <w:szCs w:val="24"/>
        </w:rPr>
        <w:t xml:space="preserve">Most hospitals performed an initial inpatient osteoporosis assessment approximately two days post-operatively. In several hospitals this assessment was performed pre-operatively and in some hospitals the timing of this may vary depending on the needs and condition of the patient, although other hospitals were less flexible. The assessments were performed by a fracture liaison nurse or by one of the orthogeriatric team. Protocols were in place at most hospitals for assessing the patient’s </w:t>
      </w:r>
      <w:r w:rsidRPr="00591BFC">
        <w:rPr>
          <w:szCs w:val="24"/>
        </w:rPr>
        <w:lastRenderedPageBreak/>
        <w:t xml:space="preserve">risk of further fractures and identifying other comorbidities which may influence treatment choice. When nurses conducted the assessment, they were often supported and advised by orthogeriatricians and rheumatologists in more complex cases. As shown in </w:t>
      </w:r>
      <w:r w:rsidRPr="00591BFC">
        <w:rPr>
          <w:szCs w:val="24"/>
        </w:rPr>
        <w:fldChar w:fldCharType="begin"/>
      </w:r>
      <w:r w:rsidRPr="00591BFC">
        <w:rPr>
          <w:szCs w:val="24"/>
        </w:rPr>
        <w:instrText xml:space="preserve"> REF _Ref420049567 \h </w:instrText>
      </w:r>
      <w:r w:rsidR="00E814C1" w:rsidRPr="00591BFC">
        <w:rPr>
          <w:szCs w:val="24"/>
        </w:rPr>
        <w:instrText xml:space="preserve"> \* MERGEFORMAT </w:instrText>
      </w:r>
      <w:r w:rsidRPr="00591BFC">
        <w:rPr>
          <w:szCs w:val="24"/>
        </w:rPr>
      </w:r>
      <w:r w:rsidRPr="00591BFC">
        <w:rPr>
          <w:szCs w:val="24"/>
        </w:rPr>
        <w:fldChar w:fldCharType="separate"/>
      </w:r>
      <w:r w:rsidR="007B18C0" w:rsidRPr="00591BFC">
        <w:t xml:space="preserve">Table </w:t>
      </w:r>
      <w:r w:rsidR="007B18C0" w:rsidRPr="00591BFC">
        <w:rPr>
          <w:noProof/>
        </w:rPr>
        <w:t>3</w:t>
      </w:r>
      <w:r w:rsidRPr="00591BFC">
        <w:rPr>
          <w:szCs w:val="24"/>
        </w:rPr>
        <w:fldChar w:fldCharType="end"/>
      </w:r>
      <w:r w:rsidRPr="00591BFC">
        <w:rPr>
          <w:szCs w:val="24"/>
        </w:rPr>
        <w:t xml:space="preserve">, two hospitals differed by undertaking the osteoporosis assessment in an outpatient setting, whereas the majority of other hospitals conducted theirs on the ward 2 days after surgery. </w:t>
      </w:r>
    </w:p>
    <w:p w14:paraId="252C1D7A" w14:textId="14BFC4DF" w:rsidR="002A7E4D" w:rsidRPr="00591BFC" w:rsidRDefault="002A7E4D" w:rsidP="00E86771">
      <w:pPr>
        <w:pStyle w:val="Caption"/>
        <w:keepNext/>
        <w:spacing w:line="360" w:lineRule="auto"/>
      </w:pPr>
      <w:bookmarkStart w:id="81" w:name="_Ref420049567"/>
      <w:bookmarkStart w:id="82" w:name="_Toc308262398"/>
      <w:bookmarkStart w:id="83" w:name="_Toc311366664"/>
      <w:r w:rsidRPr="00591BFC">
        <w:t xml:space="preserve">Table </w:t>
      </w:r>
      <w:r w:rsidR="002149AD">
        <w:fldChar w:fldCharType="begin"/>
      </w:r>
      <w:r w:rsidR="002149AD">
        <w:instrText xml:space="preserve"> SEQ Table \* ARABIC </w:instrText>
      </w:r>
      <w:r w:rsidR="002149AD">
        <w:fldChar w:fldCharType="separate"/>
      </w:r>
      <w:r w:rsidR="00655089">
        <w:rPr>
          <w:noProof/>
        </w:rPr>
        <w:t>3</w:t>
      </w:r>
      <w:r w:rsidR="002149AD">
        <w:rPr>
          <w:noProof/>
        </w:rPr>
        <w:fldChar w:fldCharType="end"/>
      </w:r>
      <w:bookmarkEnd w:id="81"/>
      <w:r w:rsidRPr="00591BFC">
        <w:t xml:space="preserve">: Description of osteoporosis assessments at </w:t>
      </w:r>
      <w:r w:rsidR="0073544A">
        <w:t>4</w:t>
      </w:r>
      <w:r w:rsidRPr="00591BFC">
        <w:t xml:space="preserve"> of the hospitals studied showing variations in timing, location and nature of the assessment.</w:t>
      </w:r>
      <w:bookmarkEnd w:id="82"/>
      <w:bookmarkEnd w:id="83"/>
      <w:r w:rsidRPr="00591BF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628"/>
        <w:gridCol w:w="1543"/>
        <w:gridCol w:w="1480"/>
        <w:gridCol w:w="3128"/>
      </w:tblGrid>
      <w:tr w:rsidR="002A7E4D" w:rsidRPr="00591BFC" w14:paraId="74774BBC" w14:textId="77777777" w:rsidTr="00FA34DF">
        <w:tc>
          <w:tcPr>
            <w:tcW w:w="1463" w:type="dxa"/>
          </w:tcPr>
          <w:p w14:paraId="28739BF3" w14:textId="77777777" w:rsidR="002A7E4D" w:rsidRPr="00591BFC" w:rsidRDefault="002A7E4D" w:rsidP="00E86771">
            <w:pPr>
              <w:spacing w:after="0" w:line="360" w:lineRule="auto"/>
              <w:rPr>
                <w:b/>
                <w:szCs w:val="24"/>
              </w:rPr>
            </w:pPr>
            <w:r w:rsidRPr="00591BFC">
              <w:rPr>
                <w:b/>
                <w:szCs w:val="24"/>
              </w:rPr>
              <w:t>Hospital</w:t>
            </w:r>
          </w:p>
        </w:tc>
        <w:tc>
          <w:tcPr>
            <w:tcW w:w="1628" w:type="dxa"/>
          </w:tcPr>
          <w:p w14:paraId="76328FD1" w14:textId="77777777" w:rsidR="002A7E4D" w:rsidRPr="00591BFC" w:rsidRDefault="002A7E4D" w:rsidP="00E86771">
            <w:pPr>
              <w:spacing w:after="0" w:line="360" w:lineRule="auto"/>
              <w:rPr>
                <w:b/>
                <w:szCs w:val="24"/>
              </w:rPr>
            </w:pPr>
            <w:r w:rsidRPr="00591BFC">
              <w:rPr>
                <w:b/>
                <w:szCs w:val="24"/>
              </w:rPr>
              <w:t>Who?</w:t>
            </w:r>
          </w:p>
        </w:tc>
        <w:tc>
          <w:tcPr>
            <w:tcW w:w="1543" w:type="dxa"/>
          </w:tcPr>
          <w:p w14:paraId="0CC43D44" w14:textId="77777777" w:rsidR="002A7E4D" w:rsidRPr="00591BFC" w:rsidRDefault="002A7E4D" w:rsidP="00E86771">
            <w:pPr>
              <w:spacing w:after="0" w:line="360" w:lineRule="auto"/>
              <w:rPr>
                <w:b/>
                <w:szCs w:val="24"/>
              </w:rPr>
            </w:pPr>
            <w:r w:rsidRPr="00591BFC">
              <w:rPr>
                <w:b/>
                <w:szCs w:val="24"/>
              </w:rPr>
              <w:t>Where?</w:t>
            </w:r>
          </w:p>
        </w:tc>
        <w:tc>
          <w:tcPr>
            <w:tcW w:w="1480" w:type="dxa"/>
          </w:tcPr>
          <w:p w14:paraId="5F6F0263" w14:textId="77777777" w:rsidR="002A7E4D" w:rsidRPr="00591BFC" w:rsidRDefault="002A7E4D" w:rsidP="00E86771">
            <w:pPr>
              <w:spacing w:after="0" w:line="360" w:lineRule="auto"/>
              <w:rPr>
                <w:b/>
                <w:szCs w:val="24"/>
              </w:rPr>
            </w:pPr>
            <w:r w:rsidRPr="00591BFC">
              <w:rPr>
                <w:b/>
                <w:szCs w:val="24"/>
              </w:rPr>
              <w:t xml:space="preserve">When? </w:t>
            </w:r>
          </w:p>
        </w:tc>
        <w:tc>
          <w:tcPr>
            <w:tcW w:w="3128" w:type="dxa"/>
          </w:tcPr>
          <w:p w14:paraId="40BB8202" w14:textId="77777777" w:rsidR="002A7E4D" w:rsidRPr="00591BFC" w:rsidRDefault="002A7E4D" w:rsidP="00E86771">
            <w:pPr>
              <w:spacing w:after="0" w:line="360" w:lineRule="auto"/>
              <w:rPr>
                <w:b/>
                <w:szCs w:val="24"/>
              </w:rPr>
            </w:pPr>
            <w:r w:rsidRPr="00591BFC">
              <w:rPr>
                <w:b/>
                <w:szCs w:val="24"/>
              </w:rPr>
              <w:t>Assessment</w:t>
            </w:r>
          </w:p>
        </w:tc>
      </w:tr>
      <w:tr w:rsidR="001F06AE" w:rsidRPr="00591BFC" w14:paraId="18BD9B78" w14:textId="77777777" w:rsidTr="00FA34DF">
        <w:tc>
          <w:tcPr>
            <w:tcW w:w="1463" w:type="dxa"/>
          </w:tcPr>
          <w:p w14:paraId="1FA1504D" w14:textId="77777777" w:rsidR="001F06AE" w:rsidRPr="00591BFC" w:rsidRDefault="001F06AE" w:rsidP="00E86771">
            <w:pPr>
              <w:spacing w:after="0" w:line="360" w:lineRule="auto"/>
              <w:jc w:val="center"/>
              <w:rPr>
                <w:szCs w:val="24"/>
              </w:rPr>
            </w:pPr>
            <w:r w:rsidRPr="00591BFC">
              <w:rPr>
                <w:szCs w:val="24"/>
              </w:rPr>
              <w:t>1</w:t>
            </w:r>
          </w:p>
        </w:tc>
        <w:tc>
          <w:tcPr>
            <w:tcW w:w="1628" w:type="dxa"/>
          </w:tcPr>
          <w:p w14:paraId="0A926E1F" w14:textId="77777777" w:rsidR="001F06AE" w:rsidRPr="00591BFC" w:rsidRDefault="001F06AE" w:rsidP="00E86771">
            <w:pPr>
              <w:spacing w:after="0" w:line="360" w:lineRule="auto"/>
              <w:rPr>
                <w:szCs w:val="24"/>
              </w:rPr>
            </w:pPr>
            <w:r w:rsidRPr="00591BFC">
              <w:rPr>
                <w:szCs w:val="24"/>
              </w:rPr>
              <w:t>Rheumatologist</w:t>
            </w:r>
          </w:p>
        </w:tc>
        <w:tc>
          <w:tcPr>
            <w:tcW w:w="1543" w:type="dxa"/>
          </w:tcPr>
          <w:p w14:paraId="2E974E11" w14:textId="77777777" w:rsidR="001F06AE" w:rsidRPr="00591BFC" w:rsidRDefault="001F06AE" w:rsidP="00E86771">
            <w:pPr>
              <w:spacing w:after="0" w:line="360" w:lineRule="auto"/>
              <w:rPr>
                <w:szCs w:val="24"/>
              </w:rPr>
            </w:pPr>
            <w:r w:rsidRPr="00591BFC">
              <w:rPr>
                <w:szCs w:val="24"/>
              </w:rPr>
              <w:t>Outpatients appointment</w:t>
            </w:r>
          </w:p>
        </w:tc>
        <w:tc>
          <w:tcPr>
            <w:tcW w:w="1480" w:type="dxa"/>
          </w:tcPr>
          <w:p w14:paraId="7D9A9B7E" w14:textId="77777777" w:rsidR="001F06AE" w:rsidRPr="00591BFC" w:rsidRDefault="001F06AE" w:rsidP="00E86771">
            <w:pPr>
              <w:spacing w:after="0" w:line="360" w:lineRule="auto"/>
              <w:rPr>
                <w:szCs w:val="24"/>
              </w:rPr>
            </w:pPr>
            <w:r w:rsidRPr="00591BFC">
              <w:rPr>
                <w:szCs w:val="24"/>
              </w:rPr>
              <w:t>Post-op</w:t>
            </w:r>
          </w:p>
        </w:tc>
        <w:tc>
          <w:tcPr>
            <w:tcW w:w="3128" w:type="dxa"/>
          </w:tcPr>
          <w:p w14:paraId="2F4C2F41" w14:textId="77777777" w:rsidR="001F06AE" w:rsidRPr="00591BFC" w:rsidRDefault="001F06AE" w:rsidP="00E86771">
            <w:pPr>
              <w:spacing w:after="0" w:line="360" w:lineRule="auto"/>
              <w:rPr>
                <w:szCs w:val="24"/>
              </w:rPr>
            </w:pPr>
            <w:r w:rsidRPr="00591BFC">
              <w:rPr>
                <w:szCs w:val="24"/>
              </w:rPr>
              <w:t xml:space="preserve">DXA report reviewed before deciding whether patient needs an assessment. </w:t>
            </w:r>
          </w:p>
        </w:tc>
      </w:tr>
      <w:tr w:rsidR="001F06AE" w:rsidRPr="00591BFC" w14:paraId="12D9DC4E" w14:textId="77777777" w:rsidTr="001F06AE">
        <w:tc>
          <w:tcPr>
            <w:tcW w:w="1463" w:type="dxa"/>
          </w:tcPr>
          <w:p w14:paraId="3D020FAE" w14:textId="77777777" w:rsidR="001F06AE" w:rsidRPr="00591BFC" w:rsidRDefault="001F06AE" w:rsidP="00E86771">
            <w:pPr>
              <w:spacing w:after="0" w:line="360" w:lineRule="auto"/>
              <w:jc w:val="center"/>
              <w:rPr>
                <w:szCs w:val="24"/>
              </w:rPr>
            </w:pPr>
            <w:r w:rsidRPr="00591BFC">
              <w:rPr>
                <w:szCs w:val="24"/>
              </w:rPr>
              <w:t>2</w:t>
            </w:r>
          </w:p>
        </w:tc>
        <w:tc>
          <w:tcPr>
            <w:tcW w:w="1628" w:type="dxa"/>
          </w:tcPr>
          <w:p w14:paraId="13204BD3" w14:textId="77777777" w:rsidR="001F06AE" w:rsidRPr="00591BFC" w:rsidRDefault="001F06AE" w:rsidP="00E86771">
            <w:pPr>
              <w:spacing w:after="0" w:line="360" w:lineRule="auto"/>
              <w:rPr>
                <w:szCs w:val="24"/>
              </w:rPr>
            </w:pPr>
            <w:r w:rsidRPr="00591BFC">
              <w:rPr>
                <w:szCs w:val="24"/>
              </w:rPr>
              <w:t>OG</w:t>
            </w:r>
          </w:p>
        </w:tc>
        <w:tc>
          <w:tcPr>
            <w:tcW w:w="1543" w:type="dxa"/>
          </w:tcPr>
          <w:p w14:paraId="59098750" w14:textId="77777777" w:rsidR="001F06AE" w:rsidRPr="00591BFC" w:rsidRDefault="001F06AE" w:rsidP="00E86771">
            <w:pPr>
              <w:spacing w:after="0" w:line="360" w:lineRule="auto"/>
              <w:rPr>
                <w:szCs w:val="24"/>
              </w:rPr>
            </w:pPr>
            <w:r w:rsidRPr="00591BFC">
              <w:rPr>
                <w:szCs w:val="24"/>
              </w:rPr>
              <w:t xml:space="preserve">On ward and often in a second outpatient appointment. </w:t>
            </w:r>
          </w:p>
        </w:tc>
        <w:tc>
          <w:tcPr>
            <w:tcW w:w="1480" w:type="dxa"/>
          </w:tcPr>
          <w:p w14:paraId="5D98E19A" w14:textId="77777777" w:rsidR="001F06AE" w:rsidRPr="00591BFC" w:rsidRDefault="001F06AE" w:rsidP="00E86771">
            <w:pPr>
              <w:spacing w:after="0" w:line="360" w:lineRule="auto"/>
              <w:rPr>
                <w:szCs w:val="24"/>
              </w:rPr>
            </w:pPr>
            <w:r w:rsidRPr="00591BFC">
              <w:rPr>
                <w:szCs w:val="24"/>
              </w:rPr>
              <w:t>Pre-op/early post-op</w:t>
            </w:r>
          </w:p>
        </w:tc>
        <w:tc>
          <w:tcPr>
            <w:tcW w:w="3128" w:type="dxa"/>
          </w:tcPr>
          <w:p w14:paraId="4D13AD1B" w14:textId="77777777" w:rsidR="001F06AE" w:rsidRPr="00591BFC" w:rsidRDefault="001F06AE" w:rsidP="00E86771">
            <w:pPr>
              <w:spacing w:after="0" w:line="360" w:lineRule="auto"/>
              <w:rPr>
                <w:szCs w:val="24"/>
              </w:rPr>
            </w:pPr>
            <w:r w:rsidRPr="00591BFC">
              <w:rPr>
                <w:szCs w:val="24"/>
              </w:rPr>
              <w:t xml:space="preserve">Proforma for integrated care, Frax used in patients under 75. </w:t>
            </w:r>
          </w:p>
          <w:p w14:paraId="06E4CEB0" w14:textId="77777777" w:rsidR="001F06AE" w:rsidRPr="00591BFC" w:rsidRDefault="001F06AE" w:rsidP="00E86771">
            <w:pPr>
              <w:spacing w:after="0" w:line="360" w:lineRule="auto"/>
              <w:rPr>
                <w:szCs w:val="24"/>
              </w:rPr>
            </w:pPr>
            <w:r w:rsidRPr="00591BFC">
              <w:rPr>
                <w:szCs w:val="24"/>
              </w:rPr>
              <w:t xml:space="preserve">Certain patients seen again by surgeons in outpatients. </w:t>
            </w:r>
          </w:p>
        </w:tc>
      </w:tr>
      <w:tr w:rsidR="001F06AE" w:rsidRPr="00591BFC" w14:paraId="29A398A5" w14:textId="77777777" w:rsidTr="00FA34DF">
        <w:tc>
          <w:tcPr>
            <w:tcW w:w="1463" w:type="dxa"/>
          </w:tcPr>
          <w:p w14:paraId="4AE54FD0" w14:textId="77777777" w:rsidR="001F06AE" w:rsidRPr="00591BFC" w:rsidRDefault="001F06AE" w:rsidP="00E86771">
            <w:pPr>
              <w:spacing w:after="0" w:line="360" w:lineRule="auto"/>
              <w:jc w:val="center"/>
              <w:rPr>
                <w:szCs w:val="24"/>
              </w:rPr>
            </w:pPr>
            <w:r w:rsidRPr="00591BFC">
              <w:rPr>
                <w:szCs w:val="24"/>
              </w:rPr>
              <w:t>8</w:t>
            </w:r>
          </w:p>
        </w:tc>
        <w:tc>
          <w:tcPr>
            <w:tcW w:w="1628" w:type="dxa"/>
          </w:tcPr>
          <w:p w14:paraId="5A33B03C" w14:textId="77777777" w:rsidR="001F06AE" w:rsidRPr="00591BFC" w:rsidRDefault="001F06AE" w:rsidP="00E86771">
            <w:pPr>
              <w:spacing w:after="0" w:line="360" w:lineRule="auto"/>
              <w:rPr>
                <w:szCs w:val="24"/>
              </w:rPr>
            </w:pPr>
            <w:r w:rsidRPr="00591BFC">
              <w:rPr>
                <w:szCs w:val="24"/>
              </w:rPr>
              <w:t>OG</w:t>
            </w:r>
          </w:p>
        </w:tc>
        <w:tc>
          <w:tcPr>
            <w:tcW w:w="1543" w:type="dxa"/>
          </w:tcPr>
          <w:p w14:paraId="0BFCC731" w14:textId="77777777" w:rsidR="001F06AE" w:rsidRPr="00591BFC" w:rsidRDefault="001F06AE" w:rsidP="00E86771">
            <w:pPr>
              <w:spacing w:after="0" w:line="360" w:lineRule="auto"/>
              <w:rPr>
                <w:szCs w:val="24"/>
              </w:rPr>
            </w:pPr>
            <w:r w:rsidRPr="00591BFC">
              <w:rPr>
                <w:szCs w:val="24"/>
              </w:rPr>
              <w:t>On ward</w:t>
            </w:r>
          </w:p>
        </w:tc>
        <w:tc>
          <w:tcPr>
            <w:tcW w:w="1480" w:type="dxa"/>
          </w:tcPr>
          <w:p w14:paraId="7B724AA9" w14:textId="77777777" w:rsidR="001F06AE" w:rsidRPr="00591BFC" w:rsidRDefault="001F06AE" w:rsidP="00E86771">
            <w:pPr>
              <w:spacing w:after="0" w:line="360" w:lineRule="auto"/>
              <w:rPr>
                <w:szCs w:val="24"/>
              </w:rPr>
            </w:pPr>
            <w:r w:rsidRPr="00591BFC">
              <w:rPr>
                <w:szCs w:val="24"/>
              </w:rPr>
              <w:t>2-3 days post-op</w:t>
            </w:r>
          </w:p>
        </w:tc>
        <w:tc>
          <w:tcPr>
            <w:tcW w:w="3128" w:type="dxa"/>
          </w:tcPr>
          <w:p w14:paraId="6AA72782" w14:textId="77777777" w:rsidR="001F06AE" w:rsidRPr="00591BFC" w:rsidRDefault="001F06AE" w:rsidP="00E86771">
            <w:pPr>
              <w:spacing w:after="0" w:line="360" w:lineRule="auto"/>
              <w:rPr>
                <w:szCs w:val="24"/>
              </w:rPr>
            </w:pPr>
            <w:r w:rsidRPr="00591BFC">
              <w:rPr>
                <w:szCs w:val="24"/>
              </w:rPr>
              <w:t>Protocol in place, bloods often done in A&amp;E</w:t>
            </w:r>
          </w:p>
        </w:tc>
      </w:tr>
      <w:tr w:rsidR="001F06AE" w:rsidRPr="00591BFC" w14:paraId="5C466C70" w14:textId="77777777" w:rsidTr="00FA34DF">
        <w:tc>
          <w:tcPr>
            <w:tcW w:w="1463" w:type="dxa"/>
          </w:tcPr>
          <w:p w14:paraId="0423B36F" w14:textId="77777777" w:rsidR="001F06AE" w:rsidRPr="00591BFC" w:rsidRDefault="001F06AE" w:rsidP="00E86771">
            <w:pPr>
              <w:spacing w:after="0" w:line="360" w:lineRule="auto"/>
              <w:jc w:val="center"/>
              <w:rPr>
                <w:szCs w:val="24"/>
              </w:rPr>
            </w:pPr>
            <w:r w:rsidRPr="00591BFC">
              <w:rPr>
                <w:szCs w:val="24"/>
              </w:rPr>
              <w:t>9</w:t>
            </w:r>
          </w:p>
        </w:tc>
        <w:tc>
          <w:tcPr>
            <w:tcW w:w="1628" w:type="dxa"/>
          </w:tcPr>
          <w:p w14:paraId="68A7535B" w14:textId="77777777" w:rsidR="001F06AE" w:rsidRPr="00591BFC" w:rsidRDefault="001F06AE" w:rsidP="00E86771">
            <w:pPr>
              <w:spacing w:after="0" w:line="360" w:lineRule="auto"/>
              <w:rPr>
                <w:szCs w:val="24"/>
              </w:rPr>
            </w:pPr>
            <w:r w:rsidRPr="00591BFC">
              <w:rPr>
                <w:szCs w:val="24"/>
              </w:rPr>
              <w:t>Osteoporosis nurse specialist</w:t>
            </w:r>
          </w:p>
        </w:tc>
        <w:tc>
          <w:tcPr>
            <w:tcW w:w="1543" w:type="dxa"/>
          </w:tcPr>
          <w:p w14:paraId="7635C670" w14:textId="77777777" w:rsidR="001F06AE" w:rsidRPr="00591BFC" w:rsidRDefault="001F06AE" w:rsidP="00E86771">
            <w:pPr>
              <w:spacing w:after="0" w:line="360" w:lineRule="auto"/>
              <w:rPr>
                <w:szCs w:val="24"/>
              </w:rPr>
            </w:pPr>
            <w:r w:rsidRPr="00591BFC">
              <w:rPr>
                <w:szCs w:val="24"/>
              </w:rPr>
              <w:t>Outpatients appointment</w:t>
            </w:r>
          </w:p>
        </w:tc>
        <w:tc>
          <w:tcPr>
            <w:tcW w:w="1480" w:type="dxa"/>
          </w:tcPr>
          <w:p w14:paraId="080AA49C" w14:textId="77777777" w:rsidR="001F06AE" w:rsidRPr="00591BFC" w:rsidRDefault="001F06AE" w:rsidP="00E86771">
            <w:pPr>
              <w:spacing w:after="0" w:line="360" w:lineRule="auto"/>
              <w:rPr>
                <w:szCs w:val="24"/>
              </w:rPr>
            </w:pPr>
            <w:r w:rsidRPr="00591BFC">
              <w:rPr>
                <w:szCs w:val="24"/>
              </w:rPr>
              <w:t>Post-op</w:t>
            </w:r>
          </w:p>
        </w:tc>
        <w:tc>
          <w:tcPr>
            <w:tcW w:w="3128" w:type="dxa"/>
          </w:tcPr>
          <w:p w14:paraId="1B59BA22" w14:textId="77777777" w:rsidR="001F06AE" w:rsidRPr="00591BFC" w:rsidRDefault="001F06AE" w:rsidP="00E86771">
            <w:pPr>
              <w:spacing w:after="0" w:line="360" w:lineRule="auto"/>
              <w:rPr>
                <w:szCs w:val="24"/>
              </w:rPr>
            </w:pPr>
            <w:r w:rsidRPr="00591BFC">
              <w:rPr>
                <w:szCs w:val="24"/>
              </w:rPr>
              <w:t xml:space="preserve">15 min appointment using FRAX tool </w:t>
            </w:r>
          </w:p>
        </w:tc>
      </w:tr>
    </w:tbl>
    <w:p w14:paraId="14BAE679" w14:textId="77777777" w:rsidR="002A7E4D" w:rsidRPr="00591BFC" w:rsidRDefault="002A7E4D" w:rsidP="00E86771">
      <w:pPr>
        <w:spacing w:line="360" w:lineRule="auto"/>
        <w:rPr>
          <w:szCs w:val="24"/>
        </w:rPr>
      </w:pPr>
    </w:p>
    <w:p w14:paraId="61286501" w14:textId="77777777" w:rsidR="002A7E4D" w:rsidRPr="00591BFC" w:rsidRDefault="002A7E4D" w:rsidP="00E86771">
      <w:pPr>
        <w:spacing w:line="360" w:lineRule="auto"/>
        <w:rPr>
          <w:szCs w:val="24"/>
        </w:rPr>
      </w:pPr>
      <w:r w:rsidRPr="00591BFC">
        <w:rPr>
          <w:szCs w:val="24"/>
        </w:rPr>
        <w:t>These outpatient assessments also varied in length and content; in one case a rheumatologist gave all patients a 30 minute assessment, in the second hospital the assessment was performed by an osteoporosis nurse specialist and lasted 15 minutes except in more complex cases where longer appointments may be given.</w:t>
      </w:r>
    </w:p>
    <w:p w14:paraId="65B7C847" w14:textId="3F0ADC91" w:rsidR="002A7E4D" w:rsidRPr="00591BFC" w:rsidRDefault="002A7E4D" w:rsidP="00E86771">
      <w:pPr>
        <w:spacing w:line="360" w:lineRule="auto"/>
        <w:rPr>
          <w:szCs w:val="24"/>
        </w:rPr>
      </w:pPr>
      <w:r w:rsidRPr="00591BFC">
        <w:rPr>
          <w:szCs w:val="24"/>
        </w:rPr>
        <w:t>All hospitals reviewed in this study referred patients under 75 years of age for a DXA scan and initiated treatment without a scan in those over 75, in compliance with NICE guidelines.</w:t>
      </w:r>
      <w:hyperlink w:anchor="_ENREF_13" w:tooltip="NICE, 2008 #29" w:history="1">
        <w:r w:rsidR="00B24FEE">
          <w:rPr>
            <w:szCs w:val="24"/>
          </w:rPr>
          <w:fldChar w:fldCharType="begin"/>
        </w:r>
        <w:r w:rsidR="00B24FEE">
          <w:rPr>
            <w:szCs w:val="24"/>
          </w:rPr>
          <w:instrText xml:space="preserve"> ADDIN EN.CITE &lt;EndNote&gt;&lt;Cite&gt;&lt;Author&gt;NICE&lt;/Author&gt;&lt;Year&gt;2008&lt;/Year&gt;&lt;RecNum&gt;29&lt;/RecNum&gt;&lt;DisplayText&gt;&lt;style face="superscript"&gt;13&lt;/style&gt;&lt;/DisplayText&gt;&lt;record&gt;&lt;rec-number&gt;29&lt;/rec-number&gt;&lt;foreign-keys&gt;&lt;key app="EN" db-id="sxpszd2ti9dx04ewefrvfp5bpf5faazszr9p" timestamp="0"&gt;29&lt;/key&gt;&lt;/foreign-keys&gt;&lt;ref-type name="Report"&gt;27&lt;/ref-type&gt;&lt;contributors&gt;&lt;authors&gt;&lt;author&gt;NICE,&lt;/author&gt;&lt;/authors&gt;&lt;/contributors&gt;&lt;titles&gt;&lt;title&gt;Technology appraisal (TA) 161.  Osteoporosis - secondary prevention including strontium ranelate&lt;/title&gt;&lt;/titles&gt;&lt;dates&gt;&lt;year&gt;2008&lt;/year&gt;&lt;/dates&gt;&lt;urls&gt;&lt;/urls&gt;&lt;/record&gt;&lt;/Cite&gt;&lt;/EndNote&gt;</w:instrText>
        </w:r>
        <w:r w:rsidR="00B24FEE">
          <w:rPr>
            <w:szCs w:val="24"/>
          </w:rPr>
          <w:fldChar w:fldCharType="separate"/>
        </w:r>
        <w:r w:rsidR="00B24FEE" w:rsidRPr="00B24FEE">
          <w:rPr>
            <w:noProof/>
            <w:szCs w:val="24"/>
            <w:vertAlign w:val="superscript"/>
          </w:rPr>
          <w:t>13</w:t>
        </w:r>
        <w:r w:rsidR="00B24FEE">
          <w:rPr>
            <w:szCs w:val="24"/>
          </w:rPr>
          <w:fldChar w:fldCharType="end"/>
        </w:r>
      </w:hyperlink>
      <w:r w:rsidRPr="00591BFC">
        <w:rPr>
          <w:szCs w:val="24"/>
        </w:rPr>
        <w:t xml:space="preserve"> Patients were often referred for a scan by the same clinician who undertakes the osteoporosis assessment, although in two cases these referrals had to be approved separately by the Rheumatology department. In another case, a clinician made a recommendation for a DXA scan on patient’s notes and it was left to junior members of the team to follow-up on this. At one hospital, a proforma letter was sent to the patients GP which had to be signed by the GP for DXA referral. </w:t>
      </w:r>
    </w:p>
    <w:p w14:paraId="568B41BB" w14:textId="77777777" w:rsidR="002A7E4D" w:rsidRPr="00591BFC" w:rsidRDefault="002A7E4D" w:rsidP="00E86771">
      <w:pPr>
        <w:spacing w:line="360" w:lineRule="auto"/>
        <w:rPr>
          <w:szCs w:val="24"/>
        </w:rPr>
      </w:pPr>
      <w:r w:rsidRPr="00591BFC">
        <w:rPr>
          <w:szCs w:val="24"/>
        </w:rPr>
        <w:lastRenderedPageBreak/>
        <w:t xml:space="preserve">At most hospitals, DXA scanners were located off-site, either at different hospital or a community hospital, or in several cases DXA scanners were provided by private companies. Scans were performed at varying times post-discharge, ranging from 2-3 weeks to 8-12 weeks for an appointment. Only one hospital had a DXA scanner on-site and was able to scan patients as inpatients providing they were well enough. </w:t>
      </w:r>
    </w:p>
    <w:p w14:paraId="37657907" w14:textId="77777777" w:rsidR="002A7E4D" w:rsidRPr="00591BFC" w:rsidRDefault="002A7E4D" w:rsidP="00E86771">
      <w:pPr>
        <w:spacing w:line="360" w:lineRule="auto"/>
        <w:rPr>
          <w:szCs w:val="24"/>
        </w:rPr>
      </w:pPr>
      <w:r w:rsidRPr="00591BFC">
        <w:rPr>
          <w:szCs w:val="24"/>
        </w:rPr>
        <w:t xml:space="preserve">The DXA reports were usually sent to the clinician responsible for making treatment recommendations, including orthogeriatricians, rheumatologists, fracture liaison nurses and GPs. In most cases, results were communicated to GPs as well as hospital staff. </w:t>
      </w:r>
    </w:p>
    <w:p w14:paraId="4AE0D011" w14:textId="77777777" w:rsidR="002A7E4D" w:rsidRPr="00591BFC" w:rsidRDefault="002A7E4D" w:rsidP="00E86771">
      <w:pPr>
        <w:pStyle w:val="Heading3"/>
        <w:spacing w:line="360" w:lineRule="auto"/>
        <w:rPr>
          <w:rFonts w:ascii="Calibri" w:hAnsi="Calibri"/>
          <w:lang w:val="en-GB"/>
        </w:rPr>
      </w:pPr>
      <w:bookmarkStart w:id="84" w:name="_Toc308300718"/>
      <w:bookmarkStart w:id="85" w:name="_Toc311366525"/>
      <w:r w:rsidRPr="00591BFC">
        <w:rPr>
          <w:rFonts w:ascii="Calibri" w:hAnsi="Calibri"/>
          <w:lang w:val="en-GB"/>
        </w:rPr>
        <w:t>Falls assessments and prevention</w:t>
      </w:r>
      <w:bookmarkEnd w:id="84"/>
      <w:bookmarkEnd w:id="85"/>
      <w:r w:rsidRPr="00591BFC">
        <w:rPr>
          <w:rFonts w:ascii="Calibri" w:hAnsi="Calibri"/>
          <w:lang w:val="en-GB"/>
        </w:rPr>
        <w:t xml:space="preserve"> </w:t>
      </w:r>
    </w:p>
    <w:p w14:paraId="2D9B03CE" w14:textId="77777777" w:rsidR="002A7E4D" w:rsidRPr="00591BFC" w:rsidRDefault="002A7E4D" w:rsidP="00E86771">
      <w:pPr>
        <w:spacing w:line="360" w:lineRule="auto"/>
        <w:rPr>
          <w:szCs w:val="24"/>
        </w:rPr>
      </w:pPr>
      <w:r w:rsidRPr="00591BFC">
        <w:rPr>
          <w:szCs w:val="24"/>
        </w:rPr>
        <w:t xml:space="preserve">All hospitals provided a falls risk assessment alongside the initial osteoporosis assessment. Hospitals also had various other services available for more comprehensive multi-factorial risk assessments looking at cognitive, physical and environmental risk factors such as balance and gait and hazards around the home. If necessary, patients were referred to other speciality clinics if they suspected there was an underlying medical condition putting them at risk of falling. Some hospitals ran a falls clinic in their outpatient department, while one hospital undertook a full assessment while inpatients, which began on admission and was conducted by a multidisciplinary falls team. This hospital offered a very comprehensive service, with a specialist falls nurse and a falls champion on each ward. </w:t>
      </w:r>
      <w:r w:rsidRPr="00591BFC">
        <w:rPr>
          <w:szCs w:val="24"/>
        </w:rPr>
        <w:fldChar w:fldCharType="begin"/>
      </w:r>
      <w:r w:rsidRPr="00591BFC">
        <w:rPr>
          <w:szCs w:val="24"/>
        </w:rPr>
        <w:instrText xml:space="preserve"> REF _Ref420049136 \h </w:instrText>
      </w:r>
      <w:r w:rsidR="00E814C1" w:rsidRPr="00591BFC">
        <w:rPr>
          <w:szCs w:val="24"/>
        </w:rPr>
        <w:instrText xml:space="preserve"> \* MERGEFORMAT </w:instrText>
      </w:r>
      <w:r w:rsidRPr="00591BFC">
        <w:rPr>
          <w:szCs w:val="24"/>
        </w:rPr>
      </w:r>
      <w:r w:rsidRPr="00591BFC">
        <w:rPr>
          <w:szCs w:val="24"/>
        </w:rPr>
        <w:fldChar w:fldCharType="separate"/>
      </w:r>
      <w:r w:rsidR="007B18C0" w:rsidRPr="00591BFC">
        <w:t xml:space="preserve">Table </w:t>
      </w:r>
      <w:r w:rsidR="007B18C0" w:rsidRPr="00591BFC">
        <w:rPr>
          <w:noProof/>
        </w:rPr>
        <w:t>4</w:t>
      </w:r>
      <w:r w:rsidRPr="00591BFC">
        <w:rPr>
          <w:szCs w:val="24"/>
        </w:rPr>
        <w:fldChar w:fldCharType="end"/>
      </w:r>
      <w:r w:rsidRPr="00591BFC">
        <w:rPr>
          <w:szCs w:val="24"/>
        </w:rPr>
        <w:t xml:space="preserve"> shows how the nature, timing and location of the assessment varied across the hospitals studied. </w:t>
      </w:r>
    </w:p>
    <w:p w14:paraId="2EEDB155" w14:textId="77777777" w:rsidR="002A7E4D" w:rsidRPr="00591BFC" w:rsidRDefault="002A7E4D" w:rsidP="00E86771">
      <w:pPr>
        <w:pStyle w:val="Caption"/>
        <w:keepNext/>
        <w:spacing w:line="360" w:lineRule="auto"/>
      </w:pPr>
      <w:bookmarkStart w:id="86" w:name="_Ref420049136"/>
      <w:bookmarkStart w:id="87" w:name="_Toc308262399"/>
      <w:bookmarkStart w:id="88" w:name="_Toc311366665"/>
      <w:r w:rsidRPr="00591BFC">
        <w:t xml:space="preserve">Table </w:t>
      </w:r>
      <w:r w:rsidR="002149AD">
        <w:fldChar w:fldCharType="begin"/>
      </w:r>
      <w:r w:rsidR="002149AD">
        <w:instrText xml:space="preserve"> SEQ Table \* ARABIC </w:instrText>
      </w:r>
      <w:r w:rsidR="002149AD">
        <w:fldChar w:fldCharType="separate"/>
      </w:r>
      <w:r w:rsidR="00655089">
        <w:rPr>
          <w:noProof/>
        </w:rPr>
        <w:t>4</w:t>
      </w:r>
      <w:r w:rsidR="002149AD">
        <w:rPr>
          <w:noProof/>
        </w:rPr>
        <w:fldChar w:fldCharType="end"/>
      </w:r>
      <w:bookmarkEnd w:id="86"/>
      <w:r w:rsidRPr="00591BFC">
        <w:t>: Description of falls assessments provided at four of the hospitals studied</w:t>
      </w:r>
      <w:bookmarkEnd w:id="87"/>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977"/>
        <w:gridCol w:w="4739"/>
      </w:tblGrid>
      <w:tr w:rsidR="002A7E4D" w:rsidRPr="00591BFC" w14:paraId="26B4BD7F" w14:textId="77777777" w:rsidTr="00FA34DF">
        <w:tc>
          <w:tcPr>
            <w:tcW w:w="1526" w:type="dxa"/>
          </w:tcPr>
          <w:p w14:paraId="6FB8C5E5" w14:textId="77777777" w:rsidR="002A7E4D" w:rsidRPr="00591BFC" w:rsidRDefault="002A7E4D" w:rsidP="00E86771">
            <w:pPr>
              <w:spacing w:after="0" w:line="360" w:lineRule="auto"/>
              <w:rPr>
                <w:szCs w:val="24"/>
              </w:rPr>
            </w:pPr>
            <w:r w:rsidRPr="00591BFC">
              <w:rPr>
                <w:szCs w:val="24"/>
              </w:rPr>
              <w:t>Hospital</w:t>
            </w:r>
          </w:p>
        </w:tc>
        <w:tc>
          <w:tcPr>
            <w:tcW w:w="2977" w:type="dxa"/>
          </w:tcPr>
          <w:p w14:paraId="1E8CCEFD" w14:textId="77777777" w:rsidR="002A7E4D" w:rsidRPr="00591BFC" w:rsidRDefault="002A7E4D" w:rsidP="00E86771">
            <w:pPr>
              <w:spacing w:after="0" w:line="360" w:lineRule="auto"/>
              <w:rPr>
                <w:szCs w:val="24"/>
              </w:rPr>
            </w:pPr>
            <w:r w:rsidRPr="00591BFC">
              <w:rPr>
                <w:szCs w:val="24"/>
              </w:rPr>
              <w:t>Inpatient assessment</w:t>
            </w:r>
          </w:p>
        </w:tc>
        <w:tc>
          <w:tcPr>
            <w:tcW w:w="4739" w:type="dxa"/>
          </w:tcPr>
          <w:p w14:paraId="1AED8FDC" w14:textId="77777777" w:rsidR="002A7E4D" w:rsidRPr="00591BFC" w:rsidRDefault="002A7E4D" w:rsidP="00E86771">
            <w:pPr>
              <w:spacing w:after="0" w:line="360" w:lineRule="auto"/>
              <w:rPr>
                <w:szCs w:val="24"/>
              </w:rPr>
            </w:pPr>
            <w:r w:rsidRPr="00591BFC">
              <w:rPr>
                <w:szCs w:val="24"/>
              </w:rPr>
              <w:t>Further assessments</w:t>
            </w:r>
          </w:p>
        </w:tc>
      </w:tr>
      <w:tr w:rsidR="001F06AE" w:rsidRPr="00591BFC" w14:paraId="3401CC1C" w14:textId="77777777" w:rsidTr="001F06AE">
        <w:tc>
          <w:tcPr>
            <w:tcW w:w="1526" w:type="dxa"/>
          </w:tcPr>
          <w:p w14:paraId="7ED66B0E" w14:textId="77777777" w:rsidR="001F06AE" w:rsidRPr="00591BFC" w:rsidRDefault="001F06AE" w:rsidP="00E86771">
            <w:pPr>
              <w:spacing w:after="0" w:line="360" w:lineRule="auto"/>
              <w:rPr>
                <w:szCs w:val="24"/>
              </w:rPr>
            </w:pPr>
            <w:r w:rsidRPr="00591BFC">
              <w:rPr>
                <w:szCs w:val="24"/>
              </w:rPr>
              <w:t>1</w:t>
            </w:r>
          </w:p>
        </w:tc>
        <w:tc>
          <w:tcPr>
            <w:tcW w:w="2977" w:type="dxa"/>
          </w:tcPr>
          <w:p w14:paraId="02D5E197" w14:textId="77777777" w:rsidR="001F06AE" w:rsidRPr="00591BFC" w:rsidRDefault="001F06AE" w:rsidP="00E86771">
            <w:pPr>
              <w:spacing w:after="0" w:line="360" w:lineRule="auto"/>
              <w:rPr>
                <w:szCs w:val="24"/>
              </w:rPr>
            </w:pPr>
          </w:p>
        </w:tc>
        <w:tc>
          <w:tcPr>
            <w:tcW w:w="4739" w:type="dxa"/>
          </w:tcPr>
          <w:p w14:paraId="623C07BD" w14:textId="77777777" w:rsidR="001F06AE" w:rsidRPr="00591BFC" w:rsidRDefault="001F06AE" w:rsidP="00E86771">
            <w:pPr>
              <w:spacing w:after="0" w:line="360" w:lineRule="auto"/>
              <w:rPr>
                <w:szCs w:val="24"/>
              </w:rPr>
            </w:pPr>
            <w:r w:rsidRPr="00591BFC">
              <w:rPr>
                <w:szCs w:val="24"/>
              </w:rPr>
              <w:t>Community falls prevention service in place but it is unclear if hip fracture patients are accessing this service</w:t>
            </w:r>
          </w:p>
        </w:tc>
      </w:tr>
      <w:tr w:rsidR="002A7E4D" w:rsidRPr="00591BFC" w14:paraId="09DB26ED" w14:textId="77777777" w:rsidTr="00FA34DF">
        <w:tc>
          <w:tcPr>
            <w:tcW w:w="1526" w:type="dxa"/>
          </w:tcPr>
          <w:p w14:paraId="44000E9C" w14:textId="77777777" w:rsidR="002A7E4D" w:rsidRPr="00591BFC" w:rsidRDefault="004F58AD" w:rsidP="00E86771">
            <w:pPr>
              <w:spacing w:after="0" w:line="360" w:lineRule="auto"/>
              <w:rPr>
                <w:szCs w:val="24"/>
              </w:rPr>
            </w:pPr>
            <w:r w:rsidRPr="00591BFC">
              <w:rPr>
                <w:szCs w:val="24"/>
              </w:rPr>
              <w:t>2</w:t>
            </w:r>
          </w:p>
        </w:tc>
        <w:tc>
          <w:tcPr>
            <w:tcW w:w="2977" w:type="dxa"/>
          </w:tcPr>
          <w:p w14:paraId="513D589A" w14:textId="77777777" w:rsidR="002A7E4D" w:rsidRPr="00591BFC" w:rsidRDefault="002A7E4D" w:rsidP="00E86771">
            <w:pPr>
              <w:spacing w:after="0" w:line="360" w:lineRule="auto"/>
              <w:rPr>
                <w:szCs w:val="24"/>
              </w:rPr>
            </w:pPr>
            <w:r w:rsidRPr="00591BFC">
              <w:rPr>
                <w:szCs w:val="24"/>
              </w:rPr>
              <w:t xml:space="preserve">Assessed by OG, occupational therapist, physiotherapist </w:t>
            </w:r>
          </w:p>
        </w:tc>
        <w:tc>
          <w:tcPr>
            <w:tcW w:w="4739" w:type="dxa"/>
          </w:tcPr>
          <w:p w14:paraId="397CF54C" w14:textId="77777777" w:rsidR="002A7E4D" w:rsidRPr="00591BFC" w:rsidRDefault="002A7E4D" w:rsidP="00E86771">
            <w:pPr>
              <w:spacing w:after="0" w:line="360" w:lineRule="auto"/>
              <w:rPr>
                <w:szCs w:val="24"/>
              </w:rPr>
            </w:pPr>
            <w:r w:rsidRPr="00591BFC">
              <w:rPr>
                <w:szCs w:val="24"/>
              </w:rPr>
              <w:t xml:space="preserve">May be referred for outpatients appointment for physiotherapy or to community occupational therapists. </w:t>
            </w:r>
          </w:p>
        </w:tc>
      </w:tr>
      <w:tr w:rsidR="002A7E4D" w:rsidRPr="00591BFC" w14:paraId="110A65B9" w14:textId="77777777" w:rsidTr="00FA34DF">
        <w:tc>
          <w:tcPr>
            <w:tcW w:w="1526" w:type="dxa"/>
          </w:tcPr>
          <w:p w14:paraId="3770FC0F" w14:textId="77777777" w:rsidR="002A7E4D" w:rsidRPr="00591BFC" w:rsidRDefault="004F58AD" w:rsidP="00E86771">
            <w:pPr>
              <w:spacing w:after="0" w:line="360" w:lineRule="auto"/>
              <w:rPr>
                <w:szCs w:val="24"/>
              </w:rPr>
            </w:pPr>
            <w:r w:rsidRPr="00591BFC">
              <w:rPr>
                <w:szCs w:val="24"/>
              </w:rPr>
              <w:t>6</w:t>
            </w:r>
          </w:p>
        </w:tc>
        <w:tc>
          <w:tcPr>
            <w:tcW w:w="2977" w:type="dxa"/>
          </w:tcPr>
          <w:p w14:paraId="04829A81" w14:textId="77777777" w:rsidR="002A7E4D" w:rsidRPr="00591BFC" w:rsidRDefault="002A7E4D" w:rsidP="00E86771">
            <w:pPr>
              <w:spacing w:after="0" w:line="360" w:lineRule="auto"/>
              <w:rPr>
                <w:szCs w:val="24"/>
              </w:rPr>
            </w:pPr>
            <w:r w:rsidRPr="00591BFC">
              <w:rPr>
                <w:szCs w:val="24"/>
              </w:rPr>
              <w:t xml:space="preserve">Assessed by senior nurses, physiotherapists and occupational therapists </w:t>
            </w:r>
          </w:p>
        </w:tc>
        <w:tc>
          <w:tcPr>
            <w:tcW w:w="4739" w:type="dxa"/>
          </w:tcPr>
          <w:p w14:paraId="216DEC2E" w14:textId="77777777" w:rsidR="002A7E4D" w:rsidRPr="00591BFC" w:rsidRDefault="002A7E4D" w:rsidP="00E86771">
            <w:pPr>
              <w:spacing w:after="0" w:line="360" w:lineRule="auto"/>
              <w:rPr>
                <w:szCs w:val="24"/>
              </w:rPr>
            </w:pPr>
            <w:r w:rsidRPr="00591BFC">
              <w:rPr>
                <w:szCs w:val="24"/>
              </w:rPr>
              <w:t xml:space="preserve">Geriatricians have a Falls Clinic in outpatients for more formal assessment, rarely needed as ward assessment is so comprehensive.  </w:t>
            </w:r>
          </w:p>
        </w:tc>
      </w:tr>
      <w:tr w:rsidR="001F06AE" w:rsidRPr="00591BFC" w14:paraId="5EA7363B" w14:textId="77777777" w:rsidTr="001F06AE">
        <w:tc>
          <w:tcPr>
            <w:tcW w:w="1526" w:type="dxa"/>
            <w:tcBorders>
              <w:top w:val="single" w:sz="4" w:space="0" w:color="auto"/>
              <w:left w:val="single" w:sz="4" w:space="0" w:color="auto"/>
              <w:bottom w:val="single" w:sz="4" w:space="0" w:color="auto"/>
              <w:right w:val="single" w:sz="4" w:space="0" w:color="auto"/>
            </w:tcBorders>
          </w:tcPr>
          <w:p w14:paraId="56ED28D9" w14:textId="77777777" w:rsidR="001F06AE" w:rsidRPr="00591BFC" w:rsidRDefault="001F06AE" w:rsidP="00E86771">
            <w:pPr>
              <w:spacing w:after="0" w:line="360" w:lineRule="auto"/>
              <w:rPr>
                <w:szCs w:val="24"/>
              </w:rPr>
            </w:pPr>
            <w:r w:rsidRPr="00591BFC">
              <w:rPr>
                <w:szCs w:val="24"/>
              </w:rPr>
              <w:t>10</w:t>
            </w:r>
          </w:p>
        </w:tc>
        <w:tc>
          <w:tcPr>
            <w:tcW w:w="2977" w:type="dxa"/>
            <w:tcBorders>
              <w:top w:val="single" w:sz="4" w:space="0" w:color="auto"/>
              <w:left w:val="single" w:sz="4" w:space="0" w:color="auto"/>
              <w:bottom w:val="single" w:sz="4" w:space="0" w:color="auto"/>
              <w:right w:val="single" w:sz="4" w:space="0" w:color="auto"/>
            </w:tcBorders>
          </w:tcPr>
          <w:p w14:paraId="6344E0FA" w14:textId="77777777" w:rsidR="001F06AE" w:rsidRPr="00591BFC" w:rsidRDefault="001F06AE" w:rsidP="00E86771">
            <w:pPr>
              <w:spacing w:after="0" w:line="360" w:lineRule="auto"/>
              <w:rPr>
                <w:szCs w:val="24"/>
              </w:rPr>
            </w:pPr>
            <w:r w:rsidRPr="00591BFC">
              <w:rPr>
                <w:szCs w:val="24"/>
              </w:rPr>
              <w:t>20 min ward assessment by FLN</w:t>
            </w:r>
          </w:p>
        </w:tc>
        <w:tc>
          <w:tcPr>
            <w:tcW w:w="4739" w:type="dxa"/>
            <w:tcBorders>
              <w:top w:val="single" w:sz="4" w:space="0" w:color="auto"/>
              <w:left w:val="single" w:sz="4" w:space="0" w:color="auto"/>
              <w:bottom w:val="single" w:sz="4" w:space="0" w:color="auto"/>
              <w:right w:val="single" w:sz="4" w:space="0" w:color="auto"/>
            </w:tcBorders>
          </w:tcPr>
          <w:p w14:paraId="6477AFFC" w14:textId="77777777" w:rsidR="001F06AE" w:rsidRPr="00591BFC" w:rsidRDefault="001F06AE" w:rsidP="00E86771">
            <w:pPr>
              <w:spacing w:after="0" w:line="360" w:lineRule="auto"/>
              <w:rPr>
                <w:szCs w:val="24"/>
              </w:rPr>
            </w:pPr>
            <w:r w:rsidRPr="00591BFC">
              <w:rPr>
                <w:szCs w:val="24"/>
              </w:rPr>
              <w:t xml:space="preserve">If necessary, referred to one of several community hospitals around region for 1.5 hour assessment </w:t>
            </w:r>
            <w:r w:rsidRPr="00591BFC">
              <w:rPr>
                <w:szCs w:val="24"/>
              </w:rPr>
              <w:lastRenderedPageBreak/>
              <w:t>by a physio. May even be seen in own home.</w:t>
            </w:r>
          </w:p>
        </w:tc>
      </w:tr>
    </w:tbl>
    <w:p w14:paraId="4FD84D8C" w14:textId="77777777" w:rsidR="002A7E4D" w:rsidRPr="00591BFC" w:rsidRDefault="002A7E4D" w:rsidP="00E86771">
      <w:pPr>
        <w:spacing w:line="360" w:lineRule="auto"/>
        <w:rPr>
          <w:szCs w:val="24"/>
        </w:rPr>
      </w:pPr>
    </w:p>
    <w:p w14:paraId="3823E514" w14:textId="77777777" w:rsidR="002A7E4D" w:rsidRPr="00591BFC" w:rsidRDefault="002A7E4D" w:rsidP="00E86771">
      <w:pPr>
        <w:pStyle w:val="Heading3"/>
        <w:spacing w:line="360" w:lineRule="auto"/>
        <w:rPr>
          <w:rFonts w:ascii="Calibri" w:hAnsi="Calibri"/>
          <w:lang w:val="en-GB"/>
        </w:rPr>
      </w:pPr>
      <w:bookmarkStart w:id="89" w:name="_Toc308300719"/>
      <w:bookmarkStart w:id="90" w:name="_Toc311366526"/>
      <w:r w:rsidRPr="00591BFC">
        <w:rPr>
          <w:rFonts w:ascii="Calibri" w:hAnsi="Calibri"/>
          <w:lang w:val="en-GB"/>
        </w:rPr>
        <w:t>Treatment initiation</w:t>
      </w:r>
      <w:bookmarkEnd w:id="89"/>
      <w:bookmarkEnd w:id="90"/>
    </w:p>
    <w:p w14:paraId="5417F559" w14:textId="74832E20" w:rsidR="002A7E4D" w:rsidRPr="00591BFC" w:rsidRDefault="002A7E4D" w:rsidP="00E86771">
      <w:pPr>
        <w:spacing w:line="360" w:lineRule="auto"/>
        <w:rPr>
          <w:szCs w:val="24"/>
        </w:rPr>
      </w:pPr>
      <w:r w:rsidRPr="00591BFC">
        <w:rPr>
          <w:szCs w:val="24"/>
        </w:rPr>
        <w:t>At eight out of the eleven hospitals, osteoporosis treatment was prescribed within inpatients for those aged over 75 in line with NICE guidelines</w:t>
      </w:r>
      <w:r w:rsidR="00F0432D" w:rsidRPr="00591BFC">
        <w:rPr>
          <w:szCs w:val="24"/>
        </w:rPr>
        <w:t>.</w:t>
      </w:r>
      <w:hyperlink w:anchor="_ENREF_13" w:tooltip="NICE, 2008 #29" w:history="1">
        <w:r w:rsidR="00B24FEE">
          <w:rPr>
            <w:szCs w:val="24"/>
          </w:rPr>
          <w:fldChar w:fldCharType="begin"/>
        </w:r>
        <w:r w:rsidR="00B24FEE">
          <w:rPr>
            <w:szCs w:val="24"/>
          </w:rPr>
          <w:instrText xml:space="preserve"> ADDIN EN.CITE &lt;EndNote&gt;&lt;Cite&gt;&lt;Author&gt;NICE&lt;/Author&gt;&lt;Year&gt;2008&lt;/Year&gt;&lt;RecNum&gt;29&lt;/RecNum&gt;&lt;DisplayText&gt;&lt;style face="superscript"&gt;13&lt;/style&gt;&lt;/DisplayText&gt;&lt;record&gt;&lt;rec-number&gt;29&lt;/rec-number&gt;&lt;foreign-keys&gt;&lt;key app="EN" db-id="sxpszd2ti9dx04ewefrvfp5bpf5faazszr9p" timestamp="0"&gt;29&lt;/key&gt;&lt;/foreign-keys&gt;&lt;ref-type name="Report"&gt;27&lt;/ref-type&gt;&lt;contributors&gt;&lt;authors&gt;&lt;author&gt;NICE,&lt;/author&gt;&lt;/authors&gt;&lt;/contributors&gt;&lt;titles&gt;&lt;title&gt;Technology appraisal (TA) 161.  Osteoporosis - secondary prevention including strontium ranelate&lt;/title&gt;&lt;/titles&gt;&lt;dates&gt;&lt;year&gt;2008&lt;/year&gt;&lt;/dates&gt;&lt;urls&gt;&lt;/urls&gt;&lt;/record&gt;&lt;/Cite&gt;&lt;/EndNote&gt;</w:instrText>
        </w:r>
        <w:r w:rsidR="00B24FEE">
          <w:rPr>
            <w:szCs w:val="24"/>
          </w:rPr>
          <w:fldChar w:fldCharType="separate"/>
        </w:r>
        <w:r w:rsidR="00B24FEE" w:rsidRPr="00B24FEE">
          <w:rPr>
            <w:noProof/>
            <w:szCs w:val="24"/>
            <w:vertAlign w:val="superscript"/>
          </w:rPr>
          <w:t>13</w:t>
        </w:r>
        <w:r w:rsidR="00B24FEE">
          <w:rPr>
            <w:szCs w:val="24"/>
          </w:rPr>
          <w:fldChar w:fldCharType="end"/>
        </w:r>
      </w:hyperlink>
      <w:r w:rsidRPr="00591BFC">
        <w:rPr>
          <w:szCs w:val="24"/>
        </w:rPr>
        <w:t xml:space="preserve"> Orthogeriatricians were generally able to make treatment recommendations and prescriptions. Fracture liaison nurses were also able to make treatment recommendations in some cases, and these were written up in patient notes and later prescribed by doctors. At one hospital in which the fracture prevention service was mainly run in an outpatient setting, an osteoporosis nurse specialist made treatment recommendations and sent these to the patients GP who was left to initiate treatment.  </w:t>
      </w:r>
    </w:p>
    <w:p w14:paraId="362C434E" w14:textId="77777777" w:rsidR="002A7E4D" w:rsidRPr="00591BFC" w:rsidRDefault="002A7E4D" w:rsidP="00E86771">
      <w:pPr>
        <w:spacing w:line="360" w:lineRule="auto"/>
        <w:rPr>
          <w:szCs w:val="24"/>
        </w:rPr>
      </w:pPr>
      <w:r w:rsidRPr="00591BFC">
        <w:rPr>
          <w:szCs w:val="24"/>
        </w:rPr>
        <w:t xml:space="preserve">For those aged under 75 who had received a DXA scan, treatment was initiated in outpatient’s clinics or delegated to primary care pending the results of the DXA scan. This also applied to patients who were unable to commence treatment as inpatients for other reasons. Treatment recommendations were usually communicated to GPs via a discharge summary. </w:t>
      </w:r>
    </w:p>
    <w:p w14:paraId="5B1ED75C" w14:textId="77777777" w:rsidR="002A7E4D" w:rsidRPr="00591BFC" w:rsidRDefault="002A7E4D" w:rsidP="00E86771">
      <w:pPr>
        <w:pStyle w:val="Heading3"/>
        <w:spacing w:line="360" w:lineRule="auto"/>
        <w:rPr>
          <w:rFonts w:ascii="Calibri" w:hAnsi="Calibri"/>
          <w:lang w:val="en-GB"/>
        </w:rPr>
      </w:pPr>
      <w:bookmarkStart w:id="91" w:name="_Toc308300720"/>
      <w:bookmarkStart w:id="92" w:name="_Toc311366527"/>
      <w:r w:rsidRPr="00591BFC">
        <w:rPr>
          <w:rFonts w:ascii="Calibri" w:hAnsi="Calibri"/>
          <w:lang w:val="en-GB"/>
        </w:rPr>
        <w:t>Monitoring and treatment adherence</w:t>
      </w:r>
      <w:bookmarkEnd w:id="91"/>
      <w:bookmarkEnd w:id="92"/>
    </w:p>
    <w:p w14:paraId="4938BDF6" w14:textId="77777777" w:rsidR="002A7E4D" w:rsidRPr="00591BFC" w:rsidRDefault="002A7E4D" w:rsidP="00E86771">
      <w:pPr>
        <w:spacing w:line="360" w:lineRule="auto"/>
        <w:rPr>
          <w:szCs w:val="24"/>
        </w:rPr>
      </w:pPr>
      <w:r w:rsidRPr="00591BFC">
        <w:rPr>
          <w:szCs w:val="24"/>
        </w:rPr>
        <w:t xml:space="preserve">Seven of the eleven hospitals reported undertaking monitoring of patients after discharge in a secondary care setting. Methods for monitoring included telephone calls and questionnaires to check how patients were getting on with their medication. One hospital offered a follow-up appointment 6 weeks post-discharge at a fracture clinic run by an orthogeriatrician to those patients who were discharged to their own home. However, most hospitals only referred patients to an outpatient’s clinic if there were more serious complications such as fractures while on treatment, or if the patient was severely osteoporotic. At the remaining hospitals, all monitoring was delegated to primary care. </w:t>
      </w:r>
    </w:p>
    <w:p w14:paraId="20DC6288" w14:textId="77777777" w:rsidR="002A7E4D" w:rsidRPr="00591BFC" w:rsidRDefault="002A7E4D" w:rsidP="00E86771">
      <w:pPr>
        <w:pStyle w:val="Heading2"/>
        <w:spacing w:line="360" w:lineRule="auto"/>
        <w:rPr>
          <w:rFonts w:ascii="Calibri" w:hAnsi="Calibri"/>
        </w:rPr>
      </w:pPr>
      <w:bookmarkStart w:id="93" w:name="_Toc308300721"/>
      <w:bookmarkStart w:id="94" w:name="_Toc311366528"/>
      <w:r w:rsidRPr="00591BFC">
        <w:rPr>
          <w:rFonts w:ascii="Calibri" w:hAnsi="Calibri"/>
        </w:rPr>
        <w:t>Changes in service delivery at hospitals in the past decade</w:t>
      </w:r>
      <w:bookmarkEnd w:id="93"/>
      <w:bookmarkEnd w:id="94"/>
    </w:p>
    <w:p w14:paraId="41BCBEEB" w14:textId="77777777" w:rsidR="002A7E4D" w:rsidRPr="00591BFC" w:rsidRDefault="002A7E4D" w:rsidP="00E86771">
      <w:pPr>
        <w:spacing w:line="360" w:lineRule="auto"/>
        <w:rPr>
          <w:szCs w:val="24"/>
        </w:rPr>
      </w:pPr>
      <w:r w:rsidRPr="00591BFC">
        <w:rPr>
          <w:szCs w:val="24"/>
        </w:rPr>
        <w:t xml:space="preserve">The changes in service delivery at each hospital are summarised in </w:t>
      </w:r>
      <w:r w:rsidRPr="00591BFC">
        <w:rPr>
          <w:szCs w:val="24"/>
        </w:rPr>
        <w:fldChar w:fldCharType="begin"/>
      </w:r>
      <w:r w:rsidRPr="00591BFC">
        <w:rPr>
          <w:szCs w:val="24"/>
        </w:rPr>
        <w:instrText xml:space="preserve"> REF _Ref420050140 \h </w:instrText>
      </w:r>
      <w:r w:rsidR="00E814C1" w:rsidRPr="00591BFC">
        <w:rPr>
          <w:szCs w:val="24"/>
        </w:rPr>
        <w:instrText xml:space="preserve"> \* MERGEFORMAT </w:instrText>
      </w:r>
      <w:r w:rsidRPr="00591BFC">
        <w:rPr>
          <w:szCs w:val="24"/>
        </w:rPr>
      </w:r>
      <w:r w:rsidRPr="00591BFC">
        <w:rPr>
          <w:szCs w:val="24"/>
        </w:rPr>
        <w:fldChar w:fldCharType="separate"/>
      </w:r>
      <w:r w:rsidR="007B18C0" w:rsidRPr="00591BFC">
        <w:t xml:space="preserve">Table </w:t>
      </w:r>
      <w:r w:rsidR="007B18C0" w:rsidRPr="00591BFC">
        <w:rPr>
          <w:noProof/>
        </w:rPr>
        <w:t>5</w:t>
      </w:r>
      <w:r w:rsidRPr="00591BFC">
        <w:rPr>
          <w:szCs w:val="24"/>
        </w:rPr>
        <w:fldChar w:fldCharType="end"/>
      </w:r>
      <w:r w:rsidRPr="00591BFC">
        <w:rPr>
          <w:szCs w:val="24"/>
        </w:rPr>
        <w:t xml:space="preserve">. These were identified through the service evaluation questionnaire, with additional information supplemented from the qualitative work. Members of the project working group agreed on the key changes that had occurred based on the data collection, with significant input from clinicians around what factored as a key change. </w:t>
      </w:r>
    </w:p>
    <w:p w14:paraId="00F50A1A" w14:textId="77777777" w:rsidR="002A7E4D" w:rsidRPr="00591BFC" w:rsidRDefault="002A7E4D" w:rsidP="00E86771">
      <w:pPr>
        <w:pStyle w:val="Caption"/>
        <w:keepNext/>
        <w:spacing w:line="360" w:lineRule="auto"/>
      </w:pPr>
      <w:bookmarkStart w:id="95" w:name="_Ref420050140"/>
      <w:bookmarkStart w:id="96" w:name="_Toc308262400"/>
      <w:bookmarkStart w:id="97" w:name="_Toc311366666"/>
      <w:r w:rsidRPr="00591BFC">
        <w:t xml:space="preserve">Table </w:t>
      </w:r>
      <w:r w:rsidR="002149AD">
        <w:fldChar w:fldCharType="begin"/>
      </w:r>
      <w:r w:rsidR="002149AD">
        <w:instrText xml:space="preserve"> SEQ Table \*</w:instrText>
      </w:r>
      <w:r w:rsidR="002149AD">
        <w:instrText xml:space="preserve"> ARABIC </w:instrText>
      </w:r>
      <w:r w:rsidR="002149AD">
        <w:fldChar w:fldCharType="separate"/>
      </w:r>
      <w:r w:rsidR="00655089">
        <w:rPr>
          <w:noProof/>
        </w:rPr>
        <w:t>5</w:t>
      </w:r>
      <w:r w:rsidR="002149AD">
        <w:rPr>
          <w:noProof/>
        </w:rPr>
        <w:fldChar w:fldCharType="end"/>
      </w:r>
      <w:bookmarkEnd w:id="95"/>
      <w:r w:rsidRPr="00591BFC">
        <w:t>: Key changes to service delivery at each hospital between 2003 and 2013 identified from the service evaluation.</w:t>
      </w:r>
      <w:bookmarkEnd w:id="96"/>
      <w:bookmarkEnd w:id="97"/>
      <w:r w:rsidRPr="00591BF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01"/>
        <w:gridCol w:w="5732"/>
      </w:tblGrid>
      <w:tr w:rsidR="001F06AE" w:rsidRPr="00591BFC" w14:paraId="10478E6D" w14:textId="77777777" w:rsidTr="001F06AE">
        <w:tc>
          <w:tcPr>
            <w:tcW w:w="1809" w:type="dxa"/>
          </w:tcPr>
          <w:p w14:paraId="53913AEC" w14:textId="77777777" w:rsidR="001F06AE" w:rsidRPr="00591BFC" w:rsidRDefault="001F06AE" w:rsidP="00E86771">
            <w:pPr>
              <w:spacing w:after="0" w:line="360" w:lineRule="auto"/>
              <w:rPr>
                <w:b/>
              </w:rPr>
            </w:pPr>
            <w:r w:rsidRPr="00591BFC">
              <w:rPr>
                <w:b/>
              </w:rPr>
              <w:t>Hospital</w:t>
            </w:r>
          </w:p>
        </w:tc>
        <w:tc>
          <w:tcPr>
            <w:tcW w:w="1701" w:type="dxa"/>
          </w:tcPr>
          <w:p w14:paraId="058E4169" w14:textId="77777777" w:rsidR="001F06AE" w:rsidRPr="00591BFC" w:rsidRDefault="001F06AE" w:rsidP="00E86771">
            <w:pPr>
              <w:spacing w:after="0" w:line="360" w:lineRule="auto"/>
              <w:rPr>
                <w:b/>
              </w:rPr>
            </w:pPr>
            <w:r w:rsidRPr="00591BFC">
              <w:rPr>
                <w:b/>
              </w:rPr>
              <w:t>Date</w:t>
            </w:r>
          </w:p>
        </w:tc>
        <w:tc>
          <w:tcPr>
            <w:tcW w:w="5732" w:type="dxa"/>
          </w:tcPr>
          <w:p w14:paraId="3D7017A3" w14:textId="77777777" w:rsidR="001F06AE" w:rsidRPr="00591BFC" w:rsidRDefault="001F06AE" w:rsidP="00E86771">
            <w:pPr>
              <w:spacing w:after="0" w:line="360" w:lineRule="auto"/>
              <w:rPr>
                <w:b/>
              </w:rPr>
            </w:pPr>
            <w:r w:rsidRPr="00591BFC">
              <w:rPr>
                <w:b/>
              </w:rPr>
              <w:t>Change</w:t>
            </w:r>
          </w:p>
        </w:tc>
      </w:tr>
      <w:tr w:rsidR="001F06AE" w:rsidRPr="00591BFC" w14:paraId="0D26D374" w14:textId="77777777" w:rsidTr="001F06AE">
        <w:tc>
          <w:tcPr>
            <w:tcW w:w="1809" w:type="dxa"/>
          </w:tcPr>
          <w:p w14:paraId="242FA6A5" w14:textId="77777777" w:rsidR="001F06AE" w:rsidRPr="00591BFC" w:rsidRDefault="001F06AE" w:rsidP="00E86771">
            <w:pPr>
              <w:spacing w:after="0" w:line="360" w:lineRule="auto"/>
            </w:pPr>
            <w:r w:rsidRPr="00591BFC">
              <w:rPr>
                <w:b/>
              </w:rPr>
              <w:lastRenderedPageBreak/>
              <w:t>1</w:t>
            </w:r>
          </w:p>
        </w:tc>
        <w:tc>
          <w:tcPr>
            <w:tcW w:w="1701" w:type="dxa"/>
          </w:tcPr>
          <w:p w14:paraId="5318C083" w14:textId="77777777" w:rsidR="001F06AE" w:rsidRPr="00591BFC" w:rsidRDefault="00BF0C65" w:rsidP="00E86771">
            <w:pPr>
              <w:spacing w:after="0" w:line="360" w:lineRule="auto"/>
              <w:rPr>
                <w:color w:val="000000"/>
              </w:rPr>
            </w:pPr>
            <w:r>
              <w:rPr>
                <w:color w:val="000000"/>
              </w:rPr>
              <w:t>Nov 2012</w:t>
            </w:r>
          </w:p>
        </w:tc>
        <w:tc>
          <w:tcPr>
            <w:tcW w:w="5732" w:type="dxa"/>
          </w:tcPr>
          <w:p w14:paraId="779E40BF" w14:textId="77777777" w:rsidR="001F06AE" w:rsidRPr="00591BFC" w:rsidRDefault="00BF0C65" w:rsidP="00E86771">
            <w:pPr>
              <w:spacing w:after="0" w:line="360" w:lineRule="auto"/>
              <w:rPr>
                <w:color w:val="000000"/>
              </w:rPr>
            </w:pPr>
            <w:r>
              <w:rPr>
                <w:color w:val="000000"/>
              </w:rPr>
              <w:t>FLN appointed</w:t>
            </w:r>
          </w:p>
        </w:tc>
      </w:tr>
      <w:tr w:rsidR="001F06AE" w:rsidRPr="00591BFC" w14:paraId="64EA0C23" w14:textId="77777777" w:rsidTr="001F06AE">
        <w:tc>
          <w:tcPr>
            <w:tcW w:w="1809" w:type="dxa"/>
          </w:tcPr>
          <w:p w14:paraId="258ACA8E" w14:textId="77777777" w:rsidR="001F06AE" w:rsidRPr="00591BFC" w:rsidRDefault="001F06AE" w:rsidP="00E86771">
            <w:pPr>
              <w:spacing w:after="0" w:line="360" w:lineRule="auto"/>
              <w:rPr>
                <w:b/>
              </w:rPr>
            </w:pPr>
            <w:r w:rsidRPr="00591BFC">
              <w:rPr>
                <w:b/>
              </w:rPr>
              <w:t>2</w:t>
            </w:r>
          </w:p>
          <w:p w14:paraId="58897304" w14:textId="77777777" w:rsidR="001F06AE" w:rsidRPr="00591BFC" w:rsidRDefault="001F06AE" w:rsidP="00E86771">
            <w:pPr>
              <w:spacing w:after="0" w:line="360" w:lineRule="auto"/>
              <w:rPr>
                <w:b/>
              </w:rPr>
            </w:pPr>
          </w:p>
        </w:tc>
        <w:tc>
          <w:tcPr>
            <w:tcW w:w="1701" w:type="dxa"/>
          </w:tcPr>
          <w:p w14:paraId="2C0E3A98" w14:textId="77777777" w:rsidR="001F06AE" w:rsidRPr="00591BFC" w:rsidRDefault="001F06AE" w:rsidP="00E86771">
            <w:pPr>
              <w:spacing w:after="0" w:line="360" w:lineRule="auto"/>
              <w:rPr>
                <w:color w:val="000000"/>
              </w:rPr>
            </w:pPr>
            <w:r w:rsidRPr="00591BFC">
              <w:rPr>
                <w:color w:val="000000"/>
              </w:rPr>
              <w:t>May 2005</w:t>
            </w:r>
          </w:p>
          <w:p w14:paraId="38EAA067" w14:textId="77777777" w:rsidR="001F06AE" w:rsidRPr="00591BFC" w:rsidRDefault="001F06AE" w:rsidP="00E86771">
            <w:pPr>
              <w:spacing w:after="0" w:line="360" w:lineRule="auto"/>
              <w:rPr>
                <w:color w:val="000000"/>
              </w:rPr>
            </w:pPr>
            <w:r w:rsidRPr="00591BFC">
              <w:rPr>
                <w:color w:val="000000"/>
              </w:rPr>
              <w:t>Aug 2007</w:t>
            </w:r>
          </w:p>
          <w:p w14:paraId="1C185853" w14:textId="77777777" w:rsidR="001F06AE" w:rsidRPr="00591BFC" w:rsidRDefault="001F06AE" w:rsidP="00E86771">
            <w:pPr>
              <w:spacing w:after="0" w:line="360" w:lineRule="auto"/>
              <w:rPr>
                <w:color w:val="000000"/>
              </w:rPr>
            </w:pPr>
          </w:p>
        </w:tc>
        <w:tc>
          <w:tcPr>
            <w:tcW w:w="5732" w:type="dxa"/>
          </w:tcPr>
          <w:p w14:paraId="6D0137E0" w14:textId="77777777" w:rsidR="001F06AE" w:rsidRPr="00591BFC" w:rsidRDefault="001F06AE" w:rsidP="00E86771">
            <w:pPr>
              <w:spacing w:after="0" w:line="360" w:lineRule="auto"/>
              <w:rPr>
                <w:color w:val="000000"/>
              </w:rPr>
            </w:pPr>
            <w:r w:rsidRPr="00591BFC">
              <w:rPr>
                <w:color w:val="000000"/>
              </w:rPr>
              <w:t>Orthogeriatrician appointed</w:t>
            </w:r>
          </w:p>
          <w:p w14:paraId="62C97067" w14:textId="77777777" w:rsidR="001F06AE" w:rsidRPr="00591BFC" w:rsidRDefault="001F06AE" w:rsidP="00E86771">
            <w:pPr>
              <w:spacing w:after="0" w:line="360" w:lineRule="auto"/>
              <w:rPr>
                <w:color w:val="000000"/>
              </w:rPr>
            </w:pPr>
            <w:r w:rsidRPr="00591BFC">
              <w:rPr>
                <w:color w:val="000000"/>
              </w:rPr>
              <w:t>Second orthogeriatrician appointed.  Metabolic bone clinic started conducting falls assessments.</w:t>
            </w:r>
          </w:p>
        </w:tc>
      </w:tr>
      <w:tr w:rsidR="001F06AE" w:rsidRPr="00591BFC" w14:paraId="11FC83D4" w14:textId="77777777" w:rsidTr="00BF0C65">
        <w:trPr>
          <w:trHeight w:val="431"/>
        </w:trPr>
        <w:tc>
          <w:tcPr>
            <w:tcW w:w="1809" w:type="dxa"/>
          </w:tcPr>
          <w:p w14:paraId="01E08A10" w14:textId="77777777" w:rsidR="001F06AE" w:rsidRPr="00591BFC" w:rsidRDefault="001F06AE" w:rsidP="00E86771">
            <w:pPr>
              <w:spacing w:after="0" w:line="360" w:lineRule="auto"/>
              <w:rPr>
                <w:b/>
              </w:rPr>
            </w:pPr>
            <w:r w:rsidRPr="00591BFC">
              <w:rPr>
                <w:b/>
              </w:rPr>
              <w:t>3</w:t>
            </w:r>
          </w:p>
          <w:p w14:paraId="1E1D3825" w14:textId="77777777" w:rsidR="001F06AE" w:rsidRPr="00591BFC" w:rsidRDefault="001F06AE" w:rsidP="00E86771">
            <w:pPr>
              <w:spacing w:after="0" w:line="360" w:lineRule="auto"/>
            </w:pPr>
          </w:p>
        </w:tc>
        <w:tc>
          <w:tcPr>
            <w:tcW w:w="1701" w:type="dxa"/>
          </w:tcPr>
          <w:p w14:paraId="61FF9CFD" w14:textId="77777777" w:rsidR="001F06AE" w:rsidRPr="00591BFC" w:rsidRDefault="001F06AE" w:rsidP="00E86771">
            <w:pPr>
              <w:spacing w:after="0" w:line="360" w:lineRule="auto"/>
              <w:rPr>
                <w:color w:val="000000"/>
              </w:rPr>
            </w:pPr>
            <w:r w:rsidRPr="00591BFC">
              <w:rPr>
                <w:color w:val="000000"/>
              </w:rPr>
              <w:t>June 2011</w:t>
            </w:r>
          </w:p>
        </w:tc>
        <w:tc>
          <w:tcPr>
            <w:tcW w:w="5732" w:type="dxa"/>
          </w:tcPr>
          <w:p w14:paraId="26367393" w14:textId="77777777" w:rsidR="001F06AE" w:rsidRPr="00591BFC" w:rsidRDefault="001F06AE" w:rsidP="00E86771">
            <w:pPr>
              <w:spacing w:after="0" w:line="360" w:lineRule="auto"/>
              <w:rPr>
                <w:color w:val="000000"/>
              </w:rPr>
            </w:pPr>
            <w:r w:rsidRPr="00591BFC">
              <w:rPr>
                <w:color w:val="000000"/>
              </w:rPr>
              <w:t>Orthogeriatrician and matron for hip fracture unit appointed</w:t>
            </w:r>
          </w:p>
        </w:tc>
      </w:tr>
      <w:tr w:rsidR="001F06AE" w:rsidRPr="00591BFC" w14:paraId="2B16A1AC" w14:textId="77777777" w:rsidTr="001F06AE">
        <w:trPr>
          <w:trHeight w:val="371"/>
        </w:trPr>
        <w:tc>
          <w:tcPr>
            <w:tcW w:w="1809" w:type="dxa"/>
          </w:tcPr>
          <w:p w14:paraId="1F5A230D" w14:textId="77777777" w:rsidR="001F06AE" w:rsidRPr="00591BFC" w:rsidRDefault="001F06AE" w:rsidP="00E86771">
            <w:pPr>
              <w:spacing w:after="0" w:line="360" w:lineRule="auto"/>
              <w:rPr>
                <w:b/>
              </w:rPr>
            </w:pPr>
            <w:r w:rsidRPr="00591BFC">
              <w:rPr>
                <w:b/>
              </w:rPr>
              <w:t>4</w:t>
            </w:r>
          </w:p>
        </w:tc>
        <w:tc>
          <w:tcPr>
            <w:tcW w:w="1701" w:type="dxa"/>
          </w:tcPr>
          <w:p w14:paraId="5FFF64B1" w14:textId="77777777" w:rsidR="001F06AE" w:rsidRPr="00591BFC" w:rsidRDefault="001F06AE" w:rsidP="00E86771">
            <w:pPr>
              <w:spacing w:after="0" w:line="360" w:lineRule="auto"/>
              <w:rPr>
                <w:color w:val="000000"/>
              </w:rPr>
            </w:pPr>
            <w:r w:rsidRPr="00591BFC">
              <w:rPr>
                <w:color w:val="000000"/>
              </w:rPr>
              <w:t>2006</w:t>
            </w:r>
          </w:p>
          <w:p w14:paraId="63C6B244" w14:textId="77777777" w:rsidR="001F06AE" w:rsidRPr="00591BFC" w:rsidRDefault="001F06AE" w:rsidP="00E86771">
            <w:pPr>
              <w:spacing w:after="0" w:line="360" w:lineRule="auto"/>
              <w:rPr>
                <w:color w:val="000000"/>
              </w:rPr>
            </w:pPr>
            <w:r w:rsidRPr="00591BFC">
              <w:rPr>
                <w:color w:val="000000"/>
              </w:rPr>
              <w:t>May 2009</w:t>
            </w:r>
          </w:p>
          <w:p w14:paraId="58B1BDFB" w14:textId="77777777" w:rsidR="001F06AE" w:rsidRPr="00591BFC" w:rsidRDefault="001F06AE" w:rsidP="00E86771">
            <w:pPr>
              <w:spacing w:after="0" w:line="360" w:lineRule="auto"/>
              <w:rPr>
                <w:color w:val="000000"/>
              </w:rPr>
            </w:pPr>
            <w:r w:rsidRPr="00591BFC" w:rsidDel="008C3090">
              <w:rPr>
                <w:color w:val="000000"/>
              </w:rPr>
              <w:t>2011</w:t>
            </w:r>
          </w:p>
        </w:tc>
        <w:tc>
          <w:tcPr>
            <w:tcW w:w="5732" w:type="dxa"/>
          </w:tcPr>
          <w:p w14:paraId="35D239E0" w14:textId="77777777" w:rsidR="001F06AE" w:rsidRPr="00591BFC" w:rsidRDefault="001F06AE" w:rsidP="00E86771">
            <w:pPr>
              <w:spacing w:after="0" w:line="360" w:lineRule="auto"/>
              <w:rPr>
                <w:color w:val="000000"/>
              </w:rPr>
            </w:pPr>
            <w:r w:rsidRPr="00591BFC">
              <w:rPr>
                <w:color w:val="000000"/>
              </w:rPr>
              <w:t>Orthogeriatrician appointed</w:t>
            </w:r>
          </w:p>
          <w:p w14:paraId="5D030B3C" w14:textId="77777777" w:rsidR="001F06AE" w:rsidRPr="00591BFC" w:rsidRDefault="001F06AE" w:rsidP="00E86771">
            <w:pPr>
              <w:spacing w:after="0" w:line="360" w:lineRule="auto"/>
              <w:rPr>
                <w:color w:val="000000"/>
              </w:rPr>
            </w:pPr>
            <w:r w:rsidRPr="00591BFC">
              <w:rPr>
                <w:color w:val="000000"/>
              </w:rPr>
              <w:t>FLN appointed (began doing falls assessment in June)</w:t>
            </w:r>
          </w:p>
          <w:p w14:paraId="58D2D3DD" w14:textId="77777777" w:rsidR="001F06AE" w:rsidRPr="00591BFC" w:rsidRDefault="001F06AE" w:rsidP="00E86771">
            <w:pPr>
              <w:spacing w:after="0" w:line="360" w:lineRule="auto"/>
              <w:rPr>
                <w:color w:val="000000"/>
              </w:rPr>
            </w:pPr>
            <w:r w:rsidRPr="00591BFC" w:rsidDel="008C3090">
              <w:rPr>
                <w:color w:val="000000"/>
              </w:rPr>
              <w:t>Community rehabilitation introduced</w:t>
            </w:r>
          </w:p>
        </w:tc>
      </w:tr>
      <w:tr w:rsidR="001F06AE" w:rsidRPr="00591BFC" w14:paraId="437DA886" w14:textId="77777777" w:rsidTr="001F06AE">
        <w:tc>
          <w:tcPr>
            <w:tcW w:w="1809" w:type="dxa"/>
          </w:tcPr>
          <w:p w14:paraId="1E451BE7" w14:textId="77777777" w:rsidR="001F06AE" w:rsidRPr="00591BFC" w:rsidRDefault="001F06AE" w:rsidP="00E86771">
            <w:pPr>
              <w:spacing w:after="0" w:line="360" w:lineRule="auto"/>
              <w:rPr>
                <w:b/>
              </w:rPr>
            </w:pPr>
            <w:r w:rsidRPr="00591BFC">
              <w:rPr>
                <w:b/>
              </w:rPr>
              <w:t>5</w:t>
            </w:r>
          </w:p>
          <w:p w14:paraId="5C4C2D48" w14:textId="77777777" w:rsidR="001F06AE" w:rsidRPr="00591BFC" w:rsidRDefault="001F06AE" w:rsidP="00E86771">
            <w:pPr>
              <w:spacing w:after="0" w:line="360" w:lineRule="auto"/>
              <w:jc w:val="center"/>
            </w:pPr>
          </w:p>
        </w:tc>
        <w:tc>
          <w:tcPr>
            <w:tcW w:w="1701" w:type="dxa"/>
          </w:tcPr>
          <w:p w14:paraId="7171FE1E" w14:textId="77777777" w:rsidR="001F06AE" w:rsidRPr="00591BFC" w:rsidRDefault="001F06AE" w:rsidP="00E86771">
            <w:pPr>
              <w:spacing w:after="0" w:line="360" w:lineRule="auto"/>
              <w:rPr>
                <w:color w:val="000000"/>
              </w:rPr>
            </w:pPr>
            <w:r w:rsidRPr="00591BFC">
              <w:rPr>
                <w:color w:val="000000"/>
              </w:rPr>
              <w:t>Sept 2009</w:t>
            </w:r>
          </w:p>
        </w:tc>
        <w:tc>
          <w:tcPr>
            <w:tcW w:w="5732" w:type="dxa"/>
          </w:tcPr>
          <w:p w14:paraId="3D2EB25F" w14:textId="77777777" w:rsidR="001F06AE" w:rsidRPr="00591BFC" w:rsidRDefault="001F06AE" w:rsidP="00E86771">
            <w:pPr>
              <w:spacing w:after="0" w:line="360" w:lineRule="auto"/>
              <w:rPr>
                <w:color w:val="000000"/>
              </w:rPr>
            </w:pPr>
            <w:r w:rsidRPr="00591BFC">
              <w:rPr>
                <w:color w:val="000000"/>
              </w:rPr>
              <w:t>Trust grade orthogeriatrician appointed</w:t>
            </w:r>
          </w:p>
        </w:tc>
      </w:tr>
      <w:tr w:rsidR="001F06AE" w:rsidRPr="00591BFC" w14:paraId="11BC8DA7" w14:textId="77777777" w:rsidTr="001F06AE">
        <w:tc>
          <w:tcPr>
            <w:tcW w:w="1809" w:type="dxa"/>
          </w:tcPr>
          <w:p w14:paraId="46B6F77E" w14:textId="77777777" w:rsidR="001F06AE" w:rsidRPr="00591BFC" w:rsidRDefault="001F06AE" w:rsidP="00E86771">
            <w:pPr>
              <w:spacing w:after="0" w:line="360" w:lineRule="auto"/>
              <w:rPr>
                <w:b/>
              </w:rPr>
            </w:pPr>
            <w:r w:rsidRPr="00591BFC">
              <w:rPr>
                <w:b/>
              </w:rPr>
              <w:t>6</w:t>
            </w:r>
          </w:p>
          <w:p w14:paraId="74417C4E" w14:textId="77777777" w:rsidR="001F06AE" w:rsidRPr="00591BFC" w:rsidRDefault="001F06AE" w:rsidP="00E86771">
            <w:pPr>
              <w:spacing w:after="0" w:line="360" w:lineRule="auto"/>
            </w:pPr>
          </w:p>
        </w:tc>
        <w:tc>
          <w:tcPr>
            <w:tcW w:w="1701" w:type="dxa"/>
          </w:tcPr>
          <w:p w14:paraId="0F4AACE2" w14:textId="77777777" w:rsidR="001F06AE" w:rsidRPr="00591BFC" w:rsidRDefault="001F06AE" w:rsidP="00E86771">
            <w:pPr>
              <w:spacing w:after="0" w:line="360" w:lineRule="auto"/>
              <w:rPr>
                <w:color w:val="000000"/>
              </w:rPr>
            </w:pPr>
            <w:r w:rsidRPr="00591BFC">
              <w:rPr>
                <w:color w:val="000000"/>
              </w:rPr>
              <w:t>Nov 2005</w:t>
            </w:r>
          </w:p>
          <w:p w14:paraId="3ED706FC" w14:textId="77777777" w:rsidR="001F06AE" w:rsidRPr="00591BFC" w:rsidRDefault="001F06AE" w:rsidP="00E86771">
            <w:pPr>
              <w:spacing w:after="0" w:line="360" w:lineRule="auto"/>
              <w:rPr>
                <w:color w:val="000000"/>
              </w:rPr>
            </w:pPr>
            <w:r w:rsidRPr="00591BFC">
              <w:rPr>
                <w:color w:val="000000"/>
              </w:rPr>
              <w:t>2011</w:t>
            </w:r>
          </w:p>
        </w:tc>
        <w:tc>
          <w:tcPr>
            <w:tcW w:w="5732" w:type="dxa"/>
          </w:tcPr>
          <w:p w14:paraId="5A33C3D1" w14:textId="77777777" w:rsidR="001F06AE" w:rsidRPr="00591BFC" w:rsidRDefault="001F06AE" w:rsidP="00E86771">
            <w:pPr>
              <w:spacing w:after="0" w:line="360" w:lineRule="auto"/>
              <w:rPr>
                <w:color w:val="000000"/>
              </w:rPr>
            </w:pPr>
            <w:r w:rsidRPr="00591BFC">
              <w:rPr>
                <w:color w:val="000000"/>
              </w:rPr>
              <w:t xml:space="preserve">Orthogeriatrician appointed </w:t>
            </w:r>
          </w:p>
          <w:p w14:paraId="0EEC13B4" w14:textId="77777777" w:rsidR="001F06AE" w:rsidRPr="00591BFC" w:rsidRDefault="001F06AE" w:rsidP="00E86771">
            <w:pPr>
              <w:spacing w:after="0" w:line="360" w:lineRule="auto"/>
              <w:rPr>
                <w:color w:val="000000"/>
              </w:rPr>
            </w:pPr>
            <w:r w:rsidRPr="00591BFC">
              <w:rPr>
                <w:color w:val="000000"/>
              </w:rPr>
              <w:t>Trauma speciality nurse appointed</w:t>
            </w:r>
          </w:p>
        </w:tc>
      </w:tr>
      <w:tr w:rsidR="001F06AE" w:rsidRPr="00591BFC" w14:paraId="5DC7EC7C" w14:textId="77777777" w:rsidTr="001F06AE">
        <w:tc>
          <w:tcPr>
            <w:tcW w:w="1809" w:type="dxa"/>
          </w:tcPr>
          <w:p w14:paraId="0992E80F" w14:textId="77777777" w:rsidR="001F06AE" w:rsidRPr="00591BFC" w:rsidRDefault="001F06AE" w:rsidP="00E86771">
            <w:pPr>
              <w:spacing w:after="0" w:line="360" w:lineRule="auto"/>
              <w:rPr>
                <w:b/>
              </w:rPr>
            </w:pPr>
            <w:r w:rsidRPr="00591BFC">
              <w:rPr>
                <w:b/>
              </w:rPr>
              <w:t>7</w:t>
            </w:r>
          </w:p>
          <w:p w14:paraId="63DD3740" w14:textId="77777777" w:rsidR="001F06AE" w:rsidRPr="00591BFC" w:rsidRDefault="001F06AE" w:rsidP="00E86771">
            <w:pPr>
              <w:spacing w:after="0" w:line="360" w:lineRule="auto"/>
            </w:pPr>
          </w:p>
        </w:tc>
        <w:tc>
          <w:tcPr>
            <w:tcW w:w="1701" w:type="dxa"/>
          </w:tcPr>
          <w:p w14:paraId="389D8E1B" w14:textId="77777777" w:rsidR="001F06AE" w:rsidRPr="00591BFC" w:rsidRDefault="001F06AE" w:rsidP="00E86771">
            <w:pPr>
              <w:spacing w:after="0" w:line="360" w:lineRule="auto"/>
              <w:rPr>
                <w:color w:val="000000"/>
              </w:rPr>
            </w:pPr>
            <w:r w:rsidRPr="00591BFC">
              <w:rPr>
                <w:color w:val="000000"/>
              </w:rPr>
              <w:t>July 2004</w:t>
            </w:r>
          </w:p>
          <w:p w14:paraId="0F618551" w14:textId="77777777" w:rsidR="001F06AE" w:rsidRPr="00591BFC" w:rsidRDefault="001F06AE" w:rsidP="00E86771">
            <w:pPr>
              <w:spacing w:after="0" w:line="360" w:lineRule="auto"/>
              <w:rPr>
                <w:color w:val="000000"/>
              </w:rPr>
            </w:pPr>
            <w:r w:rsidRPr="00591BFC">
              <w:rPr>
                <w:color w:val="000000"/>
              </w:rPr>
              <w:t>June 2007</w:t>
            </w:r>
          </w:p>
          <w:p w14:paraId="2B44304C" w14:textId="77777777" w:rsidR="001F06AE" w:rsidRPr="00591BFC" w:rsidRDefault="001F06AE" w:rsidP="00E86771">
            <w:pPr>
              <w:spacing w:after="0" w:line="360" w:lineRule="auto"/>
              <w:rPr>
                <w:color w:val="000000"/>
              </w:rPr>
            </w:pPr>
            <w:r w:rsidRPr="00591BFC" w:rsidDel="008C3090">
              <w:rPr>
                <w:color w:val="000000"/>
              </w:rPr>
              <w:t>Oct 2007</w:t>
            </w:r>
          </w:p>
        </w:tc>
        <w:tc>
          <w:tcPr>
            <w:tcW w:w="5732" w:type="dxa"/>
          </w:tcPr>
          <w:p w14:paraId="71FD8C1A" w14:textId="77777777" w:rsidR="001F06AE" w:rsidRPr="00591BFC" w:rsidRDefault="001F06AE" w:rsidP="00E86771">
            <w:pPr>
              <w:spacing w:after="0" w:line="360" w:lineRule="auto"/>
              <w:rPr>
                <w:color w:val="000000"/>
              </w:rPr>
            </w:pPr>
            <w:r w:rsidRPr="00591BFC">
              <w:rPr>
                <w:color w:val="000000"/>
              </w:rPr>
              <w:t>Geriatrician appointed, hip fracture ward opened</w:t>
            </w:r>
          </w:p>
          <w:p w14:paraId="26F4C000" w14:textId="77777777" w:rsidR="001F06AE" w:rsidRPr="00591BFC" w:rsidRDefault="001F06AE" w:rsidP="00E86771">
            <w:pPr>
              <w:spacing w:after="0" w:line="360" w:lineRule="auto"/>
              <w:rPr>
                <w:color w:val="000000"/>
              </w:rPr>
            </w:pPr>
            <w:r w:rsidRPr="00591BFC">
              <w:rPr>
                <w:color w:val="000000"/>
              </w:rPr>
              <w:t>A second trauma speciality nurse appointed</w:t>
            </w:r>
          </w:p>
          <w:p w14:paraId="167691E6" w14:textId="77777777" w:rsidR="001F06AE" w:rsidRPr="00591BFC" w:rsidRDefault="001F06AE" w:rsidP="00E86771">
            <w:pPr>
              <w:spacing w:after="0" w:line="360" w:lineRule="auto"/>
              <w:rPr>
                <w:color w:val="000000"/>
              </w:rPr>
            </w:pPr>
            <w:r w:rsidRPr="00D44978" w:rsidDel="008C3090">
              <w:rPr>
                <w:color w:val="000000"/>
              </w:rPr>
              <w:t>Specialty doctor in geriatrics appointed</w:t>
            </w:r>
          </w:p>
        </w:tc>
      </w:tr>
      <w:tr w:rsidR="001F06AE" w:rsidRPr="00591BFC" w14:paraId="04850DBE" w14:textId="77777777" w:rsidTr="001F06AE">
        <w:tc>
          <w:tcPr>
            <w:tcW w:w="1809" w:type="dxa"/>
          </w:tcPr>
          <w:p w14:paraId="59C83945" w14:textId="77777777" w:rsidR="001F06AE" w:rsidRPr="00591BFC" w:rsidRDefault="001F06AE" w:rsidP="00E86771">
            <w:pPr>
              <w:spacing w:after="0" w:line="360" w:lineRule="auto"/>
              <w:rPr>
                <w:b/>
              </w:rPr>
            </w:pPr>
            <w:r w:rsidRPr="00591BFC">
              <w:rPr>
                <w:b/>
              </w:rPr>
              <w:t>8</w:t>
            </w:r>
          </w:p>
          <w:p w14:paraId="7149FF4E" w14:textId="77777777" w:rsidR="001F06AE" w:rsidRPr="00591BFC" w:rsidRDefault="001F06AE" w:rsidP="00E86771">
            <w:pPr>
              <w:spacing w:after="0" w:line="360" w:lineRule="auto"/>
            </w:pPr>
          </w:p>
        </w:tc>
        <w:tc>
          <w:tcPr>
            <w:tcW w:w="1701" w:type="dxa"/>
          </w:tcPr>
          <w:p w14:paraId="3ED43B1D" w14:textId="77777777" w:rsidR="001F06AE" w:rsidRPr="00591BFC" w:rsidRDefault="001F06AE" w:rsidP="00E86771">
            <w:pPr>
              <w:spacing w:after="0" w:line="360" w:lineRule="auto"/>
              <w:rPr>
                <w:color w:val="000000"/>
              </w:rPr>
            </w:pPr>
            <w:r w:rsidRPr="00591BFC">
              <w:rPr>
                <w:color w:val="000000"/>
              </w:rPr>
              <w:t>March 2009</w:t>
            </w:r>
          </w:p>
        </w:tc>
        <w:tc>
          <w:tcPr>
            <w:tcW w:w="5732" w:type="dxa"/>
          </w:tcPr>
          <w:p w14:paraId="6EEC910A" w14:textId="77777777" w:rsidR="001F06AE" w:rsidRPr="00591BFC" w:rsidRDefault="001F06AE" w:rsidP="00E86771">
            <w:pPr>
              <w:spacing w:after="0" w:line="360" w:lineRule="auto"/>
              <w:rPr>
                <w:color w:val="000000"/>
              </w:rPr>
            </w:pPr>
            <w:r w:rsidRPr="00591BFC">
              <w:rPr>
                <w:color w:val="000000"/>
              </w:rPr>
              <w:t>Clinical lead orthogeriatrician appointed</w:t>
            </w:r>
          </w:p>
        </w:tc>
      </w:tr>
      <w:tr w:rsidR="001F06AE" w:rsidRPr="00591BFC" w14:paraId="43C3E0E8" w14:textId="77777777" w:rsidTr="001F06AE">
        <w:tc>
          <w:tcPr>
            <w:tcW w:w="1809" w:type="dxa"/>
          </w:tcPr>
          <w:p w14:paraId="7F6CF515" w14:textId="77777777" w:rsidR="001F06AE" w:rsidRPr="00591BFC" w:rsidRDefault="001F06AE" w:rsidP="00E86771">
            <w:pPr>
              <w:spacing w:after="0" w:line="360" w:lineRule="auto"/>
              <w:rPr>
                <w:b/>
              </w:rPr>
            </w:pPr>
            <w:r w:rsidRPr="00591BFC">
              <w:rPr>
                <w:b/>
              </w:rPr>
              <w:t>9</w:t>
            </w:r>
          </w:p>
          <w:p w14:paraId="12031646" w14:textId="77777777" w:rsidR="001F06AE" w:rsidRPr="00591BFC" w:rsidRDefault="001F06AE" w:rsidP="00E86771">
            <w:pPr>
              <w:spacing w:after="0" w:line="360" w:lineRule="auto"/>
              <w:rPr>
                <w:b/>
              </w:rPr>
            </w:pPr>
          </w:p>
        </w:tc>
        <w:tc>
          <w:tcPr>
            <w:tcW w:w="1701" w:type="dxa"/>
          </w:tcPr>
          <w:p w14:paraId="1B7A47C9" w14:textId="77777777" w:rsidR="001F06AE" w:rsidRPr="00591BFC" w:rsidRDefault="001F06AE" w:rsidP="00E86771">
            <w:pPr>
              <w:spacing w:after="0" w:line="360" w:lineRule="auto"/>
              <w:rPr>
                <w:color w:val="000000"/>
              </w:rPr>
            </w:pPr>
            <w:r w:rsidRPr="00591BFC">
              <w:rPr>
                <w:color w:val="000000"/>
              </w:rPr>
              <w:t>Nov 2003</w:t>
            </w:r>
          </w:p>
          <w:p w14:paraId="3D20A104" w14:textId="77777777" w:rsidR="001F06AE" w:rsidRPr="00591BFC" w:rsidRDefault="001F06AE" w:rsidP="00E86771">
            <w:pPr>
              <w:spacing w:after="0" w:line="360" w:lineRule="auto"/>
              <w:rPr>
                <w:color w:val="000000"/>
              </w:rPr>
            </w:pPr>
            <w:r w:rsidRPr="00591BFC">
              <w:rPr>
                <w:color w:val="000000"/>
              </w:rPr>
              <w:t>April 2005</w:t>
            </w:r>
          </w:p>
          <w:p w14:paraId="27CDFCBB" w14:textId="77777777" w:rsidR="001F06AE" w:rsidRPr="00591BFC" w:rsidRDefault="001F06AE" w:rsidP="00E86771">
            <w:pPr>
              <w:spacing w:after="0" w:line="360" w:lineRule="auto"/>
              <w:rPr>
                <w:color w:val="000000"/>
              </w:rPr>
            </w:pPr>
            <w:r w:rsidRPr="00591BFC">
              <w:rPr>
                <w:color w:val="000000"/>
              </w:rPr>
              <w:t>2009</w:t>
            </w:r>
          </w:p>
        </w:tc>
        <w:tc>
          <w:tcPr>
            <w:tcW w:w="5732" w:type="dxa"/>
          </w:tcPr>
          <w:p w14:paraId="24656974" w14:textId="77777777" w:rsidR="001F06AE" w:rsidRPr="00591BFC" w:rsidRDefault="001F06AE" w:rsidP="00E86771">
            <w:pPr>
              <w:spacing w:after="0" w:line="360" w:lineRule="auto"/>
              <w:rPr>
                <w:color w:val="000000"/>
              </w:rPr>
            </w:pPr>
            <w:r w:rsidRPr="00591BFC">
              <w:rPr>
                <w:color w:val="000000"/>
              </w:rPr>
              <w:t>Orthopaedic nurse specialist appointed</w:t>
            </w:r>
          </w:p>
          <w:p w14:paraId="618B409C" w14:textId="77777777" w:rsidR="001F06AE" w:rsidRPr="00591BFC" w:rsidRDefault="001F06AE" w:rsidP="00E86771">
            <w:pPr>
              <w:spacing w:after="0" w:line="360" w:lineRule="auto"/>
              <w:rPr>
                <w:color w:val="000000"/>
              </w:rPr>
            </w:pPr>
            <w:r w:rsidRPr="00591BFC">
              <w:rPr>
                <w:color w:val="000000"/>
              </w:rPr>
              <w:t xml:space="preserve">Osteoporosis nurse specialist appointed </w:t>
            </w:r>
          </w:p>
          <w:p w14:paraId="363A86BA" w14:textId="77777777" w:rsidR="001F06AE" w:rsidRPr="00591BFC" w:rsidRDefault="001F06AE" w:rsidP="00E86771">
            <w:pPr>
              <w:spacing w:after="0" w:line="360" w:lineRule="auto"/>
              <w:rPr>
                <w:color w:val="000000"/>
              </w:rPr>
            </w:pPr>
            <w:r w:rsidRPr="00591BFC">
              <w:rPr>
                <w:color w:val="000000"/>
              </w:rPr>
              <w:t>Staff grade orthogeriatrician</w:t>
            </w:r>
          </w:p>
          <w:p w14:paraId="7E4F502E" w14:textId="77777777" w:rsidR="001F06AE" w:rsidRPr="00591BFC" w:rsidRDefault="001F06AE" w:rsidP="00E86771">
            <w:pPr>
              <w:spacing w:after="0" w:line="360" w:lineRule="auto"/>
              <w:rPr>
                <w:color w:val="000000"/>
              </w:rPr>
            </w:pPr>
          </w:p>
        </w:tc>
      </w:tr>
      <w:tr w:rsidR="001F06AE" w:rsidRPr="00591BFC" w14:paraId="2D6FD3BC" w14:textId="77777777" w:rsidTr="001F06AE">
        <w:tc>
          <w:tcPr>
            <w:tcW w:w="1809" w:type="dxa"/>
          </w:tcPr>
          <w:p w14:paraId="4C980936" w14:textId="77777777" w:rsidR="001F06AE" w:rsidRPr="00591BFC" w:rsidRDefault="001F06AE" w:rsidP="00E86771">
            <w:pPr>
              <w:spacing w:after="0" w:line="360" w:lineRule="auto"/>
              <w:rPr>
                <w:b/>
              </w:rPr>
            </w:pPr>
            <w:r w:rsidRPr="00591BFC">
              <w:rPr>
                <w:b/>
              </w:rPr>
              <w:t>10</w:t>
            </w:r>
          </w:p>
          <w:p w14:paraId="7FA629CA" w14:textId="77777777" w:rsidR="001F06AE" w:rsidRPr="00591BFC" w:rsidRDefault="001F06AE" w:rsidP="00E86771">
            <w:pPr>
              <w:spacing w:after="0" w:line="360" w:lineRule="auto"/>
              <w:rPr>
                <w:b/>
              </w:rPr>
            </w:pPr>
          </w:p>
        </w:tc>
        <w:tc>
          <w:tcPr>
            <w:tcW w:w="1701" w:type="dxa"/>
          </w:tcPr>
          <w:p w14:paraId="249E2E09" w14:textId="77777777" w:rsidR="001F06AE" w:rsidRPr="00591BFC" w:rsidRDefault="001F06AE" w:rsidP="00E86771">
            <w:pPr>
              <w:spacing w:after="0" w:line="360" w:lineRule="auto"/>
              <w:rPr>
                <w:color w:val="000000"/>
              </w:rPr>
            </w:pPr>
            <w:r w:rsidRPr="00591BFC" w:rsidDel="008C3090">
              <w:rPr>
                <w:color w:val="000000"/>
              </w:rPr>
              <w:t>Dec 2004</w:t>
            </w:r>
          </w:p>
          <w:p w14:paraId="6358C84A" w14:textId="77777777" w:rsidR="001F06AE" w:rsidRPr="00591BFC" w:rsidRDefault="001F06AE" w:rsidP="00E86771">
            <w:pPr>
              <w:spacing w:after="0" w:line="360" w:lineRule="auto"/>
              <w:rPr>
                <w:color w:val="000000"/>
              </w:rPr>
            </w:pPr>
            <w:r w:rsidRPr="00591BFC">
              <w:rPr>
                <w:color w:val="000000"/>
              </w:rPr>
              <w:t>May 2006</w:t>
            </w:r>
          </w:p>
          <w:p w14:paraId="6008A17D" w14:textId="77777777" w:rsidR="001F06AE" w:rsidRPr="00591BFC" w:rsidRDefault="001F06AE" w:rsidP="00E86771">
            <w:pPr>
              <w:spacing w:after="0" w:line="360" w:lineRule="auto"/>
              <w:rPr>
                <w:color w:val="000000"/>
              </w:rPr>
            </w:pPr>
            <w:r w:rsidRPr="00591BFC">
              <w:rPr>
                <w:color w:val="000000"/>
              </w:rPr>
              <w:t>May 2008</w:t>
            </w:r>
          </w:p>
          <w:p w14:paraId="462813BF" w14:textId="77777777" w:rsidR="001F06AE" w:rsidRPr="00591BFC" w:rsidRDefault="001F06AE" w:rsidP="00E86771">
            <w:pPr>
              <w:spacing w:after="0" w:line="360" w:lineRule="auto"/>
              <w:rPr>
                <w:color w:val="000000"/>
              </w:rPr>
            </w:pPr>
            <w:r w:rsidRPr="00591BFC">
              <w:rPr>
                <w:color w:val="000000"/>
              </w:rPr>
              <w:t>Nov 2009</w:t>
            </w:r>
          </w:p>
          <w:p w14:paraId="0A8A7057" w14:textId="77777777" w:rsidR="001F06AE" w:rsidRPr="00591BFC" w:rsidRDefault="001F06AE" w:rsidP="00E86771">
            <w:pPr>
              <w:spacing w:after="0" w:line="360" w:lineRule="auto"/>
              <w:rPr>
                <w:color w:val="000000"/>
              </w:rPr>
            </w:pPr>
            <w:r w:rsidRPr="00591BFC" w:rsidDel="008C3090">
              <w:rPr>
                <w:color w:val="000000"/>
              </w:rPr>
              <w:t>Nov 2011</w:t>
            </w:r>
          </w:p>
        </w:tc>
        <w:tc>
          <w:tcPr>
            <w:tcW w:w="5732" w:type="dxa"/>
          </w:tcPr>
          <w:p w14:paraId="7C0466EF" w14:textId="77777777" w:rsidR="001F06AE" w:rsidRPr="00591BFC" w:rsidRDefault="001F06AE" w:rsidP="00E86771">
            <w:pPr>
              <w:spacing w:after="0" w:line="360" w:lineRule="auto"/>
              <w:rPr>
                <w:color w:val="000000"/>
              </w:rPr>
            </w:pPr>
            <w:r w:rsidRPr="00591BFC">
              <w:rPr>
                <w:color w:val="000000"/>
              </w:rPr>
              <w:t>FLN appointed</w:t>
            </w:r>
          </w:p>
          <w:p w14:paraId="4FEDDAE8" w14:textId="6ACB003F" w:rsidR="001F06AE" w:rsidRPr="00591BFC" w:rsidRDefault="001F06AE" w:rsidP="00E86771">
            <w:pPr>
              <w:spacing w:after="0" w:line="360" w:lineRule="auto"/>
              <w:rPr>
                <w:color w:val="000000"/>
              </w:rPr>
            </w:pPr>
            <w:r w:rsidRPr="00591BFC">
              <w:rPr>
                <w:color w:val="000000"/>
              </w:rPr>
              <w:t xml:space="preserve">FLNs and consultant lead appointed, Comprehensive trauma </w:t>
            </w:r>
            <w:r w:rsidR="00BF0C65">
              <w:rPr>
                <w:color w:val="000000"/>
              </w:rPr>
              <w:t>FLNs appo</w:t>
            </w:r>
            <w:r w:rsidR="00E916AF">
              <w:rPr>
                <w:color w:val="000000"/>
              </w:rPr>
              <w:t>i</w:t>
            </w:r>
            <w:r w:rsidR="00BF0C65">
              <w:rPr>
                <w:color w:val="000000"/>
              </w:rPr>
              <w:t>nted</w:t>
            </w:r>
            <w:r w:rsidRPr="00591BFC">
              <w:rPr>
                <w:color w:val="000000"/>
              </w:rPr>
              <w:t xml:space="preserve"> </w:t>
            </w:r>
          </w:p>
          <w:p w14:paraId="72F3C853" w14:textId="77777777" w:rsidR="001F06AE" w:rsidRPr="00591BFC" w:rsidRDefault="001F06AE" w:rsidP="00E86771">
            <w:pPr>
              <w:spacing w:after="0" w:line="360" w:lineRule="auto"/>
              <w:rPr>
                <w:color w:val="000000"/>
              </w:rPr>
            </w:pPr>
            <w:r w:rsidRPr="00591BFC">
              <w:rPr>
                <w:color w:val="000000"/>
              </w:rPr>
              <w:t>Consultant orthogeriatrician appointed</w:t>
            </w:r>
          </w:p>
          <w:p w14:paraId="0D591463" w14:textId="77777777" w:rsidR="001F06AE" w:rsidRPr="00591BFC" w:rsidRDefault="001F06AE" w:rsidP="00E86771">
            <w:pPr>
              <w:spacing w:after="0" w:line="360" w:lineRule="auto"/>
              <w:rPr>
                <w:color w:val="000000"/>
              </w:rPr>
            </w:pPr>
            <w:r w:rsidRPr="00591BFC" w:rsidDel="008C3090">
              <w:rPr>
                <w:color w:val="000000"/>
              </w:rPr>
              <w:t>New monitoring pathway and two geriatricians appointed</w:t>
            </w:r>
          </w:p>
        </w:tc>
      </w:tr>
      <w:tr w:rsidR="001F06AE" w:rsidRPr="00591BFC" w14:paraId="1D2DF542" w14:textId="77777777" w:rsidTr="001F06AE">
        <w:tc>
          <w:tcPr>
            <w:tcW w:w="1809" w:type="dxa"/>
          </w:tcPr>
          <w:p w14:paraId="361AAEDC" w14:textId="77777777" w:rsidR="001F06AE" w:rsidRPr="00591BFC" w:rsidRDefault="001F06AE" w:rsidP="00E86771">
            <w:pPr>
              <w:spacing w:after="0" w:line="360" w:lineRule="auto"/>
              <w:rPr>
                <w:b/>
              </w:rPr>
            </w:pPr>
            <w:r w:rsidRPr="00591BFC">
              <w:rPr>
                <w:b/>
              </w:rPr>
              <w:t>11</w:t>
            </w:r>
          </w:p>
        </w:tc>
        <w:tc>
          <w:tcPr>
            <w:tcW w:w="1701" w:type="dxa"/>
          </w:tcPr>
          <w:p w14:paraId="38B3066A" w14:textId="77777777" w:rsidR="001F06AE" w:rsidRPr="00591BFC" w:rsidRDefault="001F06AE" w:rsidP="00E86771">
            <w:pPr>
              <w:spacing w:after="0" w:line="360" w:lineRule="auto"/>
              <w:rPr>
                <w:color w:val="000000"/>
              </w:rPr>
            </w:pPr>
            <w:r w:rsidRPr="00591BFC">
              <w:rPr>
                <w:color w:val="000000"/>
              </w:rPr>
              <w:t>Feb 2011</w:t>
            </w:r>
          </w:p>
          <w:p w14:paraId="4709D7D7" w14:textId="77777777" w:rsidR="001F06AE" w:rsidRPr="00591BFC" w:rsidRDefault="001F06AE" w:rsidP="00E86771">
            <w:pPr>
              <w:spacing w:after="0" w:line="360" w:lineRule="auto"/>
              <w:rPr>
                <w:color w:val="000000"/>
              </w:rPr>
            </w:pPr>
            <w:r w:rsidRPr="00591BFC">
              <w:rPr>
                <w:color w:val="000000"/>
              </w:rPr>
              <w:t>Nov 2011</w:t>
            </w:r>
          </w:p>
        </w:tc>
        <w:tc>
          <w:tcPr>
            <w:tcW w:w="5732" w:type="dxa"/>
          </w:tcPr>
          <w:p w14:paraId="5FAA29F2" w14:textId="77777777" w:rsidR="001F06AE" w:rsidRPr="00591BFC" w:rsidRDefault="001F06AE" w:rsidP="00E86771">
            <w:pPr>
              <w:spacing w:after="0" w:line="360" w:lineRule="auto"/>
              <w:rPr>
                <w:color w:val="000000"/>
              </w:rPr>
            </w:pPr>
            <w:r w:rsidRPr="00591BFC">
              <w:rPr>
                <w:color w:val="000000"/>
              </w:rPr>
              <w:t>Consultant geriatrician appointed</w:t>
            </w:r>
          </w:p>
          <w:p w14:paraId="1E1816C3" w14:textId="77777777" w:rsidR="001F06AE" w:rsidRPr="00591BFC" w:rsidRDefault="001F06AE" w:rsidP="00E86771">
            <w:pPr>
              <w:spacing w:after="0" w:line="360" w:lineRule="auto"/>
              <w:rPr>
                <w:color w:val="000000"/>
              </w:rPr>
            </w:pPr>
            <w:r w:rsidRPr="00591BFC">
              <w:rPr>
                <w:color w:val="000000"/>
              </w:rPr>
              <w:t>FLN appointed</w:t>
            </w:r>
          </w:p>
        </w:tc>
      </w:tr>
    </w:tbl>
    <w:p w14:paraId="0726A438" w14:textId="77777777" w:rsidR="002A7E4D" w:rsidRPr="00591BFC" w:rsidRDefault="002A7E4D" w:rsidP="00E86771">
      <w:pPr>
        <w:spacing w:line="360" w:lineRule="auto"/>
        <w:rPr>
          <w:szCs w:val="24"/>
        </w:rPr>
      </w:pPr>
    </w:p>
    <w:p w14:paraId="156AD4CA" w14:textId="25F516FA" w:rsidR="002A7E4D" w:rsidRPr="00591BFC" w:rsidRDefault="001F06AE" w:rsidP="00E86771">
      <w:pPr>
        <w:spacing w:line="360" w:lineRule="auto"/>
      </w:pPr>
      <w:r w:rsidRPr="00591BFC">
        <w:rPr>
          <w:szCs w:val="24"/>
        </w:rPr>
        <w:t>Looking specifically at how WTE of specialist staff changed between 2003 and 2103 (</w:t>
      </w:r>
      <w:r w:rsidRPr="00591BFC">
        <w:rPr>
          <w:szCs w:val="24"/>
        </w:rPr>
        <w:fldChar w:fldCharType="begin"/>
      </w:r>
      <w:r w:rsidRPr="00591BFC">
        <w:rPr>
          <w:szCs w:val="24"/>
        </w:rPr>
        <w:instrText xml:space="preserve"> REF _Ref420052376 \h </w:instrText>
      </w:r>
      <w:r w:rsidR="00E814C1" w:rsidRPr="00591BFC">
        <w:rPr>
          <w:szCs w:val="24"/>
        </w:rPr>
        <w:instrText xml:space="preserve"> \* MERGEFORMAT </w:instrText>
      </w:r>
      <w:r w:rsidRPr="00591BFC">
        <w:rPr>
          <w:szCs w:val="24"/>
        </w:rPr>
      </w:r>
      <w:r w:rsidRPr="00591BFC">
        <w:rPr>
          <w:szCs w:val="24"/>
        </w:rPr>
        <w:fldChar w:fldCharType="separate"/>
      </w:r>
      <w:r w:rsidRPr="00591BFC">
        <w:t xml:space="preserve">Table </w:t>
      </w:r>
      <w:r w:rsidRPr="00591BFC">
        <w:rPr>
          <w:noProof/>
        </w:rPr>
        <w:t>6</w:t>
      </w:r>
      <w:r w:rsidRPr="00591BFC">
        <w:rPr>
          <w:szCs w:val="24"/>
        </w:rPr>
        <w:fldChar w:fldCharType="end"/>
      </w:r>
      <w:r w:rsidRPr="00591BFC">
        <w:rPr>
          <w:szCs w:val="24"/>
        </w:rPr>
        <w:t xml:space="preserve">), we see a general increase in the number of consultant orthogeriatricians and specialist nurses across most hospitals in the region, reflecting new guidelines for both optimal recovery after hip fracture and secondary fracture prevention introduced during this period. </w:t>
      </w:r>
      <w:r w:rsidR="002A7E4D" w:rsidRPr="00591BFC">
        <w:br w:type="page"/>
      </w:r>
    </w:p>
    <w:tbl>
      <w:tblPr>
        <w:tblpPr w:leftFromText="180" w:rightFromText="180" w:vertAnchor="page" w:horzAnchor="margin" w:tblpY="39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716"/>
        <w:gridCol w:w="758"/>
        <w:gridCol w:w="757"/>
        <w:gridCol w:w="757"/>
        <w:gridCol w:w="756"/>
        <w:gridCol w:w="756"/>
        <w:gridCol w:w="756"/>
        <w:gridCol w:w="756"/>
        <w:gridCol w:w="756"/>
        <w:gridCol w:w="756"/>
        <w:gridCol w:w="745"/>
      </w:tblGrid>
      <w:tr w:rsidR="00BF0C65" w:rsidRPr="00591BFC" w14:paraId="2C50C55A" w14:textId="77777777" w:rsidTr="00BF0C65">
        <w:tc>
          <w:tcPr>
            <w:tcW w:w="973" w:type="dxa"/>
            <w:shd w:val="clear" w:color="auto" w:fill="auto"/>
          </w:tcPr>
          <w:p w14:paraId="3E7205DA" w14:textId="77777777" w:rsidR="00BF0C65" w:rsidRPr="00591BFC" w:rsidRDefault="00BF0C65" w:rsidP="00BF0C65">
            <w:pPr>
              <w:spacing w:after="0" w:line="360" w:lineRule="auto"/>
              <w:rPr>
                <w:b/>
              </w:rPr>
            </w:pPr>
            <w:bookmarkStart w:id="98" w:name="_Ref420052376"/>
            <w:r w:rsidRPr="00591BFC">
              <w:rPr>
                <w:b/>
              </w:rPr>
              <w:t>Hospital</w:t>
            </w:r>
          </w:p>
        </w:tc>
        <w:tc>
          <w:tcPr>
            <w:tcW w:w="716" w:type="dxa"/>
            <w:shd w:val="clear" w:color="auto" w:fill="auto"/>
          </w:tcPr>
          <w:p w14:paraId="37574613" w14:textId="77777777" w:rsidR="00BF0C65" w:rsidRPr="00591BFC" w:rsidRDefault="00BF0C65" w:rsidP="00BF0C65">
            <w:pPr>
              <w:spacing w:after="0" w:line="360" w:lineRule="auto"/>
              <w:rPr>
                <w:b/>
              </w:rPr>
            </w:pPr>
          </w:p>
        </w:tc>
        <w:tc>
          <w:tcPr>
            <w:tcW w:w="758" w:type="dxa"/>
            <w:shd w:val="clear" w:color="auto" w:fill="auto"/>
          </w:tcPr>
          <w:p w14:paraId="2A28247D" w14:textId="77777777" w:rsidR="00BF0C65" w:rsidRPr="00591BFC" w:rsidRDefault="00BF0C65" w:rsidP="00BF0C65">
            <w:pPr>
              <w:spacing w:after="0" w:line="360" w:lineRule="auto"/>
              <w:rPr>
                <w:b/>
              </w:rPr>
            </w:pPr>
            <w:r w:rsidRPr="00591BFC">
              <w:rPr>
                <w:b/>
              </w:rPr>
              <w:t>2003</w:t>
            </w:r>
          </w:p>
        </w:tc>
        <w:tc>
          <w:tcPr>
            <w:tcW w:w="757" w:type="dxa"/>
            <w:shd w:val="clear" w:color="auto" w:fill="auto"/>
          </w:tcPr>
          <w:p w14:paraId="610CA43A" w14:textId="77777777" w:rsidR="00BF0C65" w:rsidRPr="00591BFC" w:rsidRDefault="00BF0C65" w:rsidP="00BF0C65">
            <w:pPr>
              <w:spacing w:after="0" w:line="360" w:lineRule="auto"/>
              <w:rPr>
                <w:b/>
              </w:rPr>
            </w:pPr>
            <w:r w:rsidRPr="00591BFC">
              <w:rPr>
                <w:b/>
              </w:rPr>
              <w:t>2004</w:t>
            </w:r>
          </w:p>
        </w:tc>
        <w:tc>
          <w:tcPr>
            <w:tcW w:w="757" w:type="dxa"/>
            <w:shd w:val="clear" w:color="auto" w:fill="auto"/>
          </w:tcPr>
          <w:p w14:paraId="3D053696" w14:textId="77777777" w:rsidR="00BF0C65" w:rsidRPr="00591BFC" w:rsidRDefault="00BF0C65" w:rsidP="00BF0C65">
            <w:pPr>
              <w:spacing w:after="0" w:line="360" w:lineRule="auto"/>
              <w:rPr>
                <w:b/>
              </w:rPr>
            </w:pPr>
            <w:r w:rsidRPr="00591BFC">
              <w:rPr>
                <w:b/>
              </w:rPr>
              <w:t>2005</w:t>
            </w:r>
          </w:p>
        </w:tc>
        <w:tc>
          <w:tcPr>
            <w:tcW w:w="756" w:type="dxa"/>
            <w:tcBorders>
              <w:bottom w:val="single" w:sz="4" w:space="0" w:color="auto"/>
            </w:tcBorders>
            <w:shd w:val="clear" w:color="auto" w:fill="auto"/>
          </w:tcPr>
          <w:p w14:paraId="0C0BF974" w14:textId="77777777" w:rsidR="00BF0C65" w:rsidRPr="00591BFC" w:rsidRDefault="00BF0C65" w:rsidP="00BF0C65">
            <w:pPr>
              <w:spacing w:after="0" w:line="360" w:lineRule="auto"/>
              <w:rPr>
                <w:b/>
              </w:rPr>
            </w:pPr>
            <w:r w:rsidRPr="00591BFC">
              <w:rPr>
                <w:b/>
              </w:rPr>
              <w:t>2006</w:t>
            </w:r>
          </w:p>
        </w:tc>
        <w:tc>
          <w:tcPr>
            <w:tcW w:w="756" w:type="dxa"/>
            <w:tcBorders>
              <w:bottom w:val="single" w:sz="4" w:space="0" w:color="auto"/>
            </w:tcBorders>
            <w:shd w:val="clear" w:color="auto" w:fill="auto"/>
          </w:tcPr>
          <w:p w14:paraId="426D8C44" w14:textId="77777777" w:rsidR="00BF0C65" w:rsidRPr="00591BFC" w:rsidRDefault="00BF0C65" w:rsidP="00BF0C65">
            <w:pPr>
              <w:spacing w:after="0" w:line="360" w:lineRule="auto"/>
              <w:rPr>
                <w:b/>
              </w:rPr>
            </w:pPr>
            <w:r w:rsidRPr="00591BFC">
              <w:rPr>
                <w:b/>
              </w:rPr>
              <w:t>2007</w:t>
            </w:r>
          </w:p>
        </w:tc>
        <w:tc>
          <w:tcPr>
            <w:tcW w:w="756" w:type="dxa"/>
            <w:tcBorders>
              <w:bottom w:val="single" w:sz="4" w:space="0" w:color="auto"/>
            </w:tcBorders>
            <w:shd w:val="clear" w:color="auto" w:fill="auto"/>
          </w:tcPr>
          <w:p w14:paraId="7FAADE39" w14:textId="77777777" w:rsidR="00BF0C65" w:rsidRPr="00591BFC" w:rsidRDefault="00BF0C65" w:rsidP="00BF0C65">
            <w:pPr>
              <w:spacing w:after="0" w:line="360" w:lineRule="auto"/>
              <w:rPr>
                <w:b/>
              </w:rPr>
            </w:pPr>
            <w:r w:rsidRPr="00591BFC">
              <w:rPr>
                <w:b/>
              </w:rPr>
              <w:t>2008</w:t>
            </w:r>
          </w:p>
        </w:tc>
        <w:tc>
          <w:tcPr>
            <w:tcW w:w="756" w:type="dxa"/>
            <w:tcBorders>
              <w:bottom w:val="single" w:sz="4" w:space="0" w:color="auto"/>
            </w:tcBorders>
            <w:shd w:val="clear" w:color="auto" w:fill="auto"/>
          </w:tcPr>
          <w:p w14:paraId="591C2286" w14:textId="77777777" w:rsidR="00BF0C65" w:rsidRPr="00591BFC" w:rsidRDefault="00BF0C65" w:rsidP="00BF0C65">
            <w:pPr>
              <w:spacing w:after="0" w:line="360" w:lineRule="auto"/>
              <w:rPr>
                <w:b/>
              </w:rPr>
            </w:pPr>
            <w:r w:rsidRPr="00591BFC">
              <w:rPr>
                <w:b/>
              </w:rPr>
              <w:t>2009</w:t>
            </w:r>
          </w:p>
        </w:tc>
        <w:tc>
          <w:tcPr>
            <w:tcW w:w="756" w:type="dxa"/>
            <w:tcBorders>
              <w:bottom w:val="single" w:sz="4" w:space="0" w:color="auto"/>
            </w:tcBorders>
            <w:shd w:val="clear" w:color="auto" w:fill="auto"/>
          </w:tcPr>
          <w:p w14:paraId="27654539" w14:textId="77777777" w:rsidR="00BF0C65" w:rsidRPr="00591BFC" w:rsidRDefault="00BF0C65" w:rsidP="00BF0C65">
            <w:pPr>
              <w:spacing w:after="0" w:line="360" w:lineRule="auto"/>
              <w:rPr>
                <w:b/>
              </w:rPr>
            </w:pPr>
            <w:r w:rsidRPr="00591BFC">
              <w:rPr>
                <w:b/>
              </w:rPr>
              <w:t>2010</w:t>
            </w:r>
          </w:p>
        </w:tc>
        <w:tc>
          <w:tcPr>
            <w:tcW w:w="756" w:type="dxa"/>
            <w:tcBorders>
              <w:bottom w:val="single" w:sz="4" w:space="0" w:color="auto"/>
            </w:tcBorders>
            <w:shd w:val="clear" w:color="auto" w:fill="auto"/>
          </w:tcPr>
          <w:p w14:paraId="731D6DAD" w14:textId="77777777" w:rsidR="00BF0C65" w:rsidRPr="00591BFC" w:rsidRDefault="00BF0C65" w:rsidP="00BF0C65">
            <w:pPr>
              <w:spacing w:after="0" w:line="360" w:lineRule="auto"/>
              <w:rPr>
                <w:b/>
              </w:rPr>
            </w:pPr>
            <w:r w:rsidRPr="00591BFC">
              <w:rPr>
                <w:b/>
              </w:rPr>
              <w:t>2011</w:t>
            </w:r>
          </w:p>
        </w:tc>
        <w:tc>
          <w:tcPr>
            <w:tcW w:w="745" w:type="dxa"/>
            <w:shd w:val="clear" w:color="auto" w:fill="auto"/>
          </w:tcPr>
          <w:p w14:paraId="4B057B1C" w14:textId="77777777" w:rsidR="00BF0C65" w:rsidRPr="00591BFC" w:rsidRDefault="00BF0C65" w:rsidP="00BF0C65">
            <w:pPr>
              <w:spacing w:after="0" w:line="360" w:lineRule="auto"/>
              <w:rPr>
                <w:b/>
              </w:rPr>
            </w:pPr>
            <w:r w:rsidRPr="00591BFC">
              <w:rPr>
                <w:b/>
              </w:rPr>
              <w:t>2012</w:t>
            </w:r>
          </w:p>
        </w:tc>
      </w:tr>
      <w:tr w:rsidR="00BF0C65" w:rsidRPr="00591BFC" w14:paraId="6B277595" w14:textId="77777777" w:rsidTr="00BF0C65">
        <w:tc>
          <w:tcPr>
            <w:tcW w:w="973" w:type="dxa"/>
            <w:shd w:val="clear" w:color="auto" w:fill="auto"/>
          </w:tcPr>
          <w:p w14:paraId="31AFE1EA" w14:textId="77777777" w:rsidR="00BF0C65" w:rsidRPr="00591BFC" w:rsidRDefault="00BF0C65" w:rsidP="00BF0C65">
            <w:pPr>
              <w:spacing w:after="0" w:line="360" w:lineRule="auto"/>
              <w:rPr>
                <w:b/>
              </w:rPr>
            </w:pPr>
            <w:r w:rsidRPr="00591BFC">
              <w:rPr>
                <w:b/>
              </w:rPr>
              <w:t>1</w:t>
            </w:r>
          </w:p>
        </w:tc>
        <w:tc>
          <w:tcPr>
            <w:tcW w:w="716" w:type="dxa"/>
            <w:shd w:val="clear" w:color="auto" w:fill="auto"/>
          </w:tcPr>
          <w:p w14:paraId="437AAE24" w14:textId="77777777" w:rsidR="00BF0C65" w:rsidRPr="00591BFC" w:rsidRDefault="00BF0C65" w:rsidP="00BF0C65">
            <w:pPr>
              <w:spacing w:after="0" w:line="360" w:lineRule="auto"/>
              <w:rPr>
                <w:b/>
              </w:rPr>
            </w:pPr>
            <w:r w:rsidRPr="00591BFC">
              <w:rPr>
                <w:b/>
              </w:rPr>
              <w:t>OG</w:t>
            </w:r>
          </w:p>
        </w:tc>
        <w:tc>
          <w:tcPr>
            <w:tcW w:w="758" w:type="dxa"/>
            <w:shd w:val="clear" w:color="auto" w:fill="auto"/>
          </w:tcPr>
          <w:p w14:paraId="547776A4" w14:textId="77777777" w:rsidR="00BF0C65" w:rsidRPr="00591BFC" w:rsidRDefault="00BF0C65" w:rsidP="00BF0C65">
            <w:pPr>
              <w:spacing w:after="0" w:line="360" w:lineRule="auto"/>
            </w:pPr>
            <w:r w:rsidRPr="00591BFC">
              <w:t>0</w:t>
            </w:r>
          </w:p>
        </w:tc>
        <w:tc>
          <w:tcPr>
            <w:tcW w:w="757" w:type="dxa"/>
            <w:shd w:val="clear" w:color="auto" w:fill="auto"/>
          </w:tcPr>
          <w:p w14:paraId="060F4A13" w14:textId="77777777" w:rsidR="00BF0C65" w:rsidRPr="00591BFC" w:rsidRDefault="00BF0C65" w:rsidP="00BF0C65">
            <w:pPr>
              <w:spacing w:after="0" w:line="360" w:lineRule="auto"/>
            </w:pPr>
            <w:r w:rsidRPr="00591BFC">
              <w:t>0</w:t>
            </w:r>
          </w:p>
        </w:tc>
        <w:tc>
          <w:tcPr>
            <w:tcW w:w="757" w:type="dxa"/>
            <w:shd w:val="clear" w:color="auto" w:fill="auto"/>
          </w:tcPr>
          <w:p w14:paraId="13995BE0" w14:textId="77777777" w:rsidR="00BF0C65" w:rsidRPr="00591BFC" w:rsidRDefault="00BF0C65" w:rsidP="00BF0C65">
            <w:pPr>
              <w:spacing w:after="0" w:line="360" w:lineRule="auto"/>
            </w:pPr>
            <w:r w:rsidRPr="00591BFC">
              <w:t>0</w:t>
            </w:r>
          </w:p>
        </w:tc>
        <w:tc>
          <w:tcPr>
            <w:tcW w:w="756" w:type="dxa"/>
            <w:shd w:val="clear" w:color="auto" w:fill="auto"/>
          </w:tcPr>
          <w:p w14:paraId="7D6650DA" w14:textId="77777777" w:rsidR="00BF0C65" w:rsidRPr="00591BFC" w:rsidRDefault="00BF0C65" w:rsidP="00BF0C65">
            <w:pPr>
              <w:spacing w:after="0" w:line="360" w:lineRule="auto"/>
            </w:pPr>
            <w:r w:rsidRPr="00591BFC">
              <w:t>0</w:t>
            </w:r>
          </w:p>
        </w:tc>
        <w:tc>
          <w:tcPr>
            <w:tcW w:w="756" w:type="dxa"/>
            <w:shd w:val="clear" w:color="auto" w:fill="auto"/>
          </w:tcPr>
          <w:p w14:paraId="5938A90A"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6DB9C98F"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0B76667E" w14:textId="77777777" w:rsidR="00BF0C65" w:rsidRPr="00591BFC" w:rsidRDefault="00BF0C65" w:rsidP="00BF0C65">
            <w:pPr>
              <w:spacing w:after="0" w:line="360" w:lineRule="auto"/>
            </w:pPr>
            <w:r w:rsidRPr="00591BFC">
              <w:t>0</w:t>
            </w:r>
          </w:p>
        </w:tc>
        <w:tc>
          <w:tcPr>
            <w:tcW w:w="756" w:type="dxa"/>
            <w:shd w:val="clear" w:color="auto" w:fill="auto"/>
          </w:tcPr>
          <w:p w14:paraId="5846A6D8" w14:textId="77777777" w:rsidR="00BF0C65" w:rsidRPr="00591BFC" w:rsidRDefault="00BF0C65" w:rsidP="00BF0C65">
            <w:pPr>
              <w:spacing w:after="0" w:line="360" w:lineRule="auto"/>
            </w:pPr>
            <w:r w:rsidRPr="00591BFC">
              <w:t>0</w:t>
            </w:r>
          </w:p>
        </w:tc>
        <w:tc>
          <w:tcPr>
            <w:tcW w:w="756" w:type="dxa"/>
            <w:shd w:val="clear" w:color="auto" w:fill="auto"/>
          </w:tcPr>
          <w:p w14:paraId="297B99B7" w14:textId="77777777" w:rsidR="00BF0C65" w:rsidRPr="00591BFC" w:rsidRDefault="00BF0C65" w:rsidP="00BF0C65">
            <w:pPr>
              <w:spacing w:after="0" w:line="360" w:lineRule="auto"/>
            </w:pPr>
            <w:r w:rsidRPr="00591BFC">
              <w:t>0</w:t>
            </w:r>
          </w:p>
        </w:tc>
        <w:tc>
          <w:tcPr>
            <w:tcW w:w="745" w:type="dxa"/>
            <w:shd w:val="clear" w:color="auto" w:fill="auto"/>
          </w:tcPr>
          <w:p w14:paraId="05C4D4E1" w14:textId="77777777" w:rsidR="00BF0C65" w:rsidRPr="00591BFC" w:rsidRDefault="00BF0C65" w:rsidP="00BF0C65">
            <w:pPr>
              <w:spacing w:after="0" w:line="360" w:lineRule="auto"/>
            </w:pPr>
            <w:r w:rsidRPr="00591BFC">
              <w:t>0</w:t>
            </w:r>
          </w:p>
        </w:tc>
      </w:tr>
      <w:tr w:rsidR="00BF0C65" w:rsidRPr="00591BFC" w14:paraId="657020C0" w14:textId="77777777" w:rsidTr="00BF0C65">
        <w:tc>
          <w:tcPr>
            <w:tcW w:w="973" w:type="dxa"/>
            <w:tcBorders>
              <w:bottom w:val="single" w:sz="4" w:space="0" w:color="auto"/>
            </w:tcBorders>
            <w:shd w:val="clear" w:color="auto" w:fill="auto"/>
          </w:tcPr>
          <w:p w14:paraId="63D6B7A8" w14:textId="77777777" w:rsidR="00BF0C65" w:rsidRPr="00591BFC" w:rsidRDefault="00BF0C65" w:rsidP="00BF0C65">
            <w:pPr>
              <w:spacing w:after="0" w:line="360" w:lineRule="auto"/>
              <w:rPr>
                <w:b/>
              </w:rPr>
            </w:pPr>
          </w:p>
        </w:tc>
        <w:tc>
          <w:tcPr>
            <w:tcW w:w="716" w:type="dxa"/>
            <w:tcBorders>
              <w:bottom w:val="single" w:sz="4" w:space="0" w:color="auto"/>
            </w:tcBorders>
            <w:shd w:val="clear" w:color="auto" w:fill="auto"/>
          </w:tcPr>
          <w:p w14:paraId="3F50A2D7" w14:textId="77777777" w:rsidR="00BF0C65" w:rsidRPr="00591BFC" w:rsidRDefault="00BF0C65" w:rsidP="00BF0C65">
            <w:pPr>
              <w:spacing w:after="0" w:line="360" w:lineRule="auto"/>
              <w:rPr>
                <w:b/>
                <w:vertAlign w:val="superscript"/>
              </w:rPr>
            </w:pPr>
            <w:r w:rsidRPr="00591BFC">
              <w:rPr>
                <w:b/>
              </w:rPr>
              <w:t>FLN</w:t>
            </w:r>
          </w:p>
        </w:tc>
        <w:tc>
          <w:tcPr>
            <w:tcW w:w="758" w:type="dxa"/>
            <w:tcBorders>
              <w:bottom w:val="single" w:sz="4" w:space="0" w:color="auto"/>
            </w:tcBorders>
            <w:shd w:val="clear" w:color="auto" w:fill="auto"/>
          </w:tcPr>
          <w:p w14:paraId="1383E0C9" w14:textId="77777777" w:rsidR="00BF0C65" w:rsidRPr="00591BFC" w:rsidRDefault="00BF0C65" w:rsidP="00BF0C65">
            <w:pPr>
              <w:spacing w:after="0" w:line="360" w:lineRule="auto"/>
            </w:pPr>
            <w:r w:rsidRPr="00591BFC">
              <w:t>0</w:t>
            </w:r>
          </w:p>
        </w:tc>
        <w:tc>
          <w:tcPr>
            <w:tcW w:w="757" w:type="dxa"/>
            <w:tcBorders>
              <w:bottom w:val="single" w:sz="4" w:space="0" w:color="auto"/>
            </w:tcBorders>
            <w:shd w:val="clear" w:color="auto" w:fill="auto"/>
          </w:tcPr>
          <w:p w14:paraId="455327DB" w14:textId="77777777" w:rsidR="00BF0C65" w:rsidRPr="00591BFC" w:rsidRDefault="00BF0C65" w:rsidP="00BF0C65">
            <w:pPr>
              <w:spacing w:after="0" w:line="360" w:lineRule="auto"/>
            </w:pPr>
            <w:r w:rsidRPr="00591BFC">
              <w:t>0</w:t>
            </w:r>
          </w:p>
        </w:tc>
        <w:tc>
          <w:tcPr>
            <w:tcW w:w="757" w:type="dxa"/>
            <w:tcBorders>
              <w:bottom w:val="single" w:sz="4" w:space="0" w:color="auto"/>
            </w:tcBorders>
            <w:shd w:val="clear" w:color="auto" w:fill="auto"/>
          </w:tcPr>
          <w:p w14:paraId="222CD62D"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2D21391E"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6E98F349"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7CBA2AFB"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0D0FDBF1"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347570A9"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186FE182" w14:textId="77777777" w:rsidR="00BF0C65" w:rsidRPr="00591BFC" w:rsidRDefault="00BF0C65" w:rsidP="00BF0C65">
            <w:pPr>
              <w:spacing w:after="0" w:line="360" w:lineRule="auto"/>
            </w:pPr>
            <w:r w:rsidRPr="00591BFC">
              <w:t>0</w:t>
            </w:r>
          </w:p>
        </w:tc>
        <w:tc>
          <w:tcPr>
            <w:tcW w:w="745" w:type="dxa"/>
            <w:tcBorders>
              <w:bottom w:val="single" w:sz="4" w:space="0" w:color="auto"/>
            </w:tcBorders>
            <w:shd w:val="clear" w:color="auto" w:fill="auto"/>
          </w:tcPr>
          <w:p w14:paraId="172AF11A" w14:textId="77777777" w:rsidR="00BF0C65" w:rsidRPr="00591BFC" w:rsidRDefault="00BF0C65" w:rsidP="00BF0C65">
            <w:pPr>
              <w:spacing w:after="0" w:line="360" w:lineRule="auto"/>
            </w:pPr>
            <w:r w:rsidRPr="00591BFC">
              <w:t>4.5</w:t>
            </w:r>
          </w:p>
        </w:tc>
      </w:tr>
      <w:tr w:rsidR="00BF0C65" w:rsidRPr="00591BFC" w14:paraId="352F8505" w14:textId="77777777" w:rsidTr="00BF0C65">
        <w:trPr>
          <w:trHeight w:val="148"/>
        </w:trPr>
        <w:tc>
          <w:tcPr>
            <w:tcW w:w="973" w:type="dxa"/>
            <w:shd w:val="clear" w:color="auto" w:fill="A6A6A6"/>
          </w:tcPr>
          <w:p w14:paraId="19A54955" w14:textId="77777777" w:rsidR="00BF0C65" w:rsidRPr="00591BFC" w:rsidRDefault="00BF0C65" w:rsidP="00BF0C65">
            <w:pPr>
              <w:spacing w:after="0" w:line="360" w:lineRule="auto"/>
              <w:rPr>
                <w:b/>
                <w:sz w:val="10"/>
              </w:rPr>
            </w:pPr>
          </w:p>
        </w:tc>
        <w:tc>
          <w:tcPr>
            <w:tcW w:w="716" w:type="dxa"/>
            <w:shd w:val="clear" w:color="auto" w:fill="A6A6A6"/>
          </w:tcPr>
          <w:p w14:paraId="74FB04B6" w14:textId="77777777" w:rsidR="00BF0C65" w:rsidRPr="00591BFC" w:rsidRDefault="00BF0C65" w:rsidP="00BF0C65">
            <w:pPr>
              <w:spacing w:after="0" w:line="360" w:lineRule="auto"/>
              <w:rPr>
                <w:b/>
                <w:sz w:val="10"/>
              </w:rPr>
            </w:pPr>
          </w:p>
        </w:tc>
        <w:tc>
          <w:tcPr>
            <w:tcW w:w="758" w:type="dxa"/>
            <w:shd w:val="clear" w:color="auto" w:fill="A6A6A6"/>
          </w:tcPr>
          <w:p w14:paraId="5CF0BB38" w14:textId="77777777" w:rsidR="00BF0C65" w:rsidRPr="00591BFC" w:rsidRDefault="00BF0C65" w:rsidP="00BF0C65">
            <w:pPr>
              <w:spacing w:after="0" w:line="360" w:lineRule="auto"/>
              <w:rPr>
                <w:sz w:val="10"/>
              </w:rPr>
            </w:pPr>
          </w:p>
        </w:tc>
        <w:tc>
          <w:tcPr>
            <w:tcW w:w="757" w:type="dxa"/>
            <w:shd w:val="clear" w:color="auto" w:fill="A6A6A6"/>
          </w:tcPr>
          <w:p w14:paraId="1A4B2BFD" w14:textId="77777777" w:rsidR="00BF0C65" w:rsidRPr="00591BFC" w:rsidRDefault="00BF0C65" w:rsidP="00BF0C65">
            <w:pPr>
              <w:spacing w:after="0" w:line="360" w:lineRule="auto"/>
              <w:rPr>
                <w:sz w:val="10"/>
              </w:rPr>
            </w:pPr>
          </w:p>
        </w:tc>
        <w:tc>
          <w:tcPr>
            <w:tcW w:w="757" w:type="dxa"/>
            <w:tcBorders>
              <w:bottom w:val="single" w:sz="4" w:space="0" w:color="auto"/>
            </w:tcBorders>
            <w:shd w:val="clear" w:color="auto" w:fill="A6A6A6"/>
          </w:tcPr>
          <w:p w14:paraId="50E337D1"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37E11B87"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51E9D246"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1234A52B" w14:textId="77777777" w:rsidR="00BF0C65" w:rsidRPr="00591BFC" w:rsidRDefault="00BF0C65" w:rsidP="00BF0C65">
            <w:pPr>
              <w:spacing w:after="0" w:line="360" w:lineRule="auto"/>
              <w:rPr>
                <w:sz w:val="10"/>
              </w:rPr>
            </w:pPr>
          </w:p>
        </w:tc>
        <w:tc>
          <w:tcPr>
            <w:tcW w:w="756" w:type="dxa"/>
            <w:shd w:val="clear" w:color="auto" w:fill="A6A6A6"/>
          </w:tcPr>
          <w:p w14:paraId="08B11F04" w14:textId="77777777" w:rsidR="00BF0C65" w:rsidRPr="00591BFC" w:rsidRDefault="00BF0C65" w:rsidP="00BF0C65">
            <w:pPr>
              <w:spacing w:after="0" w:line="360" w:lineRule="auto"/>
              <w:rPr>
                <w:b/>
                <w:sz w:val="10"/>
              </w:rPr>
            </w:pPr>
          </w:p>
        </w:tc>
        <w:tc>
          <w:tcPr>
            <w:tcW w:w="756" w:type="dxa"/>
            <w:shd w:val="clear" w:color="auto" w:fill="A6A6A6"/>
          </w:tcPr>
          <w:p w14:paraId="0DFF9F5E" w14:textId="77777777" w:rsidR="00BF0C65" w:rsidRPr="00591BFC" w:rsidRDefault="00BF0C65" w:rsidP="00BF0C65">
            <w:pPr>
              <w:spacing w:after="0" w:line="360" w:lineRule="auto"/>
              <w:rPr>
                <w:sz w:val="10"/>
              </w:rPr>
            </w:pPr>
          </w:p>
        </w:tc>
        <w:tc>
          <w:tcPr>
            <w:tcW w:w="756" w:type="dxa"/>
            <w:shd w:val="clear" w:color="auto" w:fill="A6A6A6"/>
          </w:tcPr>
          <w:p w14:paraId="2291947E" w14:textId="77777777" w:rsidR="00BF0C65" w:rsidRPr="00591BFC" w:rsidRDefault="00BF0C65" w:rsidP="00BF0C65">
            <w:pPr>
              <w:spacing w:after="0" w:line="360" w:lineRule="auto"/>
              <w:rPr>
                <w:sz w:val="10"/>
              </w:rPr>
            </w:pPr>
          </w:p>
        </w:tc>
        <w:tc>
          <w:tcPr>
            <w:tcW w:w="745" w:type="dxa"/>
            <w:shd w:val="clear" w:color="auto" w:fill="A6A6A6"/>
          </w:tcPr>
          <w:p w14:paraId="45FA7A38" w14:textId="77777777" w:rsidR="00BF0C65" w:rsidRPr="00591BFC" w:rsidRDefault="00BF0C65" w:rsidP="00BF0C65">
            <w:pPr>
              <w:spacing w:after="0" w:line="360" w:lineRule="auto"/>
              <w:rPr>
                <w:sz w:val="10"/>
              </w:rPr>
            </w:pPr>
          </w:p>
        </w:tc>
      </w:tr>
      <w:tr w:rsidR="00BF0C65" w:rsidRPr="00591BFC" w14:paraId="01A48A3E" w14:textId="77777777" w:rsidTr="00BF0C65">
        <w:tc>
          <w:tcPr>
            <w:tcW w:w="973" w:type="dxa"/>
            <w:shd w:val="clear" w:color="auto" w:fill="auto"/>
          </w:tcPr>
          <w:p w14:paraId="7B0EE003" w14:textId="77777777" w:rsidR="00BF0C65" w:rsidRPr="00591BFC" w:rsidRDefault="00BF0C65" w:rsidP="00BF0C65">
            <w:pPr>
              <w:spacing w:after="0" w:line="360" w:lineRule="auto"/>
              <w:rPr>
                <w:b/>
              </w:rPr>
            </w:pPr>
            <w:r w:rsidRPr="00591BFC">
              <w:rPr>
                <w:b/>
              </w:rPr>
              <w:t>2</w:t>
            </w:r>
          </w:p>
        </w:tc>
        <w:tc>
          <w:tcPr>
            <w:tcW w:w="716" w:type="dxa"/>
            <w:shd w:val="clear" w:color="auto" w:fill="auto"/>
          </w:tcPr>
          <w:p w14:paraId="04B4D312" w14:textId="77777777" w:rsidR="00BF0C65" w:rsidRPr="00591BFC" w:rsidRDefault="00BF0C65" w:rsidP="00BF0C65">
            <w:pPr>
              <w:spacing w:after="0" w:line="360" w:lineRule="auto"/>
              <w:rPr>
                <w:b/>
              </w:rPr>
            </w:pPr>
            <w:r w:rsidRPr="00591BFC">
              <w:rPr>
                <w:b/>
              </w:rPr>
              <w:t>OG</w:t>
            </w:r>
          </w:p>
        </w:tc>
        <w:tc>
          <w:tcPr>
            <w:tcW w:w="758" w:type="dxa"/>
            <w:shd w:val="clear" w:color="auto" w:fill="auto"/>
          </w:tcPr>
          <w:p w14:paraId="2812164F" w14:textId="77777777" w:rsidR="00BF0C65" w:rsidRPr="00591BFC" w:rsidRDefault="00BF0C65" w:rsidP="00BF0C65">
            <w:pPr>
              <w:spacing w:after="0" w:line="360" w:lineRule="auto"/>
            </w:pPr>
            <w:r w:rsidRPr="00591BFC">
              <w:t>0</w:t>
            </w:r>
          </w:p>
        </w:tc>
        <w:tc>
          <w:tcPr>
            <w:tcW w:w="757" w:type="dxa"/>
            <w:shd w:val="clear" w:color="auto" w:fill="auto"/>
          </w:tcPr>
          <w:p w14:paraId="58EE9416" w14:textId="77777777" w:rsidR="00BF0C65" w:rsidRPr="00591BFC" w:rsidRDefault="00BF0C65" w:rsidP="00BF0C65">
            <w:pPr>
              <w:spacing w:after="0" w:line="360" w:lineRule="auto"/>
            </w:pPr>
            <w:r w:rsidRPr="00591BFC">
              <w:t>0</w:t>
            </w:r>
          </w:p>
        </w:tc>
        <w:tc>
          <w:tcPr>
            <w:tcW w:w="757" w:type="dxa"/>
            <w:shd w:val="clear" w:color="auto" w:fill="auto"/>
          </w:tcPr>
          <w:p w14:paraId="53B40375" w14:textId="77777777" w:rsidR="00BF0C65" w:rsidRPr="00591BFC" w:rsidRDefault="00BF0C65" w:rsidP="00BF0C65">
            <w:pPr>
              <w:spacing w:after="0" w:line="360" w:lineRule="auto"/>
            </w:pPr>
            <w:r w:rsidRPr="00591BFC">
              <w:t>0.6</w:t>
            </w:r>
          </w:p>
        </w:tc>
        <w:tc>
          <w:tcPr>
            <w:tcW w:w="756" w:type="dxa"/>
            <w:shd w:val="clear" w:color="auto" w:fill="auto"/>
          </w:tcPr>
          <w:p w14:paraId="3BF575D2" w14:textId="77777777" w:rsidR="00BF0C65" w:rsidRPr="00591BFC" w:rsidRDefault="00BF0C65" w:rsidP="00BF0C65">
            <w:pPr>
              <w:spacing w:after="0" w:line="360" w:lineRule="auto"/>
            </w:pPr>
            <w:r w:rsidRPr="00591BFC">
              <w:t>0.6</w:t>
            </w:r>
          </w:p>
        </w:tc>
        <w:tc>
          <w:tcPr>
            <w:tcW w:w="756" w:type="dxa"/>
            <w:shd w:val="clear" w:color="auto" w:fill="auto"/>
          </w:tcPr>
          <w:p w14:paraId="52B5DCB8" w14:textId="77777777" w:rsidR="00BF0C65" w:rsidRPr="00591BFC" w:rsidRDefault="00BF0C65" w:rsidP="00BF0C65">
            <w:pPr>
              <w:spacing w:after="0" w:line="360" w:lineRule="auto"/>
            </w:pPr>
            <w:r w:rsidRPr="00591BFC">
              <w:t>0.6</w:t>
            </w:r>
          </w:p>
        </w:tc>
        <w:tc>
          <w:tcPr>
            <w:tcW w:w="756" w:type="dxa"/>
            <w:shd w:val="clear" w:color="auto" w:fill="auto"/>
          </w:tcPr>
          <w:p w14:paraId="25E15A1C" w14:textId="77777777" w:rsidR="00BF0C65" w:rsidRPr="00591BFC" w:rsidRDefault="00BF0C65" w:rsidP="00BF0C65">
            <w:pPr>
              <w:spacing w:after="0" w:line="360" w:lineRule="auto"/>
            </w:pPr>
            <w:r w:rsidRPr="00591BFC">
              <w:t>2</w:t>
            </w:r>
          </w:p>
        </w:tc>
        <w:tc>
          <w:tcPr>
            <w:tcW w:w="756" w:type="dxa"/>
            <w:shd w:val="clear" w:color="auto" w:fill="auto"/>
          </w:tcPr>
          <w:p w14:paraId="514AA0CA" w14:textId="77777777" w:rsidR="00BF0C65" w:rsidRPr="00591BFC" w:rsidRDefault="00BF0C65" w:rsidP="00BF0C65">
            <w:pPr>
              <w:spacing w:after="0" w:line="360" w:lineRule="auto"/>
            </w:pPr>
            <w:r w:rsidRPr="00591BFC">
              <w:t>2</w:t>
            </w:r>
          </w:p>
        </w:tc>
        <w:tc>
          <w:tcPr>
            <w:tcW w:w="756" w:type="dxa"/>
            <w:shd w:val="clear" w:color="auto" w:fill="auto"/>
          </w:tcPr>
          <w:p w14:paraId="37073D33" w14:textId="77777777" w:rsidR="00BF0C65" w:rsidRPr="00591BFC" w:rsidRDefault="00BF0C65" w:rsidP="00BF0C65">
            <w:pPr>
              <w:spacing w:after="0" w:line="360" w:lineRule="auto"/>
            </w:pPr>
            <w:r w:rsidRPr="00591BFC">
              <w:t>2</w:t>
            </w:r>
          </w:p>
        </w:tc>
        <w:tc>
          <w:tcPr>
            <w:tcW w:w="756" w:type="dxa"/>
            <w:shd w:val="clear" w:color="auto" w:fill="auto"/>
          </w:tcPr>
          <w:p w14:paraId="2BC3A2DF" w14:textId="77777777" w:rsidR="00BF0C65" w:rsidRPr="00591BFC" w:rsidRDefault="00BF0C65" w:rsidP="00BF0C65">
            <w:pPr>
              <w:spacing w:after="0" w:line="360" w:lineRule="auto"/>
            </w:pPr>
            <w:r w:rsidRPr="00591BFC">
              <w:t>2</w:t>
            </w:r>
          </w:p>
        </w:tc>
        <w:tc>
          <w:tcPr>
            <w:tcW w:w="745" w:type="dxa"/>
            <w:shd w:val="clear" w:color="auto" w:fill="auto"/>
          </w:tcPr>
          <w:p w14:paraId="0B4C1A95" w14:textId="77777777" w:rsidR="00BF0C65" w:rsidRPr="00591BFC" w:rsidRDefault="00BF0C65" w:rsidP="00BF0C65">
            <w:pPr>
              <w:spacing w:after="0" w:line="360" w:lineRule="auto"/>
            </w:pPr>
            <w:r w:rsidRPr="00591BFC">
              <w:t>2</w:t>
            </w:r>
          </w:p>
        </w:tc>
      </w:tr>
      <w:tr w:rsidR="00BF0C65" w:rsidRPr="00591BFC" w14:paraId="67F02468" w14:textId="77777777" w:rsidTr="00BF0C65">
        <w:tc>
          <w:tcPr>
            <w:tcW w:w="973" w:type="dxa"/>
            <w:tcBorders>
              <w:bottom w:val="single" w:sz="4" w:space="0" w:color="auto"/>
            </w:tcBorders>
            <w:shd w:val="clear" w:color="auto" w:fill="auto"/>
          </w:tcPr>
          <w:p w14:paraId="20582446" w14:textId="77777777" w:rsidR="00BF0C65" w:rsidRPr="00591BFC" w:rsidRDefault="00BF0C65" w:rsidP="00BF0C65">
            <w:pPr>
              <w:spacing w:after="0" w:line="360" w:lineRule="auto"/>
              <w:rPr>
                <w:b/>
              </w:rPr>
            </w:pPr>
          </w:p>
        </w:tc>
        <w:tc>
          <w:tcPr>
            <w:tcW w:w="716" w:type="dxa"/>
            <w:tcBorders>
              <w:bottom w:val="single" w:sz="4" w:space="0" w:color="auto"/>
            </w:tcBorders>
            <w:shd w:val="clear" w:color="auto" w:fill="auto"/>
          </w:tcPr>
          <w:p w14:paraId="70744A4C" w14:textId="77777777" w:rsidR="00BF0C65" w:rsidRPr="00591BFC" w:rsidRDefault="00BF0C65" w:rsidP="00BF0C65">
            <w:pPr>
              <w:spacing w:after="0" w:line="360" w:lineRule="auto"/>
              <w:rPr>
                <w:b/>
                <w:vertAlign w:val="superscript"/>
              </w:rPr>
            </w:pPr>
            <w:r w:rsidRPr="00591BFC">
              <w:rPr>
                <w:b/>
              </w:rPr>
              <w:t>FLN</w:t>
            </w:r>
          </w:p>
        </w:tc>
        <w:tc>
          <w:tcPr>
            <w:tcW w:w="758" w:type="dxa"/>
            <w:tcBorders>
              <w:bottom w:val="single" w:sz="4" w:space="0" w:color="auto"/>
            </w:tcBorders>
            <w:shd w:val="clear" w:color="auto" w:fill="auto"/>
          </w:tcPr>
          <w:p w14:paraId="38534C25" w14:textId="77777777" w:rsidR="00BF0C65" w:rsidRPr="00591BFC" w:rsidRDefault="00BF0C65" w:rsidP="00BF0C65">
            <w:pPr>
              <w:spacing w:after="0" w:line="360" w:lineRule="auto"/>
            </w:pPr>
            <w:r w:rsidRPr="00591BFC">
              <w:t>0</w:t>
            </w:r>
          </w:p>
        </w:tc>
        <w:tc>
          <w:tcPr>
            <w:tcW w:w="757" w:type="dxa"/>
            <w:tcBorders>
              <w:bottom w:val="single" w:sz="4" w:space="0" w:color="auto"/>
            </w:tcBorders>
            <w:shd w:val="clear" w:color="auto" w:fill="auto"/>
          </w:tcPr>
          <w:p w14:paraId="6E9CF357" w14:textId="77777777" w:rsidR="00BF0C65" w:rsidRPr="00591BFC" w:rsidRDefault="00BF0C65" w:rsidP="00BF0C65">
            <w:pPr>
              <w:spacing w:after="0" w:line="360" w:lineRule="auto"/>
            </w:pPr>
            <w:r w:rsidRPr="00591BFC">
              <w:t>0</w:t>
            </w:r>
          </w:p>
        </w:tc>
        <w:tc>
          <w:tcPr>
            <w:tcW w:w="757" w:type="dxa"/>
            <w:tcBorders>
              <w:bottom w:val="single" w:sz="4" w:space="0" w:color="auto"/>
            </w:tcBorders>
            <w:shd w:val="clear" w:color="auto" w:fill="auto"/>
          </w:tcPr>
          <w:p w14:paraId="163050E3"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569BC6BE"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31243C4B"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5629D7D8"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1E4A6811"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27870B8D"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02D2DC9E" w14:textId="77777777" w:rsidR="00BF0C65" w:rsidRPr="00591BFC" w:rsidRDefault="00BF0C65" w:rsidP="00BF0C65">
            <w:pPr>
              <w:spacing w:after="0" w:line="360" w:lineRule="auto"/>
            </w:pPr>
            <w:r w:rsidRPr="00591BFC">
              <w:t>0</w:t>
            </w:r>
          </w:p>
        </w:tc>
        <w:tc>
          <w:tcPr>
            <w:tcW w:w="745" w:type="dxa"/>
            <w:tcBorders>
              <w:bottom w:val="single" w:sz="4" w:space="0" w:color="auto"/>
            </w:tcBorders>
            <w:shd w:val="clear" w:color="auto" w:fill="auto"/>
          </w:tcPr>
          <w:p w14:paraId="6E665C4F" w14:textId="77777777" w:rsidR="00BF0C65" w:rsidRPr="00591BFC" w:rsidRDefault="00BF0C65" w:rsidP="00BF0C65">
            <w:pPr>
              <w:spacing w:after="0" w:line="360" w:lineRule="auto"/>
            </w:pPr>
            <w:r w:rsidRPr="00591BFC">
              <w:t>0</w:t>
            </w:r>
          </w:p>
        </w:tc>
      </w:tr>
      <w:tr w:rsidR="00BF0C65" w:rsidRPr="00591BFC" w14:paraId="735DBA72" w14:textId="77777777" w:rsidTr="00BF0C65">
        <w:trPr>
          <w:trHeight w:val="132"/>
        </w:trPr>
        <w:tc>
          <w:tcPr>
            <w:tcW w:w="973" w:type="dxa"/>
            <w:shd w:val="clear" w:color="auto" w:fill="BFBFBF"/>
          </w:tcPr>
          <w:p w14:paraId="02B1954F" w14:textId="77777777" w:rsidR="00BF0C65" w:rsidRPr="00591BFC" w:rsidRDefault="00BF0C65" w:rsidP="00BF0C65">
            <w:pPr>
              <w:spacing w:after="0" w:line="360" w:lineRule="auto"/>
              <w:rPr>
                <w:b/>
                <w:sz w:val="12"/>
              </w:rPr>
            </w:pPr>
          </w:p>
        </w:tc>
        <w:tc>
          <w:tcPr>
            <w:tcW w:w="716" w:type="dxa"/>
            <w:shd w:val="clear" w:color="auto" w:fill="BFBFBF"/>
          </w:tcPr>
          <w:p w14:paraId="71B99DE9" w14:textId="77777777" w:rsidR="00BF0C65" w:rsidRPr="00591BFC" w:rsidRDefault="00BF0C65" w:rsidP="00BF0C65">
            <w:pPr>
              <w:spacing w:after="0" w:line="360" w:lineRule="auto"/>
              <w:rPr>
                <w:b/>
                <w:sz w:val="12"/>
              </w:rPr>
            </w:pPr>
          </w:p>
        </w:tc>
        <w:tc>
          <w:tcPr>
            <w:tcW w:w="758" w:type="dxa"/>
            <w:shd w:val="clear" w:color="auto" w:fill="BFBFBF"/>
          </w:tcPr>
          <w:p w14:paraId="78EBE5E9" w14:textId="77777777" w:rsidR="00BF0C65" w:rsidRPr="00591BFC" w:rsidRDefault="00BF0C65" w:rsidP="00BF0C65">
            <w:pPr>
              <w:spacing w:after="0" w:line="360" w:lineRule="auto"/>
              <w:rPr>
                <w:sz w:val="12"/>
              </w:rPr>
            </w:pPr>
          </w:p>
        </w:tc>
        <w:tc>
          <w:tcPr>
            <w:tcW w:w="757" w:type="dxa"/>
            <w:tcBorders>
              <w:bottom w:val="single" w:sz="4" w:space="0" w:color="auto"/>
            </w:tcBorders>
            <w:shd w:val="clear" w:color="auto" w:fill="BFBFBF"/>
          </w:tcPr>
          <w:p w14:paraId="0CE00C91" w14:textId="77777777" w:rsidR="00BF0C65" w:rsidRPr="00591BFC" w:rsidRDefault="00BF0C65" w:rsidP="00BF0C65">
            <w:pPr>
              <w:spacing w:after="0" w:line="360" w:lineRule="auto"/>
              <w:rPr>
                <w:sz w:val="12"/>
              </w:rPr>
            </w:pPr>
          </w:p>
        </w:tc>
        <w:tc>
          <w:tcPr>
            <w:tcW w:w="757" w:type="dxa"/>
            <w:tcBorders>
              <w:bottom w:val="single" w:sz="4" w:space="0" w:color="auto"/>
            </w:tcBorders>
            <w:shd w:val="clear" w:color="auto" w:fill="BFBFBF"/>
          </w:tcPr>
          <w:p w14:paraId="0A4EBFF7" w14:textId="77777777" w:rsidR="00BF0C65" w:rsidRPr="00591BFC" w:rsidRDefault="00BF0C65" w:rsidP="00BF0C65">
            <w:pPr>
              <w:spacing w:after="0" w:line="360" w:lineRule="auto"/>
              <w:rPr>
                <w:b/>
                <w:sz w:val="12"/>
              </w:rPr>
            </w:pPr>
          </w:p>
        </w:tc>
        <w:tc>
          <w:tcPr>
            <w:tcW w:w="756" w:type="dxa"/>
            <w:tcBorders>
              <w:bottom w:val="single" w:sz="4" w:space="0" w:color="auto"/>
            </w:tcBorders>
            <w:shd w:val="clear" w:color="auto" w:fill="BFBFBF"/>
          </w:tcPr>
          <w:p w14:paraId="0A271D6F" w14:textId="77777777" w:rsidR="00BF0C65" w:rsidRPr="00591BFC" w:rsidRDefault="00BF0C65" w:rsidP="00BF0C65">
            <w:pPr>
              <w:spacing w:after="0" w:line="360" w:lineRule="auto"/>
              <w:rPr>
                <w:sz w:val="12"/>
              </w:rPr>
            </w:pPr>
          </w:p>
        </w:tc>
        <w:tc>
          <w:tcPr>
            <w:tcW w:w="756" w:type="dxa"/>
            <w:tcBorders>
              <w:bottom w:val="single" w:sz="4" w:space="0" w:color="auto"/>
            </w:tcBorders>
            <w:shd w:val="clear" w:color="auto" w:fill="BFBFBF"/>
          </w:tcPr>
          <w:p w14:paraId="19A0CF5E" w14:textId="77777777" w:rsidR="00BF0C65" w:rsidRPr="00591BFC" w:rsidRDefault="00BF0C65" w:rsidP="00BF0C65">
            <w:pPr>
              <w:spacing w:after="0" w:line="360" w:lineRule="auto"/>
              <w:rPr>
                <w:sz w:val="12"/>
              </w:rPr>
            </w:pPr>
          </w:p>
        </w:tc>
        <w:tc>
          <w:tcPr>
            <w:tcW w:w="756" w:type="dxa"/>
            <w:tcBorders>
              <w:bottom w:val="single" w:sz="4" w:space="0" w:color="auto"/>
            </w:tcBorders>
            <w:shd w:val="clear" w:color="auto" w:fill="BFBFBF"/>
          </w:tcPr>
          <w:p w14:paraId="49400AC9" w14:textId="77777777" w:rsidR="00BF0C65" w:rsidRPr="00591BFC" w:rsidRDefault="00BF0C65" w:rsidP="00BF0C65">
            <w:pPr>
              <w:spacing w:after="0" w:line="360" w:lineRule="auto"/>
              <w:rPr>
                <w:b/>
                <w:sz w:val="12"/>
              </w:rPr>
            </w:pPr>
          </w:p>
        </w:tc>
        <w:tc>
          <w:tcPr>
            <w:tcW w:w="756" w:type="dxa"/>
            <w:tcBorders>
              <w:bottom w:val="single" w:sz="4" w:space="0" w:color="auto"/>
            </w:tcBorders>
            <w:shd w:val="clear" w:color="auto" w:fill="BFBFBF"/>
          </w:tcPr>
          <w:p w14:paraId="38EA9F5B" w14:textId="77777777" w:rsidR="00BF0C65" w:rsidRPr="00591BFC" w:rsidRDefault="00BF0C65" w:rsidP="00BF0C65">
            <w:pPr>
              <w:spacing w:after="0" w:line="360" w:lineRule="auto"/>
              <w:rPr>
                <w:sz w:val="12"/>
              </w:rPr>
            </w:pPr>
          </w:p>
        </w:tc>
        <w:tc>
          <w:tcPr>
            <w:tcW w:w="756" w:type="dxa"/>
            <w:shd w:val="clear" w:color="auto" w:fill="BFBFBF"/>
          </w:tcPr>
          <w:p w14:paraId="1BF033D6" w14:textId="77777777" w:rsidR="00BF0C65" w:rsidRPr="00591BFC" w:rsidRDefault="00BF0C65" w:rsidP="00BF0C65">
            <w:pPr>
              <w:spacing w:after="0" w:line="360" w:lineRule="auto"/>
              <w:rPr>
                <w:sz w:val="12"/>
              </w:rPr>
            </w:pPr>
          </w:p>
        </w:tc>
        <w:tc>
          <w:tcPr>
            <w:tcW w:w="756" w:type="dxa"/>
            <w:shd w:val="clear" w:color="auto" w:fill="BFBFBF"/>
          </w:tcPr>
          <w:p w14:paraId="6901610C" w14:textId="77777777" w:rsidR="00BF0C65" w:rsidRPr="00591BFC" w:rsidRDefault="00BF0C65" w:rsidP="00BF0C65">
            <w:pPr>
              <w:spacing w:after="0" w:line="360" w:lineRule="auto"/>
              <w:rPr>
                <w:sz w:val="12"/>
              </w:rPr>
            </w:pPr>
          </w:p>
        </w:tc>
        <w:tc>
          <w:tcPr>
            <w:tcW w:w="745" w:type="dxa"/>
            <w:shd w:val="clear" w:color="auto" w:fill="BFBFBF"/>
          </w:tcPr>
          <w:p w14:paraId="74F4EE0F" w14:textId="77777777" w:rsidR="00BF0C65" w:rsidRPr="00591BFC" w:rsidRDefault="00BF0C65" w:rsidP="00BF0C65">
            <w:pPr>
              <w:spacing w:after="0" w:line="360" w:lineRule="auto"/>
              <w:rPr>
                <w:sz w:val="12"/>
              </w:rPr>
            </w:pPr>
          </w:p>
        </w:tc>
      </w:tr>
      <w:tr w:rsidR="00BF0C65" w:rsidRPr="00591BFC" w14:paraId="6AC50C84" w14:textId="77777777" w:rsidTr="00BF0C65">
        <w:tc>
          <w:tcPr>
            <w:tcW w:w="973" w:type="dxa"/>
            <w:shd w:val="clear" w:color="auto" w:fill="auto"/>
          </w:tcPr>
          <w:p w14:paraId="6DC69123" w14:textId="77777777" w:rsidR="00BF0C65" w:rsidRPr="00591BFC" w:rsidRDefault="00BF0C65" w:rsidP="00BF0C65">
            <w:pPr>
              <w:spacing w:after="0" w:line="360" w:lineRule="auto"/>
              <w:rPr>
                <w:b/>
              </w:rPr>
            </w:pPr>
            <w:r w:rsidRPr="00591BFC">
              <w:rPr>
                <w:b/>
              </w:rPr>
              <w:t>3</w:t>
            </w:r>
          </w:p>
        </w:tc>
        <w:tc>
          <w:tcPr>
            <w:tcW w:w="716" w:type="dxa"/>
            <w:shd w:val="clear" w:color="auto" w:fill="auto"/>
          </w:tcPr>
          <w:p w14:paraId="75BAD0F1" w14:textId="77777777" w:rsidR="00BF0C65" w:rsidRPr="00591BFC" w:rsidRDefault="00BF0C65" w:rsidP="00BF0C65">
            <w:pPr>
              <w:spacing w:after="0" w:line="360" w:lineRule="auto"/>
              <w:rPr>
                <w:b/>
              </w:rPr>
            </w:pPr>
            <w:r w:rsidRPr="00591BFC">
              <w:rPr>
                <w:b/>
              </w:rPr>
              <w:t>OG</w:t>
            </w:r>
          </w:p>
        </w:tc>
        <w:tc>
          <w:tcPr>
            <w:tcW w:w="758" w:type="dxa"/>
            <w:shd w:val="clear" w:color="auto" w:fill="auto"/>
          </w:tcPr>
          <w:p w14:paraId="1AEE96AE" w14:textId="77777777" w:rsidR="00BF0C65" w:rsidRPr="00591BFC" w:rsidRDefault="00BF0C65" w:rsidP="00BF0C65">
            <w:pPr>
              <w:spacing w:after="0" w:line="360" w:lineRule="auto"/>
            </w:pPr>
            <w:r w:rsidRPr="00591BFC">
              <w:t>0</w:t>
            </w:r>
          </w:p>
        </w:tc>
        <w:tc>
          <w:tcPr>
            <w:tcW w:w="757" w:type="dxa"/>
            <w:shd w:val="clear" w:color="auto" w:fill="auto"/>
          </w:tcPr>
          <w:p w14:paraId="4E173EB1" w14:textId="77777777" w:rsidR="00BF0C65" w:rsidRPr="00591BFC" w:rsidRDefault="00BF0C65" w:rsidP="00BF0C65">
            <w:pPr>
              <w:spacing w:after="0" w:line="360" w:lineRule="auto"/>
            </w:pPr>
            <w:r w:rsidRPr="00591BFC">
              <w:t>0</w:t>
            </w:r>
          </w:p>
        </w:tc>
        <w:tc>
          <w:tcPr>
            <w:tcW w:w="757" w:type="dxa"/>
            <w:shd w:val="clear" w:color="auto" w:fill="auto"/>
          </w:tcPr>
          <w:p w14:paraId="6CCCEFF4" w14:textId="77777777" w:rsidR="00BF0C65" w:rsidRPr="00591BFC" w:rsidRDefault="00BF0C65" w:rsidP="00BF0C65">
            <w:pPr>
              <w:spacing w:after="0" w:line="360" w:lineRule="auto"/>
            </w:pPr>
            <w:r w:rsidRPr="00591BFC">
              <w:t>0</w:t>
            </w:r>
          </w:p>
        </w:tc>
        <w:tc>
          <w:tcPr>
            <w:tcW w:w="756" w:type="dxa"/>
            <w:shd w:val="clear" w:color="auto" w:fill="auto"/>
          </w:tcPr>
          <w:p w14:paraId="0D1E53D0" w14:textId="77777777" w:rsidR="00BF0C65" w:rsidRPr="00591BFC" w:rsidRDefault="00BF0C65" w:rsidP="00BF0C65">
            <w:pPr>
              <w:spacing w:after="0" w:line="360" w:lineRule="auto"/>
            </w:pPr>
            <w:r w:rsidRPr="00591BFC">
              <w:t>0</w:t>
            </w:r>
          </w:p>
        </w:tc>
        <w:tc>
          <w:tcPr>
            <w:tcW w:w="756" w:type="dxa"/>
            <w:shd w:val="clear" w:color="auto" w:fill="auto"/>
          </w:tcPr>
          <w:p w14:paraId="5F8202E4" w14:textId="77777777" w:rsidR="00BF0C65" w:rsidRPr="00591BFC" w:rsidRDefault="00BF0C65" w:rsidP="00BF0C65">
            <w:pPr>
              <w:spacing w:after="0" w:line="360" w:lineRule="auto"/>
            </w:pPr>
            <w:r w:rsidRPr="00591BFC">
              <w:t>0</w:t>
            </w:r>
          </w:p>
        </w:tc>
        <w:tc>
          <w:tcPr>
            <w:tcW w:w="756" w:type="dxa"/>
            <w:shd w:val="clear" w:color="auto" w:fill="auto"/>
          </w:tcPr>
          <w:p w14:paraId="19B5C4BD" w14:textId="77777777" w:rsidR="00BF0C65" w:rsidRPr="00591BFC" w:rsidRDefault="00BF0C65" w:rsidP="00BF0C65">
            <w:pPr>
              <w:spacing w:after="0" w:line="360" w:lineRule="auto"/>
            </w:pPr>
            <w:r w:rsidRPr="00591BFC">
              <w:t>0</w:t>
            </w:r>
          </w:p>
        </w:tc>
        <w:tc>
          <w:tcPr>
            <w:tcW w:w="756" w:type="dxa"/>
            <w:shd w:val="clear" w:color="auto" w:fill="auto"/>
          </w:tcPr>
          <w:p w14:paraId="6D494D51" w14:textId="77777777" w:rsidR="00BF0C65" w:rsidRPr="00591BFC" w:rsidRDefault="00BF0C65" w:rsidP="00BF0C65">
            <w:pPr>
              <w:spacing w:after="0" w:line="360" w:lineRule="auto"/>
            </w:pPr>
            <w:r w:rsidRPr="00591BFC">
              <w:t>0</w:t>
            </w:r>
          </w:p>
        </w:tc>
        <w:tc>
          <w:tcPr>
            <w:tcW w:w="756" w:type="dxa"/>
            <w:shd w:val="clear" w:color="auto" w:fill="auto"/>
          </w:tcPr>
          <w:p w14:paraId="30280148" w14:textId="77777777" w:rsidR="00BF0C65" w:rsidRPr="00591BFC" w:rsidRDefault="00BF0C65" w:rsidP="00BF0C65">
            <w:pPr>
              <w:spacing w:after="0" w:line="360" w:lineRule="auto"/>
            </w:pPr>
            <w:r w:rsidRPr="00591BFC">
              <w:t>0</w:t>
            </w:r>
          </w:p>
        </w:tc>
        <w:tc>
          <w:tcPr>
            <w:tcW w:w="756" w:type="dxa"/>
            <w:shd w:val="clear" w:color="auto" w:fill="auto"/>
          </w:tcPr>
          <w:p w14:paraId="09C5ED84" w14:textId="77777777" w:rsidR="00BF0C65" w:rsidRPr="00591BFC" w:rsidRDefault="00BF0C65" w:rsidP="00BF0C65">
            <w:pPr>
              <w:spacing w:after="0" w:line="360" w:lineRule="auto"/>
            </w:pPr>
            <w:r w:rsidRPr="00591BFC">
              <w:t>0.3</w:t>
            </w:r>
          </w:p>
        </w:tc>
        <w:tc>
          <w:tcPr>
            <w:tcW w:w="745" w:type="dxa"/>
            <w:shd w:val="clear" w:color="auto" w:fill="auto"/>
          </w:tcPr>
          <w:p w14:paraId="0935A9F0" w14:textId="77777777" w:rsidR="00BF0C65" w:rsidRPr="00591BFC" w:rsidRDefault="00BF0C65" w:rsidP="00BF0C65">
            <w:pPr>
              <w:spacing w:after="0" w:line="360" w:lineRule="auto"/>
            </w:pPr>
            <w:r w:rsidRPr="00591BFC">
              <w:t>0.3</w:t>
            </w:r>
          </w:p>
        </w:tc>
      </w:tr>
      <w:tr w:rsidR="00BF0C65" w:rsidRPr="00591BFC" w14:paraId="1F3C11C2" w14:textId="77777777" w:rsidTr="00BF0C65">
        <w:tc>
          <w:tcPr>
            <w:tcW w:w="973" w:type="dxa"/>
            <w:tcBorders>
              <w:bottom w:val="single" w:sz="4" w:space="0" w:color="auto"/>
            </w:tcBorders>
            <w:shd w:val="clear" w:color="auto" w:fill="auto"/>
          </w:tcPr>
          <w:p w14:paraId="247E03DD" w14:textId="77777777" w:rsidR="00BF0C65" w:rsidRPr="00591BFC" w:rsidRDefault="00BF0C65" w:rsidP="00BF0C65">
            <w:pPr>
              <w:spacing w:after="0" w:line="360" w:lineRule="auto"/>
              <w:rPr>
                <w:b/>
              </w:rPr>
            </w:pPr>
          </w:p>
        </w:tc>
        <w:tc>
          <w:tcPr>
            <w:tcW w:w="716" w:type="dxa"/>
            <w:tcBorders>
              <w:bottom w:val="single" w:sz="4" w:space="0" w:color="auto"/>
            </w:tcBorders>
            <w:shd w:val="clear" w:color="auto" w:fill="auto"/>
          </w:tcPr>
          <w:p w14:paraId="1166FBF2" w14:textId="77777777" w:rsidR="00BF0C65" w:rsidRPr="00591BFC" w:rsidRDefault="00BF0C65" w:rsidP="00BF0C65">
            <w:pPr>
              <w:spacing w:after="0" w:line="360" w:lineRule="auto"/>
              <w:rPr>
                <w:b/>
                <w:vertAlign w:val="superscript"/>
              </w:rPr>
            </w:pPr>
            <w:r w:rsidRPr="00591BFC">
              <w:rPr>
                <w:b/>
              </w:rPr>
              <w:t>FLN</w:t>
            </w:r>
          </w:p>
        </w:tc>
        <w:tc>
          <w:tcPr>
            <w:tcW w:w="758" w:type="dxa"/>
            <w:tcBorders>
              <w:bottom w:val="single" w:sz="4" w:space="0" w:color="auto"/>
            </w:tcBorders>
            <w:shd w:val="clear" w:color="auto" w:fill="auto"/>
          </w:tcPr>
          <w:p w14:paraId="36DC3168" w14:textId="77777777" w:rsidR="00BF0C65" w:rsidRPr="00591BFC" w:rsidRDefault="00BF0C65" w:rsidP="00BF0C65">
            <w:pPr>
              <w:spacing w:after="0" w:line="360" w:lineRule="auto"/>
            </w:pPr>
            <w:r w:rsidRPr="00591BFC">
              <w:t>0</w:t>
            </w:r>
          </w:p>
        </w:tc>
        <w:tc>
          <w:tcPr>
            <w:tcW w:w="757" w:type="dxa"/>
            <w:tcBorders>
              <w:bottom w:val="single" w:sz="4" w:space="0" w:color="auto"/>
            </w:tcBorders>
            <w:shd w:val="clear" w:color="auto" w:fill="auto"/>
          </w:tcPr>
          <w:p w14:paraId="386028FD" w14:textId="77777777" w:rsidR="00BF0C65" w:rsidRPr="00591BFC" w:rsidRDefault="00BF0C65" w:rsidP="00BF0C65">
            <w:pPr>
              <w:spacing w:after="0" w:line="360" w:lineRule="auto"/>
            </w:pPr>
            <w:r w:rsidRPr="00591BFC">
              <w:t>0</w:t>
            </w:r>
          </w:p>
        </w:tc>
        <w:tc>
          <w:tcPr>
            <w:tcW w:w="757" w:type="dxa"/>
            <w:tcBorders>
              <w:bottom w:val="single" w:sz="4" w:space="0" w:color="auto"/>
            </w:tcBorders>
            <w:shd w:val="clear" w:color="auto" w:fill="auto"/>
          </w:tcPr>
          <w:p w14:paraId="5C115351"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1FB6295D"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2A5D8D95"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620D5AD4"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35625EB8"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19D87B4F"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20FF3D99" w14:textId="77777777" w:rsidR="00BF0C65" w:rsidRPr="00591BFC" w:rsidRDefault="00BF0C65" w:rsidP="00BF0C65">
            <w:pPr>
              <w:spacing w:after="0" w:line="360" w:lineRule="auto"/>
            </w:pPr>
            <w:r w:rsidRPr="00591BFC">
              <w:t>0</w:t>
            </w:r>
          </w:p>
        </w:tc>
        <w:tc>
          <w:tcPr>
            <w:tcW w:w="745" w:type="dxa"/>
            <w:tcBorders>
              <w:bottom w:val="single" w:sz="4" w:space="0" w:color="auto"/>
            </w:tcBorders>
            <w:shd w:val="clear" w:color="auto" w:fill="auto"/>
          </w:tcPr>
          <w:p w14:paraId="7AEADD63" w14:textId="77777777" w:rsidR="00BF0C65" w:rsidRPr="00591BFC" w:rsidRDefault="00BF0C65" w:rsidP="00BF0C65">
            <w:pPr>
              <w:spacing w:after="0" w:line="360" w:lineRule="auto"/>
            </w:pPr>
            <w:r w:rsidRPr="00591BFC">
              <w:t>0</w:t>
            </w:r>
          </w:p>
        </w:tc>
      </w:tr>
      <w:tr w:rsidR="00BF0C65" w:rsidRPr="00591BFC" w14:paraId="713F68C9" w14:textId="77777777" w:rsidTr="00BF0C65">
        <w:tc>
          <w:tcPr>
            <w:tcW w:w="973" w:type="dxa"/>
            <w:shd w:val="clear" w:color="auto" w:fill="A6A6A6"/>
          </w:tcPr>
          <w:p w14:paraId="5E81FD71" w14:textId="77777777" w:rsidR="00BF0C65" w:rsidRPr="00591BFC" w:rsidRDefault="00BF0C65" w:rsidP="00BF0C65">
            <w:pPr>
              <w:spacing w:after="0" w:line="360" w:lineRule="auto"/>
              <w:rPr>
                <w:b/>
                <w:sz w:val="10"/>
              </w:rPr>
            </w:pPr>
          </w:p>
        </w:tc>
        <w:tc>
          <w:tcPr>
            <w:tcW w:w="716" w:type="dxa"/>
            <w:shd w:val="clear" w:color="auto" w:fill="A6A6A6"/>
          </w:tcPr>
          <w:p w14:paraId="3BE4BA35" w14:textId="77777777" w:rsidR="00BF0C65" w:rsidRPr="00591BFC" w:rsidRDefault="00BF0C65" w:rsidP="00BF0C65">
            <w:pPr>
              <w:spacing w:after="0" w:line="360" w:lineRule="auto"/>
              <w:rPr>
                <w:b/>
                <w:sz w:val="10"/>
              </w:rPr>
            </w:pPr>
          </w:p>
        </w:tc>
        <w:tc>
          <w:tcPr>
            <w:tcW w:w="758" w:type="dxa"/>
            <w:shd w:val="clear" w:color="auto" w:fill="A6A6A6"/>
          </w:tcPr>
          <w:p w14:paraId="50C85B25" w14:textId="77777777" w:rsidR="00BF0C65" w:rsidRPr="00591BFC" w:rsidRDefault="00BF0C65" w:rsidP="00BF0C65">
            <w:pPr>
              <w:spacing w:after="0" w:line="360" w:lineRule="auto"/>
              <w:rPr>
                <w:sz w:val="10"/>
              </w:rPr>
            </w:pPr>
          </w:p>
        </w:tc>
        <w:tc>
          <w:tcPr>
            <w:tcW w:w="757" w:type="dxa"/>
            <w:shd w:val="clear" w:color="auto" w:fill="A6A6A6"/>
          </w:tcPr>
          <w:p w14:paraId="315D76C1" w14:textId="77777777" w:rsidR="00BF0C65" w:rsidRPr="00591BFC" w:rsidRDefault="00BF0C65" w:rsidP="00BF0C65">
            <w:pPr>
              <w:spacing w:after="0" w:line="360" w:lineRule="auto"/>
              <w:rPr>
                <w:sz w:val="10"/>
              </w:rPr>
            </w:pPr>
          </w:p>
        </w:tc>
        <w:tc>
          <w:tcPr>
            <w:tcW w:w="757" w:type="dxa"/>
            <w:shd w:val="clear" w:color="auto" w:fill="A6A6A6"/>
          </w:tcPr>
          <w:p w14:paraId="69A19B8F" w14:textId="77777777" w:rsidR="00BF0C65" w:rsidRPr="00591BFC" w:rsidRDefault="00BF0C65" w:rsidP="00BF0C65">
            <w:pPr>
              <w:spacing w:after="0" w:line="360" w:lineRule="auto"/>
              <w:rPr>
                <w:sz w:val="10"/>
              </w:rPr>
            </w:pPr>
          </w:p>
        </w:tc>
        <w:tc>
          <w:tcPr>
            <w:tcW w:w="756" w:type="dxa"/>
            <w:shd w:val="clear" w:color="auto" w:fill="A6A6A6"/>
          </w:tcPr>
          <w:p w14:paraId="77D9A7CB" w14:textId="77777777" w:rsidR="00BF0C65" w:rsidRPr="00591BFC" w:rsidRDefault="00BF0C65" w:rsidP="00BF0C65">
            <w:pPr>
              <w:spacing w:after="0" w:line="360" w:lineRule="auto"/>
              <w:rPr>
                <w:sz w:val="10"/>
              </w:rPr>
            </w:pPr>
          </w:p>
        </w:tc>
        <w:tc>
          <w:tcPr>
            <w:tcW w:w="756" w:type="dxa"/>
            <w:shd w:val="clear" w:color="auto" w:fill="A6A6A6"/>
          </w:tcPr>
          <w:p w14:paraId="740717B2" w14:textId="77777777" w:rsidR="00BF0C65" w:rsidRPr="00591BFC" w:rsidRDefault="00BF0C65" w:rsidP="00BF0C65">
            <w:pPr>
              <w:spacing w:after="0" w:line="360" w:lineRule="auto"/>
              <w:rPr>
                <w:sz w:val="10"/>
              </w:rPr>
            </w:pPr>
          </w:p>
        </w:tc>
        <w:tc>
          <w:tcPr>
            <w:tcW w:w="756" w:type="dxa"/>
            <w:shd w:val="clear" w:color="auto" w:fill="A6A6A6"/>
          </w:tcPr>
          <w:p w14:paraId="4F24F8BB" w14:textId="77777777" w:rsidR="00BF0C65" w:rsidRPr="00591BFC" w:rsidRDefault="00BF0C65" w:rsidP="00BF0C65">
            <w:pPr>
              <w:spacing w:after="0" w:line="360" w:lineRule="auto"/>
              <w:rPr>
                <w:sz w:val="10"/>
              </w:rPr>
            </w:pPr>
          </w:p>
        </w:tc>
        <w:tc>
          <w:tcPr>
            <w:tcW w:w="756" w:type="dxa"/>
            <w:shd w:val="clear" w:color="auto" w:fill="A6A6A6"/>
          </w:tcPr>
          <w:p w14:paraId="5866FB85" w14:textId="77777777" w:rsidR="00BF0C65" w:rsidRPr="00591BFC" w:rsidRDefault="00BF0C65" w:rsidP="00BF0C65">
            <w:pPr>
              <w:spacing w:after="0" w:line="360" w:lineRule="auto"/>
              <w:rPr>
                <w:sz w:val="10"/>
              </w:rPr>
            </w:pPr>
          </w:p>
        </w:tc>
        <w:tc>
          <w:tcPr>
            <w:tcW w:w="756" w:type="dxa"/>
            <w:shd w:val="clear" w:color="auto" w:fill="A6A6A6"/>
          </w:tcPr>
          <w:p w14:paraId="01CBF224" w14:textId="77777777" w:rsidR="00BF0C65" w:rsidRPr="00591BFC" w:rsidRDefault="00BF0C65" w:rsidP="00BF0C65">
            <w:pPr>
              <w:spacing w:after="0" w:line="360" w:lineRule="auto"/>
              <w:rPr>
                <w:sz w:val="10"/>
              </w:rPr>
            </w:pPr>
          </w:p>
        </w:tc>
        <w:tc>
          <w:tcPr>
            <w:tcW w:w="756" w:type="dxa"/>
            <w:shd w:val="clear" w:color="auto" w:fill="A6A6A6"/>
          </w:tcPr>
          <w:p w14:paraId="0814F3DF" w14:textId="77777777" w:rsidR="00BF0C65" w:rsidRPr="00591BFC" w:rsidRDefault="00BF0C65" w:rsidP="00BF0C65">
            <w:pPr>
              <w:spacing w:after="0" w:line="360" w:lineRule="auto"/>
              <w:rPr>
                <w:sz w:val="10"/>
              </w:rPr>
            </w:pPr>
          </w:p>
        </w:tc>
        <w:tc>
          <w:tcPr>
            <w:tcW w:w="745" w:type="dxa"/>
            <w:shd w:val="clear" w:color="auto" w:fill="A6A6A6"/>
          </w:tcPr>
          <w:p w14:paraId="26DC6C9C" w14:textId="77777777" w:rsidR="00BF0C65" w:rsidRPr="00591BFC" w:rsidRDefault="00BF0C65" w:rsidP="00BF0C65">
            <w:pPr>
              <w:spacing w:after="0" w:line="360" w:lineRule="auto"/>
              <w:rPr>
                <w:sz w:val="10"/>
              </w:rPr>
            </w:pPr>
          </w:p>
        </w:tc>
      </w:tr>
      <w:tr w:rsidR="00BF0C65" w:rsidRPr="00591BFC" w14:paraId="310BD05C" w14:textId="77777777" w:rsidTr="00BF0C65">
        <w:tc>
          <w:tcPr>
            <w:tcW w:w="973" w:type="dxa"/>
            <w:shd w:val="clear" w:color="auto" w:fill="auto"/>
          </w:tcPr>
          <w:p w14:paraId="28A3ECF5" w14:textId="77777777" w:rsidR="00BF0C65" w:rsidRPr="00591BFC" w:rsidRDefault="00BF0C65" w:rsidP="00BF0C65">
            <w:pPr>
              <w:spacing w:after="0" w:line="360" w:lineRule="auto"/>
              <w:rPr>
                <w:b/>
              </w:rPr>
            </w:pPr>
            <w:r w:rsidRPr="00591BFC">
              <w:rPr>
                <w:b/>
              </w:rPr>
              <w:t>4</w:t>
            </w:r>
          </w:p>
        </w:tc>
        <w:tc>
          <w:tcPr>
            <w:tcW w:w="716" w:type="dxa"/>
            <w:shd w:val="clear" w:color="auto" w:fill="auto"/>
          </w:tcPr>
          <w:p w14:paraId="33C62D86" w14:textId="77777777" w:rsidR="00BF0C65" w:rsidRPr="00591BFC" w:rsidRDefault="00BF0C65" w:rsidP="00BF0C65">
            <w:pPr>
              <w:spacing w:after="0" w:line="360" w:lineRule="auto"/>
              <w:rPr>
                <w:b/>
              </w:rPr>
            </w:pPr>
            <w:r w:rsidRPr="00591BFC">
              <w:rPr>
                <w:b/>
              </w:rPr>
              <w:t>OG</w:t>
            </w:r>
          </w:p>
        </w:tc>
        <w:tc>
          <w:tcPr>
            <w:tcW w:w="758" w:type="dxa"/>
            <w:shd w:val="clear" w:color="auto" w:fill="auto"/>
          </w:tcPr>
          <w:p w14:paraId="54CD4233" w14:textId="77777777" w:rsidR="00BF0C65" w:rsidRPr="00591BFC" w:rsidRDefault="00BF0C65" w:rsidP="00BF0C65">
            <w:pPr>
              <w:spacing w:after="0" w:line="360" w:lineRule="auto"/>
            </w:pPr>
            <w:r w:rsidRPr="00591BFC">
              <w:t>0</w:t>
            </w:r>
          </w:p>
        </w:tc>
        <w:tc>
          <w:tcPr>
            <w:tcW w:w="757" w:type="dxa"/>
            <w:shd w:val="clear" w:color="auto" w:fill="auto"/>
          </w:tcPr>
          <w:p w14:paraId="6171742B" w14:textId="77777777" w:rsidR="00BF0C65" w:rsidRPr="00591BFC" w:rsidRDefault="00BF0C65" w:rsidP="00BF0C65">
            <w:pPr>
              <w:spacing w:after="0" w:line="360" w:lineRule="auto"/>
            </w:pPr>
            <w:r w:rsidRPr="00591BFC">
              <w:t>0</w:t>
            </w:r>
          </w:p>
        </w:tc>
        <w:tc>
          <w:tcPr>
            <w:tcW w:w="757" w:type="dxa"/>
            <w:shd w:val="clear" w:color="auto" w:fill="auto"/>
          </w:tcPr>
          <w:p w14:paraId="58828710" w14:textId="77777777" w:rsidR="00BF0C65" w:rsidRPr="00591BFC" w:rsidRDefault="00BF0C65" w:rsidP="00BF0C65">
            <w:pPr>
              <w:spacing w:after="0" w:line="360" w:lineRule="auto"/>
            </w:pPr>
            <w:r w:rsidRPr="00591BFC">
              <w:t>0</w:t>
            </w:r>
          </w:p>
        </w:tc>
        <w:tc>
          <w:tcPr>
            <w:tcW w:w="756" w:type="dxa"/>
            <w:shd w:val="clear" w:color="auto" w:fill="auto"/>
          </w:tcPr>
          <w:p w14:paraId="22844ACE" w14:textId="77777777" w:rsidR="00BF0C65" w:rsidRPr="00591BFC" w:rsidRDefault="00BF0C65" w:rsidP="00BF0C65">
            <w:pPr>
              <w:spacing w:after="0" w:line="360" w:lineRule="auto"/>
            </w:pPr>
            <w:r w:rsidRPr="00591BFC">
              <w:t>1.3</w:t>
            </w:r>
          </w:p>
        </w:tc>
        <w:tc>
          <w:tcPr>
            <w:tcW w:w="756" w:type="dxa"/>
            <w:shd w:val="clear" w:color="auto" w:fill="auto"/>
          </w:tcPr>
          <w:p w14:paraId="48367A15" w14:textId="77777777" w:rsidR="00BF0C65" w:rsidRPr="00591BFC" w:rsidRDefault="00BF0C65" w:rsidP="00BF0C65">
            <w:pPr>
              <w:spacing w:after="0" w:line="360" w:lineRule="auto"/>
            </w:pPr>
            <w:r w:rsidRPr="00591BFC">
              <w:t>1.3</w:t>
            </w:r>
          </w:p>
        </w:tc>
        <w:tc>
          <w:tcPr>
            <w:tcW w:w="756" w:type="dxa"/>
            <w:shd w:val="clear" w:color="auto" w:fill="auto"/>
          </w:tcPr>
          <w:p w14:paraId="6CF648C6" w14:textId="77777777" w:rsidR="00BF0C65" w:rsidRPr="00591BFC" w:rsidRDefault="00BF0C65" w:rsidP="00BF0C65">
            <w:pPr>
              <w:spacing w:after="0" w:line="360" w:lineRule="auto"/>
            </w:pPr>
            <w:r w:rsidRPr="00591BFC">
              <w:t>1.3</w:t>
            </w:r>
          </w:p>
        </w:tc>
        <w:tc>
          <w:tcPr>
            <w:tcW w:w="756" w:type="dxa"/>
            <w:shd w:val="clear" w:color="auto" w:fill="auto"/>
          </w:tcPr>
          <w:p w14:paraId="3F52C945" w14:textId="77777777" w:rsidR="00BF0C65" w:rsidRPr="00591BFC" w:rsidRDefault="00BF0C65" w:rsidP="00BF0C65">
            <w:pPr>
              <w:spacing w:after="0" w:line="360" w:lineRule="auto"/>
            </w:pPr>
            <w:r w:rsidRPr="00591BFC">
              <w:t>1.3</w:t>
            </w:r>
          </w:p>
        </w:tc>
        <w:tc>
          <w:tcPr>
            <w:tcW w:w="756" w:type="dxa"/>
            <w:shd w:val="clear" w:color="auto" w:fill="auto"/>
          </w:tcPr>
          <w:p w14:paraId="660020EC" w14:textId="77777777" w:rsidR="00BF0C65" w:rsidRPr="00591BFC" w:rsidRDefault="00BF0C65" w:rsidP="00BF0C65">
            <w:pPr>
              <w:spacing w:after="0" w:line="360" w:lineRule="auto"/>
            </w:pPr>
            <w:r w:rsidRPr="00591BFC">
              <w:t>1.3</w:t>
            </w:r>
          </w:p>
        </w:tc>
        <w:tc>
          <w:tcPr>
            <w:tcW w:w="756" w:type="dxa"/>
            <w:shd w:val="clear" w:color="auto" w:fill="auto"/>
          </w:tcPr>
          <w:p w14:paraId="2DFBFB2A" w14:textId="77777777" w:rsidR="00BF0C65" w:rsidRPr="00591BFC" w:rsidRDefault="00BF0C65" w:rsidP="00BF0C65">
            <w:pPr>
              <w:spacing w:after="0" w:line="360" w:lineRule="auto"/>
            </w:pPr>
            <w:r w:rsidRPr="00591BFC">
              <w:t>1.3</w:t>
            </w:r>
          </w:p>
        </w:tc>
        <w:tc>
          <w:tcPr>
            <w:tcW w:w="745" w:type="dxa"/>
            <w:shd w:val="clear" w:color="auto" w:fill="auto"/>
          </w:tcPr>
          <w:p w14:paraId="36DF56A5" w14:textId="77777777" w:rsidR="00BF0C65" w:rsidRPr="00591BFC" w:rsidRDefault="00BF0C65" w:rsidP="00BF0C65">
            <w:pPr>
              <w:spacing w:after="0" w:line="360" w:lineRule="auto"/>
            </w:pPr>
            <w:r w:rsidRPr="00591BFC">
              <w:t>1.3</w:t>
            </w:r>
          </w:p>
        </w:tc>
      </w:tr>
      <w:tr w:rsidR="00BF0C65" w:rsidRPr="00591BFC" w14:paraId="0D0A6C5E" w14:textId="77777777" w:rsidTr="00BF0C65">
        <w:tc>
          <w:tcPr>
            <w:tcW w:w="973" w:type="dxa"/>
            <w:shd w:val="clear" w:color="auto" w:fill="auto"/>
          </w:tcPr>
          <w:p w14:paraId="2D4519C9" w14:textId="77777777" w:rsidR="00BF0C65" w:rsidRPr="00591BFC" w:rsidRDefault="00BF0C65" w:rsidP="00BF0C65">
            <w:pPr>
              <w:spacing w:after="0" w:line="360" w:lineRule="auto"/>
              <w:rPr>
                <w:b/>
              </w:rPr>
            </w:pPr>
          </w:p>
        </w:tc>
        <w:tc>
          <w:tcPr>
            <w:tcW w:w="716" w:type="dxa"/>
            <w:shd w:val="clear" w:color="auto" w:fill="auto"/>
          </w:tcPr>
          <w:p w14:paraId="4EFB0EFB" w14:textId="77777777" w:rsidR="00BF0C65" w:rsidRPr="00591BFC" w:rsidRDefault="00BF0C65" w:rsidP="00BF0C65">
            <w:pPr>
              <w:spacing w:after="0" w:line="360" w:lineRule="auto"/>
              <w:rPr>
                <w:b/>
                <w:vertAlign w:val="superscript"/>
              </w:rPr>
            </w:pPr>
            <w:r w:rsidRPr="00591BFC">
              <w:rPr>
                <w:b/>
              </w:rPr>
              <w:t>FLN</w:t>
            </w:r>
          </w:p>
        </w:tc>
        <w:tc>
          <w:tcPr>
            <w:tcW w:w="758" w:type="dxa"/>
            <w:shd w:val="clear" w:color="auto" w:fill="auto"/>
          </w:tcPr>
          <w:p w14:paraId="107AA0A8" w14:textId="77777777" w:rsidR="00BF0C65" w:rsidRPr="00591BFC" w:rsidRDefault="00BF0C65" w:rsidP="00BF0C65">
            <w:pPr>
              <w:spacing w:after="0" w:line="360" w:lineRule="auto"/>
            </w:pPr>
            <w:r w:rsidRPr="00591BFC">
              <w:t>0</w:t>
            </w:r>
          </w:p>
        </w:tc>
        <w:tc>
          <w:tcPr>
            <w:tcW w:w="757" w:type="dxa"/>
            <w:shd w:val="clear" w:color="auto" w:fill="auto"/>
          </w:tcPr>
          <w:p w14:paraId="4B720EF8" w14:textId="77777777" w:rsidR="00BF0C65" w:rsidRPr="00591BFC" w:rsidRDefault="00BF0C65" w:rsidP="00BF0C65">
            <w:pPr>
              <w:spacing w:after="0" w:line="360" w:lineRule="auto"/>
            </w:pPr>
            <w:r w:rsidRPr="00591BFC">
              <w:t>0</w:t>
            </w:r>
          </w:p>
        </w:tc>
        <w:tc>
          <w:tcPr>
            <w:tcW w:w="757" w:type="dxa"/>
            <w:shd w:val="clear" w:color="auto" w:fill="auto"/>
          </w:tcPr>
          <w:p w14:paraId="71B513F0" w14:textId="77777777" w:rsidR="00BF0C65" w:rsidRPr="00591BFC" w:rsidRDefault="00BF0C65" w:rsidP="00BF0C65">
            <w:pPr>
              <w:spacing w:after="0" w:line="360" w:lineRule="auto"/>
            </w:pPr>
            <w:r w:rsidRPr="00591BFC">
              <w:t>0</w:t>
            </w:r>
          </w:p>
        </w:tc>
        <w:tc>
          <w:tcPr>
            <w:tcW w:w="756" w:type="dxa"/>
            <w:shd w:val="clear" w:color="auto" w:fill="auto"/>
          </w:tcPr>
          <w:p w14:paraId="4ACAC1D8" w14:textId="77777777" w:rsidR="00BF0C65" w:rsidRPr="00591BFC" w:rsidRDefault="00BF0C65" w:rsidP="00BF0C65">
            <w:pPr>
              <w:spacing w:after="0" w:line="360" w:lineRule="auto"/>
            </w:pPr>
            <w:r w:rsidRPr="00591BFC">
              <w:t>0</w:t>
            </w:r>
          </w:p>
        </w:tc>
        <w:tc>
          <w:tcPr>
            <w:tcW w:w="756" w:type="dxa"/>
            <w:shd w:val="clear" w:color="auto" w:fill="auto"/>
          </w:tcPr>
          <w:p w14:paraId="5F7B456C" w14:textId="77777777" w:rsidR="00BF0C65" w:rsidRPr="00591BFC" w:rsidRDefault="00BF0C65" w:rsidP="00BF0C65">
            <w:pPr>
              <w:spacing w:after="0" w:line="360" w:lineRule="auto"/>
            </w:pPr>
            <w:r w:rsidRPr="00591BFC">
              <w:t>0</w:t>
            </w:r>
          </w:p>
        </w:tc>
        <w:tc>
          <w:tcPr>
            <w:tcW w:w="756" w:type="dxa"/>
            <w:shd w:val="clear" w:color="auto" w:fill="auto"/>
          </w:tcPr>
          <w:p w14:paraId="172324CA" w14:textId="77777777" w:rsidR="00BF0C65" w:rsidRPr="00591BFC" w:rsidRDefault="00BF0C65" w:rsidP="00BF0C65">
            <w:pPr>
              <w:spacing w:after="0" w:line="360" w:lineRule="auto"/>
            </w:pPr>
            <w:r w:rsidRPr="00591BFC">
              <w:t>0</w:t>
            </w:r>
          </w:p>
        </w:tc>
        <w:tc>
          <w:tcPr>
            <w:tcW w:w="756" w:type="dxa"/>
            <w:shd w:val="clear" w:color="auto" w:fill="auto"/>
          </w:tcPr>
          <w:p w14:paraId="3A472A15" w14:textId="77777777" w:rsidR="00BF0C65" w:rsidRPr="00591BFC" w:rsidRDefault="00BF0C65" w:rsidP="00BF0C65">
            <w:pPr>
              <w:spacing w:after="0" w:line="360" w:lineRule="auto"/>
            </w:pPr>
            <w:r w:rsidRPr="00591BFC">
              <w:t>1.3</w:t>
            </w:r>
          </w:p>
        </w:tc>
        <w:tc>
          <w:tcPr>
            <w:tcW w:w="756" w:type="dxa"/>
            <w:shd w:val="clear" w:color="auto" w:fill="auto"/>
          </w:tcPr>
          <w:p w14:paraId="57263328" w14:textId="77777777" w:rsidR="00BF0C65" w:rsidRPr="00591BFC" w:rsidRDefault="00BF0C65" w:rsidP="00BF0C65">
            <w:pPr>
              <w:spacing w:after="0" w:line="360" w:lineRule="auto"/>
            </w:pPr>
            <w:r w:rsidRPr="00591BFC">
              <w:t>1.3</w:t>
            </w:r>
          </w:p>
        </w:tc>
        <w:tc>
          <w:tcPr>
            <w:tcW w:w="756" w:type="dxa"/>
            <w:shd w:val="clear" w:color="auto" w:fill="auto"/>
          </w:tcPr>
          <w:p w14:paraId="6F8562F7" w14:textId="77777777" w:rsidR="00BF0C65" w:rsidRPr="00591BFC" w:rsidRDefault="00BF0C65" w:rsidP="00BF0C65">
            <w:pPr>
              <w:spacing w:after="0" w:line="360" w:lineRule="auto"/>
            </w:pPr>
            <w:r w:rsidRPr="00591BFC">
              <w:t>1.3</w:t>
            </w:r>
          </w:p>
        </w:tc>
        <w:tc>
          <w:tcPr>
            <w:tcW w:w="745" w:type="dxa"/>
            <w:shd w:val="clear" w:color="auto" w:fill="auto"/>
          </w:tcPr>
          <w:p w14:paraId="6B328AF9" w14:textId="77777777" w:rsidR="00BF0C65" w:rsidRPr="00591BFC" w:rsidRDefault="00BF0C65" w:rsidP="00BF0C65">
            <w:pPr>
              <w:spacing w:after="0" w:line="360" w:lineRule="auto"/>
            </w:pPr>
            <w:r w:rsidRPr="00591BFC">
              <w:t>1.3</w:t>
            </w:r>
          </w:p>
        </w:tc>
      </w:tr>
      <w:tr w:rsidR="00BF0C65" w:rsidRPr="00591BFC" w14:paraId="66DBA75B" w14:textId="77777777" w:rsidTr="00BF0C65">
        <w:tc>
          <w:tcPr>
            <w:tcW w:w="973" w:type="dxa"/>
            <w:shd w:val="clear" w:color="auto" w:fill="A6A6A6"/>
          </w:tcPr>
          <w:p w14:paraId="63EC1A01" w14:textId="77777777" w:rsidR="00BF0C65" w:rsidRPr="00591BFC" w:rsidRDefault="00BF0C65" w:rsidP="00BF0C65">
            <w:pPr>
              <w:spacing w:after="0" w:line="360" w:lineRule="auto"/>
              <w:rPr>
                <w:b/>
                <w:sz w:val="10"/>
              </w:rPr>
            </w:pPr>
          </w:p>
        </w:tc>
        <w:tc>
          <w:tcPr>
            <w:tcW w:w="716" w:type="dxa"/>
            <w:shd w:val="clear" w:color="auto" w:fill="A6A6A6"/>
          </w:tcPr>
          <w:p w14:paraId="73AE799E" w14:textId="77777777" w:rsidR="00BF0C65" w:rsidRPr="00591BFC" w:rsidRDefault="00BF0C65" w:rsidP="00BF0C65">
            <w:pPr>
              <w:spacing w:after="0" w:line="360" w:lineRule="auto"/>
              <w:rPr>
                <w:b/>
                <w:sz w:val="10"/>
              </w:rPr>
            </w:pPr>
          </w:p>
        </w:tc>
        <w:tc>
          <w:tcPr>
            <w:tcW w:w="758" w:type="dxa"/>
            <w:shd w:val="clear" w:color="auto" w:fill="A6A6A6"/>
          </w:tcPr>
          <w:p w14:paraId="077C99C3" w14:textId="77777777" w:rsidR="00BF0C65" w:rsidRPr="00591BFC" w:rsidRDefault="00BF0C65" w:rsidP="00BF0C65">
            <w:pPr>
              <w:spacing w:after="0" w:line="360" w:lineRule="auto"/>
              <w:rPr>
                <w:sz w:val="10"/>
              </w:rPr>
            </w:pPr>
          </w:p>
        </w:tc>
        <w:tc>
          <w:tcPr>
            <w:tcW w:w="757" w:type="dxa"/>
            <w:shd w:val="clear" w:color="auto" w:fill="A6A6A6"/>
          </w:tcPr>
          <w:p w14:paraId="52238EF4" w14:textId="77777777" w:rsidR="00BF0C65" w:rsidRPr="00591BFC" w:rsidRDefault="00BF0C65" w:rsidP="00BF0C65">
            <w:pPr>
              <w:spacing w:after="0" w:line="360" w:lineRule="auto"/>
              <w:rPr>
                <w:sz w:val="10"/>
              </w:rPr>
            </w:pPr>
          </w:p>
        </w:tc>
        <w:tc>
          <w:tcPr>
            <w:tcW w:w="757" w:type="dxa"/>
            <w:shd w:val="clear" w:color="auto" w:fill="A6A6A6"/>
          </w:tcPr>
          <w:p w14:paraId="392FFA90" w14:textId="77777777" w:rsidR="00BF0C65" w:rsidRPr="00591BFC" w:rsidRDefault="00BF0C65" w:rsidP="00BF0C65">
            <w:pPr>
              <w:spacing w:after="0" w:line="360" w:lineRule="auto"/>
              <w:rPr>
                <w:sz w:val="10"/>
              </w:rPr>
            </w:pPr>
          </w:p>
        </w:tc>
        <w:tc>
          <w:tcPr>
            <w:tcW w:w="756" w:type="dxa"/>
            <w:shd w:val="clear" w:color="auto" w:fill="A6A6A6"/>
          </w:tcPr>
          <w:p w14:paraId="00AC2A94" w14:textId="77777777" w:rsidR="00BF0C65" w:rsidRPr="00591BFC" w:rsidRDefault="00BF0C65" w:rsidP="00BF0C65">
            <w:pPr>
              <w:spacing w:after="0" w:line="360" w:lineRule="auto"/>
              <w:rPr>
                <w:sz w:val="10"/>
              </w:rPr>
            </w:pPr>
          </w:p>
        </w:tc>
        <w:tc>
          <w:tcPr>
            <w:tcW w:w="756" w:type="dxa"/>
            <w:shd w:val="clear" w:color="auto" w:fill="A6A6A6"/>
          </w:tcPr>
          <w:p w14:paraId="67EA0F15" w14:textId="77777777" w:rsidR="00BF0C65" w:rsidRPr="00591BFC" w:rsidRDefault="00BF0C65" w:rsidP="00BF0C65">
            <w:pPr>
              <w:spacing w:after="0" w:line="360" w:lineRule="auto"/>
              <w:rPr>
                <w:sz w:val="10"/>
              </w:rPr>
            </w:pPr>
          </w:p>
        </w:tc>
        <w:tc>
          <w:tcPr>
            <w:tcW w:w="756" w:type="dxa"/>
            <w:shd w:val="clear" w:color="auto" w:fill="A6A6A6"/>
          </w:tcPr>
          <w:p w14:paraId="195195FD"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69F3C56D" w14:textId="77777777" w:rsidR="00BF0C65" w:rsidRPr="00591BFC" w:rsidRDefault="00BF0C65" w:rsidP="00BF0C65">
            <w:pPr>
              <w:spacing w:after="0" w:line="360" w:lineRule="auto"/>
              <w:rPr>
                <w:sz w:val="10"/>
              </w:rPr>
            </w:pPr>
          </w:p>
        </w:tc>
        <w:tc>
          <w:tcPr>
            <w:tcW w:w="756" w:type="dxa"/>
            <w:shd w:val="clear" w:color="auto" w:fill="A6A6A6"/>
          </w:tcPr>
          <w:p w14:paraId="47E9E17B" w14:textId="77777777" w:rsidR="00BF0C65" w:rsidRPr="00591BFC" w:rsidRDefault="00BF0C65" w:rsidP="00BF0C65">
            <w:pPr>
              <w:spacing w:after="0" w:line="360" w:lineRule="auto"/>
              <w:rPr>
                <w:sz w:val="10"/>
              </w:rPr>
            </w:pPr>
          </w:p>
        </w:tc>
        <w:tc>
          <w:tcPr>
            <w:tcW w:w="756" w:type="dxa"/>
            <w:shd w:val="clear" w:color="auto" w:fill="A6A6A6"/>
          </w:tcPr>
          <w:p w14:paraId="727C0153" w14:textId="77777777" w:rsidR="00BF0C65" w:rsidRPr="00591BFC" w:rsidRDefault="00BF0C65" w:rsidP="00BF0C65">
            <w:pPr>
              <w:spacing w:after="0" w:line="360" w:lineRule="auto"/>
              <w:rPr>
                <w:sz w:val="10"/>
              </w:rPr>
            </w:pPr>
          </w:p>
        </w:tc>
        <w:tc>
          <w:tcPr>
            <w:tcW w:w="745" w:type="dxa"/>
            <w:shd w:val="clear" w:color="auto" w:fill="A6A6A6"/>
          </w:tcPr>
          <w:p w14:paraId="1A4BBE99" w14:textId="77777777" w:rsidR="00BF0C65" w:rsidRPr="00591BFC" w:rsidRDefault="00BF0C65" w:rsidP="00BF0C65">
            <w:pPr>
              <w:spacing w:after="0" w:line="360" w:lineRule="auto"/>
              <w:rPr>
                <w:sz w:val="10"/>
              </w:rPr>
            </w:pPr>
          </w:p>
        </w:tc>
      </w:tr>
      <w:tr w:rsidR="00BF0C65" w:rsidRPr="00591BFC" w14:paraId="0EDFF025" w14:textId="77777777" w:rsidTr="00BF0C65">
        <w:tc>
          <w:tcPr>
            <w:tcW w:w="973" w:type="dxa"/>
            <w:shd w:val="clear" w:color="auto" w:fill="auto"/>
          </w:tcPr>
          <w:p w14:paraId="13B03B9B" w14:textId="77777777" w:rsidR="00BF0C65" w:rsidRPr="00591BFC" w:rsidRDefault="00BF0C65" w:rsidP="00BF0C65">
            <w:pPr>
              <w:spacing w:after="0" w:line="360" w:lineRule="auto"/>
              <w:rPr>
                <w:b/>
              </w:rPr>
            </w:pPr>
            <w:r w:rsidRPr="00591BFC">
              <w:rPr>
                <w:b/>
              </w:rPr>
              <w:t>5</w:t>
            </w:r>
          </w:p>
        </w:tc>
        <w:tc>
          <w:tcPr>
            <w:tcW w:w="716" w:type="dxa"/>
            <w:shd w:val="clear" w:color="auto" w:fill="auto"/>
          </w:tcPr>
          <w:p w14:paraId="6AEB7236" w14:textId="77777777" w:rsidR="00BF0C65" w:rsidRPr="00591BFC" w:rsidRDefault="00BF0C65" w:rsidP="00BF0C65">
            <w:pPr>
              <w:spacing w:after="0" w:line="360" w:lineRule="auto"/>
              <w:rPr>
                <w:b/>
              </w:rPr>
            </w:pPr>
            <w:r w:rsidRPr="00591BFC">
              <w:rPr>
                <w:b/>
              </w:rPr>
              <w:t>OG</w:t>
            </w:r>
          </w:p>
        </w:tc>
        <w:tc>
          <w:tcPr>
            <w:tcW w:w="758" w:type="dxa"/>
            <w:shd w:val="clear" w:color="auto" w:fill="auto"/>
          </w:tcPr>
          <w:p w14:paraId="658977B4" w14:textId="77777777" w:rsidR="00BF0C65" w:rsidRPr="00591BFC" w:rsidRDefault="00BF0C65" w:rsidP="00BF0C65">
            <w:pPr>
              <w:spacing w:after="0" w:line="360" w:lineRule="auto"/>
            </w:pPr>
            <w:r w:rsidRPr="00591BFC">
              <w:t>1.5</w:t>
            </w:r>
          </w:p>
        </w:tc>
        <w:tc>
          <w:tcPr>
            <w:tcW w:w="757" w:type="dxa"/>
            <w:shd w:val="clear" w:color="auto" w:fill="auto"/>
          </w:tcPr>
          <w:p w14:paraId="65C2186B" w14:textId="77777777" w:rsidR="00BF0C65" w:rsidRPr="00591BFC" w:rsidRDefault="00BF0C65" w:rsidP="00BF0C65">
            <w:pPr>
              <w:spacing w:after="0" w:line="360" w:lineRule="auto"/>
            </w:pPr>
            <w:r w:rsidRPr="00591BFC">
              <w:t>1.5</w:t>
            </w:r>
          </w:p>
        </w:tc>
        <w:tc>
          <w:tcPr>
            <w:tcW w:w="757" w:type="dxa"/>
            <w:shd w:val="clear" w:color="auto" w:fill="auto"/>
          </w:tcPr>
          <w:p w14:paraId="622FAD84" w14:textId="77777777" w:rsidR="00BF0C65" w:rsidRPr="00591BFC" w:rsidRDefault="00BF0C65" w:rsidP="00BF0C65">
            <w:pPr>
              <w:spacing w:after="0" w:line="360" w:lineRule="auto"/>
            </w:pPr>
            <w:r w:rsidRPr="00591BFC">
              <w:t>1.5</w:t>
            </w:r>
          </w:p>
        </w:tc>
        <w:tc>
          <w:tcPr>
            <w:tcW w:w="756" w:type="dxa"/>
            <w:shd w:val="clear" w:color="auto" w:fill="auto"/>
          </w:tcPr>
          <w:p w14:paraId="5A208954" w14:textId="77777777" w:rsidR="00BF0C65" w:rsidRPr="00591BFC" w:rsidRDefault="00BF0C65" w:rsidP="00BF0C65">
            <w:pPr>
              <w:spacing w:after="0" w:line="360" w:lineRule="auto"/>
            </w:pPr>
            <w:r w:rsidRPr="00591BFC">
              <w:t>1.5</w:t>
            </w:r>
          </w:p>
        </w:tc>
        <w:tc>
          <w:tcPr>
            <w:tcW w:w="756" w:type="dxa"/>
            <w:shd w:val="clear" w:color="auto" w:fill="auto"/>
          </w:tcPr>
          <w:p w14:paraId="2D413655" w14:textId="77777777" w:rsidR="00BF0C65" w:rsidRPr="00591BFC" w:rsidRDefault="00BF0C65" w:rsidP="00BF0C65">
            <w:pPr>
              <w:spacing w:after="0" w:line="360" w:lineRule="auto"/>
            </w:pPr>
            <w:r w:rsidRPr="00591BFC">
              <w:t>1.5</w:t>
            </w:r>
          </w:p>
        </w:tc>
        <w:tc>
          <w:tcPr>
            <w:tcW w:w="756" w:type="dxa"/>
            <w:shd w:val="clear" w:color="auto" w:fill="auto"/>
          </w:tcPr>
          <w:p w14:paraId="39CE140D" w14:textId="77777777" w:rsidR="00BF0C65" w:rsidRPr="00591BFC" w:rsidRDefault="00BF0C65" w:rsidP="00BF0C65">
            <w:pPr>
              <w:spacing w:after="0" w:line="360" w:lineRule="auto"/>
            </w:pPr>
            <w:r w:rsidRPr="00591BFC">
              <w:t>1.5</w:t>
            </w:r>
          </w:p>
        </w:tc>
        <w:tc>
          <w:tcPr>
            <w:tcW w:w="756" w:type="dxa"/>
            <w:tcBorders>
              <w:bottom w:val="single" w:sz="4" w:space="0" w:color="auto"/>
            </w:tcBorders>
            <w:shd w:val="clear" w:color="auto" w:fill="auto"/>
          </w:tcPr>
          <w:p w14:paraId="31E400E7" w14:textId="77777777" w:rsidR="00BF0C65" w:rsidRPr="00591BFC" w:rsidRDefault="00BF0C65" w:rsidP="00BF0C65">
            <w:pPr>
              <w:spacing w:after="0" w:line="360" w:lineRule="auto"/>
            </w:pPr>
            <w:r w:rsidRPr="00591BFC">
              <w:t>1.5</w:t>
            </w:r>
          </w:p>
        </w:tc>
        <w:tc>
          <w:tcPr>
            <w:tcW w:w="756" w:type="dxa"/>
            <w:shd w:val="clear" w:color="auto" w:fill="auto"/>
          </w:tcPr>
          <w:p w14:paraId="13037104" w14:textId="77777777" w:rsidR="00BF0C65" w:rsidRPr="00591BFC" w:rsidRDefault="00BF0C65" w:rsidP="00BF0C65">
            <w:pPr>
              <w:spacing w:after="0" w:line="360" w:lineRule="auto"/>
            </w:pPr>
            <w:r w:rsidRPr="00591BFC">
              <w:t>4.5*</w:t>
            </w:r>
          </w:p>
        </w:tc>
        <w:tc>
          <w:tcPr>
            <w:tcW w:w="756" w:type="dxa"/>
            <w:shd w:val="clear" w:color="auto" w:fill="auto"/>
          </w:tcPr>
          <w:p w14:paraId="06136ACB" w14:textId="77777777" w:rsidR="00BF0C65" w:rsidRPr="00591BFC" w:rsidRDefault="00BF0C65" w:rsidP="00BF0C65">
            <w:pPr>
              <w:spacing w:after="0" w:line="360" w:lineRule="auto"/>
            </w:pPr>
            <w:r w:rsidRPr="00591BFC">
              <w:t>4.5</w:t>
            </w:r>
          </w:p>
        </w:tc>
        <w:tc>
          <w:tcPr>
            <w:tcW w:w="745" w:type="dxa"/>
            <w:shd w:val="clear" w:color="auto" w:fill="auto"/>
          </w:tcPr>
          <w:p w14:paraId="31F49409" w14:textId="77777777" w:rsidR="00BF0C65" w:rsidRPr="00591BFC" w:rsidRDefault="00BF0C65" w:rsidP="00BF0C65">
            <w:pPr>
              <w:spacing w:after="0" w:line="360" w:lineRule="auto"/>
            </w:pPr>
            <w:r w:rsidRPr="00591BFC">
              <w:t>4.5</w:t>
            </w:r>
          </w:p>
        </w:tc>
      </w:tr>
      <w:tr w:rsidR="00BF0C65" w:rsidRPr="00591BFC" w14:paraId="77D88F1A" w14:textId="77777777" w:rsidTr="00BF0C65">
        <w:tc>
          <w:tcPr>
            <w:tcW w:w="973" w:type="dxa"/>
            <w:shd w:val="clear" w:color="auto" w:fill="auto"/>
          </w:tcPr>
          <w:p w14:paraId="400C6ADF" w14:textId="77777777" w:rsidR="00BF0C65" w:rsidRPr="00591BFC" w:rsidRDefault="00BF0C65" w:rsidP="00BF0C65">
            <w:pPr>
              <w:spacing w:after="0" w:line="360" w:lineRule="auto"/>
              <w:rPr>
                <w:b/>
              </w:rPr>
            </w:pPr>
          </w:p>
        </w:tc>
        <w:tc>
          <w:tcPr>
            <w:tcW w:w="716" w:type="dxa"/>
            <w:shd w:val="clear" w:color="auto" w:fill="auto"/>
          </w:tcPr>
          <w:p w14:paraId="376CC607" w14:textId="77777777" w:rsidR="00BF0C65" w:rsidRPr="00591BFC" w:rsidRDefault="00BF0C65" w:rsidP="00BF0C65">
            <w:pPr>
              <w:spacing w:after="0" w:line="360" w:lineRule="auto"/>
              <w:rPr>
                <w:b/>
                <w:vertAlign w:val="superscript"/>
              </w:rPr>
            </w:pPr>
            <w:r w:rsidRPr="00591BFC">
              <w:rPr>
                <w:b/>
              </w:rPr>
              <w:t>FLN</w:t>
            </w:r>
          </w:p>
        </w:tc>
        <w:tc>
          <w:tcPr>
            <w:tcW w:w="758" w:type="dxa"/>
            <w:shd w:val="clear" w:color="auto" w:fill="auto"/>
          </w:tcPr>
          <w:p w14:paraId="62F5CC4A" w14:textId="77777777" w:rsidR="00BF0C65" w:rsidRPr="00591BFC" w:rsidRDefault="00BF0C65" w:rsidP="00BF0C65">
            <w:pPr>
              <w:spacing w:after="0" w:line="360" w:lineRule="auto"/>
            </w:pPr>
            <w:r w:rsidRPr="00591BFC">
              <w:t>8.8</w:t>
            </w:r>
          </w:p>
        </w:tc>
        <w:tc>
          <w:tcPr>
            <w:tcW w:w="757" w:type="dxa"/>
            <w:shd w:val="clear" w:color="auto" w:fill="auto"/>
          </w:tcPr>
          <w:p w14:paraId="0AAB133F" w14:textId="77777777" w:rsidR="00BF0C65" w:rsidRPr="00591BFC" w:rsidRDefault="00BF0C65" w:rsidP="00BF0C65">
            <w:pPr>
              <w:spacing w:after="0" w:line="360" w:lineRule="auto"/>
            </w:pPr>
            <w:r w:rsidRPr="00591BFC">
              <w:t>8.8</w:t>
            </w:r>
          </w:p>
        </w:tc>
        <w:tc>
          <w:tcPr>
            <w:tcW w:w="757" w:type="dxa"/>
            <w:shd w:val="clear" w:color="auto" w:fill="auto"/>
          </w:tcPr>
          <w:p w14:paraId="600DFBA0" w14:textId="77777777" w:rsidR="00BF0C65" w:rsidRPr="00591BFC" w:rsidRDefault="00BF0C65" w:rsidP="00BF0C65">
            <w:pPr>
              <w:spacing w:after="0" w:line="360" w:lineRule="auto"/>
            </w:pPr>
            <w:r w:rsidRPr="00591BFC">
              <w:t>8.8</w:t>
            </w:r>
          </w:p>
        </w:tc>
        <w:tc>
          <w:tcPr>
            <w:tcW w:w="756" w:type="dxa"/>
            <w:shd w:val="clear" w:color="auto" w:fill="auto"/>
          </w:tcPr>
          <w:p w14:paraId="137B1B9E" w14:textId="77777777" w:rsidR="00BF0C65" w:rsidRPr="00591BFC" w:rsidRDefault="00BF0C65" w:rsidP="00BF0C65">
            <w:pPr>
              <w:spacing w:after="0" w:line="360" w:lineRule="auto"/>
            </w:pPr>
            <w:r w:rsidRPr="00591BFC">
              <w:t>8.8</w:t>
            </w:r>
          </w:p>
        </w:tc>
        <w:tc>
          <w:tcPr>
            <w:tcW w:w="756" w:type="dxa"/>
            <w:shd w:val="clear" w:color="auto" w:fill="auto"/>
          </w:tcPr>
          <w:p w14:paraId="74DF44DA" w14:textId="77777777" w:rsidR="00BF0C65" w:rsidRPr="00591BFC" w:rsidRDefault="00BF0C65" w:rsidP="00BF0C65">
            <w:pPr>
              <w:spacing w:after="0" w:line="360" w:lineRule="auto"/>
            </w:pPr>
            <w:r w:rsidRPr="00591BFC">
              <w:t>8.8</w:t>
            </w:r>
          </w:p>
        </w:tc>
        <w:tc>
          <w:tcPr>
            <w:tcW w:w="756" w:type="dxa"/>
            <w:shd w:val="clear" w:color="auto" w:fill="auto"/>
          </w:tcPr>
          <w:p w14:paraId="346151D6" w14:textId="77777777" w:rsidR="00BF0C65" w:rsidRPr="00591BFC" w:rsidRDefault="00BF0C65" w:rsidP="00BF0C65">
            <w:pPr>
              <w:spacing w:after="0" w:line="360" w:lineRule="auto"/>
            </w:pPr>
            <w:r w:rsidRPr="00591BFC">
              <w:t>0</w:t>
            </w:r>
          </w:p>
        </w:tc>
        <w:tc>
          <w:tcPr>
            <w:tcW w:w="756" w:type="dxa"/>
            <w:shd w:val="clear" w:color="auto" w:fill="auto"/>
          </w:tcPr>
          <w:p w14:paraId="148D554A" w14:textId="77777777" w:rsidR="00BF0C65" w:rsidRPr="00591BFC" w:rsidRDefault="00BF0C65" w:rsidP="00BF0C65">
            <w:pPr>
              <w:spacing w:after="0" w:line="360" w:lineRule="auto"/>
            </w:pPr>
            <w:r w:rsidRPr="00591BFC">
              <w:t>0</w:t>
            </w:r>
          </w:p>
        </w:tc>
        <w:tc>
          <w:tcPr>
            <w:tcW w:w="756" w:type="dxa"/>
            <w:shd w:val="clear" w:color="auto" w:fill="auto"/>
          </w:tcPr>
          <w:p w14:paraId="0D0DA37F" w14:textId="77777777" w:rsidR="00BF0C65" w:rsidRPr="00591BFC" w:rsidRDefault="00BF0C65" w:rsidP="00BF0C65">
            <w:pPr>
              <w:spacing w:after="0" w:line="360" w:lineRule="auto"/>
            </w:pPr>
            <w:r w:rsidRPr="00591BFC">
              <w:t>0</w:t>
            </w:r>
          </w:p>
        </w:tc>
        <w:tc>
          <w:tcPr>
            <w:tcW w:w="756" w:type="dxa"/>
            <w:shd w:val="clear" w:color="auto" w:fill="auto"/>
          </w:tcPr>
          <w:p w14:paraId="5F45E7AC" w14:textId="77777777" w:rsidR="00BF0C65" w:rsidRPr="00591BFC" w:rsidRDefault="00BF0C65" w:rsidP="00BF0C65">
            <w:pPr>
              <w:spacing w:after="0" w:line="360" w:lineRule="auto"/>
            </w:pPr>
            <w:r w:rsidRPr="00591BFC">
              <w:t>0</w:t>
            </w:r>
          </w:p>
        </w:tc>
        <w:tc>
          <w:tcPr>
            <w:tcW w:w="745" w:type="dxa"/>
            <w:shd w:val="clear" w:color="auto" w:fill="auto"/>
          </w:tcPr>
          <w:p w14:paraId="17D59597" w14:textId="77777777" w:rsidR="00BF0C65" w:rsidRPr="00591BFC" w:rsidRDefault="00BF0C65" w:rsidP="00BF0C65">
            <w:pPr>
              <w:spacing w:after="0" w:line="360" w:lineRule="auto"/>
            </w:pPr>
            <w:r w:rsidRPr="00591BFC">
              <w:t>0</w:t>
            </w:r>
          </w:p>
        </w:tc>
      </w:tr>
      <w:tr w:rsidR="00BF0C65" w:rsidRPr="00591BFC" w14:paraId="269048FD" w14:textId="77777777" w:rsidTr="00BF0C65">
        <w:tc>
          <w:tcPr>
            <w:tcW w:w="973" w:type="dxa"/>
            <w:shd w:val="clear" w:color="auto" w:fill="A6A6A6"/>
          </w:tcPr>
          <w:p w14:paraId="49F6E310" w14:textId="77777777" w:rsidR="00BF0C65" w:rsidRPr="00591BFC" w:rsidRDefault="00BF0C65" w:rsidP="00BF0C65">
            <w:pPr>
              <w:spacing w:after="0" w:line="360" w:lineRule="auto"/>
              <w:rPr>
                <w:b/>
                <w:sz w:val="10"/>
              </w:rPr>
            </w:pPr>
          </w:p>
        </w:tc>
        <w:tc>
          <w:tcPr>
            <w:tcW w:w="716" w:type="dxa"/>
            <w:shd w:val="clear" w:color="auto" w:fill="A6A6A6"/>
          </w:tcPr>
          <w:p w14:paraId="1F71B827" w14:textId="77777777" w:rsidR="00BF0C65" w:rsidRPr="00591BFC" w:rsidRDefault="00BF0C65" w:rsidP="00BF0C65">
            <w:pPr>
              <w:spacing w:after="0" w:line="360" w:lineRule="auto"/>
              <w:rPr>
                <w:b/>
                <w:sz w:val="10"/>
              </w:rPr>
            </w:pPr>
          </w:p>
        </w:tc>
        <w:tc>
          <w:tcPr>
            <w:tcW w:w="758" w:type="dxa"/>
            <w:shd w:val="clear" w:color="auto" w:fill="A6A6A6"/>
          </w:tcPr>
          <w:p w14:paraId="68B273C0" w14:textId="77777777" w:rsidR="00BF0C65" w:rsidRPr="00591BFC" w:rsidRDefault="00BF0C65" w:rsidP="00BF0C65">
            <w:pPr>
              <w:spacing w:after="0" w:line="360" w:lineRule="auto"/>
              <w:rPr>
                <w:sz w:val="10"/>
              </w:rPr>
            </w:pPr>
          </w:p>
        </w:tc>
        <w:tc>
          <w:tcPr>
            <w:tcW w:w="757" w:type="dxa"/>
            <w:shd w:val="clear" w:color="auto" w:fill="A6A6A6"/>
          </w:tcPr>
          <w:p w14:paraId="210F86CF" w14:textId="77777777" w:rsidR="00BF0C65" w:rsidRPr="00591BFC" w:rsidRDefault="00BF0C65" w:rsidP="00BF0C65">
            <w:pPr>
              <w:spacing w:after="0" w:line="360" w:lineRule="auto"/>
              <w:rPr>
                <w:sz w:val="10"/>
              </w:rPr>
            </w:pPr>
          </w:p>
        </w:tc>
        <w:tc>
          <w:tcPr>
            <w:tcW w:w="757" w:type="dxa"/>
            <w:shd w:val="clear" w:color="auto" w:fill="A6A6A6"/>
          </w:tcPr>
          <w:p w14:paraId="6BB388EA" w14:textId="77777777" w:rsidR="00BF0C65" w:rsidRPr="00591BFC" w:rsidRDefault="00BF0C65" w:rsidP="00BF0C65">
            <w:pPr>
              <w:spacing w:after="0" w:line="360" w:lineRule="auto"/>
              <w:rPr>
                <w:sz w:val="10"/>
              </w:rPr>
            </w:pPr>
          </w:p>
        </w:tc>
        <w:tc>
          <w:tcPr>
            <w:tcW w:w="756" w:type="dxa"/>
            <w:shd w:val="clear" w:color="auto" w:fill="A6A6A6"/>
          </w:tcPr>
          <w:p w14:paraId="6198716A" w14:textId="77777777" w:rsidR="00BF0C65" w:rsidRPr="00591BFC" w:rsidRDefault="00BF0C65" w:rsidP="00BF0C65">
            <w:pPr>
              <w:spacing w:after="0" w:line="360" w:lineRule="auto"/>
              <w:rPr>
                <w:sz w:val="10"/>
              </w:rPr>
            </w:pPr>
          </w:p>
        </w:tc>
        <w:tc>
          <w:tcPr>
            <w:tcW w:w="756" w:type="dxa"/>
            <w:shd w:val="clear" w:color="auto" w:fill="A6A6A6"/>
          </w:tcPr>
          <w:p w14:paraId="3043EBD1" w14:textId="77777777" w:rsidR="00BF0C65" w:rsidRPr="00591BFC" w:rsidRDefault="00BF0C65" w:rsidP="00BF0C65">
            <w:pPr>
              <w:spacing w:after="0" w:line="360" w:lineRule="auto"/>
              <w:rPr>
                <w:sz w:val="10"/>
              </w:rPr>
            </w:pPr>
          </w:p>
        </w:tc>
        <w:tc>
          <w:tcPr>
            <w:tcW w:w="756" w:type="dxa"/>
            <w:shd w:val="clear" w:color="auto" w:fill="A6A6A6"/>
          </w:tcPr>
          <w:p w14:paraId="38BA7184" w14:textId="77777777" w:rsidR="00BF0C65" w:rsidRPr="00591BFC" w:rsidRDefault="00BF0C65" w:rsidP="00BF0C65">
            <w:pPr>
              <w:spacing w:after="0" w:line="360" w:lineRule="auto"/>
              <w:rPr>
                <w:sz w:val="10"/>
              </w:rPr>
            </w:pPr>
          </w:p>
        </w:tc>
        <w:tc>
          <w:tcPr>
            <w:tcW w:w="756" w:type="dxa"/>
            <w:shd w:val="clear" w:color="auto" w:fill="A6A6A6"/>
          </w:tcPr>
          <w:p w14:paraId="63A19E75" w14:textId="77777777" w:rsidR="00BF0C65" w:rsidRPr="00591BFC" w:rsidRDefault="00BF0C65" w:rsidP="00BF0C65">
            <w:pPr>
              <w:spacing w:after="0" w:line="360" w:lineRule="auto"/>
              <w:rPr>
                <w:sz w:val="10"/>
              </w:rPr>
            </w:pPr>
          </w:p>
        </w:tc>
        <w:tc>
          <w:tcPr>
            <w:tcW w:w="756" w:type="dxa"/>
            <w:shd w:val="clear" w:color="auto" w:fill="A6A6A6"/>
          </w:tcPr>
          <w:p w14:paraId="4A48CF9C" w14:textId="77777777" w:rsidR="00BF0C65" w:rsidRPr="00591BFC" w:rsidRDefault="00BF0C65" w:rsidP="00BF0C65">
            <w:pPr>
              <w:spacing w:after="0" w:line="360" w:lineRule="auto"/>
              <w:rPr>
                <w:sz w:val="10"/>
              </w:rPr>
            </w:pPr>
          </w:p>
        </w:tc>
        <w:tc>
          <w:tcPr>
            <w:tcW w:w="756" w:type="dxa"/>
            <w:shd w:val="clear" w:color="auto" w:fill="A6A6A6"/>
          </w:tcPr>
          <w:p w14:paraId="66517D18" w14:textId="77777777" w:rsidR="00BF0C65" w:rsidRPr="00591BFC" w:rsidRDefault="00BF0C65" w:rsidP="00BF0C65">
            <w:pPr>
              <w:spacing w:after="0" w:line="360" w:lineRule="auto"/>
              <w:rPr>
                <w:sz w:val="10"/>
              </w:rPr>
            </w:pPr>
          </w:p>
        </w:tc>
        <w:tc>
          <w:tcPr>
            <w:tcW w:w="745" w:type="dxa"/>
            <w:shd w:val="clear" w:color="auto" w:fill="A6A6A6"/>
          </w:tcPr>
          <w:p w14:paraId="5F38F15C" w14:textId="77777777" w:rsidR="00BF0C65" w:rsidRPr="00591BFC" w:rsidRDefault="00BF0C65" w:rsidP="00BF0C65">
            <w:pPr>
              <w:spacing w:after="0" w:line="360" w:lineRule="auto"/>
              <w:rPr>
                <w:sz w:val="10"/>
              </w:rPr>
            </w:pPr>
          </w:p>
        </w:tc>
      </w:tr>
      <w:tr w:rsidR="00BF0C65" w:rsidRPr="00591BFC" w14:paraId="2413C083" w14:textId="77777777" w:rsidTr="00BF0C65">
        <w:tc>
          <w:tcPr>
            <w:tcW w:w="973" w:type="dxa"/>
            <w:shd w:val="clear" w:color="auto" w:fill="auto"/>
          </w:tcPr>
          <w:p w14:paraId="084CE156" w14:textId="77777777" w:rsidR="00BF0C65" w:rsidRPr="00591BFC" w:rsidRDefault="00BF0C65" w:rsidP="00BF0C65">
            <w:pPr>
              <w:spacing w:after="0" w:line="360" w:lineRule="auto"/>
              <w:rPr>
                <w:b/>
              </w:rPr>
            </w:pPr>
            <w:r w:rsidRPr="00591BFC">
              <w:rPr>
                <w:b/>
              </w:rPr>
              <w:t>6</w:t>
            </w:r>
          </w:p>
        </w:tc>
        <w:tc>
          <w:tcPr>
            <w:tcW w:w="716" w:type="dxa"/>
            <w:shd w:val="clear" w:color="auto" w:fill="auto"/>
          </w:tcPr>
          <w:p w14:paraId="086D6867" w14:textId="77777777" w:rsidR="00BF0C65" w:rsidRPr="00591BFC" w:rsidRDefault="00BF0C65" w:rsidP="00BF0C65">
            <w:pPr>
              <w:spacing w:after="0" w:line="360" w:lineRule="auto"/>
              <w:rPr>
                <w:b/>
              </w:rPr>
            </w:pPr>
            <w:r w:rsidRPr="00591BFC">
              <w:rPr>
                <w:b/>
              </w:rPr>
              <w:t>OG</w:t>
            </w:r>
          </w:p>
        </w:tc>
        <w:tc>
          <w:tcPr>
            <w:tcW w:w="758" w:type="dxa"/>
            <w:shd w:val="clear" w:color="auto" w:fill="auto"/>
          </w:tcPr>
          <w:p w14:paraId="684AE7D2" w14:textId="77777777" w:rsidR="00BF0C65" w:rsidRPr="00591BFC" w:rsidRDefault="00BF0C65" w:rsidP="00BF0C65">
            <w:pPr>
              <w:spacing w:after="0" w:line="360" w:lineRule="auto"/>
            </w:pPr>
            <w:r w:rsidRPr="00591BFC">
              <w:t>0</w:t>
            </w:r>
          </w:p>
        </w:tc>
        <w:tc>
          <w:tcPr>
            <w:tcW w:w="757" w:type="dxa"/>
            <w:shd w:val="clear" w:color="auto" w:fill="auto"/>
          </w:tcPr>
          <w:p w14:paraId="1CAC4A2B" w14:textId="77777777" w:rsidR="00BF0C65" w:rsidRPr="00591BFC" w:rsidRDefault="00BF0C65" w:rsidP="00BF0C65">
            <w:pPr>
              <w:spacing w:after="0" w:line="360" w:lineRule="auto"/>
            </w:pPr>
            <w:r w:rsidRPr="00591BFC">
              <w:t>0</w:t>
            </w:r>
          </w:p>
        </w:tc>
        <w:tc>
          <w:tcPr>
            <w:tcW w:w="757" w:type="dxa"/>
            <w:tcBorders>
              <w:bottom w:val="single" w:sz="4" w:space="0" w:color="auto"/>
            </w:tcBorders>
            <w:shd w:val="clear" w:color="auto" w:fill="auto"/>
          </w:tcPr>
          <w:p w14:paraId="18A61629" w14:textId="77777777" w:rsidR="00BF0C65" w:rsidRPr="00591BFC" w:rsidRDefault="00BF0C65" w:rsidP="00BF0C65">
            <w:pPr>
              <w:spacing w:after="0" w:line="360" w:lineRule="auto"/>
            </w:pPr>
            <w:r w:rsidRPr="00591BFC">
              <w:t>2.1</w:t>
            </w:r>
          </w:p>
        </w:tc>
        <w:tc>
          <w:tcPr>
            <w:tcW w:w="756" w:type="dxa"/>
            <w:tcBorders>
              <w:bottom w:val="single" w:sz="4" w:space="0" w:color="auto"/>
            </w:tcBorders>
            <w:shd w:val="clear" w:color="auto" w:fill="auto"/>
          </w:tcPr>
          <w:p w14:paraId="36ACE1C3" w14:textId="77777777" w:rsidR="00BF0C65" w:rsidRPr="00591BFC" w:rsidRDefault="00BF0C65" w:rsidP="00BF0C65">
            <w:pPr>
              <w:spacing w:after="0" w:line="360" w:lineRule="auto"/>
            </w:pPr>
            <w:r w:rsidRPr="00591BFC">
              <w:t>2.1</w:t>
            </w:r>
          </w:p>
        </w:tc>
        <w:tc>
          <w:tcPr>
            <w:tcW w:w="756" w:type="dxa"/>
            <w:tcBorders>
              <w:bottom w:val="single" w:sz="4" w:space="0" w:color="auto"/>
            </w:tcBorders>
            <w:shd w:val="clear" w:color="auto" w:fill="auto"/>
          </w:tcPr>
          <w:p w14:paraId="215DB887" w14:textId="77777777" w:rsidR="00BF0C65" w:rsidRPr="00591BFC" w:rsidRDefault="00BF0C65" w:rsidP="00BF0C65">
            <w:pPr>
              <w:spacing w:after="0" w:line="360" w:lineRule="auto"/>
            </w:pPr>
            <w:r w:rsidRPr="00591BFC">
              <w:t>2.1</w:t>
            </w:r>
          </w:p>
        </w:tc>
        <w:tc>
          <w:tcPr>
            <w:tcW w:w="756" w:type="dxa"/>
            <w:tcBorders>
              <w:bottom w:val="single" w:sz="4" w:space="0" w:color="auto"/>
            </w:tcBorders>
            <w:shd w:val="clear" w:color="auto" w:fill="auto"/>
          </w:tcPr>
          <w:p w14:paraId="237CDFD9" w14:textId="77777777" w:rsidR="00BF0C65" w:rsidRPr="00591BFC" w:rsidRDefault="00BF0C65" w:rsidP="00BF0C65">
            <w:pPr>
              <w:spacing w:after="0" w:line="360" w:lineRule="auto"/>
            </w:pPr>
            <w:r w:rsidRPr="00591BFC">
              <w:t>2.1</w:t>
            </w:r>
          </w:p>
        </w:tc>
        <w:tc>
          <w:tcPr>
            <w:tcW w:w="756" w:type="dxa"/>
            <w:tcBorders>
              <w:bottom w:val="single" w:sz="4" w:space="0" w:color="auto"/>
            </w:tcBorders>
            <w:shd w:val="clear" w:color="auto" w:fill="auto"/>
          </w:tcPr>
          <w:p w14:paraId="08A44248" w14:textId="77777777" w:rsidR="00BF0C65" w:rsidRPr="00591BFC" w:rsidRDefault="00BF0C65" w:rsidP="00BF0C65">
            <w:pPr>
              <w:spacing w:after="0" w:line="360" w:lineRule="auto"/>
            </w:pPr>
            <w:r w:rsidRPr="00591BFC">
              <w:t>2.1</w:t>
            </w:r>
          </w:p>
        </w:tc>
        <w:tc>
          <w:tcPr>
            <w:tcW w:w="756" w:type="dxa"/>
            <w:tcBorders>
              <w:bottom w:val="single" w:sz="4" w:space="0" w:color="auto"/>
            </w:tcBorders>
            <w:shd w:val="clear" w:color="auto" w:fill="auto"/>
          </w:tcPr>
          <w:p w14:paraId="208F6B59" w14:textId="77777777" w:rsidR="00BF0C65" w:rsidRPr="00591BFC" w:rsidRDefault="00BF0C65" w:rsidP="00BF0C65">
            <w:pPr>
              <w:spacing w:after="0" w:line="360" w:lineRule="auto"/>
            </w:pPr>
            <w:r w:rsidRPr="00591BFC">
              <w:t>2.1</w:t>
            </w:r>
          </w:p>
        </w:tc>
        <w:tc>
          <w:tcPr>
            <w:tcW w:w="756" w:type="dxa"/>
            <w:shd w:val="clear" w:color="auto" w:fill="auto"/>
          </w:tcPr>
          <w:p w14:paraId="3915E8BC" w14:textId="77777777" w:rsidR="00BF0C65" w:rsidRPr="00591BFC" w:rsidRDefault="00BF0C65" w:rsidP="00BF0C65">
            <w:pPr>
              <w:spacing w:after="0" w:line="360" w:lineRule="auto"/>
            </w:pPr>
            <w:r w:rsidRPr="00591BFC">
              <w:t>2.1</w:t>
            </w:r>
          </w:p>
        </w:tc>
        <w:tc>
          <w:tcPr>
            <w:tcW w:w="745" w:type="dxa"/>
            <w:shd w:val="clear" w:color="auto" w:fill="auto"/>
          </w:tcPr>
          <w:p w14:paraId="188E3F01" w14:textId="77777777" w:rsidR="00BF0C65" w:rsidRPr="00591BFC" w:rsidRDefault="00BF0C65" w:rsidP="00BF0C65">
            <w:pPr>
              <w:spacing w:after="0" w:line="360" w:lineRule="auto"/>
            </w:pPr>
            <w:r w:rsidRPr="00591BFC">
              <w:t>2.1</w:t>
            </w:r>
          </w:p>
        </w:tc>
      </w:tr>
      <w:tr w:rsidR="00BF0C65" w:rsidRPr="00591BFC" w14:paraId="1CCE0A1F" w14:textId="77777777" w:rsidTr="00BF0C65">
        <w:tc>
          <w:tcPr>
            <w:tcW w:w="973" w:type="dxa"/>
            <w:tcBorders>
              <w:bottom w:val="single" w:sz="4" w:space="0" w:color="auto"/>
            </w:tcBorders>
            <w:shd w:val="clear" w:color="auto" w:fill="auto"/>
          </w:tcPr>
          <w:p w14:paraId="24CD2F71" w14:textId="77777777" w:rsidR="00BF0C65" w:rsidRPr="00591BFC" w:rsidRDefault="00BF0C65" w:rsidP="00BF0C65">
            <w:pPr>
              <w:spacing w:after="0" w:line="360" w:lineRule="auto"/>
              <w:rPr>
                <w:b/>
              </w:rPr>
            </w:pPr>
          </w:p>
        </w:tc>
        <w:tc>
          <w:tcPr>
            <w:tcW w:w="716" w:type="dxa"/>
            <w:tcBorders>
              <w:bottom w:val="single" w:sz="4" w:space="0" w:color="auto"/>
            </w:tcBorders>
            <w:shd w:val="clear" w:color="auto" w:fill="auto"/>
          </w:tcPr>
          <w:p w14:paraId="6EA1D153" w14:textId="77777777" w:rsidR="00BF0C65" w:rsidRPr="00591BFC" w:rsidRDefault="00BF0C65" w:rsidP="00BF0C65">
            <w:pPr>
              <w:spacing w:after="0" w:line="360" w:lineRule="auto"/>
              <w:rPr>
                <w:b/>
                <w:vertAlign w:val="superscript"/>
              </w:rPr>
            </w:pPr>
            <w:r w:rsidRPr="00591BFC">
              <w:rPr>
                <w:b/>
              </w:rPr>
              <w:t>FLN</w:t>
            </w:r>
          </w:p>
        </w:tc>
        <w:tc>
          <w:tcPr>
            <w:tcW w:w="758" w:type="dxa"/>
            <w:tcBorders>
              <w:bottom w:val="single" w:sz="4" w:space="0" w:color="auto"/>
            </w:tcBorders>
            <w:shd w:val="clear" w:color="auto" w:fill="auto"/>
          </w:tcPr>
          <w:p w14:paraId="50E83DBC" w14:textId="77777777" w:rsidR="00BF0C65" w:rsidRPr="00591BFC" w:rsidRDefault="00BF0C65" w:rsidP="00BF0C65">
            <w:pPr>
              <w:spacing w:after="0" w:line="360" w:lineRule="auto"/>
            </w:pPr>
            <w:r w:rsidRPr="00591BFC">
              <w:t>0</w:t>
            </w:r>
          </w:p>
        </w:tc>
        <w:tc>
          <w:tcPr>
            <w:tcW w:w="757" w:type="dxa"/>
            <w:tcBorders>
              <w:bottom w:val="single" w:sz="4" w:space="0" w:color="auto"/>
            </w:tcBorders>
            <w:shd w:val="clear" w:color="auto" w:fill="auto"/>
          </w:tcPr>
          <w:p w14:paraId="78953461" w14:textId="77777777" w:rsidR="00BF0C65" w:rsidRPr="00591BFC" w:rsidRDefault="00BF0C65" w:rsidP="00BF0C65">
            <w:pPr>
              <w:spacing w:after="0" w:line="360" w:lineRule="auto"/>
            </w:pPr>
            <w:r w:rsidRPr="00591BFC">
              <w:t>0</w:t>
            </w:r>
          </w:p>
        </w:tc>
        <w:tc>
          <w:tcPr>
            <w:tcW w:w="757" w:type="dxa"/>
            <w:tcBorders>
              <w:bottom w:val="single" w:sz="4" w:space="0" w:color="auto"/>
            </w:tcBorders>
            <w:shd w:val="clear" w:color="auto" w:fill="auto"/>
          </w:tcPr>
          <w:p w14:paraId="0F075A56"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28215AB4"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22A16D7B"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25F1C31B"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46D697DC"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318C9D7A"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7A8220E4" w14:textId="77777777" w:rsidR="00BF0C65" w:rsidRPr="00591BFC" w:rsidRDefault="00BF0C65" w:rsidP="00BF0C65">
            <w:pPr>
              <w:spacing w:after="0" w:line="360" w:lineRule="auto"/>
            </w:pPr>
            <w:r w:rsidRPr="00591BFC">
              <w:t>4</w:t>
            </w:r>
          </w:p>
        </w:tc>
        <w:tc>
          <w:tcPr>
            <w:tcW w:w="745" w:type="dxa"/>
            <w:tcBorders>
              <w:bottom w:val="single" w:sz="4" w:space="0" w:color="auto"/>
            </w:tcBorders>
            <w:shd w:val="clear" w:color="auto" w:fill="auto"/>
          </w:tcPr>
          <w:p w14:paraId="6D34C748" w14:textId="77777777" w:rsidR="00BF0C65" w:rsidRPr="00591BFC" w:rsidRDefault="00BF0C65" w:rsidP="00BF0C65">
            <w:pPr>
              <w:spacing w:after="0" w:line="360" w:lineRule="auto"/>
            </w:pPr>
            <w:r w:rsidRPr="00591BFC">
              <w:t>4</w:t>
            </w:r>
          </w:p>
        </w:tc>
      </w:tr>
      <w:tr w:rsidR="00BF0C65" w:rsidRPr="00591BFC" w14:paraId="19930775" w14:textId="77777777" w:rsidTr="00BF0C65">
        <w:tc>
          <w:tcPr>
            <w:tcW w:w="973" w:type="dxa"/>
            <w:shd w:val="clear" w:color="auto" w:fill="A6A6A6"/>
          </w:tcPr>
          <w:p w14:paraId="27670F92" w14:textId="77777777" w:rsidR="00BF0C65" w:rsidRPr="00591BFC" w:rsidRDefault="00BF0C65" w:rsidP="00BF0C65">
            <w:pPr>
              <w:spacing w:after="0" w:line="360" w:lineRule="auto"/>
              <w:rPr>
                <w:b/>
                <w:sz w:val="10"/>
              </w:rPr>
            </w:pPr>
          </w:p>
        </w:tc>
        <w:tc>
          <w:tcPr>
            <w:tcW w:w="716" w:type="dxa"/>
            <w:shd w:val="clear" w:color="auto" w:fill="A6A6A6"/>
          </w:tcPr>
          <w:p w14:paraId="37CD1261" w14:textId="77777777" w:rsidR="00BF0C65" w:rsidRPr="00591BFC" w:rsidRDefault="00BF0C65" w:rsidP="00BF0C65">
            <w:pPr>
              <w:spacing w:after="0" w:line="360" w:lineRule="auto"/>
              <w:rPr>
                <w:b/>
                <w:sz w:val="10"/>
              </w:rPr>
            </w:pPr>
          </w:p>
        </w:tc>
        <w:tc>
          <w:tcPr>
            <w:tcW w:w="758" w:type="dxa"/>
            <w:shd w:val="clear" w:color="auto" w:fill="A6A6A6"/>
          </w:tcPr>
          <w:p w14:paraId="5146F1DF" w14:textId="77777777" w:rsidR="00BF0C65" w:rsidRPr="00591BFC" w:rsidRDefault="00BF0C65" w:rsidP="00BF0C65">
            <w:pPr>
              <w:spacing w:after="0" w:line="360" w:lineRule="auto"/>
              <w:rPr>
                <w:sz w:val="10"/>
              </w:rPr>
            </w:pPr>
          </w:p>
        </w:tc>
        <w:tc>
          <w:tcPr>
            <w:tcW w:w="757" w:type="dxa"/>
            <w:shd w:val="clear" w:color="auto" w:fill="A6A6A6"/>
          </w:tcPr>
          <w:p w14:paraId="29B9E1AA" w14:textId="77777777" w:rsidR="00BF0C65" w:rsidRPr="00591BFC" w:rsidRDefault="00BF0C65" w:rsidP="00BF0C65">
            <w:pPr>
              <w:spacing w:after="0" w:line="360" w:lineRule="auto"/>
              <w:rPr>
                <w:sz w:val="10"/>
              </w:rPr>
            </w:pPr>
          </w:p>
        </w:tc>
        <w:tc>
          <w:tcPr>
            <w:tcW w:w="757" w:type="dxa"/>
            <w:shd w:val="clear" w:color="auto" w:fill="A6A6A6"/>
          </w:tcPr>
          <w:p w14:paraId="5B12EE94" w14:textId="77777777" w:rsidR="00BF0C65" w:rsidRPr="00591BFC" w:rsidRDefault="00BF0C65" w:rsidP="00BF0C65">
            <w:pPr>
              <w:spacing w:after="0" w:line="360" w:lineRule="auto"/>
              <w:rPr>
                <w:b/>
                <w:sz w:val="10"/>
              </w:rPr>
            </w:pPr>
          </w:p>
        </w:tc>
        <w:tc>
          <w:tcPr>
            <w:tcW w:w="756" w:type="dxa"/>
            <w:tcBorders>
              <w:bottom w:val="single" w:sz="4" w:space="0" w:color="auto"/>
            </w:tcBorders>
            <w:shd w:val="clear" w:color="auto" w:fill="A6A6A6"/>
          </w:tcPr>
          <w:p w14:paraId="005789F9"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3954BFA4"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0348DA8A"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1CF48779" w14:textId="77777777" w:rsidR="00BF0C65" w:rsidRPr="00591BFC" w:rsidRDefault="00BF0C65" w:rsidP="00BF0C65">
            <w:pPr>
              <w:spacing w:after="0" w:line="360" w:lineRule="auto"/>
              <w:rPr>
                <w:sz w:val="10"/>
              </w:rPr>
            </w:pPr>
          </w:p>
        </w:tc>
        <w:tc>
          <w:tcPr>
            <w:tcW w:w="756" w:type="dxa"/>
            <w:shd w:val="clear" w:color="auto" w:fill="A6A6A6"/>
          </w:tcPr>
          <w:p w14:paraId="6BFDEE4B" w14:textId="77777777" w:rsidR="00BF0C65" w:rsidRPr="00591BFC" w:rsidRDefault="00BF0C65" w:rsidP="00BF0C65">
            <w:pPr>
              <w:spacing w:after="0" w:line="360" w:lineRule="auto"/>
              <w:rPr>
                <w:sz w:val="10"/>
              </w:rPr>
            </w:pPr>
          </w:p>
        </w:tc>
        <w:tc>
          <w:tcPr>
            <w:tcW w:w="756" w:type="dxa"/>
            <w:shd w:val="clear" w:color="auto" w:fill="A6A6A6"/>
          </w:tcPr>
          <w:p w14:paraId="07ABB314" w14:textId="77777777" w:rsidR="00BF0C65" w:rsidRPr="00591BFC" w:rsidRDefault="00BF0C65" w:rsidP="00BF0C65">
            <w:pPr>
              <w:spacing w:after="0" w:line="360" w:lineRule="auto"/>
              <w:rPr>
                <w:sz w:val="10"/>
              </w:rPr>
            </w:pPr>
          </w:p>
        </w:tc>
        <w:tc>
          <w:tcPr>
            <w:tcW w:w="745" w:type="dxa"/>
            <w:shd w:val="clear" w:color="auto" w:fill="A6A6A6"/>
          </w:tcPr>
          <w:p w14:paraId="6101B53E" w14:textId="77777777" w:rsidR="00BF0C65" w:rsidRPr="00591BFC" w:rsidRDefault="00BF0C65" w:rsidP="00BF0C65">
            <w:pPr>
              <w:spacing w:after="0" w:line="360" w:lineRule="auto"/>
              <w:rPr>
                <w:sz w:val="10"/>
              </w:rPr>
            </w:pPr>
          </w:p>
        </w:tc>
      </w:tr>
      <w:tr w:rsidR="00BF0C65" w:rsidRPr="00591BFC" w14:paraId="3D7262BC" w14:textId="77777777" w:rsidTr="00BF0C65">
        <w:tc>
          <w:tcPr>
            <w:tcW w:w="973" w:type="dxa"/>
            <w:shd w:val="clear" w:color="auto" w:fill="auto"/>
          </w:tcPr>
          <w:p w14:paraId="3891D79D" w14:textId="77777777" w:rsidR="00BF0C65" w:rsidRPr="00591BFC" w:rsidRDefault="00BF0C65" w:rsidP="00BF0C65">
            <w:pPr>
              <w:spacing w:after="0" w:line="360" w:lineRule="auto"/>
              <w:rPr>
                <w:b/>
              </w:rPr>
            </w:pPr>
            <w:r w:rsidRPr="00591BFC">
              <w:rPr>
                <w:b/>
              </w:rPr>
              <w:t>7</w:t>
            </w:r>
          </w:p>
        </w:tc>
        <w:tc>
          <w:tcPr>
            <w:tcW w:w="716" w:type="dxa"/>
            <w:shd w:val="clear" w:color="auto" w:fill="auto"/>
          </w:tcPr>
          <w:p w14:paraId="4E098025" w14:textId="77777777" w:rsidR="00BF0C65" w:rsidRPr="00591BFC" w:rsidRDefault="00BF0C65" w:rsidP="00BF0C65">
            <w:pPr>
              <w:spacing w:after="0" w:line="360" w:lineRule="auto"/>
              <w:rPr>
                <w:b/>
              </w:rPr>
            </w:pPr>
            <w:r w:rsidRPr="00591BFC">
              <w:rPr>
                <w:b/>
              </w:rPr>
              <w:t>OG</w:t>
            </w:r>
          </w:p>
        </w:tc>
        <w:tc>
          <w:tcPr>
            <w:tcW w:w="758" w:type="dxa"/>
            <w:shd w:val="clear" w:color="auto" w:fill="auto"/>
          </w:tcPr>
          <w:p w14:paraId="5D85EAAC" w14:textId="77777777" w:rsidR="00BF0C65" w:rsidRPr="00591BFC" w:rsidRDefault="00BF0C65" w:rsidP="00BF0C65">
            <w:pPr>
              <w:spacing w:after="0" w:line="360" w:lineRule="auto"/>
            </w:pPr>
            <w:r w:rsidRPr="00591BFC">
              <w:t>0</w:t>
            </w:r>
          </w:p>
        </w:tc>
        <w:tc>
          <w:tcPr>
            <w:tcW w:w="757" w:type="dxa"/>
            <w:shd w:val="clear" w:color="auto" w:fill="auto"/>
          </w:tcPr>
          <w:p w14:paraId="7588C384" w14:textId="77777777" w:rsidR="00BF0C65" w:rsidRPr="00591BFC" w:rsidRDefault="00BF0C65" w:rsidP="00BF0C65">
            <w:pPr>
              <w:spacing w:after="0" w:line="360" w:lineRule="auto"/>
            </w:pPr>
            <w:r w:rsidRPr="00591BFC">
              <w:t>1.3</w:t>
            </w:r>
          </w:p>
        </w:tc>
        <w:tc>
          <w:tcPr>
            <w:tcW w:w="757" w:type="dxa"/>
            <w:shd w:val="clear" w:color="auto" w:fill="auto"/>
          </w:tcPr>
          <w:p w14:paraId="1AC18289" w14:textId="77777777" w:rsidR="00BF0C65" w:rsidRPr="00591BFC" w:rsidRDefault="00BF0C65" w:rsidP="00BF0C65">
            <w:pPr>
              <w:spacing w:after="0" w:line="360" w:lineRule="auto"/>
            </w:pPr>
            <w:r w:rsidRPr="00591BFC">
              <w:t>1.3</w:t>
            </w:r>
          </w:p>
        </w:tc>
        <w:tc>
          <w:tcPr>
            <w:tcW w:w="756" w:type="dxa"/>
            <w:shd w:val="clear" w:color="auto" w:fill="auto"/>
          </w:tcPr>
          <w:p w14:paraId="0CB984AF" w14:textId="77777777" w:rsidR="00BF0C65" w:rsidRPr="00591BFC" w:rsidRDefault="00BF0C65" w:rsidP="00BF0C65">
            <w:pPr>
              <w:spacing w:after="0" w:line="360" w:lineRule="auto"/>
            </w:pPr>
            <w:r w:rsidRPr="00591BFC">
              <w:t>1.3</w:t>
            </w:r>
          </w:p>
        </w:tc>
        <w:tc>
          <w:tcPr>
            <w:tcW w:w="756" w:type="dxa"/>
            <w:shd w:val="clear" w:color="auto" w:fill="auto"/>
          </w:tcPr>
          <w:p w14:paraId="4423E8EB" w14:textId="77777777" w:rsidR="00BF0C65" w:rsidRPr="00591BFC" w:rsidRDefault="00BF0C65" w:rsidP="00BF0C65">
            <w:pPr>
              <w:spacing w:after="0" w:line="360" w:lineRule="auto"/>
            </w:pPr>
            <w:r w:rsidRPr="00591BFC">
              <w:t>1.3</w:t>
            </w:r>
          </w:p>
        </w:tc>
        <w:tc>
          <w:tcPr>
            <w:tcW w:w="756" w:type="dxa"/>
            <w:shd w:val="clear" w:color="auto" w:fill="auto"/>
          </w:tcPr>
          <w:p w14:paraId="30AB53D1" w14:textId="77777777" w:rsidR="00BF0C65" w:rsidRPr="00591BFC" w:rsidRDefault="00BF0C65" w:rsidP="00BF0C65">
            <w:pPr>
              <w:spacing w:after="0" w:line="360" w:lineRule="auto"/>
            </w:pPr>
            <w:r w:rsidRPr="00591BFC">
              <w:t>1.3</w:t>
            </w:r>
          </w:p>
        </w:tc>
        <w:tc>
          <w:tcPr>
            <w:tcW w:w="756" w:type="dxa"/>
            <w:tcBorders>
              <w:bottom w:val="single" w:sz="4" w:space="0" w:color="auto"/>
            </w:tcBorders>
            <w:shd w:val="clear" w:color="auto" w:fill="auto"/>
          </w:tcPr>
          <w:p w14:paraId="37BB479A" w14:textId="77777777" w:rsidR="00BF0C65" w:rsidRPr="00591BFC" w:rsidRDefault="00BF0C65" w:rsidP="00BF0C65">
            <w:pPr>
              <w:spacing w:after="0" w:line="360" w:lineRule="auto"/>
            </w:pPr>
            <w:r w:rsidRPr="00591BFC">
              <w:t>1.3</w:t>
            </w:r>
          </w:p>
        </w:tc>
        <w:tc>
          <w:tcPr>
            <w:tcW w:w="756" w:type="dxa"/>
            <w:shd w:val="clear" w:color="auto" w:fill="auto"/>
          </w:tcPr>
          <w:p w14:paraId="26B6AE25" w14:textId="77777777" w:rsidR="00BF0C65" w:rsidRPr="00591BFC" w:rsidRDefault="00BF0C65" w:rsidP="00BF0C65">
            <w:pPr>
              <w:spacing w:after="0" w:line="360" w:lineRule="auto"/>
            </w:pPr>
            <w:r w:rsidRPr="00591BFC">
              <w:t>1.3</w:t>
            </w:r>
          </w:p>
        </w:tc>
        <w:tc>
          <w:tcPr>
            <w:tcW w:w="756" w:type="dxa"/>
            <w:shd w:val="clear" w:color="auto" w:fill="auto"/>
          </w:tcPr>
          <w:p w14:paraId="49439B0E" w14:textId="77777777" w:rsidR="00BF0C65" w:rsidRPr="00591BFC" w:rsidRDefault="00BF0C65" w:rsidP="00BF0C65">
            <w:pPr>
              <w:spacing w:after="0" w:line="360" w:lineRule="auto"/>
            </w:pPr>
            <w:r w:rsidRPr="00591BFC">
              <w:t>1.3</w:t>
            </w:r>
          </w:p>
        </w:tc>
        <w:tc>
          <w:tcPr>
            <w:tcW w:w="745" w:type="dxa"/>
            <w:shd w:val="clear" w:color="auto" w:fill="auto"/>
          </w:tcPr>
          <w:p w14:paraId="41A04B37" w14:textId="77777777" w:rsidR="00BF0C65" w:rsidRPr="00591BFC" w:rsidRDefault="00BF0C65" w:rsidP="00BF0C65">
            <w:pPr>
              <w:spacing w:after="0" w:line="360" w:lineRule="auto"/>
            </w:pPr>
            <w:r w:rsidRPr="00591BFC">
              <w:t>1.3</w:t>
            </w:r>
          </w:p>
        </w:tc>
      </w:tr>
      <w:tr w:rsidR="00BF0C65" w:rsidRPr="00591BFC" w14:paraId="16966F56" w14:textId="77777777" w:rsidTr="00BF0C65">
        <w:tc>
          <w:tcPr>
            <w:tcW w:w="973" w:type="dxa"/>
            <w:tcBorders>
              <w:bottom w:val="single" w:sz="4" w:space="0" w:color="auto"/>
            </w:tcBorders>
            <w:shd w:val="clear" w:color="auto" w:fill="auto"/>
          </w:tcPr>
          <w:p w14:paraId="68429365" w14:textId="77777777" w:rsidR="00BF0C65" w:rsidRPr="00591BFC" w:rsidRDefault="00BF0C65" w:rsidP="00BF0C65">
            <w:pPr>
              <w:spacing w:after="0" w:line="360" w:lineRule="auto"/>
              <w:rPr>
                <w:b/>
              </w:rPr>
            </w:pPr>
          </w:p>
        </w:tc>
        <w:tc>
          <w:tcPr>
            <w:tcW w:w="716" w:type="dxa"/>
            <w:tcBorders>
              <w:bottom w:val="single" w:sz="4" w:space="0" w:color="auto"/>
            </w:tcBorders>
            <w:shd w:val="clear" w:color="auto" w:fill="auto"/>
          </w:tcPr>
          <w:p w14:paraId="5D1D865F" w14:textId="77777777" w:rsidR="00BF0C65" w:rsidRPr="00591BFC" w:rsidRDefault="00BF0C65" w:rsidP="00BF0C65">
            <w:pPr>
              <w:spacing w:after="0" w:line="360" w:lineRule="auto"/>
              <w:rPr>
                <w:b/>
                <w:vertAlign w:val="superscript"/>
              </w:rPr>
            </w:pPr>
            <w:r w:rsidRPr="00591BFC">
              <w:rPr>
                <w:b/>
              </w:rPr>
              <w:t>FLN</w:t>
            </w:r>
          </w:p>
        </w:tc>
        <w:tc>
          <w:tcPr>
            <w:tcW w:w="758" w:type="dxa"/>
            <w:tcBorders>
              <w:bottom w:val="single" w:sz="4" w:space="0" w:color="auto"/>
            </w:tcBorders>
            <w:shd w:val="clear" w:color="auto" w:fill="auto"/>
          </w:tcPr>
          <w:p w14:paraId="50B8CDF1" w14:textId="77777777" w:rsidR="00BF0C65" w:rsidRPr="00591BFC" w:rsidRDefault="00BF0C65" w:rsidP="00BF0C65">
            <w:pPr>
              <w:spacing w:after="0" w:line="360" w:lineRule="auto"/>
            </w:pPr>
            <w:r w:rsidRPr="00591BFC">
              <w:t>1.3</w:t>
            </w:r>
          </w:p>
        </w:tc>
        <w:tc>
          <w:tcPr>
            <w:tcW w:w="757" w:type="dxa"/>
            <w:tcBorders>
              <w:bottom w:val="single" w:sz="4" w:space="0" w:color="auto"/>
            </w:tcBorders>
            <w:shd w:val="clear" w:color="auto" w:fill="auto"/>
          </w:tcPr>
          <w:p w14:paraId="5CC171D0" w14:textId="77777777" w:rsidR="00BF0C65" w:rsidRPr="00591BFC" w:rsidRDefault="00BF0C65" w:rsidP="00BF0C65">
            <w:pPr>
              <w:spacing w:after="0" w:line="360" w:lineRule="auto"/>
            </w:pPr>
            <w:r w:rsidRPr="00591BFC">
              <w:t>1.3</w:t>
            </w:r>
          </w:p>
        </w:tc>
        <w:tc>
          <w:tcPr>
            <w:tcW w:w="757" w:type="dxa"/>
            <w:tcBorders>
              <w:bottom w:val="single" w:sz="4" w:space="0" w:color="auto"/>
            </w:tcBorders>
            <w:shd w:val="clear" w:color="auto" w:fill="auto"/>
          </w:tcPr>
          <w:p w14:paraId="04381B8C" w14:textId="77777777" w:rsidR="00BF0C65" w:rsidRPr="00591BFC" w:rsidRDefault="00BF0C65" w:rsidP="00BF0C65">
            <w:pPr>
              <w:spacing w:after="0" w:line="360" w:lineRule="auto"/>
            </w:pPr>
            <w:r w:rsidRPr="00591BFC">
              <w:t>1.3</w:t>
            </w:r>
          </w:p>
        </w:tc>
        <w:tc>
          <w:tcPr>
            <w:tcW w:w="756" w:type="dxa"/>
            <w:tcBorders>
              <w:bottom w:val="single" w:sz="4" w:space="0" w:color="auto"/>
            </w:tcBorders>
            <w:shd w:val="clear" w:color="auto" w:fill="auto"/>
          </w:tcPr>
          <w:p w14:paraId="77857B4F" w14:textId="77777777" w:rsidR="00BF0C65" w:rsidRPr="00591BFC" w:rsidRDefault="00BF0C65" w:rsidP="00BF0C65">
            <w:pPr>
              <w:spacing w:after="0" w:line="360" w:lineRule="auto"/>
            </w:pPr>
            <w:r w:rsidRPr="00591BFC">
              <w:t>1.3</w:t>
            </w:r>
          </w:p>
        </w:tc>
        <w:tc>
          <w:tcPr>
            <w:tcW w:w="756" w:type="dxa"/>
            <w:tcBorders>
              <w:bottom w:val="single" w:sz="4" w:space="0" w:color="auto"/>
            </w:tcBorders>
            <w:shd w:val="clear" w:color="auto" w:fill="auto"/>
          </w:tcPr>
          <w:p w14:paraId="56D88168" w14:textId="77777777" w:rsidR="00BF0C65" w:rsidRPr="00591BFC" w:rsidRDefault="00BF0C65" w:rsidP="00BF0C65">
            <w:pPr>
              <w:spacing w:after="0" w:line="360" w:lineRule="auto"/>
            </w:pPr>
            <w:r w:rsidRPr="00591BFC">
              <w:t>2.6</w:t>
            </w:r>
          </w:p>
        </w:tc>
        <w:tc>
          <w:tcPr>
            <w:tcW w:w="756" w:type="dxa"/>
            <w:tcBorders>
              <w:bottom w:val="single" w:sz="4" w:space="0" w:color="auto"/>
            </w:tcBorders>
            <w:shd w:val="clear" w:color="auto" w:fill="auto"/>
          </w:tcPr>
          <w:p w14:paraId="4AE9486D" w14:textId="77777777" w:rsidR="00BF0C65" w:rsidRPr="00591BFC" w:rsidRDefault="00BF0C65" w:rsidP="00BF0C65">
            <w:pPr>
              <w:spacing w:after="0" w:line="360" w:lineRule="auto"/>
            </w:pPr>
            <w:r w:rsidRPr="00591BFC">
              <w:t>2.6</w:t>
            </w:r>
          </w:p>
        </w:tc>
        <w:tc>
          <w:tcPr>
            <w:tcW w:w="756" w:type="dxa"/>
            <w:tcBorders>
              <w:bottom w:val="single" w:sz="4" w:space="0" w:color="auto"/>
            </w:tcBorders>
            <w:shd w:val="clear" w:color="auto" w:fill="auto"/>
          </w:tcPr>
          <w:p w14:paraId="728C48AC" w14:textId="77777777" w:rsidR="00BF0C65" w:rsidRPr="00591BFC" w:rsidRDefault="00BF0C65" w:rsidP="00BF0C65">
            <w:pPr>
              <w:spacing w:after="0" w:line="360" w:lineRule="auto"/>
            </w:pPr>
            <w:r w:rsidRPr="00591BFC">
              <w:t>2.6</w:t>
            </w:r>
          </w:p>
        </w:tc>
        <w:tc>
          <w:tcPr>
            <w:tcW w:w="756" w:type="dxa"/>
            <w:tcBorders>
              <w:bottom w:val="single" w:sz="4" w:space="0" w:color="auto"/>
            </w:tcBorders>
            <w:shd w:val="clear" w:color="auto" w:fill="auto"/>
          </w:tcPr>
          <w:p w14:paraId="0ACCEED7" w14:textId="77777777" w:rsidR="00BF0C65" w:rsidRPr="00591BFC" w:rsidRDefault="00BF0C65" w:rsidP="00BF0C65">
            <w:pPr>
              <w:spacing w:after="0" w:line="360" w:lineRule="auto"/>
            </w:pPr>
            <w:r w:rsidRPr="00591BFC">
              <w:t>2.6</w:t>
            </w:r>
          </w:p>
        </w:tc>
        <w:tc>
          <w:tcPr>
            <w:tcW w:w="756" w:type="dxa"/>
            <w:tcBorders>
              <w:bottom w:val="single" w:sz="4" w:space="0" w:color="auto"/>
            </w:tcBorders>
            <w:shd w:val="clear" w:color="auto" w:fill="auto"/>
          </w:tcPr>
          <w:p w14:paraId="72F3676C" w14:textId="77777777" w:rsidR="00BF0C65" w:rsidRPr="00591BFC" w:rsidRDefault="00BF0C65" w:rsidP="00BF0C65">
            <w:pPr>
              <w:spacing w:after="0" w:line="360" w:lineRule="auto"/>
            </w:pPr>
            <w:r w:rsidRPr="00591BFC">
              <w:t>2.6</w:t>
            </w:r>
          </w:p>
        </w:tc>
        <w:tc>
          <w:tcPr>
            <w:tcW w:w="745" w:type="dxa"/>
            <w:tcBorders>
              <w:bottom w:val="single" w:sz="4" w:space="0" w:color="auto"/>
            </w:tcBorders>
            <w:shd w:val="clear" w:color="auto" w:fill="auto"/>
          </w:tcPr>
          <w:p w14:paraId="7ED398B6" w14:textId="77777777" w:rsidR="00BF0C65" w:rsidRPr="00591BFC" w:rsidRDefault="00BF0C65" w:rsidP="00BF0C65">
            <w:pPr>
              <w:spacing w:after="0" w:line="360" w:lineRule="auto"/>
            </w:pPr>
            <w:r w:rsidRPr="00591BFC">
              <w:t>2.6</w:t>
            </w:r>
          </w:p>
        </w:tc>
      </w:tr>
      <w:tr w:rsidR="00BF0C65" w:rsidRPr="00591BFC" w14:paraId="40B7020B" w14:textId="77777777" w:rsidTr="00BF0C65">
        <w:tc>
          <w:tcPr>
            <w:tcW w:w="973" w:type="dxa"/>
            <w:shd w:val="clear" w:color="auto" w:fill="A6A6A6"/>
          </w:tcPr>
          <w:p w14:paraId="2439FB67" w14:textId="77777777" w:rsidR="00BF0C65" w:rsidRPr="00591BFC" w:rsidRDefault="00BF0C65" w:rsidP="00BF0C65">
            <w:pPr>
              <w:spacing w:after="0" w:line="360" w:lineRule="auto"/>
              <w:rPr>
                <w:b/>
                <w:sz w:val="10"/>
              </w:rPr>
            </w:pPr>
          </w:p>
        </w:tc>
        <w:tc>
          <w:tcPr>
            <w:tcW w:w="716" w:type="dxa"/>
            <w:shd w:val="clear" w:color="auto" w:fill="A6A6A6"/>
          </w:tcPr>
          <w:p w14:paraId="5F6E6AFE" w14:textId="77777777" w:rsidR="00BF0C65" w:rsidRPr="00591BFC" w:rsidRDefault="00BF0C65" w:rsidP="00BF0C65">
            <w:pPr>
              <w:spacing w:after="0" w:line="360" w:lineRule="auto"/>
              <w:rPr>
                <w:b/>
                <w:sz w:val="10"/>
              </w:rPr>
            </w:pPr>
          </w:p>
        </w:tc>
        <w:tc>
          <w:tcPr>
            <w:tcW w:w="758" w:type="dxa"/>
            <w:shd w:val="clear" w:color="auto" w:fill="A6A6A6"/>
          </w:tcPr>
          <w:p w14:paraId="2A0B848A" w14:textId="77777777" w:rsidR="00BF0C65" w:rsidRPr="00591BFC" w:rsidRDefault="00BF0C65" w:rsidP="00BF0C65">
            <w:pPr>
              <w:spacing w:after="0" w:line="360" w:lineRule="auto"/>
              <w:rPr>
                <w:sz w:val="10"/>
              </w:rPr>
            </w:pPr>
          </w:p>
        </w:tc>
        <w:tc>
          <w:tcPr>
            <w:tcW w:w="757" w:type="dxa"/>
            <w:tcBorders>
              <w:bottom w:val="single" w:sz="4" w:space="0" w:color="auto"/>
            </w:tcBorders>
            <w:shd w:val="clear" w:color="auto" w:fill="A6A6A6"/>
          </w:tcPr>
          <w:p w14:paraId="16E87C0D" w14:textId="77777777" w:rsidR="00BF0C65" w:rsidRPr="00591BFC" w:rsidRDefault="00BF0C65" w:rsidP="00BF0C65">
            <w:pPr>
              <w:spacing w:after="0" w:line="360" w:lineRule="auto"/>
              <w:rPr>
                <w:sz w:val="10"/>
              </w:rPr>
            </w:pPr>
          </w:p>
        </w:tc>
        <w:tc>
          <w:tcPr>
            <w:tcW w:w="757" w:type="dxa"/>
            <w:tcBorders>
              <w:bottom w:val="single" w:sz="4" w:space="0" w:color="auto"/>
            </w:tcBorders>
            <w:shd w:val="clear" w:color="auto" w:fill="A6A6A6"/>
          </w:tcPr>
          <w:p w14:paraId="6FEBB0FF"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3FF22245"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47197FD1" w14:textId="77777777" w:rsidR="00BF0C65" w:rsidRPr="00591BFC" w:rsidRDefault="00BF0C65" w:rsidP="00BF0C65">
            <w:pPr>
              <w:spacing w:after="0" w:line="360" w:lineRule="auto"/>
              <w:rPr>
                <w:sz w:val="10"/>
              </w:rPr>
            </w:pPr>
          </w:p>
        </w:tc>
        <w:tc>
          <w:tcPr>
            <w:tcW w:w="756" w:type="dxa"/>
            <w:shd w:val="clear" w:color="auto" w:fill="A6A6A6"/>
          </w:tcPr>
          <w:p w14:paraId="38494B18" w14:textId="77777777" w:rsidR="00BF0C65" w:rsidRPr="00591BFC" w:rsidRDefault="00BF0C65" w:rsidP="00BF0C65">
            <w:pPr>
              <w:spacing w:after="0" w:line="360" w:lineRule="auto"/>
              <w:rPr>
                <w:sz w:val="10"/>
              </w:rPr>
            </w:pPr>
          </w:p>
        </w:tc>
        <w:tc>
          <w:tcPr>
            <w:tcW w:w="756" w:type="dxa"/>
            <w:shd w:val="clear" w:color="auto" w:fill="A6A6A6"/>
          </w:tcPr>
          <w:p w14:paraId="6ED2AD36" w14:textId="77777777" w:rsidR="00BF0C65" w:rsidRPr="00591BFC" w:rsidRDefault="00BF0C65" w:rsidP="00BF0C65">
            <w:pPr>
              <w:spacing w:after="0" w:line="360" w:lineRule="auto"/>
              <w:rPr>
                <w:b/>
                <w:sz w:val="10"/>
              </w:rPr>
            </w:pPr>
          </w:p>
        </w:tc>
        <w:tc>
          <w:tcPr>
            <w:tcW w:w="756" w:type="dxa"/>
            <w:shd w:val="clear" w:color="auto" w:fill="A6A6A6"/>
          </w:tcPr>
          <w:p w14:paraId="234BD420" w14:textId="77777777" w:rsidR="00BF0C65" w:rsidRPr="00591BFC" w:rsidRDefault="00BF0C65" w:rsidP="00BF0C65">
            <w:pPr>
              <w:spacing w:after="0" w:line="360" w:lineRule="auto"/>
              <w:rPr>
                <w:sz w:val="10"/>
              </w:rPr>
            </w:pPr>
          </w:p>
        </w:tc>
        <w:tc>
          <w:tcPr>
            <w:tcW w:w="756" w:type="dxa"/>
            <w:shd w:val="clear" w:color="auto" w:fill="A6A6A6"/>
          </w:tcPr>
          <w:p w14:paraId="2F158B7E" w14:textId="77777777" w:rsidR="00BF0C65" w:rsidRPr="00591BFC" w:rsidRDefault="00BF0C65" w:rsidP="00BF0C65">
            <w:pPr>
              <w:spacing w:after="0" w:line="360" w:lineRule="auto"/>
              <w:rPr>
                <w:sz w:val="10"/>
              </w:rPr>
            </w:pPr>
          </w:p>
        </w:tc>
        <w:tc>
          <w:tcPr>
            <w:tcW w:w="745" w:type="dxa"/>
            <w:shd w:val="clear" w:color="auto" w:fill="A6A6A6"/>
          </w:tcPr>
          <w:p w14:paraId="68953FA1" w14:textId="77777777" w:rsidR="00BF0C65" w:rsidRPr="00591BFC" w:rsidRDefault="00BF0C65" w:rsidP="00BF0C65">
            <w:pPr>
              <w:spacing w:after="0" w:line="360" w:lineRule="auto"/>
              <w:rPr>
                <w:sz w:val="10"/>
              </w:rPr>
            </w:pPr>
          </w:p>
        </w:tc>
      </w:tr>
      <w:tr w:rsidR="00BF0C65" w:rsidRPr="00591BFC" w14:paraId="74A3B965" w14:textId="77777777" w:rsidTr="00BF0C65">
        <w:tc>
          <w:tcPr>
            <w:tcW w:w="973" w:type="dxa"/>
            <w:shd w:val="clear" w:color="auto" w:fill="auto"/>
          </w:tcPr>
          <w:p w14:paraId="47D631D1" w14:textId="77777777" w:rsidR="00BF0C65" w:rsidRPr="00591BFC" w:rsidRDefault="00BF0C65" w:rsidP="00BF0C65">
            <w:pPr>
              <w:spacing w:after="0" w:line="360" w:lineRule="auto"/>
              <w:rPr>
                <w:b/>
              </w:rPr>
            </w:pPr>
            <w:r w:rsidRPr="00591BFC">
              <w:rPr>
                <w:b/>
              </w:rPr>
              <w:t>8</w:t>
            </w:r>
          </w:p>
        </w:tc>
        <w:tc>
          <w:tcPr>
            <w:tcW w:w="716" w:type="dxa"/>
            <w:shd w:val="clear" w:color="auto" w:fill="auto"/>
          </w:tcPr>
          <w:p w14:paraId="7F420640" w14:textId="77777777" w:rsidR="00BF0C65" w:rsidRPr="00591BFC" w:rsidRDefault="00BF0C65" w:rsidP="00BF0C65">
            <w:pPr>
              <w:spacing w:after="0" w:line="360" w:lineRule="auto"/>
              <w:rPr>
                <w:b/>
              </w:rPr>
            </w:pPr>
            <w:r w:rsidRPr="00591BFC">
              <w:rPr>
                <w:b/>
              </w:rPr>
              <w:t>OG</w:t>
            </w:r>
          </w:p>
        </w:tc>
        <w:tc>
          <w:tcPr>
            <w:tcW w:w="758" w:type="dxa"/>
            <w:shd w:val="clear" w:color="auto" w:fill="auto"/>
          </w:tcPr>
          <w:p w14:paraId="22F6B199" w14:textId="77777777" w:rsidR="00BF0C65" w:rsidRPr="00591BFC" w:rsidRDefault="00BF0C65" w:rsidP="00BF0C65">
            <w:pPr>
              <w:spacing w:after="0" w:line="360" w:lineRule="auto"/>
            </w:pPr>
            <w:r w:rsidRPr="00591BFC">
              <w:t>1</w:t>
            </w:r>
          </w:p>
        </w:tc>
        <w:tc>
          <w:tcPr>
            <w:tcW w:w="757" w:type="dxa"/>
            <w:tcBorders>
              <w:bottom w:val="single" w:sz="4" w:space="0" w:color="auto"/>
            </w:tcBorders>
            <w:shd w:val="clear" w:color="auto" w:fill="auto"/>
          </w:tcPr>
          <w:p w14:paraId="6D08073B" w14:textId="77777777" w:rsidR="00BF0C65" w:rsidRPr="00591BFC" w:rsidRDefault="00BF0C65" w:rsidP="00BF0C65">
            <w:pPr>
              <w:spacing w:after="0" w:line="360" w:lineRule="auto"/>
            </w:pPr>
            <w:r w:rsidRPr="00591BFC">
              <w:t>1</w:t>
            </w:r>
          </w:p>
        </w:tc>
        <w:tc>
          <w:tcPr>
            <w:tcW w:w="757" w:type="dxa"/>
            <w:shd w:val="clear" w:color="auto" w:fill="auto"/>
          </w:tcPr>
          <w:p w14:paraId="680A5BAA" w14:textId="77777777" w:rsidR="00BF0C65" w:rsidRPr="00591BFC" w:rsidRDefault="00BF0C65" w:rsidP="00BF0C65">
            <w:pPr>
              <w:spacing w:after="0" w:line="360" w:lineRule="auto"/>
            </w:pPr>
            <w:r w:rsidRPr="00591BFC">
              <w:t>1</w:t>
            </w:r>
          </w:p>
        </w:tc>
        <w:tc>
          <w:tcPr>
            <w:tcW w:w="756" w:type="dxa"/>
            <w:shd w:val="clear" w:color="auto" w:fill="auto"/>
          </w:tcPr>
          <w:p w14:paraId="706B8510" w14:textId="77777777" w:rsidR="00BF0C65" w:rsidRPr="00591BFC" w:rsidRDefault="00BF0C65" w:rsidP="00BF0C65">
            <w:pPr>
              <w:spacing w:after="0" w:line="360" w:lineRule="auto"/>
            </w:pPr>
            <w:r w:rsidRPr="00591BFC">
              <w:t>1</w:t>
            </w:r>
          </w:p>
        </w:tc>
        <w:tc>
          <w:tcPr>
            <w:tcW w:w="756" w:type="dxa"/>
            <w:tcBorders>
              <w:bottom w:val="single" w:sz="4" w:space="0" w:color="auto"/>
            </w:tcBorders>
            <w:shd w:val="clear" w:color="auto" w:fill="auto"/>
          </w:tcPr>
          <w:p w14:paraId="67DC9DC3" w14:textId="77777777" w:rsidR="00BF0C65" w:rsidRPr="00591BFC" w:rsidRDefault="00BF0C65" w:rsidP="00BF0C65">
            <w:pPr>
              <w:spacing w:after="0" w:line="360" w:lineRule="auto"/>
            </w:pPr>
            <w:r w:rsidRPr="00591BFC">
              <w:t>1</w:t>
            </w:r>
          </w:p>
        </w:tc>
        <w:tc>
          <w:tcPr>
            <w:tcW w:w="756" w:type="dxa"/>
            <w:shd w:val="clear" w:color="auto" w:fill="auto"/>
          </w:tcPr>
          <w:p w14:paraId="159D31DC" w14:textId="77777777" w:rsidR="00BF0C65" w:rsidRPr="00591BFC" w:rsidRDefault="00BF0C65" w:rsidP="00BF0C65">
            <w:pPr>
              <w:spacing w:after="0" w:line="360" w:lineRule="auto"/>
            </w:pPr>
            <w:r w:rsidRPr="00591BFC">
              <w:t>1</w:t>
            </w:r>
          </w:p>
        </w:tc>
        <w:tc>
          <w:tcPr>
            <w:tcW w:w="756" w:type="dxa"/>
            <w:shd w:val="clear" w:color="auto" w:fill="auto"/>
          </w:tcPr>
          <w:p w14:paraId="4A8E8D9A" w14:textId="77777777" w:rsidR="00BF0C65" w:rsidRPr="00591BFC" w:rsidRDefault="00BF0C65" w:rsidP="00BF0C65">
            <w:pPr>
              <w:spacing w:after="0" w:line="360" w:lineRule="auto"/>
            </w:pPr>
            <w:r w:rsidRPr="00591BFC">
              <w:t>1.6</w:t>
            </w:r>
          </w:p>
        </w:tc>
        <w:tc>
          <w:tcPr>
            <w:tcW w:w="756" w:type="dxa"/>
            <w:shd w:val="clear" w:color="auto" w:fill="auto"/>
          </w:tcPr>
          <w:p w14:paraId="59DB2E20" w14:textId="77777777" w:rsidR="00BF0C65" w:rsidRPr="00591BFC" w:rsidRDefault="00BF0C65" w:rsidP="00BF0C65">
            <w:pPr>
              <w:spacing w:after="0" w:line="360" w:lineRule="auto"/>
            </w:pPr>
            <w:r w:rsidRPr="00591BFC">
              <w:t>1.6</w:t>
            </w:r>
          </w:p>
        </w:tc>
        <w:tc>
          <w:tcPr>
            <w:tcW w:w="756" w:type="dxa"/>
            <w:shd w:val="clear" w:color="auto" w:fill="auto"/>
          </w:tcPr>
          <w:p w14:paraId="48857204" w14:textId="77777777" w:rsidR="00BF0C65" w:rsidRPr="00591BFC" w:rsidRDefault="00BF0C65" w:rsidP="00BF0C65">
            <w:pPr>
              <w:spacing w:after="0" w:line="360" w:lineRule="auto"/>
            </w:pPr>
            <w:r w:rsidRPr="00591BFC">
              <w:t>1.6</w:t>
            </w:r>
          </w:p>
        </w:tc>
        <w:tc>
          <w:tcPr>
            <w:tcW w:w="745" w:type="dxa"/>
            <w:shd w:val="clear" w:color="auto" w:fill="auto"/>
          </w:tcPr>
          <w:p w14:paraId="4273EEFA" w14:textId="77777777" w:rsidR="00BF0C65" w:rsidRPr="00591BFC" w:rsidRDefault="00BF0C65" w:rsidP="00BF0C65">
            <w:pPr>
              <w:spacing w:after="0" w:line="360" w:lineRule="auto"/>
            </w:pPr>
            <w:r w:rsidRPr="00591BFC">
              <w:t>1.6</w:t>
            </w:r>
          </w:p>
        </w:tc>
      </w:tr>
      <w:tr w:rsidR="00BF0C65" w:rsidRPr="00591BFC" w14:paraId="32DFC848" w14:textId="77777777" w:rsidTr="00BF0C65">
        <w:tc>
          <w:tcPr>
            <w:tcW w:w="973" w:type="dxa"/>
            <w:tcBorders>
              <w:bottom w:val="single" w:sz="4" w:space="0" w:color="auto"/>
            </w:tcBorders>
            <w:shd w:val="clear" w:color="auto" w:fill="auto"/>
          </w:tcPr>
          <w:p w14:paraId="480C49F5" w14:textId="77777777" w:rsidR="00BF0C65" w:rsidRPr="00591BFC" w:rsidRDefault="00BF0C65" w:rsidP="00BF0C65">
            <w:pPr>
              <w:spacing w:after="0" w:line="360" w:lineRule="auto"/>
              <w:rPr>
                <w:b/>
              </w:rPr>
            </w:pPr>
          </w:p>
        </w:tc>
        <w:tc>
          <w:tcPr>
            <w:tcW w:w="716" w:type="dxa"/>
            <w:tcBorders>
              <w:bottom w:val="single" w:sz="4" w:space="0" w:color="auto"/>
            </w:tcBorders>
            <w:shd w:val="clear" w:color="auto" w:fill="auto"/>
          </w:tcPr>
          <w:p w14:paraId="1A7E15FF" w14:textId="77777777" w:rsidR="00BF0C65" w:rsidRPr="00591BFC" w:rsidRDefault="00BF0C65" w:rsidP="00BF0C65">
            <w:pPr>
              <w:spacing w:after="0" w:line="360" w:lineRule="auto"/>
              <w:rPr>
                <w:b/>
                <w:vertAlign w:val="superscript"/>
              </w:rPr>
            </w:pPr>
            <w:r w:rsidRPr="00591BFC">
              <w:rPr>
                <w:b/>
              </w:rPr>
              <w:t>FLN</w:t>
            </w:r>
          </w:p>
        </w:tc>
        <w:tc>
          <w:tcPr>
            <w:tcW w:w="758" w:type="dxa"/>
            <w:tcBorders>
              <w:bottom w:val="single" w:sz="4" w:space="0" w:color="auto"/>
            </w:tcBorders>
            <w:shd w:val="clear" w:color="auto" w:fill="auto"/>
          </w:tcPr>
          <w:p w14:paraId="721E90E1" w14:textId="77777777" w:rsidR="00BF0C65" w:rsidRPr="00591BFC" w:rsidRDefault="00BF0C65" w:rsidP="00BF0C65">
            <w:pPr>
              <w:spacing w:after="0" w:line="360" w:lineRule="auto"/>
            </w:pPr>
            <w:r w:rsidRPr="00591BFC">
              <w:t>0</w:t>
            </w:r>
          </w:p>
        </w:tc>
        <w:tc>
          <w:tcPr>
            <w:tcW w:w="757" w:type="dxa"/>
            <w:tcBorders>
              <w:bottom w:val="single" w:sz="4" w:space="0" w:color="auto"/>
            </w:tcBorders>
            <w:shd w:val="clear" w:color="auto" w:fill="auto"/>
          </w:tcPr>
          <w:p w14:paraId="19A8FF40" w14:textId="77777777" w:rsidR="00BF0C65" w:rsidRPr="00591BFC" w:rsidRDefault="00BF0C65" w:rsidP="00BF0C65">
            <w:pPr>
              <w:spacing w:after="0" w:line="360" w:lineRule="auto"/>
            </w:pPr>
            <w:r w:rsidRPr="00591BFC">
              <w:t>0</w:t>
            </w:r>
          </w:p>
        </w:tc>
        <w:tc>
          <w:tcPr>
            <w:tcW w:w="757" w:type="dxa"/>
            <w:tcBorders>
              <w:bottom w:val="single" w:sz="4" w:space="0" w:color="auto"/>
            </w:tcBorders>
            <w:shd w:val="clear" w:color="auto" w:fill="auto"/>
          </w:tcPr>
          <w:p w14:paraId="0355094E"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70529AA6"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2C03BDAE"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269091DB"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133849A4"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716DCC33"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1C3FC680" w14:textId="77777777" w:rsidR="00BF0C65" w:rsidRPr="00591BFC" w:rsidRDefault="00BF0C65" w:rsidP="00BF0C65">
            <w:pPr>
              <w:spacing w:after="0" w:line="360" w:lineRule="auto"/>
            </w:pPr>
            <w:r w:rsidRPr="00591BFC">
              <w:t>0</w:t>
            </w:r>
          </w:p>
        </w:tc>
        <w:tc>
          <w:tcPr>
            <w:tcW w:w="745" w:type="dxa"/>
            <w:tcBorders>
              <w:bottom w:val="single" w:sz="4" w:space="0" w:color="auto"/>
            </w:tcBorders>
            <w:shd w:val="clear" w:color="auto" w:fill="auto"/>
          </w:tcPr>
          <w:p w14:paraId="55AEEDA5" w14:textId="77777777" w:rsidR="00BF0C65" w:rsidRPr="00591BFC" w:rsidRDefault="00BF0C65" w:rsidP="00BF0C65">
            <w:pPr>
              <w:spacing w:after="0" w:line="360" w:lineRule="auto"/>
            </w:pPr>
            <w:r w:rsidRPr="00591BFC">
              <w:t>0</w:t>
            </w:r>
          </w:p>
        </w:tc>
      </w:tr>
      <w:tr w:rsidR="00BF0C65" w:rsidRPr="00591BFC" w14:paraId="267635A6" w14:textId="77777777" w:rsidTr="00BF0C65">
        <w:tc>
          <w:tcPr>
            <w:tcW w:w="973" w:type="dxa"/>
            <w:shd w:val="clear" w:color="auto" w:fill="A6A6A6"/>
          </w:tcPr>
          <w:p w14:paraId="4E1336DD" w14:textId="77777777" w:rsidR="00BF0C65" w:rsidRPr="00591BFC" w:rsidRDefault="00BF0C65" w:rsidP="00BF0C65">
            <w:pPr>
              <w:spacing w:after="0" w:line="360" w:lineRule="auto"/>
              <w:rPr>
                <w:b/>
                <w:sz w:val="10"/>
              </w:rPr>
            </w:pPr>
          </w:p>
        </w:tc>
        <w:tc>
          <w:tcPr>
            <w:tcW w:w="716" w:type="dxa"/>
            <w:shd w:val="clear" w:color="auto" w:fill="A6A6A6"/>
          </w:tcPr>
          <w:p w14:paraId="522CABC7" w14:textId="77777777" w:rsidR="00BF0C65" w:rsidRPr="00591BFC" w:rsidRDefault="00BF0C65" w:rsidP="00BF0C65">
            <w:pPr>
              <w:spacing w:after="0" w:line="360" w:lineRule="auto"/>
              <w:rPr>
                <w:b/>
                <w:sz w:val="10"/>
              </w:rPr>
            </w:pPr>
          </w:p>
        </w:tc>
        <w:tc>
          <w:tcPr>
            <w:tcW w:w="758" w:type="dxa"/>
            <w:shd w:val="clear" w:color="auto" w:fill="A6A6A6"/>
          </w:tcPr>
          <w:p w14:paraId="16C6D5ED" w14:textId="77777777" w:rsidR="00BF0C65" w:rsidRPr="00591BFC" w:rsidRDefault="00BF0C65" w:rsidP="00BF0C65">
            <w:pPr>
              <w:spacing w:after="0" w:line="360" w:lineRule="auto"/>
              <w:rPr>
                <w:sz w:val="10"/>
              </w:rPr>
            </w:pPr>
          </w:p>
        </w:tc>
        <w:tc>
          <w:tcPr>
            <w:tcW w:w="757" w:type="dxa"/>
            <w:shd w:val="clear" w:color="auto" w:fill="A6A6A6"/>
          </w:tcPr>
          <w:p w14:paraId="65099666" w14:textId="77777777" w:rsidR="00BF0C65" w:rsidRPr="00591BFC" w:rsidRDefault="00BF0C65" w:rsidP="00BF0C65">
            <w:pPr>
              <w:spacing w:after="0" w:line="360" w:lineRule="auto"/>
              <w:rPr>
                <w:b/>
                <w:sz w:val="10"/>
              </w:rPr>
            </w:pPr>
          </w:p>
        </w:tc>
        <w:tc>
          <w:tcPr>
            <w:tcW w:w="757" w:type="dxa"/>
            <w:shd w:val="clear" w:color="auto" w:fill="A6A6A6"/>
          </w:tcPr>
          <w:p w14:paraId="3BDBB4D3" w14:textId="77777777" w:rsidR="00BF0C65" w:rsidRPr="00591BFC" w:rsidRDefault="00BF0C65" w:rsidP="00BF0C65">
            <w:pPr>
              <w:spacing w:after="0" w:line="360" w:lineRule="auto"/>
              <w:rPr>
                <w:sz w:val="10"/>
              </w:rPr>
            </w:pPr>
          </w:p>
        </w:tc>
        <w:tc>
          <w:tcPr>
            <w:tcW w:w="756" w:type="dxa"/>
            <w:shd w:val="clear" w:color="auto" w:fill="A6A6A6"/>
          </w:tcPr>
          <w:p w14:paraId="76B4E076" w14:textId="77777777" w:rsidR="00BF0C65" w:rsidRPr="00591BFC" w:rsidRDefault="00BF0C65" w:rsidP="00BF0C65">
            <w:pPr>
              <w:spacing w:after="0" w:line="360" w:lineRule="auto"/>
              <w:rPr>
                <w:sz w:val="10"/>
              </w:rPr>
            </w:pPr>
          </w:p>
        </w:tc>
        <w:tc>
          <w:tcPr>
            <w:tcW w:w="756" w:type="dxa"/>
            <w:shd w:val="clear" w:color="auto" w:fill="A6A6A6"/>
          </w:tcPr>
          <w:p w14:paraId="1413F898" w14:textId="77777777" w:rsidR="00BF0C65" w:rsidRPr="00591BFC" w:rsidRDefault="00BF0C65" w:rsidP="00BF0C65">
            <w:pPr>
              <w:spacing w:after="0" w:line="360" w:lineRule="auto"/>
              <w:rPr>
                <w:sz w:val="10"/>
              </w:rPr>
            </w:pPr>
          </w:p>
        </w:tc>
        <w:tc>
          <w:tcPr>
            <w:tcW w:w="756" w:type="dxa"/>
            <w:shd w:val="clear" w:color="auto" w:fill="A6A6A6"/>
          </w:tcPr>
          <w:p w14:paraId="5D349E15" w14:textId="77777777" w:rsidR="00BF0C65" w:rsidRPr="00591BFC" w:rsidRDefault="00BF0C65" w:rsidP="00BF0C65">
            <w:pPr>
              <w:spacing w:after="0" w:line="360" w:lineRule="auto"/>
              <w:rPr>
                <w:sz w:val="10"/>
              </w:rPr>
            </w:pPr>
          </w:p>
        </w:tc>
        <w:tc>
          <w:tcPr>
            <w:tcW w:w="756" w:type="dxa"/>
            <w:shd w:val="clear" w:color="auto" w:fill="A6A6A6"/>
          </w:tcPr>
          <w:p w14:paraId="46A174AE" w14:textId="77777777" w:rsidR="00BF0C65" w:rsidRPr="00591BFC" w:rsidRDefault="00BF0C65" w:rsidP="00BF0C65">
            <w:pPr>
              <w:spacing w:after="0" w:line="360" w:lineRule="auto"/>
              <w:rPr>
                <w:sz w:val="10"/>
              </w:rPr>
            </w:pPr>
          </w:p>
        </w:tc>
        <w:tc>
          <w:tcPr>
            <w:tcW w:w="756" w:type="dxa"/>
            <w:shd w:val="clear" w:color="auto" w:fill="A6A6A6"/>
          </w:tcPr>
          <w:p w14:paraId="3B060403" w14:textId="77777777" w:rsidR="00BF0C65" w:rsidRPr="00591BFC" w:rsidRDefault="00BF0C65" w:rsidP="00BF0C65">
            <w:pPr>
              <w:spacing w:after="0" w:line="360" w:lineRule="auto"/>
              <w:rPr>
                <w:sz w:val="10"/>
              </w:rPr>
            </w:pPr>
          </w:p>
        </w:tc>
        <w:tc>
          <w:tcPr>
            <w:tcW w:w="756" w:type="dxa"/>
            <w:shd w:val="clear" w:color="auto" w:fill="A6A6A6"/>
          </w:tcPr>
          <w:p w14:paraId="70D4C7E5" w14:textId="77777777" w:rsidR="00BF0C65" w:rsidRPr="00591BFC" w:rsidRDefault="00BF0C65" w:rsidP="00BF0C65">
            <w:pPr>
              <w:spacing w:after="0" w:line="360" w:lineRule="auto"/>
              <w:rPr>
                <w:sz w:val="10"/>
              </w:rPr>
            </w:pPr>
          </w:p>
        </w:tc>
        <w:tc>
          <w:tcPr>
            <w:tcW w:w="745" w:type="dxa"/>
            <w:shd w:val="clear" w:color="auto" w:fill="A6A6A6"/>
          </w:tcPr>
          <w:p w14:paraId="2E05901B" w14:textId="77777777" w:rsidR="00BF0C65" w:rsidRPr="00591BFC" w:rsidRDefault="00BF0C65" w:rsidP="00BF0C65">
            <w:pPr>
              <w:spacing w:after="0" w:line="360" w:lineRule="auto"/>
              <w:rPr>
                <w:sz w:val="10"/>
              </w:rPr>
            </w:pPr>
          </w:p>
        </w:tc>
      </w:tr>
      <w:tr w:rsidR="00BF0C65" w:rsidRPr="00591BFC" w14:paraId="1BA2C6AC" w14:textId="77777777" w:rsidTr="00BF0C65">
        <w:tc>
          <w:tcPr>
            <w:tcW w:w="973" w:type="dxa"/>
            <w:shd w:val="clear" w:color="auto" w:fill="auto"/>
          </w:tcPr>
          <w:p w14:paraId="1FF4F2FB" w14:textId="77777777" w:rsidR="00BF0C65" w:rsidRPr="00591BFC" w:rsidRDefault="00BF0C65" w:rsidP="00BF0C65">
            <w:pPr>
              <w:spacing w:after="0" w:line="360" w:lineRule="auto"/>
              <w:rPr>
                <w:b/>
              </w:rPr>
            </w:pPr>
            <w:r w:rsidRPr="00591BFC">
              <w:rPr>
                <w:b/>
              </w:rPr>
              <w:t>9</w:t>
            </w:r>
          </w:p>
        </w:tc>
        <w:tc>
          <w:tcPr>
            <w:tcW w:w="716" w:type="dxa"/>
            <w:shd w:val="clear" w:color="auto" w:fill="auto"/>
          </w:tcPr>
          <w:p w14:paraId="131A3A36" w14:textId="77777777" w:rsidR="00BF0C65" w:rsidRPr="00591BFC" w:rsidRDefault="00BF0C65" w:rsidP="00BF0C65">
            <w:pPr>
              <w:spacing w:after="0" w:line="360" w:lineRule="auto"/>
              <w:rPr>
                <w:b/>
              </w:rPr>
            </w:pPr>
            <w:r w:rsidRPr="00591BFC">
              <w:rPr>
                <w:b/>
              </w:rPr>
              <w:t>OG</w:t>
            </w:r>
          </w:p>
        </w:tc>
        <w:tc>
          <w:tcPr>
            <w:tcW w:w="758" w:type="dxa"/>
            <w:shd w:val="clear" w:color="auto" w:fill="auto"/>
          </w:tcPr>
          <w:p w14:paraId="7037F7D7" w14:textId="77777777" w:rsidR="00BF0C65" w:rsidRPr="00591BFC" w:rsidRDefault="00BF0C65" w:rsidP="00BF0C65">
            <w:pPr>
              <w:spacing w:after="0" w:line="360" w:lineRule="auto"/>
            </w:pPr>
            <w:r w:rsidRPr="00591BFC">
              <w:t>0</w:t>
            </w:r>
          </w:p>
        </w:tc>
        <w:tc>
          <w:tcPr>
            <w:tcW w:w="757" w:type="dxa"/>
            <w:shd w:val="clear" w:color="auto" w:fill="auto"/>
          </w:tcPr>
          <w:p w14:paraId="2E2BE539" w14:textId="77777777" w:rsidR="00BF0C65" w:rsidRPr="00591BFC" w:rsidRDefault="00BF0C65" w:rsidP="00BF0C65">
            <w:pPr>
              <w:spacing w:after="0" w:line="360" w:lineRule="auto"/>
            </w:pPr>
            <w:r w:rsidRPr="00591BFC">
              <w:t>0</w:t>
            </w:r>
          </w:p>
        </w:tc>
        <w:tc>
          <w:tcPr>
            <w:tcW w:w="757" w:type="dxa"/>
            <w:shd w:val="clear" w:color="auto" w:fill="auto"/>
          </w:tcPr>
          <w:p w14:paraId="650587C2" w14:textId="77777777" w:rsidR="00BF0C65" w:rsidRPr="00591BFC" w:rsidRDefault="00BF0C65" w:rsidP="00BF0C65">
            <w:pPr>
              <w:spacing w:after="0" w:line="360" w:lineRule="auto"/>
            </w:pPr>
            <w:r w:rsidRPr="00591BFC">
              <w:t>0</w:t>
            </w:r>
          </w:p>
        </w:tc>
        <w:tc>
          <w:tcPr>
            <w:tcW w:w="756" w:type="dxa"/>
            <w:shd w:val="clear" w:color="auto" w:fill="auto"/>
          </w:tcPr>
          <w:p w14:paraId="20360554" w14:textId="77777777" w:rsidR="00BF0C65" w:rsidRPr="00591BFC" w:rsidRDefault="00BF0C65" w:rsidP="00BF0C65">
            <w:pPr>
              <w:spacing w:after="0" w:line="360" w:lineRule="auto"/>
            </w:pPr>
            <w:r w:rsidRPr="00591BFC">
              <w:t>0</w:t>
            </w:r>
          </w:p>
        </w:tc>
        <w:tc>
          <w:tcPr>
            <w:tcW w:w="756" w:type="dxa"/>
            <w:shd w:val="clear" w:color="auto" w:fill="auto"/>
          </w:tcPr>
          <w:p w14:paraId="537737EA" w14:textId="77777777" w:rsidR="00BF0C65" w:rsidRPr="00591BFC" w:rsidRDefault="00BF0C65" w:rsidP="00BF0C65">
            <w:pPr>
              <w:spacing w:after="0" w:line="360" w:lineRule="auto"/>
            </w:pPr>
            <w:r w:rsidRPr="00591BFC">
              <w:t>0</w:t>
            </w:r>
          </w:p>
        </w:tc>
        <w:tc>
          <w:tcPr>
            <w:tcW w:w="756" w:type="dxa"/>
            <w:shd w:val="clear" w:color="auto" w:fill="auto"/>
          </w:tcPr>
          <w:p w14:paraId="1FA8E207" w14:textId="77777777" w:rsidR="00BF0C65" w:rsidRPr="00591BFC" w:rsidRDefault="00BF0C65" w:rsidP="00BF0C65">
            <w:pPr>
              <w:spacing w:after="0" w:line="360" w:lineRule="auto"/>
            </w:pPr>
            <w:r w:rsidRPr="00591BFC">
              <w:t>0</w:t>
            </w:r>
          </w:p>
        </w:tc>
        <w:tc>
          <w:tcPr>
            <w:tcW w:w="756" w:type="dxa"/>
            <w:shd w:val="clear" w:color="auto" w:fill="auto"/>
          </w:tcPr>
          <w:p w14:paraId="2CF3EE1A" w14:textId="77777777" w:rsidR="00BF0C65" w:rsidRPr="00591BFC" w:rsidRDefault="00BF0C65" w:rsidP="00BF0C65">
            <w:pPr>
              <w:spacing w:after="0" w:line="360" w:lineRule="auto"/>
            </w:pPr>
            <w:r w:rsidRPr="00591BFC">
              <w:t>0</w:t>
            </w:r>
          </w:p>
        </w:tc>
        <w:tc>
          <w:tcPr>
            <w:tcW w:w="756" w:type="dxa"/>
            <w:shd w:val="clear" w:color="auto" w:fill="auto"/>
          </w:tcPr>
          <w:p w14:paraId="250220D5" w14:textId="77777777" w:rsidR="00BF0C65" w:rsidRPr="00591BFC" w:rsidRDefault="00BF0C65" w:rsidP="00BF0C65">
            <w:pPr>
              <w:spacing w:after="0" w:line="360" w:lineRule="auto"/>
            </w:pPr>
            <w:r w:rsidRPr="00591BFC">
              <w:t>0</w:t>
            </w:r>
          </w:p>
        </w:tc>
        <w:tc>
          <w:tcPr>
            <w:tcW w:w="756" w:type="dxa"/>
            <w:shd w:val="clear" w:color="auto" w:fill="auto"/>
          </w:tcPr>
          <w:p w14:paraId="5DB2467F" w14:textId="77777777" w:rsidR="00BF0C65" w:rsidRPr="00591BFC" w:rsidRDefault="00BF0C65" w:rsidP="00BF0C65">
            <w:pPr>
              <w:spacing w:after="0" w:line="360" w:lineRule="auto"/>
            </w:pPr>
            <w:r w:rsidRPr="00591BFC">
              <w:t>0</w:t>
            </w:r>
          </w:p>
        </w:tc>
        <w:tc>
          <w:tcPr>
            <w:tcW w:w="745" w:type="dxa"/>
            <w:tcBorders>
              <w:bottom w:val="single" w:sz="4" w:space="0" w:color="auto"/>
            </w:tcBorders>
            <w:shd w:val="clear" w:color="auto" w:fill="auto"/>
          </w:tcPr>
          <w:p w14:paraId="1B475C0B" w14:textId="77777777" w:rsidR="00BF0C65" w:rsidRPr="00591BFC" w:rsidRDefault="00BF0C65" w:rsidP="00BF0C65">
            <w:pPr>
              <w:spacing w:after="0" w:line="360" w:lineRule="auto"/>
            </w:pPr>
            <w:r w:rsidRPr="00591BFC">
              <w:t>0</w:t>
            </w:r>
          </w:p>
        </w:tc>
      </w:tr>
      <w:tr w:rsidR="00BF0C65" w:rsidRPr="00591BFC" w14:paraId="6EF559AF" w14:textId="77777777" w:rsidTr="00BF0C65">
        <w:tc>
          <w:tcPr>
            <w:tcW w:w="973" w:type="dxa"/>
            <w:tcBorders>
              <w:bottom w:val="single" w:sz="4" w:space="0" w:color="auto"/>
            </w:tcBorders>
            <w:shd w:val="clear" w:color="auto" w:fill="auto"/>
          </w:tcPr>
          <w:p w14:paraId="4EAC828F" w14:textId="77777777" w:rsidR="00BF0C65" w:rsidRPr="00591BFC" w:rsidRDefault="00BF0C65" w:rsidP="00BF0C65">
            <w:pPr>
              <w:spacing w:after="0" w:line="360" w:lineRule="auto"/>
              <w:rPr>
                <w:b/>
              </w:rPr>
            </w:pPr>
          </w:p>
        </w:tc>
        <w:tc>
          <w:tcPr>
            <w:tcW w:w="716" w:type="dxa"/>
            <w:tcBorders>
              <w:bottom w:val="single" w:sz="4" w:space="0" w:color="auto"/>
            </w:tcBorders>
            <w:shd w:val="clear" w:color="auto" w:fill="auto"/>
          </w:tcPr>
          <w:p w14:paraId="4B198C21" w14:textId="77777777" w:rsidR="00BF0C65" w:rsidRPr="00591BFC" w:rsidRDefault="00BF0C65" w:rsidP="00BF0C65">
            <w:pPr>
              <w:spacing w:after="0" w:line="360" w:lineRule="auto"/>
              <w:rPr>
                <w:b/>
                <w:vertAlign w:val="superscript"/>
              </w:rPr>
            </w:pPr>
            <w:r w:rsidRPr="00591BFC">
              <w:rPr>
                <w:b/>
              </w:rPr>
              <w:t>FLN</w:t>
            </w:r>
          </w:p>
        </w:tc>
        <w:tc>
          <w:tcPr>
            <w:tcW w:w="758" w:type="dxa"/>
            <w:tcBorders>
              <w:bottom w:val="single" w:sz="4" w:space="0" w:color="auto"/>
            </w:tcBorders>
            <w:shd w:val="clear" w:color="auto" w:fill="auto"/>
          </w:tcPr>
          <w:p w14:paraId="2E21A236" w14:textId="77777777" w:rsidR="00BF0C65" w:rsidRPr="00591BFC" w:rsidRDefault="00BF0C65" w:rsidP="00BF0C65">
            <w:pPr>
              <w:spacing w:after="0" w:line="360" w:lineRule="auto"/>
            </w:pPr>
            <w:r w:rsidRPr="00591BFC">
              <w:t>0</w:t>
            </w:r>
          </w:p>
        </w:tc>
        <w:tc>
          <w:tcPr>
            <w:tcW w:w="757" w:type="dxa"/>
            <w:tcBorders>
              <w:bottom w:val="single" w:sz="4" w:space="0" w:color="auto"/>
            </w:tcBorders>
            <w:shd w:val="clear" w:color="auto" w:fill="auto"/>
          </w:tcPr>
          <w:p w14:paraId="5B58AB63" w14:textId="77777777" w:rsidR="00BF0C65" w:rsidRPr="00591BFC" w:rsidRDefault="00BF0C65" w:rsidP="00BF0C65">
            <w:pPr>
              <w:spacing w:after="0" w:line="360" w:lineRule="auto"/>
            </w:pPr>
            <w:r w:rsidRPr="00591BFC">
              <w:t>4</w:t>
            </w:r>
          </w:p>
        </w:tc>
        <w:tc>
          <w:tcPr>
            <w:tcW w:w="757" w:type="dxa"/>
            <w:tcBorders>
              <w:bottom w:val="single" w:sz="4" w:space="0" w:color="auto"/>
            </w:tcBorders>
            <w:shd w:val="clear" w:color="auto" w:fill="auto"/>
          </w:tcPr>
          <w:p w14:paraId="73B3D086" w14:textId="77777777" w:rsidR="00BF0C65" w:rsidRPr="00591BFC" w:rsidRDefault="00BF0C65" w:rsidP="00BF0C65">
            <w:pPr>
              <w:spacing w:after="0" w:line="360" w:lineRule="auto"/>
            </w:pPr>
            <w:r w:rsidRPr="00591BFC">
              <w:t>8</w:t>
            </w:r>
          </w:p>
        </w:tc>
        <w:tc>
          <w:tcPr>
            <w:tcW w:w="756" w:type="dxa"/>
            <w:tcBorders>
              <w:bottom w:val="single" w:sz="4" w:space="0" w:color="auto"/>
            </w:tcBorders>
            <w:shd w:val="clear" w:color="auto" w:fill="auto"/>
          </w:tcPr>
          <w:p w14:paraId="5453A388" w14:textId="77777777" w:rsidR="00BF0C65" w:rsidRPr="00591BFC" w:rsidRDefault="00BF0C65" w:rsidP="00BF0C65">
            <w:pPr>
              <w:spacing w:after="0" w:line="360" w:lineRule="auto"/>
            </w:pPr>
            <w:r w:rsidRPr="00591BFC">
              <w:t>8</w:t>
            </w:r>
          </w:p>
        </w:tc>
        <w:tc>
          <w:tcPr>
            <w:tcW w:w="756" w:type="dxa"/>
            <w:tcBorders>
              <w:bottom w:val="single" w:sz="4" w:space="0" w:color="auto"/>
            </w:tcBorders>
            <w:shd w:val="clear" w:color="auto" w:fill="auto"/>
          </w:tcPr>
          <w:p w14:paraId="27B5862E" w14:textId="77777777" w:rsidR="00BF0C65" w:rsidRPr="00591BFC" w:rsidRDefault="00BF0C65" w:rsidP="00BF0C65">
            <w:pPr>
              <w:spacing w:after="0" w:line="360" w:lineRule="auto"/>
            </w:pPr>
            <w:r w:rsidRPr="00591BFC">
              <w:t>8</w:t>
            </w:r>
          </w:p>
        </w:tc>
        <w:tc>
          <w:tcPr>
            <w:tcW w:w="756" w:type="dxa"/>
            <w:tcBorders>
              <w:bottom w:val="single" w:sz="4" w:space="0" w:color="auto"/>
            </w:tcBorders>
            <w:shd w:val="clear" w:color="auto" w:fill="auto"/>
          </w:tcPr>
          <w:p w14:paraId="79E94A28" w14:textId="77777777" w:rsidR="00BF0C65" w:rsidRPr="00591BFC" w:rsidRDefault="00BF0C65" w:rsidP="00BF0C65">
            <w:pPr>
              <w:spacing w:after="0" w:line="360" w:lineRule="auto"/>
            </w:pPr>
            <w:r w:rsidRPr="00591BFC">
              <w:t>8</w:t>
            </w:r>
          </w:p>
        </w:tc>
        <w:tc>
          <w:tcPr>
            <w:tcW w:w="756" w:type="dxa"/>
            <w:tcBorders>
              <w:bottom w:val="single" w:sz="4" w:space="0" w:color="auto"/>
            </w:tcBorders>
            <w:shd w:val="clear" w:color="auto" w:fill="auto"/>
          </w:tcPr>
          <w:p w14:paraId="05CECA42" w14:textId="77777777" w:rsidR="00BF0C65" w:rsidRPr="00591BFC" w:rsidRDefault="00BF0C65" w:rsidP="00BF0C65">
            <w:pPr>
              <w:spacing w:after="0" w:line="360" w:lineRule="auto"/>
            </w:pPr>
            <w:r w:rsidRPr="00591BFC">
              <w:t>8</w:t>
            </w:r>
          </w:p>
        </w:tc>
        <w:tc>
          <w:tcPr>
            <w:tcW w:w="756" w:type="dxa"/>
            <w:tcBorders>
              <w:bottom w:val="single" w:sz="4" w:space="0" w:color="auto"/>
            </w:tcBorders>
            <w:shd w:val="clear" w:color="auto" w:fill="auto"/>
          </w:tcPr>
          <w:p w14:paraId="693204D7" w14:textId="77777777" w:rsidR="00BF0C65" w:rsidRPr="00591BFC" w:rsidRDefault="00BF0C65" w:rsidP="00BF0C65">
            <w:pPr>
              <w:spacing w:after="0" w:line="360" w:lineRule="auto"/>
            </w:pPr>
            <w:r w:rsidRPr="00591BFC">
              <w:t>8</w:t>
            </w:r>
          </w:p>
        </w:tc>
        <w:tc>
          <w:tcPr>
            <w:tcW w:w="756" w:type="dxa"/>
            <w:tcBorders>
              <w:bottom w:val="single" w:sz="4" w:space="0" w:color="auto"/>
            </w:tcBorders>
            <w:shd w:val="clear" w:color="auto" w:fill="auto"/>
          </w:tcPr>
          <w:p w14:paraId="3EF09528" w14:textId="77777777" w:rsidR="00BF0C65" w:rsidRPr="00591BFC" w:rsidRDefault="00BF0C65" w:rsidP="00BF0C65">
            <w:pPr>
              <w:spacing w:after="0" w:line="360" w:lineRule="auto"/>
            </w:pPr>
            <w:r w:rsidRPr="00591BFC">
              <w:t>8</w:t>
            </w:r>
          </w:p>
        </w:tc>
        <w:tc>
          <w:tcPr>
            <w:tcW w:w="745" w:type="dxa"/>
            <w:tcBorders>
              <w:bottom w:val="single" w:sz="4" w:space="0" w:color="auto"/>
            </w:tcBorders>
            <w:shd w:val="clear" w:color="auto" w:fill="auto"/>
          </w:tcPr>
          <w:p w14:paraId="2E96EC56" w14:textId="77777777" w:rsidR="00BF0C65" w:rsidRPr="00591BFC" w:rsidRDefault="00BF0C65" w:rsidP="00BF0C65">
            <w:pPr>
              <w:spacing w:after="0" w:line="360" w:lineRule="auto"/>
            </w:pPr>
            <w:r w:rsidRPr="00591BFC">
              <w:t>8</w:t>
            </w:r>
          </w:p>
        </w:tc>
      </w:tr>
      <w:tr w:rsidR="00BF0C65" w:rsidRPr="00591BFC" w14:paraId="75D8DD86" w14:textId="77777777" w:rsidTr="00BF0C65">
        <w:tc>
          <w:tcPr>
            <w:tcW w:w="973" w:type="dxa"/>
            <w:shd w:val="clear" w:color="auto" w:fill="A6A6A6"/>
          </w:tcPr>
          <w:p w14:paraId="557E827D" w14:textId="77777777" w:rsidR="00BF0C65" w:rsidRPr="00591BFC" w:rsidRDefault="00BF0C65" w:rsidP="00BF0C65">
            <w:pPr>
              <w:spacing w:after="0" w:line="360" w:lineRule="auto"/>
              <w:rPr>
                <w:b/>
                <w:sz w:val="10"/>
              </w:rPr>
            </w:pPr>
          </w:p>
        </w:tc>
        <w:tc>
          <w:tcPr>
            <w:tcW w:w="716" w:type="dxa"/>
            <w:shd w:val="clear" w:color="auto" w:fill="A6A6A6"/>
          </w:tcPr>
          <w:p w14:paraId="7160CF3F" w14:textId="77777777" w:rsidR="00BF0C65" w:rsidRPr="00591BFC" w:rsidRDefault="00BF0C65" w:rsidP="00BF0C65">
            <w:pPr>
              <w:spacing w:after="0" w:line="360" w:lineRule="auto"/>
              <w:rPr>
                <w:b/>
                <w:sz w:val="10"/>
              </w:rPr>
            </w:pPr>
          </w:p>
        </w:tc>
        <w:tc>
          <w:tcPr>
            <w:tcW w:w="758" w:type="dxa"/>
            <w:shd w:val="clear" w:color="auto" w:fill="A6A6A6"/>
          </w:tcPr>
          <w:p w14:paraId="29FB9BEC" w14:textId="77777777" w:rsidR="00BF0C65" w:rsidRPr="00591BFC" w:rsidRDefault="00BF0C65" w:rsidP="00BF0C65">
            <w:pPr>
              <w:spacing w:after="0" w:line="360" w:lineRule="auto"/>
              <w:rPr>
                <w:sz w:val="10"/>
              </w:rPr>
            </w:pPr>
          </w:p>
        </w:tc>
        <w:tc>
          <w:tcPr>
            <w:tcW w:w="757" w:type="dxa"/>
            <w:shd w:val="clear" w:color="auto" w:fill="A6A6A6"/>
          </w:tcPr>
          <w:p w14:paraId="34998646" w14:textId="77777777" w:rsidR="00BF0C65" w:rsidRPr="00591BFC" w:rsidRDefault="00BF0C65" w:rsidP="00BF0C65">
            <w:pPr>
              <w:spacing w:after="0" w:line="360" w:lineRule="auto"/>
              <w:rPr>
                <w:sz w:val="10"/>
              </w:rPr>
            </w:pPr>
          </w:p>
        </w:tc>
        <w:tc>
          <w:tcPr>
            <w:tcW w:w="757" w:type="dxa"/>
            <w:tcBorders>
              <w:bottom w:val="single" w:sz="4" w:space="0" w:color="auto"/>
            </w:tcBorders>
            <w:shd w:val="clear" w:color="auto" w:fill="A6A6A6"/>
          </w:tcPr>
          <w:p w14:paraId="00C10798"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084D15BC"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104773AA"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202CFFBD"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795BAF9D"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4D6D1A33"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6D92F802" w14:textId="77777777" w:rsidR="00BF0C65" w:rsidRPr="00591BFC" w:rsidRDefault="00BF0C65" w:rsidP="00BF0C65">
            <w:pPr>
              <w:spacing w:after="0" w:line="360" w:lineRule="auto"/>
              <w:rPr>
                <w:sz w:val="10"/>
              </w:rPr>
            </w:pPr>
          </w:p>
        </w:tc>
        <w:tc>
          <w:tcPr>
            <w:tcW w:w="745" w:type="dxa"/>
            <w:shd w:val="clear" w:color="auto" w:fill="A6A6A6"/>
          </w:tcPr>
          <w:p w14:paraId="3A414AA1" w14:textId="77777777" w:rsidR="00BF0C65" w:rsidRPr="00591BFC" w:rsidRDefault="00BF0C65" w:rsidP="00BF0C65">
            <w:pPr>
              <w:spacing w:after="0" w:line="360" w:lineRule="auto"/>
              <w:rPr>
                <w:b/>
                <w:sz w:val="10"/>
              </w:rPr>
            </w:pPr>
          </w:p>
        </w:tc>
      </w:tr>
      <w:tr w:rsidR="00BF0C65" w:rsidRPr="00591BFC" w14:paraId="096B8817" w14:textId="77777777" w:rsidTr="00BF0C65">
        <w:tc>
          <w:tcPr>
            <w:tcW w:w="973" w:type="dxa"/>
            <w:shd w:val="clear" w:color="auto" w:fill="auto"/>
          </w:tcPr>
          <w:p w14:paraId="1BB7521F" w14:textId="77777777" w:rsidR="00BF0C65" w:rsidRPr="00591BFC" w:rsidRDefault="00BF0C65" w:rsidP="00BF0C65">
            <w:pPr>
              <w:spacing w:after="0" w:line="360" w:lineRule="auto"/>
              <w:rPr>
                <w:b/>
              </w:rPr>
            </w:pPr>
            <w:r w:rsidRPr="00591BFC">
              <w:rPr>
                <w:b/>
              </w:rPr>
              <w:t>10</w:t>
            </w:r>
          </w:p>
        </w:tc>
        <w:tc>
          <w:tcPr>
            <w:tcW w:w="716" w:type="dxa"/>
            <w:shd w:val="clear" w:color="auto" w:fill="auto"/>
          </w:tcPr>
          <w:p w14:paraId="62D62D3A" w14:textId="77777777" w:rsidR="00BF0C65" w:rsidRPr="00591BFC" w:rsidRDefault="00BF0C65" w:rsidP="00BF0C65">
            <w:pPr>
              <w:spacing w:after="0" w:line="360" w:lineRule="auto"/>
              <w:rPr>
                <w:b/>
              </w:rPr>
            </w:pPr>
            <w:r w:rsidRPr="00591BFC">
              <w:rPr>
                <w:b/>
              </w:rPr>
              <w:t>OG</w:t>
            </w:r>
          </w:p>
        </w:tc>
        <w:tc>
          <w:tcPr>
            <w:tcW w:w="758" w:type="dxa"/>
            <w:shd w:val="clear" w:color="auto" w:fill="auto"/>
          </w:tcPr>
          <w:p w14:paraId="4D91EC3A" w14:textId="77777777" w:rsidR="00BF0C65" w:rsidRPr="00591BFC" w:rsidRDefault="00BF0C65" w:rsidP="00BF0C65">
            <w:pPr>
              <w:spacing w:after="0" w:line="360" w:lineRule="auto"/>
            </w:pPr>
            <w:r w:rsidRPr="00591BFC">
              <w:t>0</w:t>
            </w:r>
          </w:p>
        </w:tc>
        <w:tc>
          <w:tcPr>
            <w:tcW w:w="757" w:type="dxa"/>
            <w:shd w:val="clear" w:color="auto" w:fill="auto"/>
          </w:tcPr>
          <w:p w14:paraId="722044F5" w14:textId="77777777" w:rsidR="00BF0C65" w:rsidRPr="00591BFC" w:rsidRDefault="00BF0C65" w:rsidP="00BF0C65">
            <w:pPr>
              <w:spacing w:after="0" w:line="360" w:lineRule="auto"/>
            </w:pPr>
            <w:r w:rsidRPr="00591BFC">
              <w:t>0</w:t>
            </w:r>
          </w:p>
        </w:tc>
        <w:tc>
          <w:tcPr>
            <w:tcW w:w="757" w:type="dxa"/>
            <w:shd w:val="clear" w:color="auto" w:fill="auto"/>
          </w:tcPr>
          <w:p w14:paraId="5B026DAD" w14:textId="77777777" w:rsidR="00BF0C65" w:rsidRPr="00591BFC" w:rsidRDefault="00BF0C65" w:rsidP="00BF0C65">
            <w:pPr>
              <w:spacing w:after="0" w:line="360" w:lineRule="auto"/>
            </w:pPr>
            <w:r w:rsidRPr="00591BFC">
              <w:t>0</w:t>
            </w:r>
          </w:p>
        </w:tc>
        <w:tc>
          <w:tcPr>
            <w:tcW w:w="756" w:type="dxa"/>
            <w:shd w:val="clear" w:color="auto" w:fill="auto"/>
          </w:tcPr>
          <w:p w14:paraId="07367DA9" w14:textId="77777777" w:rsidR="00BF0C65" w:rsidRPr="00591BFC" w:rsidRDefault="00BF0C65" w:rsidP="00BF0C65">
            <w:pPr>
              <w:spacing w:after="0" w:line="360" w:lineRule="auto"/>
            </w:pPr>
            <w:r w:rsidRPr="00591BFC">
              <w:t>0</w:t>
            </w:r>
          </w:p>
        </w:tc>
        <w:tc>
          <w:tcPr>
            <w:tcW w:w="756" w:type="dxa"/>
            <w:shd w:val="clear" w:color="auto" w:fill="auto"/>
          </w:tcPr>
          <w:p w14:paraId="507F80E1" w14:textId="77777777" w:rsidR="00BF0C65" w:rsidRPr="00591BFC" w:rsidRDefault="00BF0C65" w:rsidP="00BF0C65">
            <w:pPr>
              <w:spacing w:after="0" w:line="360" w:lineRule="auto"/>
            </w:pPr>
            <w:r w:rsidRPr="00591BFC">
              <w:t>0</w:t>
            </w:r>
          </w:p>
        </w:tc>
        <w:tc>
          <w:tcPr>
            <w:tcW w:w="756" w:type="dxa"/>
            <w:shd w:val="clear" w:color="auto" w:fill="auto"/>
          </w:tcPr>
          <w:p w14:paraId="46801254" w14:textId="77777777" w:rsidR="00BF0C65" w:rsidRPr="00591BFC" w:rsidRDefault="00BF0C65" w:rsidP="00BF0C65">
            <w:pPr>
              <w:spacing w:after="0" w:line="360" w:lineRule="auto"/>
            </w:pPr>
            <w:r w:rsidRPr="00591BFC">
              <w:t>0</w:t>
            </w:r>
          </w:p>
        </w:tc>
        <w:tc>
          <w:tcPr>
            <w:tcW w:w="756" w:type="dxa"/>
            <w:shd w:val="clear" w:color="auto" w:fill="auto"/>
          </w:tcPr>
          <w:p w14:paraId="3A4BEB25" w14:textId="77777777" w:rsidR="00BF0C65" w:rsidRPr="00591BFC" w:rsidRDefault="00BF0C65" w:rsidP="00BF0C65">
            <w:pPr>
              <w:spacing w:after="0" w:line="360" w:lineRule="auto"/>
            </w:pPr>
            <w:r w:rsidRPr="00591BFC">
              <w:t>0</w:t>
            </w:r>
          </w:p>
        </w:tc>
        <w:tc>
          <w:tcPr>
            <w:tcW w:w="756" w:type="dxa"/>
            <w:shd w:val="clear" w:color="auto" w:fill="auto"/>
          </w:tcPr>
          <w:p w14:paraId="0D88C0FD" w14:textId="77777777" w:rsidR="00BF0C65" w:rsidRPr="00591BFC" w:rsidRDefault="00BF0C65" w:rsidP="00BF0C65">
            <w:pPr>
              <w:spacing w:after="0" w:line="360" w:lineRule="auto"/>
            </w:pPr>
            <w:r w:rsidRPr="00591BFC">
              <w:t>2</w:t>
            </w:r>
          </w:p>
        </w:tc>
        <w:tc>
          <w:tcPr>
            <w:tcW w:w="756" w:type="dxa"/>
            <w:tcBorders>
              <w:bottom w:val="single" w:sz="4" w:space="0" w:color="auto"/>
            </w:tcBorders>
            <w:shd w:val="clear" w:color="auto" w:fill="auto"/>
          </w:tcPr>
          <w:p w14:paraId="52605585" w14:textId="77777777" w:rsidR="00BF0C65" w:rsidRPr="00591BFC" w:rsidRDefault="00BF0C65" w:rsidP="00BF0C65">
            <w:pPr>
              <w:spacing w:after="0" w:line="360" w:lineRule="auto"/>
            </w:pPr>
            <w:r w:rsidRPr="00591BFC">
              <w:t>2</w:t>
            </w:r>
          </w:p>
        </w:tc>
        <w:tc>
          <w:tcPr>
            <w:tcW w:w="745" w:type="dxa"/>
            <w:shd w:val="clear" w:color="auto" w:fill="auto"/>
          </w:tcPr>
          <w:p w14:paraId="54BD9E37" w14:textId="77777777" w:rsidR="00BF0C65" w:rsidRPr="00591BFC" w:rsidRDefault="00BF0C65" w:rsidP="00BF0C65">
            <w:pPr>
              <w:spacing w:after="0" w:line="360" w:lineRule="auto"/>
            </w:pPr>
            <w:r w:rsidRPr="00591BFC">
              <w:t>2</w:t>
            </w:r>
          </w:p>
        </w:tc>
      </w:tr>
      <w:tr w:rsidR="00BF0C65" w:rsidRPr="00591BFC" w14:paraId="67C922FB" w14:textId="77777777" w:rsidTr="00BF0C65">
        <w:tc>
          <w:tcPr>
            <w:tcW w:w="973" w:type="dxa"/>
            <w:tcBorders>
              <w:bottom w:val="single" w:sz="4" w:space="0" w:color="auto"/>
            </w:tcBorders>
            <w:shd w:val="clear" w:color="auto" w:fill="auto"/>
          </w:tcPr>
          <w:p w14:paraId="7D50813D" w14:textId="77777777" w:rsidR="00BF0C65" w:rsidRPr="00591BFC" w:rsidRDefault="00BF0C65" w:rsidP="00BF0C65">
            <w:pPr>
              <w:spacing w:after="0" w:line="360" w:lineRule="auto"/>
              <w:rPr>
                <w:b/>
              </w:rPr>
            </w:pPr>
          </w:p>
        </w:tc>
        <w:tc>
          <w:tcPr>
            <w:tcW w:w="716" w:type="dxa"/>
            <w:tcBorders>
              <w:bottom w:val="single" w:sz="4" w:space="0" w:color="auto"/>
            </w:tcBorders>
            <w:shd w:val="clear" w:color="auto" w:fill="auto"/>
          </w:tcPr>
          <w:p w14:paraId="147B0BC8" w14:textId="77777777" w:rsidR="00BF0C65" w:rsidRPr="00591BFC" w:rsidRDefault="00BF0C65" w:rsidP="00BF0C65">
            <w:pPr>
              <w:spacing w:after="0" w:line="360" w:lineRule="auto"/>
              <w:rPr>
                <w:b/>
                <w:vertAlign w:val="superscript"/>
              </w:rPr>
            </w:pPr>
            <w:r w:rsidRPr="00591BFC">
              <w:rPr>
                <w:b/>
              </w:rPr>
              <w:t>FLN</w:t>
            </w:r>
          </w:p>
        </w:tc>
        <w:tc>
          <w:tcPr>
            <w:tcW w:w="758" w:type="dxa"/>
            <w:tcBorders>
              <w:bottom w:val="single" w:sz="4" w:space="0" w:color="auto"/>
            </w:tcBorders>
            <w:shd w:val="clear" w:color="auto" w:fill="auto"/>
          </w:tcPr>
          <w:p w14:paraId="4F7FACA1" w14:textId="77777777" w:rsidR="00BF0C65" w:rsidRPr="00591BFC" w:rsidRDefault="00BF0C65" w:rsidP="00BF0C65">
            <w:pPr>
              <w:spacing w:after="0" w:line="360" w:lineRule="auto"/>
            </w:pPr>
            <w:r w:rsidRPr="00591BFC">
              <w:t>3</w:t>
            </w:r>
          </w:p>
        </w:tc>
        <w:tc>
          <w:tcPr>
            <w:tcW w:w="757" w:type="dxa"/>
            <w:tcBorders>
              <w:bottom w:val="single" w:sz="4" w:space="0" w:color="auto"/>
            </w:tcBorders>
            <w:shd w:val="clear" w:color="auto" w:fill="auto"/>
          </w:tcPr>
          <w:p w14:paraId="700E866F" w14:textId="77777777" w:rsidR="00BF0C65" w:rsidRPr="00591BFC" w:rsidRDefault="00BF0C65" w:rsidP="00BF0C65">
            <w:pPr>
              <w:spacing w:after="0" w:line="360" w:lineRule="auto"/>
            </w:pPr>
            <w:r w:rsidRPr="00591BFC">
              <w:t>3</w:t>
            </w:r>
          </w:p>
        </w:tc>
        <w:tc>
          <w:tcPr>
            <w:tcW w:w="757" w:type="dxa"/>
            <w:tcBorders>
              <w:bottom w:val="single" w:sz="4" w:space="0" w:color="auto"/>
            </w:tcBorders>
            <w:shd w:val="clear" w:color="auto" w:fill="auto"/>
          </w:tcPr>
          <w:p w14:paraId="78484A61" w14:textId="77777777" w:rsidR="00BF0C65" w:rsidRPr="00591BFC" w:rsidRDefault="00BF0C65" w:rsidP="00BF0C65">
            <w:pPr>
              <w:spacing w:after="0" w:line="360" w:lineRule="auto"/>
            </w:pPr>
            <w:r w:rsidRPr="00591BFC">
              <w:t>1.9</w:t>
            </w:r>
          </w:p>
        </w:tc>
        <w:tc>
          <w:tcPr>
            <w:tcW w:w="756" w:type="dxa"/>
            <w:tcBorders>
              <w:bottom w:val="single" w:sz="4" w:space="0" w:color="auto"/>
            </w:tcBorders>
            <w:shd w:val="clear" w:color="auto" w:fill="auto"/>
          </w:tcPr>
          <w:p w14:paraId="085A6766" w14:textId="77777777" w:rsidR="00BF0C65" w:rsidRPr="00591BFC" w:rsidRDefault="00BF0C65" w:rsidP="00BF0C65">
            <w:pPr>
              <w:spacing w:after="0" w:line="360" w:lineRule="auto"/>
            </w:pPr>
            <w:r w:rsidRPr="00591BFC">
              <w:t>3</w:t>
            </w:r>
          </w:p>
        </w:tc>
        <w:tc>
          <w:tcPr>
            <w:tcW w:w="756" w:type="dxa"/>
            <w:tcBorders>
              <w:bottom w:val="single" w:sz="4" w:space="0" w:color="auto"/>
            </w:tcBorders>
            <w:shd w:val="clear" w:color="auto" w:fill="auto"/>
          </w:tcPr>
          <w:p w14:paraId="0F3D66C9" w14:textId="77777777" w:rsidR="00BF0C65" w:rsidRPr="00591BFC" w:rsidRDefault="00BF0C65" w:rsidP="00BF0C65">
            <w:pPr>
              <w:spacing w:after="0" w:line="360" w:lineRule="auto"/>
            </w:pPr>
            <w:r w:rsidRPr="00591BFC">
              <w:t>3</w:t>
            </w:r>
          </w:p>
        </w:tc>
        <w:tc>
          <w:tcPr>
            <w:tcW w:w="756" w:type="dxa"/>
            <w:tcBorders>
              <w:bottom w:val="single" w:sz="4" w:space="0" w:color="auto"/>
            </w:tcBorders>
            <w:shd w:val="clear" w:color="auto" w:fill="auto"/>
          </w:tcPr>
          <w:p w14:paraId="419CDF5F" w14:textId="77777777" w:rsidR="00BF0C65" w:rsidRPr="00591BFC" w:rsidRDefault="00BF0C65" w:rsidP="00BF0C65">
            <w:pPr>
              <w:spacing w:after="0" w:line="360" w:lineRule="auto"/>
            </w:pPr>
            <w:r w:rsidRPr="00591BFC">
              <w:t>3ⱡ</w:t>
            </w:r>
          </w:p>
        </w:tc>
        <w:tc>
          <w:tcPr>
            <w:tcW w:w="756" w:type="dxa"/>
            <w:tcBorders>
              <w:bottom w:val="single" w:sz="4" w:space="0" w:color="auto"/>
            </w:tcBorders>
            <w:shd w:val="clear" w:color="auto" w:fill="auto"/>
          </w:tcPr>
          <w:p w14:paraId="3A321BC0" w14:textId="77777777" w:rsidR="00BF0C65" w:rsidRPr="00591BFC" w:rsidRDefault="00BF0C65" w:rsidP="00BF0C65">
            <w:pPr>
              <w:spacing w:after="0" w:line="360" w:lineRule="auto"/>
            </w:pPr>
            <w:r w:rsidRPr="00591BFC">
              <w:t>3</w:t>
            </w:r>
          </w:p>
        </w:tc>
        <w:tc>
          <w:tcPr>
            <w:tcW w:w="756" w:type="dxa"/>
            <w:tcBorders>
              <w:bottom w:val="single" w:sz="4" w:space="0" w:color="auto"/>
            </w:tcBorders>
            <w:shd w:val="clear" w:color="auto" w:fill="auto"/>
          </w:tcPr>
          <w:p w14:paraId="2F5F5F3B" w14:textId="77777777" w:rsidR="00BF0C65" w:rsidRPr="00591BFC" w:rsidRDefault="00BF0C65" w:rsidP="00BF0C65">
            <w:pPr>
              <w:spacing w:after="0" w:line="360" w:lineRule="auto"/>
            </w:pPr>
            <w:r w:rsidRPr="00591BFC">
              <w:t>3</w:t>
            </w:r>
          </w:p>
        </w:tc>
        <w:tc>
          <w:tcPr>
            <w:tcW w:w="756" w:type="dxa"/>
            <w:tcBorders>
              <w:bottom w:val="single" w:sz="4" w:space="0" w:color="auto"/>
            </w:tcBorders>
            <w:shd w:val="clear" w:color="auto" w:fill="auto"/>
          </w:tcPr>
          <w:p w14:paraId="78D52309" w14:textId="77777777" w:rsidR="00BF0C65" w:rsidRPr="00591BFC" w:rsidRDefault="00BF0C65" w:rsidP="00BF0C65">
            <w:pPr>
              <w:spacing w:after="0" w:line="360" w:lineRule="auto"/>
            </w:pPr>
            <w:r w:rsidRPr="00591BFC">
              <w:t>3</w:t>
            </w:r>
          </w:p>
        </w:tc>
        <w:tc>
          <w:tcPr>
            <w:tcW w:w="745" w:type="dxa"/>
            <w:tcBorders>
              <w:bottom w:val="single" w:sz="4" w:space="0" w:color="auto"/>
            </w:tcBorders>
            <w:shd w:val="clear" w:color="auto" w:fill="auto"/>
          </w:tcPr>
          <w:p w14:paraId="23AE10D9" w14:textId="77777777" w:rsidR="00BF0C65" w:rsidRPr="00591BFC" w:rsidRDefault="00BF0C65" w:rsidP="00BF0C65">
            <w:pPr>
              <w:spacing w:after="0" w:line="360" w:lineRule="auto"/>
            </w:pPr>
            <w:r w:rsidRPr="00591BFC">
              <w:t>7.6</w:t>
            </w:r>
          </w:p>
        </w:tc>
      </w:tr>
      <w:tr w:rsidR="00BF0C65" w:rsidRPr="00591BFC" w14:paraId="63B97ADA" w14:textId="77777777" w:rsidTr="00BF0C65">
        <w:tc>
          <w:tcPr>
            <w:tcW w:w="973" w:type="dxa"/>
            <w:shd w:val="clear" w:color="auto" w:fill="A6A6A6"/>
          </w:tcPr>
          <w:p w14:paraId="2A4FE255" w14:textId="77777777" w:rsidR="00BF0C65" w:rsidRPr="00591BFC" w:rsidRDefault="00BF0C65" w:rsidP="00BF0C65">
            <w:pPr>
              <w:spacing w:after="0" w:line="360" w:lineRule="auto"/>
              <w:rPr>
                <w:b/>
                <w:sz w:val="10"/>
              </w:rPr>
            </w:pPr>
          </w:p>
        </w:tc>
        <w:tc>
          <w:tcPr>
            <w:tcW w:w="716" w:type="dxa"/>
            <w:shd w:val="clear" w:color="auto" w:fill="A6A6A6"/>
          </w:tcPr>
          <w:p w14:paraId="55AAA6FA" w14:textId="77777777" w:rsidR="00BF0C65" w:rsidRPr="00591BFC" w:rsidRDefault="00BF0C65" w:rsidP="00BF0C65">
            <w:pPr>
              <w:spacing w:after="0" w:line="360" w:lineRule="auto"/>
              <w:rPr>
                <w:b/>
                <w:sz w:val="10"/>
              </w:rPr>
            </w:pPr>
          </w:p>
        </w:tc>
        <w:tc>
          <w:tcPr>
            <w:tcW w:w="758" w:type="dxa"/>
            <w:shd w:val="clear" w:color="auto" w:fill="A6A6A6"/>
          </w:tcPr>
          <w:p w14:paraId="0ED4A555" w14:textId="77777777" w:rsidR="00BF0C65" w:rsidRPr="00591BFC" w:rsidRDefault="00BF0C65" w:rsidP="00BF0C65">
            <w:pPr>
              <w:spacing w:after="0" w:line="360" w:lineRule="auto"/>
              <w:rPr>
                <w:sz w:val="10"/>
              </w:rPr>
            </w:pPr>
          </w:p>
        </w:tc>
        <w:tc>
          <w:tcPr>
            <w:tcW w:w="757" w:type="dxa"/>
            <w:shd w:val="clear" w:color="auto" w:fill="A6A6A6"/>
          </w:tcPr>
          <w:p w14:paraId="0ED75F8F" w14:textId="77777777" w:rsidR="00BF0C65" w:rsidRPr="00591BFC" w:rsidRDefault="00BF0C65" w:rsidP="00BF0C65">
            <w:pPr>
              <w:spacing w:after="0" w:line="360" w:lineRule="auto"/>
              <w:rPr>
                <w:sz w:val="10"/>
              </w:rPr>
            </w:pPr>
          </w:p>
        </w:tc>
        <w:tc>
          <w:tcPr>
            <w:tcW w:w="757" w:type="dxa"/>
            <w:shd w:val="clear" w:color="auto" w:fill="A6A6A6"/>
          </w:tcPr>
          <w:p w14:paraId="7779B4D5" w14:textId="77777777" w:rsidR="00BF0C65" w:rsidRPr="00591BFC" w:rsidRDefault="00BF0C65" w:rsidP="00BF0C65">
            <w:pPr>
              <w:spacing w:after="0" w:line="360" w:lineRule="auto"/>
              <w:rPr>
                <w:sz w:val="10"/>
              </w:rPr>
            </w:pPr>
          </w:p>
        </w:tc>
        <w:tc>
          <w:tcPr>
            <w:tcW w:w="756" w:type="dxa"/>
            <w:shd w:val="clear" w:color="auto" w:fill="A6A6A6"/>
          </w:tcPr>
          <w:p w14:paraId="131B3EF3" w14:textId="77777777" w:rsidR="00BF0C65" w:rsidRPr="00591BFC" w:rsidRDefault="00BF0C65" w:rsidP="00BF0C65">
            <w:pPr>
              <w:spacing w:after="0" w:line="360" w:lineRule="auto"/>
              <w:rPr>
                <w:sz w:val="10"/>
              </w:rPr>
            </w:pPr>
          </w:p>
        </w:tc>
        <w:tc>
          <w:tcPr>
            <w:tcW w:w="756" w:type="dxa"/>
            <w:shd w:val="clear" w:color="auto" w:fill="A6A6A6"/>
          </w:tcPr>
          <w:p w14:paraId="174AB597"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28251602" w14:textId="77777777" w:rsidR="00BF0C65" w:rsidRPr="00591BFC" w:rsidRDefault="00BF0C65" w:rsidP="00BF0C65">
            <w:pPr>
              <w:spacing w:after="0" w:line="360" w:lineRule="auto"/>
              <w:rPr>
                <w:sz w:val="10"/>
              </w:rPr>
            </w:pPr>
          </w:p>
        </w:tc>
        <w:tc>
          <w:tcPr>
            <w:tcW w:w="756" w:type="dxa"/>
            <w:tcBorders>
              <w:bottom w:val="single" w:sz="4" w:space="0" w:color="auto"/>
            </w:tcBorders>
            <w:shd w:val="clear" w:color="auto" w:fill="A6A6A6"/>
          </w:tcPr>
          <w:p w14:paraId="31CA0E63" w14:textId="77777777" w:rsidR="00BF0C65" w:rsidRPr="00591BFC" w:rsidRDefault="00BF0C65" w:rsidP="00BF0C65">
            <w:pPr>
              <w:spacing w:after="0" w:line="360" w:lineRule="auto"/>
              <w:rPr>
                <w:sz w:val="10"/>
              </w:rPr>
            </w:pPr>
          </w:p>
        </w:tc>
        <w:tc>
          <w:tcPr>
            <w:tcW w:w="756" w:type="dxa"/>
            <w:shd w:val="clear" w:color="auto" w:fill="A6A6A6"/>
          </w:tcPr>
          <w:p w14:paraId="2F96C6A1" w14:textId="77777777" w:rsidR="00BF0C65" w:rsidRPr="00591BFC" w:rsidRDefault="00BF0C65" w:rsidP="00BF0C65">
            <w:pPr>
              <w:spacing w:after="0" w:line="360" w:lineRule="auto"/>
              <w:rPr>
                <w:sz w:val="10"/>
              </w:rPr>
            </w:pPr>
          </w:p>
        </w:tc>
        <w:tc>
          <w:tcPr>
            <w:tcW w:w="756" w:type="dxa"/>
            <w:shd w:val="clear" w:color="auto" w:fill="A6A6A6"/>
          </w:tcPr>
          <w:p w14:paraId="464EE016" w14:textId="77777777" w:rsidR="00BF0C65" w:rsidRPr="00591BFC" w:rsidRDefault="00BF0C65" w:rsidP="00BF0C65">
            <w:pPr>
              <w:spacing w:after="0" w:line="360" w:lineRule="auto"/>
              <w:rPr>
                <w:b/>
                <w:sz w:val="10"/>
              </w:rPr>
            </w:pPr>
          </w:p>
        </w:tc>
        <w:tc>
          <w:tcPr>
            <w:tcW w:w="745" w:type="dxa"/>
            <w:shd w:val="clear" w:color="auto" w:fill="A6A6A6"/>
          </w:tcPr>
          <w:p w14:paraId="5AF77E69" w14:textId="77777777" w:rsidR="00BF0C65" w:rsidRPr="00591BFC" w:rsidRDefault="00BF0C65" w:rsidP="00BF0C65">
            <w:pPr>
              <w:spacing w:after="0" w:line="360" w:lineRule="auto"/>
              <w:rPr>
                <w:sz w:val="10"/>
              </w:rPr>
            </w:pPr>
          </w:p>
        </w:tc>
      </w:tr>
      <w:tr w:rsidR="00BF0C65" w:rsidRPr="00591BFC" w14:paraId="5B2EB813" w14:textId="77777777" w:rsidTr="00BF0C65">
        <w:tc>
          <w:tcPr>
            <w:tcW w:w="973" w:type="dxa"/>
            <w:shd w:val="clear" w:color="auto" w:fill="auto"/>
          </w:tcPr>
          <w:p w14:paraId="5DAAEEEF" w14:textId="77777777" w:rsidR="00BF0C65" w:rsidRPr="00591BFC" w:rsidRDefault="00BF0C65" w:rsidP="00BF0C65">
            <w:pPr>
              <w:spacing w:after="0" w:line="360" w:lineRule="auto"/>
              <w:rPr>
                <w:b/>
              </w:rPr>
            </w:pPr>
            <w:r w:rsidRPr="00591BFC">
              <w:rPr>
                <w:b/>
              </w:rPr>
              <w:t>11</w:t>
            </w:r>
          </w:p>
        </w:tc>
        <w:tc>
          <w:tcPr>
            <w:tcW w:w="716" w:type="dxa"/>
            <w:shd w:val="clear" w:color="auto" w:fill="auto"/>
          </w:tcPr>
          <w:p w14:paraId="019D3CB1" w14:textId="77777777" w:rsidR="00BF0C65" w:rsidRPr="00591BFC" w:rsidRDefault="00BF0C65" w:rsidP="00BF0C65">
            <w:pPr>
              <w:spacing w:after="0" w:line="360" w:lineRule="auto"/>
              <w:rPr>
                <w:b/>
              </w:rPr>
            </w:pPr>
            <w:r w:rsidRPr="00591BFC">
              <w:rPr>
                <w:b/>
              </w:rPr>
              <w:t>OG</w:t>
            </w:r>
          </w:p>
        </w:tc>
        <w:tc>
          <w:tcPr>
            <w:tcW w:w="758" w:type="dxa"/>
            <w:shd w:val="clear" w:color="auto" w:fill="auto"/>
          </w:tcPr>
          <w:p w14:paraId="082DFB11" w14:textId="77777777" w:rsidR="00BF0C65" w:rsidRPr="00591BFC" w:rsidRDefault="00BF0C65" w:rsidP="00BF0C65">
            <w:pPr>
              <w:spacing w:after="0" w:line="360" w:lineRule="auto"/>
            </w:pPr>
            <w:r w:rsidRPr="00591BFC">
              <w:t>0</w:t>
            </w:r>
          </w:p>
        </w:tc>
        <w:tc>
          <w:tcPr>
            <w:tcW w:w="757" w:type="dxa"/>
            <w:shd w:val="clear" w:color="auto" w:fill="auto"/>
          </w:tcPr>
          <w:p w14:paraId="67056775" w14:textId="77777777" w:rsidR="00BF0C65" w:rsidRPr="00591BFC" w:rsidRDefault="00BF0C65" w:rsidP="00BF0C65">
            <w:pPr>
              <w:spacing w:after="0" w:line="360" w:lineRule="auto"/>
            </w:pPr>
            <w:r w:rsidRPr="00591BFC">
              <w:t>0</w:t>
            </w:r>
          </w:p>
        </w:tc>
        <w:tc>
          <w:tcPr>
            <w:tcW w:w="757" w:type="dxa"/>
            <w:shd w:val="clear" w:color="auto" w:fill="auto"/>
          </w:tcPr>
          <w:p w14:paraId="555EE641" w14:textId="77777777" w:rsidR="00BF0C65" w:rsidRPr="00591BFC" w:rsidRDefault="00BF0C65" w:rsidP="00BF0C65">
            <w:pPr>
              <w:spacing w:after="0" w:line="360" w:lineRule="auto"/>
            </w:pPr>
            <w:r w:rsidRPr="00591BFC">
              <w:t>0</w:t>
            </w:r>
          </w:p>
        </w:tc>
        <w:tc>
          <w:tcPr>
            <w:tcW w:w="756" w:type="dxa"/>
            <w:shd w:val="clear" w:color="auto" w:fill="auto"/>
          </w:tcPr>
          <w:p w14:paraId="34B43F9A" w14:textId="77777777" w:rsidR="00BF0C65" w:rsidRPr="00591BFC" w:rsidRDefault="00BF0C65" w:rsidP="00BF0C65">
            <w:pPr>
              <w:spacing w:after="0" w:line="360" w:lineRule="auto"/>
            </w:pPr>
            <w:r w:rsidRPr="00591BFC">
              <w:t>0</w:t>
            </w:r>
          </w:p>
        </w:tc>
        <w:tc>
          <w:tcPr>
            <w:tcW w:w="756" w:type="dxa"/>
            <w:shd w:val="clear" w:color="auto" w:fill="auto"/>
          </w:tcPr>
          <w:p w14:paraId="01F8D7AF" w14:textId="77777777" w:rsidR="00BF0C65" w:rsidRPr="00591BFC" w:rsidRDefault="00BF0C65" w:rsidP="00BF0C65">
            <w:pPr>
              <w:spacing w:after="0" w:line="360" w:lineRule="auto"/>
            </w:pPr>
            <w:r w:rsidRPr="00591BFC">
              <w:t>0</w:t>
            </w:r>
          </w:p>
        </w:tc>
        <w:tc>
          <w:tcPr>
            <w:tcW w:w="756" w:type="dxa"/>
            <w:tcBorders>
              <w:bottom w:val="single" w:sz="4" w:space="0" w:color="auto"/>
            </w:tcBorders>
            <w:shd w:val="clear" w:color="auto" w:fill="auto"/>
          </w:tcPr>
          <w:p w14:paraId="4276F4CB" w14:textId="77777777" w:rsidR="00BF0C65" w:rsidRPr="00591BFC" w:rsidRDefault="00BF0C65" w:rsidP="00BF0C65">
            <w:pPr>
              <w:spacing w:after="0" w:line="360" w:lineRule="auto"/>
            </w:pPr>
            <w:r w:rsidRPr="00591BFC">
              <w:t>0</w:t>
            </w:r>
          </w:p>
        </w:tc>
        <w:tc>
          <w:tcPr>
            <w:tcW w:w="756" w:type="dxa"/>
            <w:shd w:val="clear" w:color="auto" w:fill="auto"/>
          </w:tcPr>
          <w:p w14:paraId="6899EDA2" w14:textId="77777777" w:rsidR="00BF0C65" w:rsidRPr="00591BFC" w:rsidRDefault="00BF0C65" w:rsidP="00BF0C65">
            <w:pPr>
              <w:spacing w:after="0" w:line="360" w:lineRule="auto"/>
            </w:pPr>
            <w:r w:rsidRPr="00591BFC">
              <w:t>0</w:t>
            </w:r>
          </w:p>
        </w:tc>
        <w:tc>
          <w:tcPr>
            <w:tcW w:w="756" w:type="dxa"/>
            <w:shd w:val="clear" w:color="auto" w:fill="auto"/>
          </w:tcPr>
          <w:p w14:paraId="743E412E" w14:textId="77777777" w:rsidR="00BF0C65" w:rsidRPr="00591BFC" w:rsidRDefault="00BF0C65" w:rsidP="00BF0C65">
            <w:pPr>
              <w:spacing w:after="0" w:line="360" w:lineRule="auto"/>
            </w:pPr>
            <w:r w:rsidRPr="00591BFC">
              <w:t>0</w:t>
            </w:r>
          </w:p>
        </w:tc>
        <w:tc>
          <w:tcPr>
            <w:tcW w:w="756" w:type="dxa"/>
            <w:shd w:val="clear" w:color="auto" w:fill="auto"/>
          </w:tcPr>
          <w:p w14:paraId="1357800B" w14:textId="77777777" w:rsidR="00BF0C65" w:rsidRPr="00591BFC" w:rsidRDefault="00BF0C65" w:rsidP="00BF0C65">
            <w:pPr>
              <w:spacing w:after="0" w:line="360" w:lineRule="auto"/>
            </w:pPr>
            <w:r w:rsidRPr="00591BFC">
              <w:t>0</w:t>
            </w:r>
          </w:p>
        </w:tc>
        <w:tc>
          <w:tcPr>
            <w:tcW w:w="745" w:type="dxa"/>
            <w:shd w:val="clear" w:color="auto" w:fill="auto"/>
          </w:tcPr>
          <w:p w14:paraId="1ED7E311" w14:textId="77777777" w:rsidR="00BF0C65" w:rsidRPr="00591BFC" w:rsidRDefault="00BF0C65" w:rsidP="00BF0C65">
            <w:pPr>
              <w:spacing w:after="0" w:line="360" w:lineRule="auto"/>
            </w:pPr>
            <w:r w:rsidRPr="00591BFC">
              <w:t>2.3</w:t>
            </w:r>
          </w:p>
        </w:tc>
      </w:tr>
      <w:tr w:rsidR="00BF0C65" w:rsidRPr="00591BFC" w14:paraId="305807E5" w14:textId="77777777" w:rsidTr="00BF0C65">
        <w:tc>
          <w:tcPr>
            <w:tcW w:w="973" w:type="dxa"/>
            <w:shd w:val="clear" w:color="auto" w:fill="auto"/>
          </w:tcPr>
          <w:p w14:paraId="2A5893E2" w14:textId="77777777" w:rsidR="00BF0C65" w:rsidRPr="00591BFC" w:rsidRDefault="00BF0C65" w:rsidP="00BF0C65">
            <w:pPr>
              <w:spacing w:after="0" w:line="360" w:lineRule="auto"/>
              <w:rPr>
                <w:b/>
              </w:rPr>
            </w:pPr>
          </w:p>
        </w:tc>
        <w:tc>
          <w:tcPr>
            <w:tcW w:w="716" w:type="dxa"/>
            <w:shd w:val="clear" w:color="auto" w:fill="auto"/>
          </w:tcPr>
          <w:p w14:paraId="232E1CEB" w14:textId="77777777" w:rsidR="00BF0C65" w:rsidRPr="00591BFC" w:rsidRDefault="00BF0C65" w:rsidP="00BF0C65">
            <w:pPr>
              <w:spacing w:after="0" w:line="360" w:lineRule="auto"/>
              <w:rPr>
                <w:b/>
                <w:vertAlign w:val="superscript"/>
              </w:rPr>
            </w:pPr>
            <w:r w:rsidRPr="00591BFC">
              <w:rPr>
                <w:b/>
              </w:rPr>
              <w:t>FLN</w:t>
            </w:r>
          </w:p>
        </w:tc>
        <w:tc>
          <w:tcPr>
            <w:tcW w:w="758" w:type="dxa"/>
            <w:shd w:val="clear" w:color="auto" w:fill="auto"/>
          </w:tcPr>
          <w:p w14:paraId="3B1838B7" w14:textId="77777777" w:rsidR="00BF0C65" w:rsidRPr="00591BFC" w:rsidRDefault="00BF0C65" w:rsidP="00BF0C65">
            <w:pPr>
              <w:spacing w:after="0" w:line="360" w:lineRule="auto"/>
            </w:pPr>
            <w:r w:rsidRPr="00591BFC">
              <w:t>0</w:t>
            </w:r>
          </w:p>
        </w:tc>
        <w:tc>
          <w:tcPr>
            <w:tcW w:w="757" w:type="dxa"/>
            <w:shd w:val="clear" w:color="auto" w:fill="auto"/>
          </w:tcPr>
          <w:p w14:paraId="2B449A0D" w14:textId="77777777" w:rsidR="00BF0C65" w:rsidRPr="00591BFC" w:rsidRDefault="00BF0C65" w:rsidP="00BF0C65">
            <w:pPr>
              <w:spacing w:after="0" w:line="360" w:lineRule="auto"/>
            </w:pPr>
            <w:r w:rsidRPr="00591BFC">
              <w:t>0</w:t>
            </w:r>
          </w:p>
        </w:tc>
        <w:tc>
          <w:tcPr>
            <w:tcW w:w="757" w:type="dxa"/>
            <w:shd w:val="clear" w:color="auto" w:fill="auto"/>
          </w:tcPr>
          <w:p w14:paraId="01D6A8D6" w14:textId="77777777" w:rsidR="00BF0C65" w:rsidRPr="00591BFC" w:rsidRDefault="00BF0C65" w:rsidP="00BF0C65">
            <w:pPr>
              <w:spacing w:after="0" w:line="360" w:lineRule="auto"/>
            </w:pPr>
            <w:r w:rsidRPr="00591BFC">
              <w:t>0</w:t>
            </w:r>
          </w:p>
        </w:tc>
        <w:tc>
          <w:tcPr>
            <w:tcW w:w="756" w:type="dxa"/>
            <w:shd w:val="clear" w:color="auto" w:fill="auto"/>
          </w:tcPr>
          <w:p w14:paraId="2317D17E" w14:textId="77777777" w:rsidR="00BF0C65" w:rsidRPr="00591BFC" w:rsidRDefault="00BF0C65" w:rsidP="00BF0C65">
            <w:pPr>
              <w:spacing w:after="0" w:line="360" w:lineRule="auto"/>
            </w:pPr>
            <w:r w:rsidRPr="00591BFC">
              <w:t>0</w:t>
            </w:r>
          </w:p>
        </w:tc>
        <w:tc>
          <w:tcPr>
            <w:tcW w:w="756" w:type="dxa"/>
            <w:shd w:val="clear" w:color="auto" w:fill="auto"/>
          </w:tcPr>
          <w:p w14:paraId="63CC87A5" w14:textId="77777777" w:rsidR="00BF0C65" w:rsidRPr="00591BFC" w:rsidRDefault="00BF0C65" w:rsidP="00BF0C65">
            <w:pPr>
              <w:spacing w:after="0" w:line="360" w:lineRule="auto"/>
            </w:pPr>
            <w:r w:rsidRPr="00591BFC">
              <w:t>0</w:t>
            </w:r>
          </w:p>
        </w:tc>
        <w:tc>
          <w:tcPr>
            <w:tcW w:w="756" w:type="dxa"/>
            <w:shd w:val="clear" w:color="auto" w:fill="auto"/>
          </w:tcPr>
          <w:p w14:paraId="387CB09D" w14:textId="77777777" w:rsidR="00BF0C65" w:rsidRPr="00591BFC" w:rsidRDefault="00BF0C65" w:rsidP="00BF0C65">
            <w:pPr>
              <w:spacing w:after="0" w:line="360" w:lineRule="auto"/>
            </w:pPr>
            <w:r w:rsidRPr="00591BFC">
              <w:t>0</w:t>
            </w:r>
          </w:p>
        </w:tc>
        <w:tc>
          <w:tcPr>
            <w:tcW w:w="756" w:type="dxa"/>
            <w:shd w:val="clear" w:color="auto" w:fill="auto"/>
          </w:tcPr>
          <w:p w14:paraId="2290518D" w14:textId="77777777" w:rsidR="00BF0C65" w:rsidRPr="00591BFC" w:rsidRDefault="00BF0C65" w:rsidP="00BF0C65">
            <w:pPr>
              <w:spacing w:after="0" w:line="360" w:lineRule="auto"/>
            </w:pPr>
            <w:r w:rsidRPr="00591BFC">
              <w:t>0</w:t>
            </w:r>
          </w:p>
        </w:tc>
        <w:tc>
          <w:tcPr>
            <w:tcW w:w="756" w:type="dxa"/>
            <w:shd w:val="clear" w:color="auto" w:fill="auto"/>
          </w:tcPr>
          <w:p w14:paraId="159551E3" w14:textId="77777777" w:rsidR="00BF0C65" w:rsidRPr="00591BFC" w:rsidRDefault="00BF0C65" w:rsidP="00BF0C65">
            <w:pPr>
              <w:spacing w:after="0" w:line="360" w:lineRule="auto"/>
            </w:pPr>
            <w:r w:rsidRPr="00591BFC">
              <w:t>0</w:t>
            </w:r>
          </w:p>
        </w:tc>
        <w:tc>
          <w:tcPr>
            <w:tcW w:w="756" w:type="dxa"/>
            <w:shd w:val="clear" w:color="auto" w:fill="auto"/>
          </w:tcPr>
          <w:p w14:paraId="1C7325C4" w14:textId="77777777" w:rsidR="00BF0C65" w:rsidRPr="00591BFC" w:rsidRDefault="00BF0C65" w:rsidP="00BF0C65">
            <w:pPr>
              <w:spacing w:after="0" w:line="360" w:lineRule="auto"/>
            </w:pPr>
            <w:r w:rsidRPr="00591BFC">
              <w:t>0</w:t>
            </w:r>
          </w:p>
        </w:tc>
        <w:tc>
          <w:tcPr>
            <w:tcW w:w="745" w:type="dxa"/>
            <w:shd w:val="clear" w:color="auto" w:fill="auto"/>
          </w:tcPr>
          <w:p w14:paraId="087CA1CE" w14:textId="77777777" w:rsidR="00BF0C65" w:rsidRPr="00591BFC" w:rsidRDefault="00BF0C65" w:rsidP="00BF0C65">
            <w:pPr>
              <w:spacing w:after="0" w:line="360" w:lineRule="auto"/>
            </w:pPr>
            <w:r w:rsidRPr="00591BFC">
              <w:t>1</w:t>
            </w:r>
          </w:p>
        </w:tc>
      </w:tr>
    </w:tbl>
    <w:p w14:paraId="3C33AE8A" w14:textId="77777777" w:rsidR="002A7E4D" w:rsidRPr="00591BFC" w:rsidRDefault="002A7E4D" w:rsidP="00E86771">
      <w:pPr>
        <w:pStyle w:val="Caption"/>
        <w:keepNext/>
        <w:spacing w:line="360" w:lineRule="auto"/>
      </w:pPr>
      <w:bookmarkStart w:id="99" w:name="_Toc308262401"/>
      <w:bookmarkStart w:id="100" w:name="_Toc311366667"/>
      <w:r w:rsidRPr="00591BFC">
        <w:t xml:space="preserve">Table </w:t>
      </w:r>
      <w:r w:rsidR="002149AD">
        <w:fldChar w:fldCharType="begin"/>
      </w:r>
      <w:r w:rsidR="002149AD">
        <w:instrText xml:space="preserve"> SEQ Table \* ARABIC </w:instrText>
      </w:r>
      <w:r w:rsidR="002149AD">
        <w:fldChar w:fldCharType="separate"/>
      </w:r>
      <w:r w:rsidR="00655089">
        <w:rPr>
          <w:noProof/>
        </w:rPr>
        <w:t>6</w:t>
      </w:r>
      <w:r w:rsidR="002149AD">
        <w:rPr>
          <w:noProof/>
        </w:rPr>
        <w:fldChar w:fldCharType="end"/>
      </w:r>
      <w:bookmarkEnd w:id="98"/>
      <w:r w:rsidRPr="00591BFC">
        <w:t xml:space="preserve"> Proportion of consultant orthogeriatricians (OGs) (non-consultant grade orthogeriatricians who still made a significant change to the service are indicated with a *) and specialist fracture nurses (under the ‘umbrella’ term FLN, but including osteoporosis nurse specialists performing the role of a Fracture Liaison Nurse) WTEs (whole time equivalents) per 1000 hip fracture patients between 2003 and 2012 at each hospital in a region of England.</w:t>
      </w:r>
      <w:bookmarkEnd w:id="99"/>
      <w:bookmarkEnd w:id="100"/>
      <w:r w:rsidRPr="00591BFC">
        <w:t xml:space="preserve"> </w:t>
      </w:r>
    </w:p>
    <w:p w14:paraId="25BBAF83" w14:textId="77777777" w:rsidR="002A7E4D" w:rsidRPr="00591BFC" w:rsidRDefault="00676220" w:rsidP="00E86771">
      <w:pPr>
        <w:spacing w:line="360" w:lineRule="auto"/>
        <w:rPr>
          <w:rFonts w:eastAsia="MS Gothic"/>
          <w:bCs/>
          <w:color w:val="000000"/>
          <w:sz w:val="20"/>
          <w:szCs w:val="26"/>
          <w:lang w:eastAsia="x-none"/>
        </w:rPr>
      </w:pPr>
      <w:r w:rsidRPr="00591BFC">
        <w:rPr>
          <w:rFonts w:eastAsia="MS Gothic"/>
          <w:bCs/>
          <w:color w:val="000000"/>
          <w:sz w:val="20"/>
          <w:szCs w:val="26"/>
          <w:lang w:eastAsia="x-none"/>
        </w:rPr>
        <w:lastRenderedPageBreak/>
        <w:t>ⱡ</w:t>
      </w:r>
      <w:r w:rsidR="00592031" w:rsidRPr="00591BFC">
        <w:rPr>
          <w:rFonts w:eastAsia="MS Gothic"/>
          <w:bCs/>
          <w:color w:val="000000"/>
          <w:sz w:val="20"/>
          <w:szCs w:val="26"/>
          <w:lang w:eastAsia="x-none"/>
        </w:rPr>
        <w:t xml:space="preserve"> Between Jan 2008 and May 2008 this value was 1, rising to 3 following the appointment of 2 nurses in May 2008. </w:t>
      </w:r>
    </w:p>
    <w:p w14:paraId="2C490417" w14:textId="77777777" w:rsidR="002A7E4D" w:rsidRPr="00591BFC" w:rsidRDefault="002A7E4D" w:rsidP="00E86771">
      <w:pPr>
        <w:spacing w:line="360" w:lineRule="auto"/>
      </w:pPr>
    </w:p>
    <w:p w14:paraId="082EB57C" w14:textId="77777777" w:rsidR="002A7E4D" w:rsidRPr="00591BFC" w:rsidRDefault="002A7E4D" w:rsidP="00E86771">
      <w:pPr>
        <w:pStyle w:val="Heading2"/>
        <w:spacing w:line="360" w:lineRule="auto"/>
        <w:rPr>
          <w:rFonts w:ascii="Calibri" w:hAnsi="Calibri"/>
          <w:lang w:val="en-GB"/>
        </w:rPr>
      </w:pPr>
      <w:bookmarkStart w:id="101" w:name="_Toc308300722"/>
      <w:bookmarkStart w:id="102" w:name="_Toc311366529"/>
      <w:r w:rsidRPr="00591BFC">
        <w:rPr>
          <w:rFonts w:ascii="Calibri" w:hAnsi="Calibri"/>
          <w:lang w:val="en-GB"/>
        </w:rPr>
        <w:t>Discussion</w:t>
      </w:r>
      <w:bookmarkEnd w:id="101"/>
      <w:bookmarkEnd w:id="102"/>
    </w:p>
    <w:p w14:paraId="02F50255" w14:textId="77777777" w:rsidR="002A7E4D" w:rsidRPr="00591BFC" w:rsidRDefault="002A7E4D" w:rsidP="00E86771">
      <w:pPr>
        <w:pStyle w:val="Heading3"/>
        <w:spacing w:line="360" w:lineRule="auto"/>
        <w:rPr>
          <w:rFonts w:ascii="Calibri" w:hAnsi="Calibri"/>
          <w:lang w:val="en-GB"/>
        </w:rPr>
      </w:pPr>
      <w:bookmarkStart w:id="103" w:name="_Toc308300723"/>
      <w:bookmarkStart w:id="104" w:name="_Toc311366530"/>
      <w:r w:rsidRPr="00591BFC">
        <w:rPr>
          <w:rFonts w:ascii="Calibri" w:hAnsi="Calibri"/>
          <w:lang w:val="en-GB"/>
        </w:rPr>
        <w:t>Description of current services</w:t>
      </w:r>
      <w:bookmarkEnd w:id="103"/>
      <w:bookmarkEnd w:id="104"/>
      <w:r w:rsidRPr="00591BFC">
        <w:rPr>
          <w:rFonts w:ascii="Calibri" w:hAnsi="Calibri"/>
          <w:lang w:val="en-GB"/>
        </w:rPr>
        <w:t xml:space="preserve"> </w:t>
      </w:r>
    </w:p>
    <w:p w14:paraId="0C6737C5" w14:textId="51C9BA39" w:rsidR="002A7E4D" w:rsidRPr="00591BFC" w:rsidRDefault="002A7E4D" w:rsidP="00E86771">
      <w:pPr>
        <w:spacing w:line="360" w:lineRule="auto"/>
        <w:rPr>
          <w:szCs w:val="24"/>
        </w:rPr>
      </w:pPr>
      <w:r w:rsidRPr="00591BFC">
        <w:rPr>
          <w:szCs w:val="24"/>
        </w:rPr>
        <w:t xml:space="preserve">In conducting a service evaluation designed to look at changes in service delivery at a set of hospitals over the past 10 years a number of observations were noted. While there has been an overall increase in service provision in terms of both orthogeriatric and FLN appointments, a considerable variation in how fracture prevention services at 11 NHS hospitals in one region of England are organised remains.  The largest disparities were in how the service was run (an inpatient service </w:t>
      </w:r>
      <w:r w:rsidRPr="00591BFC">
        <w:rPr>
          <w:i/>
          <w:szCs w:val="24"/>
        </w:rPr>
        <w:t>vs.</w:t>
      </w:r>
      <w:r w:rsidRPr="00591BFC">
        <w:rPr>
          <w:szCs w:val="24"/>
        </w:rPr>
        <w:t xml:space="preserve"> an outpatient service) and in the levels of staffing provided for the FLS service. Some hospitals had </w:t>
      </w:r>
      <w:r w:rsidR="006B62F7" w:rsidRPr="00591BFC">
        <w:rPr>
          <w:szCs w:val="24"/>
        </w:rPr>
        <w:t xml:space="preserve">only </w:t>
      </w:r>
      <w:r w:rsidRPr="00591BFC">
        <w:rPr>
          <w:szCs w:val="24"/>
        </w:rPr>
        <w:t xml:space="preserve">a consultant-led </w:t>
      </w:r>
      <w:r w:rsidR="006B62F7" w:rsidRPr="00591BFC">
        <w:rPr>
          <w:szCs w:val="24"/>
        </w:rPr>
        <w:t>service in order to improve peri-operative care of fracture patients, whereas other hospitals had a nurse-led service to tackle fracture prevention. Few hospitals have both a fracture liaison and orthogeriatric service, as recommended by clinical guidelines.</w:t>
      </w:r>
      <w:r w:rsidR="00B24FEE">
        <w:rPr>
          <w:szCs w:val="24"/>
        </w:rPr>
        <w:fldChar w:fldCharType="begin">
          <w:fldData xml:space="preserve">PEVuZE5vdGU+PENpdGU+PEF1dGhvcj5OSUNFPC9BdXRob3I+PFllYXI+MjAwODwvWWVhcj48UmVj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</w:fldData>
        </w:fldChar>
      </w:r>
      <w:r w:rsidR="00B24FEE">
        <w:rPr>
          <w:szCs w:val="24"/>
        </w:rPr>
        <w:instrText xml:space="preserve"> ADDIN EN.CITE </w:instrText>
      </w:r>
      <w:r w:rsidR="00B24FEE">
        <w:rPr>
          <w:szCs w:val="24"/>
        </w:rPr>
        <w:fldChar w:fldCharType="begin">
          <w:fldData xml:space="preserve">PEVuZE5vdGU+PENpdGU+PEF1dGhvcj5OSUNFPC9BdXRob3I+PFllYXI+MjAwODwvWWVhcj48UmVj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</w:fldData>
        </w:fldChar>
      </w:r>
      <w:r w:rsidR="00B24FEE">
        <w:rPr>
          <w:szCs w:val="24"/>
        </w:rPr>
        <w:instrText xml:space="preserve"> ADDIN EN.CITE.DATA </w:instrText>
      </w:r>
      <w:r w:rsidR="00B24FEE">
        <w:rPr>
          <w:szCs w:val="24"/>
        </w:rPr>
      </w:r>
      <w:r w:rsidR="00B24FEE">
        <w:rPr>
          <w:szCs w:val="24"/>
        </w:rPr>
        <w:fldChar w:fldCharType="end"/>
      </w:r>
      <w:r w:rsidR="00B24FEE">
        <w:rPr>
          <w:szCs w:val="24"/>
        </w:rPr>
      </w:r>
      <w:r w:rsidR="00B24FEE">
        <w:rPr>
          <w:szCs w:val="24"/>
        </w:rPr>
        <w:fldChar w:fldCharType="separate"/>
      </w:r>
      <w:hyperlink w:anchor="_ENREF_1" w:tooltip="British Orthopaedic Association, 2007 #25" w:history="1">
        <w:r w:rsidR="00B24FEE" w:rsidRPr="00B24FEE">
          <w:rPr>
            <w:noProof/>
            <w:szCs w:val="24"/>
            <w:vertAlign w:val="superscript"/>
          </w:rPr>
          <w:t>1</w:t>
        </w:r>
      </w:hyperlink>
      <w:r w:rsidR="00B24FEE" w:rsidRPr="00B24FEE">
        <w:rPr>
          <w:noProof/>
          <w:szCs w:val="24"/>
          <w:vertAlign w:val="superscript"/>
        </w:rPr>
        <w:t xml:space="preserve"> </w:t>
      </w:r>
      <w:hyperlink w:anchor="_ENREF_13" w:tooltip="NICE, 2008 #29" w:history="1">
        <w:r w:rsidR="00B24FEE" w:rsidRPr="00B24FEE">
          <w:rPr>
            <w:noProof/>
            <w:szCs w:val="24"/>
            <w:vertAlign w:val="superscript"/>
          </w:rPr>
          <w:t>13</w:t>
        </w:r>
      </w:hyperlink>
      <w:r w:rsidR="00B24FEE" w:rsidRPr="00B24FEE">
        <w:rPr>
          <w:noProof/>
          <w:szCs w:val="24"/>
          <w:vertAlign w:val="superscript"/>
        </w:rPr>
        <w:t xml:space="preserve"> </w:t>
      </w:r>
      <w:hyperlink w:anchor="_ENREF_15" w:tooltip="NICE, 2004 #30" w:history="1">
        <w:r w:rsidR="00B24FEE" w:rsidRPr="00B24FEE">
          <w:rPr>
            <w:noProof/>
            <w:szCs w:val="24"/>
            <w:vertAlign w:val="superscript"/>
          </w:rPr>
          <w:t>15</w:t>
        </w:r>
      </w:hyperlink>
      <w:r w:rsidR="00B24FEE" w:rsidRPr="00B24FEE">
        <w:rPr>
          <w:noProof/>
          <w:szCs w:val="24"/>
          <w:vertAlign w:val="superscript"/>
        </w:rPr>
        <w:t xml:space="preserve"> </w:t>
      </w:r>
      <w:hyperlink w:anchor="_ENREF_39" w:tooltip="NICE, 2011 #32" w:history="1">
        <w:r w:rsidR="00B24FEE" w:rsidRPr="00B24FEE">
          <w:rPr>
            <w:noProof/>
            <w:szCs w:val="24"/>
            <w:vertAlign w:val="superscript"/>
          </w:rPr>
          <w:t>39</w:t>
        </w:r>
      </w:hyperlink>
      <w:r w:rsidR="00B24FEE">
        <w:rPr>
          <w:szCs w:val="24"/>
        </w:rPr>
        <w:fldChar w:fldCharType="end"/>
      </w:r>
      <w:r w:rsidRPr="00591BFC">
        <w:rPr>
          <w:szCs w:val="24"/>
        </w:rPr>
        <w:t xml:space="preserve"> </w:t>
      </w:r>
    </w:p>
    <w:p w14:paraId="6ED33F95" w14:textId="77777777" w:rsidR="002A7E4D" w:rsidRPr="00591BFC" w:rsidRDefault="002A7E4D" w:rsidP="00E86771">
      <w:pPr>
        <w:spacing w:line="360" w:lineRule="auto"/>
        <w:rPr>
          <w:szCs w:val="24"/>
        </w:rPr>
      </w:pPr>
      <w:r w:rsidRPr="00591BFC">
        <w:rPr>
          <w:szCs w:val="24"/>
        </w:rPr>
        <w:t xml:space="preserve">Details on staffing levels across hospitals was already provided by the </w:t>
      </w:r>
      <w:r w:rsidR="00FA7660" w:rsidRPr="00591BFC">
        <w:rPr>
          <w:szCs w:val="24"/>
        </w:rPr>
        <w:t>NHFD</w:t>
      </w:r>
      <w:r w:rsidRPr="00591BFC">
        <w:rPr>
          <w:szCs w:val="24"/>
        </w:rPr>
        <w:t>, however, this evaluation showed that the role of certain staff members such as orthogeriatricians also varied between hospitals in terms of their role in case finding, osteoporosis assessment, treatment initiation and monitoring. In some cases, these roles were actually performed by more junior members of staff. While some hospitals reported having an orthogeriatrician in post, their role in fracture prevention may be extremely limited.</w:t>
      </w:r>
    </w:p>
    <w:p w14:paraId="393B1EBF" w14:textId="77777777" w:rsidR="002A7E4D" w:rsidRPr="00591BFC" w:rsidRDefault="002A7E4D" w:rsidP="00E86771">
      <w:pPr>
        <w:pStyle w:val="Heading3"/>
        <w:spacing w:line="360" w:lineRule="auto"/>
        <w:rPr>
          <w:rFonts w:ascii="Calibri" w:hAnsi="Calibri"/>
          <w:lang w:val="en-GB"/>
        </w:rPr>
      </w:pPr>
      <w:bookmarkStart w:id="105" w:name="_Toc308300724"/>
      <w:bookmarkStart w:id="106" w:name="_Toc311366531"/>
      <w:r w:rsidRPr="00591BFC">
        <w:rPr>
          <w:rFonts w:ascii="Calibri" w:hAnsi="Calibri"/>
          <w:lang w:val="en-GB"/>
        </w:rPr>
        <w:t>Changes in service models</w:t>
      </w:r>
      <w:bookmarkEnd w:id="105"/>
      <w:bookmarkEnd w:id="106"/>
    </w:p>
    <w:p w14:paraId="2C175809" w14:textId="77777777" w:rsidR="002A7E4D" w:rsidRPr="00591BFC" w:rsidRDefault="002A7E4D" w:rsidP="00E86771">
      <w:pPr>
        <w:spacing w:line="360" w:lineRule="auto"/>
        <w:rPr>
          <w:szCs w:val="24"/>
        </w:rPr>
      </w:pPr>
    </w:p>
    <w:p w14:paraId="16991229" w14:textId="77777777" w:rsidR="002A7E4D" w:rsidRPr="00591BFC" w:rsidRDefault="002A7E4D" w:rsidP="00E86771">
      <w:pPr>
        <w:spacing w:line="360" w:lineRule="auto"/>
        <w:rPr>
          <w:szCs w:val="24"/>
        </w:rPr>
      </w:pPr>
      <w:r w:rsidRPr="00591BFC">
        <w:rPr>
          <w:szCs w:val="24"/>
        </w:rPr>
        <w:t>The previous decade has demonstrated marked increases in the provision of both orthogeriatric and/or FLS nurse staff in each of the hospitals. Only in one hospital was a service discontinued. However the increase in service provision is variable with little relationship to number of hip fracture patients. By the end of the period of observation, the num</w:t>
      </w:r>
      <w:r w:rsidR="00F0432D" w:rsidRPr="00591BFC">
        <w:rPr>
          <w:szCs w:val="24"/>
        </w:rPr>
        <w:t>b</w:t>
      </w:r>
      <w:r w:rsidRPr="00591BFC">
        <w:rPr>
          <w:szCs w:val="24"/>
        </w:rPr>
        <w:t xml:space="preserve">er of orthogeriatric staff per 1000 hip fracture patients varied from 0 to 4.3. The equivalent number of FLS nurses to numbers of hip </w:t>
      </w:r>
      <w:r w:rsidR="00F0432D" w:rsidRPr="00591BFC">
        <w:rPr>
          <w:szCs w:val="24"/>
        </w:rPr>
        <w:t>fractures varied</w:t>
      </w:r>
      <w:r w:rsidRPr="00591BFC">
        <w:rPr>
          <w:szCs w:val="24"/>
        </w:rPr>
        <w:t xml:space="preserve"> from 0 to 9.3. This variability is greater than one would expect for local differences in NHS structure or patient case-mix and again demonstrates the need to relate service investment with clinical effectiveness in order to demonstrate the relative value of such services. </w:t>
      </w:r>
    </w:p>
    <w:p w14:paraId="095A6DEA" w14:textId="77777777" w:rsidR="002A7E4D" w:rsidRPr="00591BFC" w:rsidRDefault="002A7E4D" w:rsidP="00E86771">
      <w:pPr>
        <w:spacing w:line="360" w:lineRule="auto"/>
        <w:rPr>
          <w:szCs w:val="24"/>
        </w:rPr>
      </w:pPr>
    </w:p>
    <w:p w14:paraId="6D375444" w14:textId="77777777" w:rsidR="002A7E4D" w:rsidRPr="00591BFC" w:rsidRDefault="002A7E4D" w:rsidP="00E86771">
      <w:pPr>
        <w:pStyle w:val="Heading3"/>
        <w:spacing w:line="360" w:lineRule="auto"/>
        <w:rPr>
          <w:rFonts w:ascii="Calibri" w:hAnsi="Calibri"/>
          <w:lang w:val="en-GB"/>
        </w:rPr>
      </w:pPr>
      <w:bookmarkStart w:id="107" w:name="_Toc308300725"/>
      <w:bookmarkStart w:id="108" w:name="_Toc311366532"/>
      <w:r w:rsidRPr="00591BFC">
        <w:rPr>
          <w:rFonts w:ascii="Calibri" w:hAnsi="Calibri"/>
          <w:lang w:val="en-GB"/>
        </w:rPr>
        <w:lastRenderedPageBreak/>
        <w:t>Strengths and Limitations</w:t>
      </w:r>
      <w:bookmarkEnd w:id="107"/>
      <w:bookmarkEnd w:id="108"/>
    </w:p>
    <w:p w14:paraId="7EA89F9F" w14:textId="77777777" w:rsidR="002A7E4D" w:rsidRPr="00591BFC" w:rsidRDefault="002A7E4D" w:rsidP="00E86771">
      <w:pPr>
        <w:spacing w:line="360" w:lineRule="auto"/>
        <w:rPr>
          <w:szCs w:val="24"/>
        </w:rPr>
      </w:pPr>
      <w:r w:rsidRPr="00591BFC">
        <w:rPr>
          <w:szCs w:val="24"/>
        </w:rPr>
        <w:t>A major strength of this evaluation is the heterogeneity of NHS hospitals examined from smaller district general hospitals to large tertiary major trauma centres, adding the generali</w:t>
      </w:r>
      <w:r w:rsidR="00944A78" w:rsidRPr="00591BFC">
        <w:rPr>
          <w:szCs w:val="24"/>
        </w:rPr>
        <w:t>s</w:t>
      </w:r>
      <w:r w:rsidRPr="00591BFC">
        <w:rPr>
          <w:szCs w:val="24"/>
        </w:rPr>
        <w:t xml:space="preserve">ability of the </w:t>
      </w:r>
      <w:r w:rsidR="00944A78" w:rsidRPr="00591BFC">
        <w:rPr>
          <w:szCs w:val="24"/>
        </w:rPr>
        <w:t>report’s</w:t>
      </w:r>
      <w:r w:rsidRPr="00591BFC">
        <w:rPr>
          <w:szCs w:val="24"/>
        </w:rPr>
        <w:t xml:space="preserve"> findings. A limitation is the reliance on </w:t>
      </w:r>
      <w:r w:rsidR="00944A78" w:rsidRPr="00591BFC">
        <w:rPr>
          <w:szCs w:val="24"/>
        </w:rPr>
        <w:t>clinicians’</w:t>
      </w:r>
      <w:r w:rsidRPr="00591BFC">
        <w:rPr>
          <w:szCs w:val="24"/>
        </w:rPr>
        <w:t xml:space="preserve"> recall and understandings of events over the last decade</w:t>
      </w:r>
      <w:r w:rsidR="006B62F7" w:rsidRPr="00591BFC">
        <w:rPr>
          <w:szCs w:val="24"/>
        </w:rPr>
        <w:t xml:space="preserve">. While human resources departments can confirm the appointment of new staff, changes may often come about </w:t>
      </w:r>
      <w:r w:rsidR="003021BC" w:rsidRPr="00591BFC">
        <w:rPr>
          <w:szCs w:val="24"/>
        </w:rPr>
        <w:t xml:space="preserve">by alterations in the role and responsibilities of existing staff members. </w:t>
      </w:r>
    </w:p>
    <w:p w14:paraId="26009EC2" w14:textId="77777777" w:rsidR="002A7E4D" w:rsidRPr="00591BFC" w:rsidRDefault="002A7E4D" w:rsidP="00E86771">
      <w:pPr>
        <w:spacing w:line="360" w:lineRule="auto"/>
        <w:rPr>
          <w:szCs w:val="24"/>
        </w:rPr>
      </w:pPr>
    </w:p>
    <w:p w14:paraId="00D74608" w14:textId="77777777" w:rsidR="002A7E4D" w:rsidRPr="00591BFC" w:rsidRDefault="002A7E4D" w:rsidP="00E86771">
      <w:pPr>
        <w:pStyle w:val="Heading2"/>
        <w:spacing w:line="360" w:lineRule="auto"/>
        <w:rPr>
          <w:rFonts w:ascii="Calibri" w:hAnsi="Calibri"/>
          <w:lang w:val="en-GB"/>
        </w:rPr>
      </w:pPr>
      <w:bookmarkStart w:id="109" w:name="_Toc308300726"/>
      <w:bookmarkStart w:id="110" w:name="_Toc311366533"/>
      <w:r w:rsidRPr="00591BFC">
        <w:rPr>
          <w:rFonts w:ascii="Calibri" w:hAnsi="Calibri"/>
          <w:lang w:val="en-GB"/>
        </w:rPr>
        <w:t>Summary</w:t>
      </w:r>
      <w:bookmarkEnd w:id="109"/>
      <w:bookmarkEnd w:id="110"/>
    </w:p>
    <w:p w14:paraId="5DA6544E" w14:textId="77777777" w:rsidR="002A7E4D" w:rsidRPr="00591BFC" w:rsidRDefault="002A7E4D" w:rsidP="00E86771">
      <w:pPr>
        <w:spacing w:line="360" w:lineRule="auto"/>
        <w:rPr>
          <w:szCs w:val="24"/>
        </w:rPr>
      </w:pPr>
      <w:r w:rsidRPr="00591BFC">
        <w:rPr>
          <w:szCs w:val="24"/>
        </w:rPr>
        <w:t xml:space="preserve">While this work stream initially set out to look at changes in fracture prevention services at hospitals in the past 10 years, an important outcome of this work was the detailed description of where similarities and differences in care pathways between different hospitals lay. In addition, this work also highlights where gaps have existed within the care provided at one hospital compared to others in the region. </w:t>
      </w:r>
    </w:p>
    <w:p w14:paraId="50FD2567" w14:textId="77777777" w:rsidR="00BF1A68" w:rsidRPr="00591BFC" w:rsidRDefault="002A7E4D" w:rsidP="00E86771">
      <w:pPr>
        <w:spacing w:line="360" w:lineRule="auto"/>
        <w:rPr>
          <w:szCs w:val="24"/>
        </w:rPr>
      </w:pPr>
      <w:r w:rsidRPr="00591BFC">
        <w:rPr>
          <w:szCs w:val="24"/>
        </w:rPr>
        <w:t>The work so far provided an overview of the variations in models of care provided by hospitals in one region of England</w:t>
      </w:r>
      <w:r w:rsidR="00944A78" w:rsidRPr="00591BFC">
        <w:rPr>
          <w:szCs w:val="24"/>
        </w:rPr>
        <w:t>. T</w:t>
      </w:r>
      <w:r w:rsidRPr="00591BFC">
        <w:rPr>
          <w:szCs w:val="24"/>
        </w:rPr>
        <w:t xml:space="preserve">here is more variability in service provision than can be accounted for </w:t>
      </w:r>
      <w:r w:rsidR="003021BC" w:rsidRPr="00591BFC">
        <w:rPr>
          <w:szCs w:val="24"/>
        </w:rPr>
        <w:t>b</w:t>
      </w:r>
      <w:r w:rsidRPr="00591BFC">
        <w:rPr>
          <w:szCs w:val="24"/>
        </w:rPr>
        <w:t>y local variations, highlighting the need to link investment in these specialist posts with patien</w:t>
      </w:r>
      <w:r w:rsidR="000A69F4" w:rsidRPr="00591BFC">
        <w:rPr>
          <w:szCs w:val="24"/>
        </w:rPr>
        <w:t xml:space="preserve">t outcomes and effectiveness.  </w:t>
      </w:r>
    </w:p>
    <w:p w14:paraId="1A90C965" w14:textId="77777777" w:rsidR="00B70DDB" w:rsidRPr="00591BFC" w:rsidRDefault="00764089" w:rsidP="00E86771">
      <w:pPr>
        <w:pStyle w:val="Heading1"/>
        <w:spacing w:line="360" w:lineRule="auto"/>
        <w:rPr>
          <w:rFonts w:ascii="Calibri" w:hAnsi="Calibri"/>
          <w:lang w:val="en-GB"/>
        </w:rPr>
      </w:pPr>
      <w:r w:rsidRPr="00591BFC">
        <w:rPr>
          <w:rFonts w:ascii="Calibri" w:hAnsi="Calibri"/>
          <w:lang w:val="en-GB"/>
        </w:rPr>
        <w:br w:type="page"/>
      </w:r>
      <w:bookmarkStart w:id="111" w:name="_Toc308300727"/>
      <w:bookmarkStart w:id="112" w:name="_Toc311366534"/>
      <w:r w:rsidR="00B70DDB" w:rsidRPr="00591BFC">
        <w:rPr>
          <w:rFonts w:ascii="Calibri" w:hAnsi="Calibri"/>
          <w:lang w:val="en-GB"/>
        </w:rPr>
        <w:lastRenderedPageBreak/>
        <w:t>Chapter 3:</w:t>
      </w:r>
      <w:r w:rsidR="00B70DDB" w:rsidRPr="00591BFC">
        <w:rPr>
          <w:rFonts w:ascii="Calibri" w:hAnsi="Calibri"/>
          <w:sz w:val="24"/>
          <w:szCs w:val="24"/>
          <w:lang w:val="en-GB"/>
        </w:rPr>
        <w:t xml:space="preserve"> </w:t>
      </w:r>
      <w:r w:rsidR="00B70DDB" w:rsidRPr="00591BFC">
        <w:rPr>
          <w:rFonts w:ascii="Calibri" w:hAnsi="Calibri"/>
          <w:lang w:val="en-GB"/>
        </w:rPr>
        <w:t>Identify the reasons why hospitals chose their specific model of service delivery and assess barriers to change</w:t>
      </w:r>
      <w:bookmarkEnd w:id="111"/>
      <w:bookmarkEnd w:id="112"/>
    </w:p>
    <w:p w14:paraId="3F8AED86" w14:textId="77777777" w:rsidR="00B70DDB" w:rsidRPr="00591BFC" w:rsidRDefault="00B70DDB" w:rsidP="00E86771">
      <w:pPr>
        <w:pStyle w:val="NoSpacing"/>
        <w:spacing w:line="360" w:lineRule="auto"/>
        <w:rPr>
          <w:szCs w:val="24"/>
        </w:rPr>
      </w:pPr>
    </w:p>
    <w:p w14:paraId="4FC7129C" w14:textId="77777777" w:rsidR="00B70DDB" w:rsidRPr="00591BFC" w:rsidRDefault="00EF1761" w:rsidP="00E86771">
      <w:pPr>
        <w:pStyle w:val="Heading2"/>
        <w:spacing w:line="360" w:lineRule="auto"/>
        <w:rPr>
          <w:rFonts w:ascii="Calibri" w:hAnsi="Calibri"/>
          <w:lang w:val="en-GB"/>
        </w:rPr>
      </w:pPr>
      <w:bookmarkStart w:id="113" w:name="_Toc308300728"/>
      <w:bookmarkStart w:id="114" w:name="_Toc311366535"/>
      <w:r w:rsidRPr="00591BFC">
        <w:rPr>
          <w:rFonts w:ascii="Calibri" w:hAnsi="Calibri"/>
          <w:lang w:val="en-GB"/>
        </w:rPr>
        <w:t>Introduction</w:t>
      </w:r>
      <w:bookmarkEnd w:id="113"/>
      <w:bookmarkEnd w:id="114"/>
    </w:p>
    <w:p w14:paraId="2321B7DA" w14:textId="77777777" w:rsidR="00B70DDB" w:rsidRPr="00591BFC" w:rsidRDefault="00B70DDB" w:rsidP="00E86771">
      <w:pPr>
        <w:spacing w:after="0" w:line="360" w:lineRule="auto"/>
        <w:rPr>
          <w:szCs w:val="24"/>
        </w:rPr>
      </w:pPr>
    </w:p>
    <w:p w14:paraId="5F96DD1E" w14:textId="77777777" w:rsidR="00B70DDB" w:rsidRPr="00591BFC" w:rsidRDefault="00B70DDB" w:rsidP="00E86771">
      <w:pPr>
        <w:pStyle w:val="NoSpacing"/>
        <w:spacing w:line="360" w:lineRule="auto"/>
      </w:pPr>
      <w:r w:rsidRPr="00591BFC">
        <w:rPr>
          <w:szCs w:val="24"/>
        </w:rPr>
        <w:t xml:space="preserve">In this chapter, we present findings from the qualitative component of the study. This had </w:t>
      </w:r>
      <w:r w:rsidR="00944A78" w:rsidRPr="00591BFC">
        <w:rPr>
          <w:szCs w:val="24"/>
        </w:rPr>
        <w:t>three initial</w:t>
      </w:r>
      <w:r w:rsidRPr="00591BFC">
        <w:rPr>
          <w:szCs w:val="24"/>
        </w:rPr>
        <w:t xml:space="preserve"> aims: 1) to find out </w:t>
      </w:r>
      <w:r w:rsidRPr="00591BFC">
        <w:t xml:space="preserve">how and why hospitals adopted their models of care, 2) </w:t>
      </w:r>
      <w:r w:rsidR="00944A78" w:rsidRPr="00591BFC">
        <w:t xml:space="preserve">to </w:t>
      </w:r>
      <w:r w:rsidRPr="00591BFC">
        <w:t xml:space="preserve">identify how secondary fracture prevention services can be successfully implemented, with a focus on barriers and enablers to change; 3) to identify the elements of care that healthcare professionals think are most effective.  These three aims were addressed using concepts from extended </w:t>
      </w:r>
      <w:r w:rsidR="006B566C" w:rsidRPr="00591BFC">
        <w:t>NPT</w:t>
      </w:r>
      <w:r w:rsidRPr="00591BFC">
        <w:t xml:space="preserve"> to provide a theoretical basis. In addition, because the process of business case development was a key issue in fracture service planning and delivery, we also aimed to describe the experiences of clinicians and service managers of making business cases for fracture liaison service</w:t>
      </w:r>
      <w:r w:rsidR="00944A78" w:rsidRPr="00591BFC">
        <w:t>s</w:t>
      </w:r>
      <w:r w:rsidRPr="00591BFC">
        <w:t xml:space="preserve">. </w:t>
      </w:r>
    </w:p>
    <w:p w14:paraId="39ADA735" w14:textId="77777777" w:rsidR="00B70DDB" w:rsidRPr="00591BFC" w:rsidRDefault="00B70DDB" w:rsidP="00E86771">
      <w:pPr>
        <w:pStyle w:val="NoSpacing"/>
        <w:spacing w:line="360" w:lineRule="auto"/>
      </w:pPr>
    </w:p>
    <w:p w14:paraId="55F477E4" w14:textId="77777777" w:rsidR="00B70DDB" w:rsidRPr="00591BFC" w:rsidRDefault="00B70DDB" w:rsidP="00E86771">
      <w:pPr>
        <w:pStyle w:val="NoSpacing"/>
        <w:spacing w:line="360" w:lineRule="auto"/>
        <w:rPr>
          <w:szCs w:val="24"/>
        </w:rPr>
      </w:pPr>
      <w:r w:rsidRPr="00591BFC">
        <w:rPr>
          <w:szCs w:val="24"/>
        </w:rPr>
        <w:t xml:space="preserve">This chapter provides a brief background to the qualitative study, describes the methods used and presents our findings. Our findings and discussion will be presented in two parts. Part 1 presents findings relating to the first three aims about how and why </w:t>
      </w:r>
      <w:r w:rsidRPr="00591BFC">
        <w:t xml:space="preserve">secondary fracture prevention services can be successfully implemented in secondary care, and we discuss the place of these findings in relation to current knowledge. Part 2 then describes findings relating to the fourth aim, focusing more specifically on the experiences of clinicians and service managers of making business cases for a fracture liaison service and discusses these in relation to the current literature. After the two findings and discussion sections we present </w:t>
      </w:r>
      <w:r w:rsidR="00944A78" w:rsidRPr="00591BFC">
        <w:t>the study’s</w:t>
      </w:r>
      <w:r w:rsidRPr="00591BFC">
        <w:t xml:space="preserve"> strengths and limitations and a concluding section.</w:t>
      </w:r>
    </w:p>
    <w:p w14:paraId="1EA8454A" w14:textId="77777777" w:rsidR="00B70DDB" w:rsidRPr="00591BFC" w:rsidRDefault="00B70DDB" w:rsidP="00E86771">
      <w:pPr>
        <w:pStyle w:val="NoSpacing"/>
        <w:spacing w:line="360" w:lineRule="auto"/>
        <w:rPr>
          <w:szCs w:val="24"/>
        </w:rPr>
      </w:pPr>
    </w:p>
    <w:p w14:paraId="3876EB18" w14:textId="77777777" w:rsidR="00B70DDB" w:rsidRPr="00591BFC" w:rsidRDefault="00B70DDB" w:rsidP="00E86771">
      <w:pPr>
        <w:pStyle w:val="Heading3"/>
        <w:spacing w:line="360" w:lineRule="auto"/>
        <w:rPr>
          <w:rFonts w:ascii="Calibri" w:hAnsi="Calibri"/>
          <w:lang w:val="en-GB"/>
        </w:rPr>
      </w:pPr>
      <w:bookmarkStart w:id="115" w:name="_Toc308300729"/>
      <w:bookmarkStart w:id="116" w:name="_Toc311366536"/>
      <w:r w:rsidRPr="00591BFC">
        <w:rPr>
          <w:rFonts w:ascii="Calibri" w:hAnsi="Calibri"/>
          <w:lang w:val="en-GB"/>
        </w:rPr>
        <w:t>Background</w:t>
      </w:r>
      <w:bookmarkEnd w:id="115"/>
      <w:bookmarkEnd w:id="116"/>
    </w:p>
    <w:p w14:paraId="4525CEEF" w14:textId="77777777" w:rsidR="00B70DDB" w:rsidRPr="00591BFC" w:rsidRDefault="00B70DDB" w:rsidP="00E86771">
      <w:pPr>
        <w:pStyle w:val="NoSpacing"/>
        <w:spacing w:line="360" w:lineRule="auto"/>
        <w:rPr>
          <w:rFonts w:cs="Tms Rmn"/>
        </w:rPr>
      </w:pPr>
    </w:p>
    <w:p w14:paraId="56809125" w14:textId="5296C57D" w:rsidR="00B70DDB" w:rsidRPr="00591BFC" w:rsidRDefault="00944A78" w:rsidP="00E86771">
      <w:pPr>
        <w:pStyle w:val="NoSpacing"/>
        <w:spacing w:line="360" w:lineRule="auto"/>
      </w:pPr>
      <w:r w:rsidRPr="00591BFC">
        <w:t>Chapter 1</w:t>
      </w:r>
      <w:r w:rsidR="00B70DDB" w:rsidRPr="00591BFC">
        <w:t xml:space="preserve"> has demonstrated that there is considerable variation in how fracture prevention services are </w:t>
      </w:r>
      <w:r w:rsidRPr="00591BFC">
        <w:t>organised and delivered in the r</w:t>
      </w:r>
      <w:r w:rsidR="00B70DDB" w:rsidRPr="00591BFC">
        <w:t>egion</w:t>
      </w:r>
      <w:hyperlink w:anchor="_ENREF_40" w:tooltip="Drew, 2014 #942" w:history="1">
        <w:r w:rsidR="00B24FEE">
          <w:fldChar w:fldCharType="begin"/>
        </w:r>
        <w:r w:rsidR="00B24FEE">
          <w:instrText xml:space="preserve"> ADDIN EN.CITE &lt;EndNote&gt;&lt;Cite&gt;&lt;Author&gt;Drew&lt;/Author&gt;&lt;Year&gt;2014&lt;/Year&gt;&lt;RecNum&gt;942&lt;/RecNum&gt;&lt;DisplayText&gt;&lt;style face="superscript"&gt;40&lt;/style&gt;&lt;/DisplayText&gt;&lt;record&gt;&lt;rec-number&gt;942&lt;/rec-number&gt;&lt;foreign-keys&gt;&lt;key app="EN" db-id="sxpszd2ti9dx04ewefrvfp5bpf5faazszr9p" timestamp="0"&gt;942&lt;/key&gt;&lt;/foreign-keys&gt;&lt;ref-type name="Journal Article"&gt;17&lt;/ref-type&gt;&lt;contributors&gt;&lt;authors&gt;&lt;author&gt;Drew, S.&lt;/author&gt;&lt;author&gt;Sheard, S.&lt;/author&gt;&lt;author&gt;Chana, J.&lt;/author&gt;&lt;author&gt;Cooper, C.&lt;/author&gt;&lt;author&gt;Javaid, M. K.&lt;/author&gt;&lt;author&gt;Judge, A.&lt;/author&gt;&lt;/authors&gt;&lt;/contributors&gt;&lt;auth-address&gt;Oxford NIHR Musculoskeletal Biomedical Research Unit, Nuffield Department of Orthopaedics, Rheumatology and Musculoskeletal Sciences, University of Oxford, Windmill Road, Headington, Oxford, OX3 7LD, UK.&lt;/auth-address&gt;&lt;titles&gt;&lt;title&gt;Describing variation in the delivery of secondary fracture prevention after hip fracture: an overview of 11 hospitals within one regional area in England&lt;/title&gt;&lt;secondary-title&gt;Osteoporos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Int&lt;/full-title&gt;&lt;/periodical&gt;&lt;edition&gt;2014/06/27&lt;/edition&gt;&lt;dates&gt;&lt;year&gt;2014&lt;/year&gt;&lt;pub-dates&gt;&lt;date&gt;Jun 26&lt;/date&gt;&lt;/pub-dates&gt;&lt;/dates&gt;&lt;isbn&gt;0937-941x&lt;/isbn&gt;&lt;accession-num&gt;24964893&lt;/accession-num&gt;&lt;urls&gt;&lt;/urls&gt;&lt;electronic-resource-num&gt;10.1007/s00198-014-2775-5&lt;/electronic-resource-num&gt;&lt;remote-database-provider&gt;Nlm&lt;/remote-database-provider&gt;&lt;language&gt;Eng&lt;/language&gt;&lt;/record&gt;&lt;/Cite&gt;&lt;/EndNote&gt;</w:instrText>
        </w:r>
        <w:r w:rsidR="00B24FEE">
          <w:fldChar w:fldCharType="separate"/>
        </w:r>
        <w:r w:rsidR="00B24FEE" w:rsidRPr="00B24FEE">
          <w:rPr>
            <w:noProof/>
            <w:vertAlign w:val="superscript"/>
          </w:rPr>
          <w:t>40</w:t>
        </w:r>
        <w:r w:rsidR="00B24FEE">
          <w:fldChar w:fldCharType="end"/>
        </w:r>
      </w:hyperlink>
      <w:r w:rsidR="00B70DDB" w:rsidRPr="00591BFC">
        <w:t>. Despite findings from a number of national and international studies that demonstrate the e</w:t>
      </w:r>
      <w:r w:rsidR="00F3460F" w:rsidRPr="00591BFC">
        <w:t>fficacy of FLS</w:t>
      </w:r>
      <w:hyperlink w:anchor="_ENREF_36" w:tooltip="Ganda, 2013 #551" w:history="1">
        <w:r w:rsidR="00B24FEE">
          <w:fldChar w:fldCharType="begin"/>
        </w:r>
        <w:r w:rsidR="00B24FEE">
          <w:instrText xml:space="preserve"> ADDIN EN.CITE &lt;EndNote&gt;&lt;Cite&gt;&lt;Author&gt;Ganda&lt;/Author&gt;&lt;Year&gt;2013&lt;/Year&gt;&lt;RecNum&gt;551&lt;/RecNum&gt;&lt;DisplayText&gt;&lt;style face="superscript"&gt;36&lt;/style&gt;&lt;/DisplayText&gt;&lt;record&gt;&lt;rec-number&gt;551&lt;/rec-number&gt;&lt;foreign-keys&gt;&lt;key app="EN" db-id="sxpszd2ti9dx04ewefrvfp5bpf5faazszr9p" timestamp="0"&gt;551&lt;/key&gt;&lt;/foreign-keys&gt;&lt;ref-type name="Journal Article"&gt;17&lt;/ref-type&gt;&lt;contributors&gt;&lt;authors&gt;&lt;author&gt;Ganda, K.&lt;/author&gt;&lt;author&gt;Puech, M.&lt;/author&gt;&lt;author&gt;Chen, J. S.&lt;/author&gt;&lt;author&gt;Speerin, R.&lt;/author&gt;&lt;author&gt;Bleasel, J.&lt;/author&gt;&lt;author&gt;Center, J. R.&lt;/author&gt;&lt;author&gt;Eisman, J. A.&lt;/author&gt;&lt;author&gt;March, L.&lt;/author&gt;&lt;author&gt;Seibel, M. J.&lt;/author&gt;&lt;/authors&gt;&lt;/contributors&gt;&lt;titles&gt;&lt;title&gt;Models of care for the secondary prevention of osteoporotic fractures: a systematic review and meta-analysis&lt;/title&gt;&lt;secondary-title&gt;Osteoporosis International&lt;/secondary-title&gt;&lt;alt-title&gt;Osteoporos Int&lt;/alt-title&gt;&lt;/titles&gt;&lt;alt-periodical&gt;&lt;full-title&gt;Osteoporos Int&lt;/full-title&gt;&lt;/alt-periodical&gt;&lt;pages&gt;393-406&lt;/pages&gt;&lt;volume&gt;24&lt;/volume&gt;&lt;number&gt;2&lt;/number&gt;&lt;keywords&gt;&lt;keyword&gt;Cost-effectiveness&lt;/keyword&gt;&lt;keyword&gt;Fracture liaison services&lt;/keyword&gt;&lt;keyword&gt;Models of care&lt;/keyword&gt;&lt;keyword&gt;Osteoporosis treatment&lt;/keyword&gt;&lt;keyword&gt;Re-fractures&lt;/keyword&gt;&lt;keyword&gt;Secondary fracture prevention&lt;/keyword&gt;&lt;/keywords&gt;&lt;dates&gt;&lt;year&gt;2013&lt;/year&gt;&lt;pub-dates&gt;&lt;date&gt;2013/02/01&lt;/date&gt;&lt;/pub-dates&gt;&lt;/dates&gt;&lt;publisher&gt;Springer-Verlag&lt;/publisher&gt;&lt;isbn&gt;0937-941X&lt;/isbn&gt;&lt;urls&gt;&lt;related-urls&gt;&lt;url&gt;http://dx.doi.org/10.1007/s00198-012-2090-y&lt;/url&gt;&lt;/related-urls&gt;&lt;/urls&gt;&lt;electronic-resource-num&gt;10.1007/s00198-012-2090-y&lt;/electronic-resource-num&gt;&lt;language&gt;English&lt;/language&gt;&lt;/record&gt;&lt;/Cite&gt;&lt;/EndNote&gt;</w:instrText>
        </w:r>
        <w:r w:rsidR="00B24FEE">
          <w:fldChar w:fldCharType="separate"/>
        </w:r>
        <w:r w:rsidR="00B24FEE" w:rsidRPr="00B24FEE">
          <w:rPr>
            <w:noProof/>
            <w:vertAlign w:val="superscript"/>
          </w:rPr>
          <w:t>36</w:t>
        </w:r>
        <w:r w:rsidR="00B24FEE">
          <w:fldChar w:fldCharType="end"/>
        </w:r>
      </w:hyperlink>
      <w:r w:rsidR="00B70DDB" w:rsidRPr="00591BFC">
        <w:t>, only 40% of Hospitals in the UK deliver this service</w:t>
      </w:r>
      <w:hyperlink w:anchor="_ENREF_41" w:tooltip="Royal College of Physicians, 2011 #41" w:history="1">
        <w:r w:rsidR="00B24FEE">
          <w:fldChar w:fldCharType="begin"/>
        </w:r>
        <w:r w:rsidR="00B24FEE">
          <w:instrText xml:space="preserve"> ADDIN EN.CITE &lt;EndNote&gt;&lt;Cite&gt;&lt;Author&gt;Royal College of Physicians&lt;/Author&gt;&lt;Year&gt;2011&lt;/Year&gt;&lt;RecNum&gt;41&lt;/RecNum&gt;&lt;DisplayText&gt;&lt;style face="superscript"&gt;41&lt;/style&gt;&lt;/DisplayText&gt;&lt;record&gt;&lt;rec-number&gt;41&lt;/rec-number&gt;&lt;foreign-keys&gt;&lt;key app="EN" db-id="sxpszd2ti9dx04ewefrvfp5bpf5faazszr9p" timestamp="0"&gt;41&lt;/key&gt;&lt;/foreign-keys&gt;&lt;ref-type name="Report"&gt;27&lt;/ref-type&gt;&lt;contributors&gt;&lt;authors&gt;&lt;author&gt;Royal College of Physicians,&lt;/author&gt;&lt;/authors&gt;&lt;/contributors&gt;&lt;titles&gt;&lt;title&gt;Falling standards, broken promises.  Report of the national audit of falls and bone health in older people 2010&lt;/title&gt;&lt;/titles&gt;&lt;dates&gt;&lt;year&gt;2011&lt;/year&gt;&lt;/dates&gt;&lt;urls&gt;&lt;/urls&gt;&lt;/record&gt;&lt;/Cite&gt;&lt;/EndNote&gt;</w:instrText>
        </w:r>
        <w:r w:rsidR="00B24FEE">
          <w:fldChar w:fldCharType="separate"/>
        </w:r>
        <w:r w:rsidR="00B24FEE" w:rsidRPr="00B24FEE">
          <w:rPr>
            <w:noProof/>
            <w:vertAlign w:val="superscript"/>
          </w:rPr>
          <w:t>41</w:t>
        </w:r>
        <w:r w:rsidR="00B24FEE">
          <w:fldChar w:fldCharType="end"/>
        </w:r>
      </w:hyperlink>
      <w:r w:rsidR="00B70DDB" w:rsidRPr="00591BFC">
        <w:t>. To date, no study has explored how best to implement these services or make effective business cases to obtain funding.</w:t>
      </w:r>
    </w:p>
    <w:p w14:paraId="1D4D2EFB" w14:textId="77777777" w:rsidR="00B70DDB" w:rsidRPr="00591BFC" w:rsidRDefault="00B70DDB" w:rsidP="00E86771">
      <w:pPr>
        <w:pStyle w:val="NoSpacing"/>
        <w:spacing w:line="360" w:lineRule="auto"/>
        <w:rPr>
          <w:rFonts w:cs="Tms Rmn"/>
        </w:rPr>
      </w:pPr>
    </w:p>
    <w:p w14:paraId="3510144C" w14:textId="77777777" w:rsidR="00B70DDB" w:rsidRPr="00591BFC" w:rsidRDefault="00B70DDB" w:rsidP="00E86771">
      <w:pPr>
        <w:pStyle w:val="Heading4"/>
        <w:spacing w:line="360" w:lineRule="auto"/>
        <w:rPr>
          <w:rFonts w:ascii="Calibri" w:hAnsi="Calibri"/>
        </w:rPr>
      </w:pPr>
      <w:r w:rsidRPr="00591BFC">
        <w:rPr>
          <w:rFonts w:ascii="Calibri" w:hAnsi="Calibri"/>
        </w:rPr>
        <w:lastRenderedPageBreak/>
        <w:t>Implementation of complex interventions</w:t>
      </w:r>
    </w:p>
    <w:p w14:paraId="44E77B87" w14:textId="77777777" w:rsidR="00B70DDB" w:rsidRPr="00591BFC" w:rsidRDefault="00B70DDB" w:rsidP="00E86771">
      <w:pPr>
        <w:pStyle w:val="NoSpacing"/>
        <w:spacing w:line="360" w:lineRule="auto"/>
        <w:rPr>
          <w:rFonts w:cs="Tms Rmn"/>
        </w:rPr>
      </w:pPr>
    </w:p>
    <w:p w14:paraId="5EE76EA4" w14:textId="40C7D75B" w:rsidR="00B70DDB" w:rsidRPr="00591BFC" w:rsidRDefault="00B70DDB" w:rsidP="00E86771">
      <w:pPr>
        <w:autoSpaceDE w:val="0"/>
        <w:autoSpaceDN w:val="0"/>
        <w:adjustRightInd w:val="0"/>
        <w:spacing w:after="0" w:line="360" w:lineRule="auto"/>
        <w:rPr>
          <w:rFonts w:cs="Tms Rmn"/>
          <w:highlight w:val="yellow"/>
        </w:rPr>
      </w:pPr>
      <w:r w:rsidRPr="00591BFC">
        <w:rPr>
          <w:rFonts w:cs="Tms Rmn"/>
        </w:rPr>
        <w:t>The implementation of complex interventions is increasingly being studied using implementation theory</w:t>
      </w:r>
      <w:hyperlink w:anchor="_ENREF_42" w:tooltip="Peters, 2013 #639" w:history="1">
        <w:r w:rsidR="00B24FEE">
          <w:rPr>
            <w:rFonts w:cs="Tms Rmn"/>
          </w:rPr>
          <w:fldChar w:fldCharType="begin"/>
        </w:r>
        <w:r w:rsidR="00B24FEE">
          <w:rPr>
            <w:rFonts w:cs="Tms Rmn"/>
          </w:rPr>
          <w:instrText xml:space="preserve"> ADDIN EN.CITE &lt;EndNote&gt;&lt;Cite&gt;&lt;Author&gt;Peters&lt;/Author&gt;&lt;Year&gt;2013&lt;/Year&gt;&lt;RecNum&gt;639&lt;/RecNum&gt;&lt;DisplayText&gt;&lt;style face="superscript"&gt;42&lt;/style&gt;&lt;/DisplayText&gt;&lt;record&gt;&lt;rec-number&gt;639&lt;/rec-number&gt;&lt;foreign-keys&gt;&lt;key app="EN" db-id="sxpszd2ti9dx04ewefrvfp5bpf5faazszr9p" timestamp="0"&gt;639&lt;/key&gt;&lt;/foreign-keys&gt;&lt;ref-type name="Journal Article"&gt;17&lt;/ref-type&gt;&lt;contributors&gt;&lt;authors&gt;&lt;author&gt;David H Peters&lt;/author&gt;&lt;author&gt;Taghreed Adam&lt;/author&gt;&lt;author&gt;Olakunle Alonge&lt;/author&gt;&lt;author&gt;Irene Akua Agyepong&lt;/author&gt;&lt;author&gt;Nhan Tran&lt;/author&gt;&lt;/authors&gt;&lt;/contributors&gt;&lt;titles&gt;&lt;title&gt;Implementation research: what it is and how to do it&lt;/title&gt;&lt;secondary-title&gt;BMJ&lt;/secondary-title&gt;&lt;/titles&gt;&lt;periodical&gt;&lt;full-title&gt;BMJ&lt;/full-title&gt;&lt;/periodical&gt;&lt;volume&gt;347&lt;/volume&gt;&lt;dates&gt;&lt;year&gt;2013&lt;/year&gt;&lt;pub-dates&gt;&lt;date&gt;2013-11-20 11:48:42&lt;/date&gt;&lt;/pub-dates&gt;&lt;/dates&gt;&lt;urls&gt;&lt;pdf-urls&gt;&lt;url&gt;http://www.bmj.com/bmj/347/bmj.f6753.full.pdf&lt;/url&gt;&lt;/pdf-urls&gt;&lt;/urls&gt;&lt;electronic-resource-num&gt;10.1136/bmj.f6753&lt;/electronic-resource-num&gt;&lt;/record&gt;&lt;/Cite&gt;&lt;/EndNote&gt;</w:instrText>
        </w:r>
        <w:r w:rsidR="00B24FEE">
          <w:rPr>
            <w:rFonts w:cs="Tms Rmn"/>
          </w:rPr>
          <w:fldChar w:fldCharType="separate"/>
        </w:r>
        <w:r w:rsidR="00B24FEE" w:rsidRPr="00B24FEE">
          <w:rPr>
            <w:rFonts w:cs="Tms Rmn"/>
            <w:noProof/>
            <w:vertAlign w:val="superscript"/>
          </w:rPr>
          <w:t>42</w:t>
        </w:r>
        <w:r w:rsidR="00B24FEE">
          <w:rPr>
            <w:rFonts w:cs="Tms Rmn"/>
          </w:rPr>
          <w:fldChar w:fldCharType="end"/>
        </w:r>
      </w:hyperlink>
      <w:r w:rsidRPr="00591BFC">
        <w:rPr>
          <w:rFonts w:cs="Tms Rmn"/>
        </w:rPr>
        <w:t xml:space="preserve">. Implementation research comprises a number of approaches and theoretical stances in order to help understand something of the complexity of change within health services. One such theory—Extended </w:t>
      </w:r>
      <w:r w:rsidR="006B566C" w:rsidRPr="00591BFC">
        <w:rPr>
          <w:rFonts w:cs="Tms Rmn"/>
        </w:rPr>
        <w:t>NPT</w:t>
      </w:r>
      <w:hyperlink w:anchor="_ENREF_43" w:tooltip="May, 2013 #81" w:history="1">
        <w:r w:rsidR="00B24FEE">
          <w:rPr>
            <w:rFonts w:cs="Tms Rmn"/>
          </w:rPr>
          <w:fldChar w:fldCharType="begin"/>
        </w:r>
        <w:r w:rsidR="00B24FEE">
          <w:rPr>
            <w:rFonts w:cs="Tms Rmn"/>
          </w:rPr>
          <w:instrText xml:space="preserve"> ADDIN EN.CITE &lt;EndNote&gt;&lt;Cite&gt;&lt;Author&gt;May&lt;/Author&gt;&lt;Year&gt;2013&lt;/Year&gt;&lt;RecNum&gt;81&lt;/RecNum&gt;&lt;DisplayText&gt;&lt;style face="superscript"&gt;43&lt;/style&gt;&lt;/DisplayText&gt;&lt;record&gt;&lt;rec-number&gt;81&lt;/rec-number&gt;&lt;foreign-keys&gt;&lt;key app="EN" db-id="sxpszd2ti9dx04ewefrvfp5bpf5faazszr9p" timestamp="0"&gt;81&lt;/key&gt;&lt;/foreign-keys&gt;&lt;ref-type name="Journal Article"&gt;17&lt;/ref-type&gt;&lt;contributors&gt;&lt;authors&gt;&lt;author&gt;May, C.&lt;/author&gt;&lt;/authors&gt;&lt;/contributors&gt;&lt;auth-address&gt;Faculty of Health Sciences, University of Southampton, Building 67 (Nightingale), University Road, Highfield, Southampton SO17 1BJ, UK. c.r.may@soton.ac.uk&lt;/auth-address&gt;&lt;titles&gt;&lt;title&gt;Towards a general theory of implementation&lt;/title&gt;&lt;secondary-title&gt;Implement Sci&lt;/secondary-title&gt;&lt;alt-title&gt;Implementation science : IS&lt;/alt-title&gt;&lt;/titles&gt;&lt;pages&gt;18&lt;/pages&gt;&lt;volume&gt;8&lt;/volume&gt;&lt;edition&gt;2013/02/15&lt;/edition&gt;&lt;keywords&gt;&lt;keyword&gt;Delivery of Health Care/*organization &amp;amp; administration&lt;/keyword&gt;&lt;keyword&gt;*Diffusion of Innovation&lt;/keyword&gt;&lt;keyword&gt;Great Britain&lt;/keyword&gt;&lt;keyword&gt;Health Policy&lt;/keyword&gt;&lt;keyword&gt;Humans&lt;/keyword&gt;&lt;keyword&gt;Organizational Innovation&lt;/keyword&gt;&lt;keyword&gt;Process Assessment (Health Care)/organization &amp;amp; administration&lt;/keyword&gt;&lt;keyword&gt;Qualitative Research&lt;/keyword&gt;&lt;keyword&gt;State Medicine/*organization &amp;amp; administration&lt;/keyword&gt;&lt;/keywords&gt;&lt;dates&gt;&lt;year&gt;2013&lt;/year&gt;&lt;/dates&gt;&lt;isbn&gt;1748-5908&lt;/isbn&gt;&lt;accession-num&gt;23406398&lt;/accession-num&gt;&lt;urls&gt;&lt;/urls&gt;&lt;custom2&gt;Pmc3602092&lt;/custom2&gt;&lt;electronic-resource-num&gt;10.1186/1748-5908-8-18&lt;/electronic-resource-num&gt;&lt;remote-database-provider&gt;Nlm&lt;/remote-database-provider&gt;&lt;language&gt;eng&lt;/language&gt;&lt;/record&gt;&lt;/Cite&gt;&lt;/EndNote&gt;</w:instrText>
        </w:r>
        <w:r w:rsidR="00B24FEE">
          <w:rPr>
            <w:rFonts w:cs="Tms Rmn"/>
          </w:rPr>
          <w:fldChar w:fldCharType="separate"/>
        </w:r>
        <w:r w:rsidR="00B24FEE" w:rsidRPr="00B24FEE">
          <w:rPr>
            <w:rFonts w:cs="Tms Rmn"/>
            <w:noProof/>
            <w:vertAlign w:val="superscript"/>
          </w:rPr>
          <w:t>43</w:t>
        </w:r>
        <w:r w:rsidR="00B24FEE">
          <w:rPr>
            <w:rFonts w:cs="Tms Rmn"/>
          </w:rPr>
          <w:fldChar w:fldCharType="end"/>
        </w:r>
      </w:hyperlink>
      <w:r w:rsidRPr="00591BFC">
        <w:rPr>
          <w:rFonts w:cs="Tms Rmn"/>
        </w:rPr>
        <w:t xml:space="preserve"> which builds on two previous theoretical models: </w:t>
      </w:r>
      <w:r w:rsidR="00944A78" w:rsidRPr="00591BFC">
        <w:rPr>
          <w:rFonts w:cs="Tms Rmn"/>
        </w:rPr>
        <w:t xml:space="preserve">the </w:t>
      </w:r>
      <w:r w:rsidRPr="00591BFC">
        <w:rPr>
          <w:rFonts w:cs="Tms Rmn"/>
        </w:rPr>
        <w:t>Normali</w:t>
      </w:r>
      <w:r w:rsidR="00944A78" w:rsidRPr="00591BFC">
        <w:rPr>
          <w:rFonts w:cs="Tms Rmn"/>
        </w:rPr>
        <w:t>s</w:t>
      </w:r>
      <w:r w:rsidRPr="00591BFC">
        <w:rPr>
          <w:rFonts w:cs="Tms Rmn"/>
        </w:rPr>
        <w:t>ation Process Model</w:t>
      </w:r>
      <w:hyperlink w:anchor="_ENREF_44" w:tooltip="May, 2006 #616" w:history="1">
        <w:r w:rsidR="00B24FEE">
          <w:rPr>
            <w:rFonts w:cs="Tms Rmn"/>
          </w:rPr>
          <w:fldChar w:fldCharType="begin"/>
        </w:r>
        <w:r w:rsidR="00B24FEE">
          <w:rPr>
            <w:rFonts w:cs="Tms Rmn"/>
          </w:rPr>
          <w:instrText xml:space="preserve"> ADDIN EN.CITE &lt;EndNote&gt;&lt;Cite&gt;&lt;Author&gt;May&lt;/Author&gt;&lt;Year&gt;2006&lt;/Year&gt;&lt;RecNum&gt;616&lt;/RecNum&gt;&lt;DisplayText&gt;&lt;style face="superscript"&gt;44&lt;/style&gt;&lt;/DisplayText&gt;&lt;record&gt;&lt;rec-number&gt;616&lt;/rec-number&gt;&lt;foreign-keys&gt;&lt;key app="EN" db-id="sxpszd2ti9dx04ewefrvfp5bpf5faazszr9p" timestamp="0"&gt;616&lt;/key&gt;&lt;/foreign-keys&gt;&lt;ref-type name="Journal Article"&gt;17&lt;/ref-type&gt;&lt;contributors&gt;&lt;authors&gt;&lt;author&gt;May, C.&lt;/author&gt;&lt;/authors&gt;&lt;/contributors&gt;&lt;auth-address&gt;Institute of Health and Society, Newcastle University, 21 Claremont Place, Newcastle upon Tyne, NE2 4AA, UK. c.r.may@ncl.ac.uk&lt;/auth-address&gt;&lt;titles&gt;&lt;title&gt;A rational model for assessing and evaluating complex interventions in health care&lt;/title&gt;&lt;secondary-title&gt;BMC Health Serv Res&lt;/secondary-title&gt;&lt;alt-title&gt;BMC health services research&lt;/alt-title&gt;&lt;/titles&gt;&lt;pages&gt;86&lt;/pages&gt;&lt;volume&gt;6&lt;/volume&gt;&lt;edition&gt;2006/07/11&lt;/edition&gt;&lt;keywords&gt;&lt;keyword&gt;Chronic Disease/psychology/*therapy&lt;/keyword&gt;&lt;keyword&gt;Depression/psychology/therapy&lt;/keyword&gt;&lt;keyword&gt;Diffusion of Innovation&lt;/keyword&gt;&lt;keyword&gt;*Evidence-Based Medicine&lt;/keyword&gt;&lt;keyword&gt;Great Britain&lt;/keyword&gt;&lt;keyword&gt;Humans&lt;/keyword&gt;&lt;keyword&gt;Low Back Pain/psychology/therapy&lt;/keyword&gt;&lt;keyword&gt;Models, Organizational&lt;/keyword&gt;&lt;keyword&gt;Outcome and Process Assessment (Health Care)/*methods&lt;/keyword&gt;&lt;keyword&gt;Qualitative Research&lt;/keyword&gt;&lt;keyword&gt;Reproducibility of Results&lt;/keyword&gt;&lt;keyword&gt;*Sociology, Medical&lt;/keyword&gt;&lt;keyword&gt;*Systems Analysis&lt;/keyword&gt;&lt;keyword&gt;Technology Assessment, Biomedical/*methods&lt;/keyword&gt;&lt;keyword&gt;Telemedicine&lt;/keyword&gt;&lt;/keywords&gt;&lt;dates&gt;&lt;year&gt;2006&lt;/year&gt;&lt;/dates&gt;&lt;isbn&gt;1472-6963&lt;/isbn&gt;&lt;accession-num&gt;16827928&lt;/accession-num&gt;&lt;urls&gt;&lt;/urls&gt;&lt;custom2&gt;Pmc1534030&lt;/custom2&gt;&lt;electronic-resource-num&gt;10.1186/1472-6963-6-86&lt;/electronic-resource-num&gt;&lt;remote-database-provider&gt;Nlm&lt;/remote-database-provider&gt;&lt;language&gt;eng&lt;/language&gt;&lt;/record&gt;&lt;/Cite&gt;&lt;/EndNote&gt;</w:instrText>
        </w:r>
        <w:r w:rsidR="00B24FEE">
          <w:rPr>
            <w:rFonts w:cs="Tms Rmn"/>
          </w:rPr>
          <w:fldChar w:fldCharType="separate"/>
        </w:r>
        <w:r w:rsidR="00B24FEE" w:rsidRPr="00B24FEE">
          <w:rPr>
            <w:rFonts w:cs="Tms Rmn"/>
            <w:noProof/>
            <w:vertAlign w:val="superscript"/>
          </w:rPr>
          <w:t>44</w:t>
        </w:r>
        <w:r w:rsidR="00B24FEE">
          <w:rPr>
            <w:rFonts w:cs="Tms Rmn"/>
          </w:rPr>
          <w:fldChar w:fldCharType="end"/>
        </w:r>
      </w:hyperlink>
      <w:r w:rsidRPr="00591BFC">
        <w:rPr>
          <w:rFonts w:cs="Tms Rmn"/>
        </w:rPr>
        <w:t xml:space="preserve"> and </w:t>
      </w:r>
      <w:r w:rsidR="006B566C" w:rsidRPr="00591BFC">
        <w:rPr>
          <w:rFonts w:cs="Tms Rmn"/>
        </w:rPr>
        <w:t>NPT</w:t>
      </w:r>
      <w:hyperlink w:anchor="_ENREF_45" w:tooltip="May, 2009 #567" w:history="1">
        <w:r w:rsidR="00B24FEE">
          <w:rPr>
            <w:rFonts w:cs="Tms Rmn"/>
          </w:rPr>
          <w:fldChar w:fldCharType="begin"/>
        </w:r>
        <w:r w:rsidR="00B24FEE">
          <w:rPr>
            <w:rFonts w:cs="Tms Rmn"/>
          </w:rPr>
          <w:instrText xml:space="preserve"> ADDIN EN.CITE &lt;EndNote&gt;&lt;Cite&gt;&lt;Author&gt;May&lt;/Author&gt;&lt;Year&gt;2009&lt;/Year&gt;&lt;RecNum&gt;567&lt;/RecNum&gt;&lt;DisplayText&gt;&lt;style face="superscript"&gt;45&lt;/style&gt;&lt;/DisplayText&gt;&lt;record&gt;&lt;rec-number&gt;567&lt;/rec-number&gt;&lt;foreign-keys&gt;&lt;key app="EN" db-id="sxpszd2ti9dx04ewefrvfp5bpf5faazszr9p" timestamp="0"&gt;567&lt;/key&gt;&lt;/foreign-keys&gt;&lt;ref-type name="Journal Article"&gt;17&lt;/ref-type&gt;&lt;contributors&gt;&lt;authors&gt;&lt;author&gt;May, C&lt;/author&gt;&lt;author&gt;Finch, T&lt;/author&gt;&lt;/authors&gt;&lt;/contributors&gt;&lt;titles&gt;&lt;title&gt;Implementing, embedding, and integrating practices: an outline of normalization process theory&lt;/title&gt;&lt;secondary-title&gt;Sociology&lt;/secondary-title&gt;&lt;/titles&gt;&lt;pages&gt;p535 - p554&lt;/pages&gt;&lt;volume&gt;43&lt;/volume&gt;&lt;number&gt;3&lt;/number&gt;&lt;dates&gt;&lt;year&gt;2009&lt;/year&gt;&lt;/dates&gt;&lt;urls&gt;&lt;/urls&gt;&lt;/record&gt;&lt;/Cite&gt;&lt;/EndNote&gt;</w:instrText>
        </w:r>
        <w:r w:rsidR="00B24FEE">
          <w:rPr>
            <w:rFonts w:cs="Tms Rmn"/>
          </w:rPr>
          <w:fldChar w:fldCharType="separate"/>
        </w:r>
        <w:r w:rsidR="00B24FEE" w:rsidRPr="00B24FEE">
          <w:rPr>
            <w:rFonts w:cs="Tms Rmn"/>
            <w:noProof/>
            <w:vertAlign w:val="superscript"/>
          </w:rPr>
          <w:t>45</w:t>
        </w:r>
        <w:r w:rsidR="00B24FEE">
          <w:rPr>
            <w:rFonts w:cs="Tms Rmn"/>
          </w:rPr>
          <w:fldChar w:fldCharType="end"/>
        </w:r>
      </w:hyperlink>
      <w:r w:rsidRPr="00591BFC">
        <w:rPr>
          <w:rFonts w:cs="Tms Rmn"/>
        </w:rPr>
        <w:t xml:space="preserve"> describes how the </w:t>
      </w:r>
      <w:r w:rsidRPr="00591BFC">
        <w:rPr>
          <w:rFonts w:cs="Tms Rmn"/>
          <w:i/>
          <w:iCs/>
        </w:rPr>
        <w:t>collective actions</w:t>
      </w:r>
      <w:r w:rsidRPr="00591BFC">
        <w:rPr>
          <w:rFonts w:cs="Tms Rmn"/>
        </w:rPr>
        <w:t xml:space="preserve"> of agents drives the implementation of new services. This provides a counterpoint to network perspectives whereby the implementation of innovations is viewed as a process of transmission and stabilisation through networks</w:t>
      </w:r>
      <w:r w:rsidR="00B24FEE">
        <w:rPr>
          <w:rFonts w:cs="Tms Rmn"/>
        </w:rPr>
        <w:fldChar w:fldCharType="begin"/>
      </w:r>
      <w:r w:rsidR="00B24FEE">
        <w:rPr>
          <w:rFonts w:cs="Tms Rmn"/>
        </w:rPr>
        <w:instrText xml:space="preserve"> ADDIN EN.CITE &lt;EndNote&gt;&lt;Cite&gt;&lt;Author&gt;Rogers&lt;/Author&gt;&lt;Year&gt;1995&lt;/Year&gt;&lt;RecNum&gt;925&lt;/RecNum&gt;&lt;DisplayText&gt;&lt;style face="superscript"&gt;46 47&lt;/style&gt;&lt;/DisplayText&gt;&lt;record&gt;&lt;rec-number&gt;925&lt;/rec-number&gt;&lt;foreign-keys&gt;&lt;key app="EN" db-id="sxpszd2ti9dx04ewefrvfp5bpf5faazszr9p" timestamp="0"&gt;925&lt;/key&gt;&lt;/foreign-keys&gt;&lt;ref-type name="Book"&gt;6&lt;/ref-type&gt;&lt;contributors&gt;&lt;authors&gt;&lt;author&gt;E M Rogers&lt;/author&gt;&lt;/authors&gt;&lt;/contributors&gt;&lt;titles&gt;&lt;title&gt;The diffusion of innovation &lt;/title&gt;&lt;/titles&gt;&lt;edition&gt;4th edition &lt;/edition&gt;&lt;dates&gt;&lt;year&gt;1995&lt;/year&gt;&lt;/dates&gt;&lt;pub-location&gt;New York&lt;/pub-location&gt;&lt;publisher&gt;Free Press&lt;/publisher&gt;&lt;urls&gt;&lt;/urls&gt;&lt;/record&gt;&lt;/Cite&gt;&lt;Cite&gt;&lt;Author&gt;Rogers&lt;/Author&gt;&lt;Year&gt;2004&lt;/Year&gt;&lt;RecNum&gt;926&lt;/RecNum&gt;&lt;record&gt;&lt;rec-number&gt;926&lt;/rec-number&gt;&lt;foreign-keys&gt;&lt;key app="EN" db-id="sxpszd2ti9dx04ewefrvfp5bpf5faazszr9p" timestamp="0"&gt;926&lt;/key&gt;&lt;/foreign-keys&gt;&lt;ref-type name="Journal Article"&gt;17&lt;/ref-type&gt;&lt;contributors&gt;&lt;authors&gt;&lt;author&gt;Rogers, Everett M.&lt;/author&gt;&lt;/authors&gt;&lt;/contributors&gt;&lt;titles&gt;&lt;title&gt;A Prospective and Retrospective Look at the Diffusion Model&lt;/title&gt;&lt;secondary-title&gt;Journal of Health Communication&lt;/secondary-title&gt;&lt;/titles&gt;&lt;pages&gt;13-19&lt;/pages&gt;&lt;volume&gt;9&lt;/volume&gt;&lt;number&gt;sup1&lt;/number&gt;&lt;dates&gt;&lt;year&gt;2004&lt;/year&gt;&lt;pub-dates&gt;&lt;date&gt;2004/01/01&lt;/date&gt;&lt;/pub-dates&gt;&lt;/dates&gt;&lt;publisher&gt;Taylor &amp;amp; Francis&lt;/publisher&gt;&lt;isbn&gt;1081-0730&lt;/isbn&gt;&lt;urls&gt;&lt;related-urls&gt;&lt;url&gt;http://dx.doi.org/10.1080/10810730490271449&lt;/url&gt;&lt;/related-urls&gt;&lt;/urls&gt;&lt;electronic-resource-num&gt;10.1080/10810730490271449&lt;/electronic-resource-num&gt;&lt;access-date&gt;2014/06/25&lt;/access-date&gt;&lt;/record&gt;&lt;/Cite&gt;&lt;/EndNote&gt;</w:instrText>
      </w:r>
      <w:r w:rsidR="00B24FEE">
        <w:rPr>
          <w:rFonts w:cs="Tms Rmn"/>
        </w:rPr>
        <w:fldChar w:fldCharType="separate"/>
      </w:r>
      <w:hyperlink w:anchor="_ENREF_46" w:tooltip="Rogers, 1995 #925" w:history="1">
        <w:r w:rsidR="00B24FEE" w:rsidRPr="00B24FEE">
          <w:rPr>
            <w:rFonts w:cs="Tms Rmn"/>
            <w:noProof/>
            <w:vertAlign w:val="superscript"/>
          </w:rPr>
          <w:t>46</w:t>
        </w:r>
      </w:hyperlink>
      <w:r w:rsidR="00B24FEE" w:rsidRPr="00B24FEE">
        <w:rPr>
          <w:rFonts w:cs="Tms Rmn"/>
          <w:noProof/>
          <w:vertAlign w:val="superscript"/>
        </w:rPr>
        <w:t xml:space="preserve"> </w:t>
      </w:r>
      <w:hyperlink w:anchor="_ENREF_47" w:tooltip="Rogers, 2004 #926" w:history="1">
        <w:r w:rsidR="00B24FEE" w:rsidRPr="00B24FEE">
          <w:rPr>
            <w:rFonts w:cs="Tms Rmn"/>
            <w:noProof/>
            <w:vertAlign w:val="superscript"/>
          </w:rPr>
          <w:t>47</w:t>
        </w:r>
      </w:hyperlink>
      <w:r w:rsidR="00B24FEE">
        <w:rPr>
          <w:rFonts w:cs="Tms Rmn"/>
        </w:rPr>
        <w:fldChar w:fldCharType="end"/>
      </w:r>
      <w:r w:rsidRPr="00591BFC">
        <w:rPr>
          <w:rFonts w:cs="Tms Rmn"/>
        </w:rPr>
        <w:t>, and psychological perspectives that prioritise the role of individuals in instigating change</w:t>
      </w:r>
      <w:r w:rsidR="00B24FEE">
        <w:rPr>
          <w:rFonts w:cs="Tms Rmn"/>
        </w:rPr>
        <w:fldChar w:fldCharType="begin">
          <w:fldData xml:space="preserve">PEVuZE5vdGU+PENpdGU+PEF1dGhvcj5Hcm9sPC9BdXRob3I+PFllYXI+MjAwNzwvWWVhcj48UmVj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</w:fldData>
        </w:fldChar>
      </w:r>
      <w:r w:rsidR="00B24FEE">
        <w:rPr>
          <w:rFonts w:cs="Tms Rmn"/>
        </w:rPr>
        <w:instrText xml:space="preserve"> ADDIN EN.CITE </w:instrText>
      </w:r>
      <w:r w:rsidR="00B24FEE">
        <w:rPr>
          <w:rFonts w:cs="Tms Rmn"/>
        </w:rPr>
        <w:fldChar w:fldCharType="begin">
          <w:fldData xml:space="preserve">PEVuZE5vdGU+PENpdGU+PEF1dGhvcj5Hcm9sPC9BdXRob3I+PFllYXI+MjAwNzwvWWVhcj48UmVj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</w:fldData>
        </w:fldChar>
      </w:r>
      <w:r w:rsidR="00B24FEE">
        <w:rPr>
          <w:rFonts w:cs="Tms Rmn"/>
        </w:rPr>
        <w:instrText xml:space="preserve"> ADDIN EN.CITE.DATA </w:instrText>
      </w:r>
      <w:r w:rsidR="00B24FEE">
        <w:rPr>
          <w:rFonts w:cs="Tms Rmn"/>
        </w:rPr>
      </w:r>
      <w:r w:rsidR="00B24FEE">
        <w:rPr>
          <w:rFonts w:cs="Tms Rmn"/>
        </w:rPr>
        <w:fldChar w:fldCharType="end"/>
      </w:r>
      <w:r w:rsidR="00B24FEE">
        <w:rPr>
          <w:rFonts w:cs="Tms Rmn"/>
        </w:rPr>
      </w:r>
      <w:r w:rsidR="00B24FEE">
        <w:rPr>
          <w:rFonts w:cs="Tms Rmn"/>
        </w:rPr>
        <w:fldChar w:fldCharType="separate"/>
      </w:r>
      <w:hyperlink w:anchor="_ENREF_48" w:tooltip="Grol, 2007 #1087" w:history="1">
        <w:r w:rsidR="00B24FEE" w:rsidRPr="00B24FEE">
          <w:rPr>
            <w:rFonts w:cs="Tms Rmn"/>
            <w:noProof/>
            <w:vertAlign w:val="superscript"/>
          </w:rPr>
          <w:t>48</w:t>
        </w:r>
      </w:hyperlink>
      <w:r w:rsidR="00B24FEE" w:rsidRPr="00B24FEE">
        <w:rPr>
          <w:rFonts w:cs="Tms Rmn"/>
          <w:noProof/>
          <w:vertAlign w:val="superscript"/>
        </w:rPr>
        <w:t xml:space="preserve"> </w:t>
      </w:r>
      <w:hyperlink w:anchor="_ENREF_49" w:tooltip="Michie, 2005 #929" w:history="1">
        <w:r w:rsidR="00B24FEE" w:rsidRPr="00B24FEE">
          <w:rPr>
            <w:rFonts w:cs="Tms Rmn"/>
            <w:noProof/>
            <w:vertAlign w:val="superscript"/>
          </w:rPr>
          <w:t>49</w:t>
        </w:r>
      </w:hyperlink>
      <w:r w:rsidR="00B24FEE">
        <w:rPr>
          <w:rFonts w:cs="Tms Rmn"/>
        </w:rPr>
        <w:fldChar w:fldCharType="end"/>
      </w:r>
      <w:r w:rsidR="00181F37">
        <w:rPr>
          <w:rFonts w:cs="Tms Rmn"/>
        </w:rPr>
        <w:t>.</w:t>
      </w:r>
      <w:r w:rsidRPr="00591BFC">
        <w:rPr>
          <w:rFonts w:cs="Tms Rmn"/>
        </w:rPr>
        <w:t xml:space="preserve"> The theory builds on previous iterations of the theory by combining the notion of implementation as a social process with </w:t>
      </w:r>
      <w:r w:rsidRPr="00591BFC">
        <w:t>psychological and network approaches to increase our understanding of the phenomena.</w:t>
      </w:r>
    </w:p>
    <w:p w14:paraId="6F8C70AD" w14:textId="77777777" w:rsidR="00B70DDB" w:rsidRPr="00591BFC" w:rsidRDefault="00B70DDB" w:rsidP="00E86771">
      <w:pPr>
        <w:pStyle w:val="NoSpacing"/>
        <w:spacing w:line="360" w:lineRule="auto"/>
        <w:rPr>
          <w:rFonts w:cs="Tms Rmn"/>
        </w:rPr>
      </w:pPr>
    </w:p>
    <w:p w14:paraId="79CB9AA6" w14:textId="77777777" w:rsidR="00B70DDB" w:rsidRPr="00591BFC" w:rsidRDefault="00B70DDB" w:rsidP="00E86771">
      <w:pPr>
        <w:pStyle w:val="Heading4"/>
        <w:spacing w:line="360" w:lineRule="auto"/>
        <w:rPr>
          <w:rFonts w:ascii="Calibri" w:hAnsi="Calibri"/>
        </w:rPr>
      </w:pPr>
      <w:r w:rsidRPr="00591BFC">
        <w:rPr>
          <w:rFonts w:ascii="Calibri" w:hAnsi="Calibri"/>
        </w:rPr>
        <w:t xml:space="preserve">Extended </w:t>
      </w:r>
      <w:r w:rsidR="003A3A41" w:rsidRPr="00591BFC">
        <w:rPr>
          <w:rFonts w:ascii="Calibri" w:hAnsi="Calibri"/>
        </w:rPr>
        <w:t>Normalisation</w:t>
      </w:r>
      <w:r w:rsidRPr="00591BFC">
        <w:rPr>
          <w:rFonts w:ascii="Calibri" w:hAnsi="Calibri"/>
        </w:rPr>
        <w:t xml:space="preserve"> Process Theory</w:t>
      </w:r>
    </w:p>
    <w:p w14:paraId="12F8D19C" w14:textId="5CDFA885" w:rsidR="00B70DDB" w:rsidRPr="00591BFC" w:rsidRDefault="00B70DDB" w:rsidP="00E86771">
      <w:pPr>
        <w:autoSpaceDE w:val="0"/>
        <w:autoSpaceDN w:val="0"/>
        <w:adjustRightInd w:val="0"/>
        <w:spacing w:after="0" w:line="360" w:lineRule="auto"/>
        <w:rPr>
          <w:rFonts w:cs="Tms Rmn"/>
          <w:b/>
        </w:rPr>
      </w:pPr>
      <w:r w:rsidRPr="00591BFC">
        <w:rPr>
          <w:rFonts w:cs="Tms Rmn"/>
        </w:rPr>
        <w:t>According to the theory, the successful implementation of an intervention is based on the ability of agents to fulfil four criteria, described using constructs</w:t>
      </w:r>
      <w:hyperlink w:anchor="_ENREF_43" w:tooltip="May, 2013 #81" w:history="1">
        <w:r w:rsidR="00B24FEE">
          <w:rPr>
            <w:rFonts w:cs="Tms Rmn"/>
          </w:rPr>
          <w:fldChar w:fldCharType="begin"/>
        </w:r>
        <w:r w:rsidR="00B24FEE">
          <w:rPr>
            <w:rFonts w:cs="Tms Rmn"/>
          </w:rPr>
          <w:instrText xml:space="preserve"> ADDIN EN.CITE &lt;EndNote&gt;&lt;Cite&gt;&lt;Author&gt;May&lt;/Author&gt;&lt;Year&gt;2013&lt;/Year&gt;&lt;RecNum&gt;81&lt;/RecNum&gt;&lt;DisplayText&gt;&lt;style face="superscript"&gt;43&lt;/style&gt;&lt;/DisplayText&gt;&lt;record&gt;&lt;rec-number&gt;81&lt;/rec-number&gt;&lt;foreign-keys&gt;&lt;key app="EN" db-id="sxpszd2ti9dx04ewefrvfp5bpf5faazszr9p" timestamp="0"&gt;81&lt;/key&gt;&lt;/foreign-keys&gt;&lt;ref-type name="Journal Article"&gt;17&lt;/ref-type&gt;&lt;contributors&gt;&lt;authors&gt;&lt;author&gt;May, C.&lt;/author&gt;&lt;/authors&gt;&lt;/contributors&gt;&lt;auth-address&gt;Faculty of Health Sciences, University of Southampton, Building 67 (Nightingale), University Road, Highfield, Southampton SO17 1BJ, UK. c.r.may@soton.ac.uk&lt;/auth-address&gt;&lt;titles&gt;&lt;title&gt;Towards a general theory of implementation&lt;/title&gt;&lt;secondary-title&gt;Implement Sci&lt;/secondary-title&gt;&lt;alt-title&gt;Implementation science : IS&lt;/alt-title&gt;&lt;/titles&gt;&lt;pages&gt;18&lt;/pages&gt;&lt;volume&gt;8&lt;/volume&gt;&lt;edition&gt;2013/02/15&lt;/edition&gt;&lt;keywords&gt;&lt;keyword&gt;Delivery of Health Care/*organization &amp;amp; administration&lt;/keyword&gt;&lt;keyword&gt;*Diffusion of Innovation&lt;/keyword&gt;&lt;keyword&gt;Great Britain&lt;/keyword&gt;&lt;keyword&gt;Health Policy&lt;/keyword&gt;&lt;keyword&gt;Humans&lt;/keyword&gt;&lt;keyword&gt;Organizational Innovation&lt;/keyword&gt;&lt;keyword&gt;Process Assessment (Health Care)/organization &amp;amp; administration&lt;/keyword&gt;&lt;keyword&gt;Qualitative Research&lt;/keyword&gt;&lt;keyword&gt;State Medicine/*organization &amp;amp; administration&lt;/keyword&gt;&lt;/keywords&gt;&lt;dates&gt;&lt;year&gt;2013&lt;/year&gt;&lt;/dates&gt;&lt;isbn&gt;1748-5908&lt;/isbn&gt;&lt;accession-num&gt;23406398&lt;/accession-num&gt;&lt;urls&gt;&lt;/urls&gt;&lt;custom2&gt;Pmc3602092&lt;/custom2&gt;&lt;electronic-resource-num&gt;10.1186/1748-5908-8-18&lt;/electronic-resource-num&gt;&lt;remote-database-provider&gt;Nlm&lt;/remote-database-provider&gt;&lt;language&gt;eng&lt;/language&gt;&lt;/record&gt;&lt;/Cite&gt;&lt;/EndNote&gt;</w:instrText>
        </w:r>
        <w:r w:rsidR="00B24FEE">
          <w:rPr>
            <w:rFonts w:cs="Tms Rmn"/>
          </w:rPr>
          <w:fldChar w:fldCharType="separate"/>
        </w:r>
        <w:r w:rsidR="00B24FEE" w:rsidRPr="00B24FEE">
          <w:rPr>
            <w:rFonts w:cs="Tms Rmn"/>
            <w:noProof/>
            <w:vertAlign w:val="superscript"/>
          </w:rPr>
          <w:t>43</w:t>
        </w:r>
        <w:r w:rsidR="00B24FEE">
          <w:rPr>
            <w:rFonts w:cs="Tms Rmn"/>
          </w:rPr>
          <w:fldChar w:fldCharType="end"/>
        </w:r>
      </w:hyperlink>
      <w:r w:rsidRPr="00591BFC">
        <w:rPr>
          <w:rFonts w:cs="Tms Rmn"/>
        </w:rPr>
        <w:t xml:space="preserve">. These are outlined in </w:t>
      </w:r>
      <w:r w:rsidR="00E5050E" w:rsidRPr="00591BFC">
        <w:rPr>
          <w:rFonts w:cs="Tms Rmn"/>
        </w:rPr>
        <w:fldChar w:fldCharType="begin"/>
      </w:r>
      <w:r w:rsidR="00E5050E" w:rsidRPr="00591BFC">
        <w:rPr>
          <w:rFonts w:cs="Tms Rmn"/>
        </w:rPr>
        <w:instrText xml:space="preserve"> REF _Ref423089406 \h </w:instrText>
      </w:r>
      <w:r w:rsidR="00E814C1" w:rsidRPr="00591BFC">
        <w:rPr>
          <w:rFonts w:cs="Tms Rmn"/>
        </w:rPr>
        <w:instrText xml:space="preserve"> \* MERGEFORMAT </w:instrText>
      </w:r>
      <w:r w:rsidR="00E5050E" w:rsidRPr="00591BFC">
        <w:rPr>
          <w:rFonts w:cs="Tms Rmn"/>
        </w:rPr>
      </w:r>
      <w:r w:rsidR="00E5050E" w:rsidRPr="00591BFC">
        <w:rPr>
          <w:rFonts w:cs="Tms Rmn"/>
        </w:rPr>
        <w:fldChar w:fldCharType="separate"/>
      </w:r>
      <w:r w:rsidR="007B18C0" w:rsidRPr="00591BFC">
        <w:t xml:space="preserve">Table </w:t>
      </w:r>
      <w:r w:rsidR="007B18C0" w:rsidRPr="00591BFC">
        <w:rPr>
          <w:noProof/>
        </w:rPr>
        <w:t>7</w:t>
      </w:r>
      <w:r w:rsidR="00E5050E" w:rsidRPr="00591BFC">
        <w:rPr>
          <w:rFonts w:cs="Tms Rmn"/>
        </w:rPr>
        <w:fldChar w:fldCharType="end"/>
      </w:r>
      <w:r w:rsidRPr="00591BFC">
        <w:rPr>
          <w:rFonts w:cs="Tms Rmn"/>
        </w:rPr>
        <w:t>.</w:t>
      </w:r>
    </w:p>
    <w:p w14:paraId="6E8E1886" w14:textId="77777777" w:rsidR="00B70DDB" w:rsidRPr="00591BFC" w:rsidRDefault="00B70DDB" w:rsidP="00E86771">
      <w:pPr>
        <w:pStyle w:val="NoSpacing"/>
        <w:spacing w:line="360" w:lineRule="auto"/>
        <w:rPr>
          <w:b/>
        </w:rPr>
      </w:pPr>
    </w:p>
    <w:p w14:paraId="5C4FB820" w14:textId="77777777" w:rsidR="00E5050E" w:rsidRPr="00591BFC" w:rsidRDefault="00E5050E" w:rsidP="00E86771">
      <w:pPr>
        <w:pStyle w:val="Caption"/>
        <w:keepNext/>
        <w:spacing w:line="360" w:lineRule="auto"/>
      </w:pPr>
      <w:bookmarkStart w:id="117" w:name="_Ref423089406"/>
      <w:bookmarkStart w:id="118" w:name="_Toc308262402"/>
      <w:bookmarkStart w:id="119" w:name="_Toc311366668"/>
      <w:r w:rsidRPr="00591BFC">
        <w:t xml:space="preserve">Table </w:t>
      </w:r>
      <w:r w:rsidR="002149AD">
        <w:fldChar w:fldCharType="begin"/>
      </w:r>
      <w:r w:rsidR="002149AD">
        <w:instrText xml:space="preserve"> SEQ Table \* ARABIC </w:instrText>
      </w:r>
      <w:r w:rsidR="002149AD">
        <w:fldChar w:fldCharType="separate"/>
      </w:r>
      <w:r w:rsidR="00655089">
        <w:rPr>
          <w:noProof/>
        </w:rPr>
        <w:t>7</w:t>
      </w:r>
      <w:r w:rsidR="002149AD">
        <w:rPr>
          <w:noProof/>
        </w:rPr>
        <w:fldChar w:fldCharType="end"/>
      </w:r>
      <w:bookmarkEnd w:id="117"/>
      <w:r w:rsidRPr="00591BFC">
        <w:t xml:space="preserve"> The four constructs of extended </w:t>
      </w:r>
      <w:r w:rsidR="003A3A41" w:rsidRPr="00591BFC">
        <w:t>Normalisation</w:t>
      </w:r>
      <w:r w:rsidRPr="00591BFC">
        <w:t xml:space="preserve"> Process Theory</w:t>
      </w:r>
      <w:bookmarkEnd w:id="118"/>
      <w:bookmarkEnd w:id="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804"/>
      </w:tblGrid>
      <w:tr w:rsidR="00B70DDB" w:rsidRPr="00591BFC" w14:paraId="3D0CD7C8" w14:textId="77777777" w:rsidTr="00694E86">
        <w:tc>
          <w:tcPr>
            <w:tcW w:w="2093" w:type="dxa"/>
            <w:shd w:val="clear" w:color="auto" w:fill="auto"/>
          </w:tcPr>
          <w:p w14:paraId="79578FBE" w14:textId="77777777" w:rsidR="00B70DDB" w:rsidRPr="00591BFC" w:rsidRDefault="00B70DDB" w:rsidP="00E86771">
            <w:pPr>
              <w:pStyle w:val="NoSpacing"/>
              <w:spacing w:line="360" w:lineRule="auto"/>
              <w:rPr>
                <w:b/>
              </w:rPr>
            </w:pPr>
            <w:r w:rsidRPr="00591BFC">
              <w:rPr>
                <w:b/>
              </w:rPr>
              <w:t>Construct</w:t>
            </w:r>
          </w:p>
        </w:tc>
        <w:tc>
          <w:tcPr>
            <w:tcW w:w="6804" w:type="dxa"/>
            <w:shd w:val="clear" w:color="auto" w:fill="auto"/>
          </w:tcPr>
          <w:p w14:paraId="2F327059" w14:textId="77777777" w:rsidR="00B70DDB" w:rsidRPr="00591BFC" w:rsidRDefault="00B70DDB" w:rsidP="00E86771">
            <w:pPr>
              <w:pStyle w:val="NoSpacing"/>
              <w:spacing w:line="360" w:lineRule="auto"/>
              <w:rPr>
                <w:b/>
              </w:rPr>
            </w:pPr>
            <w:r w:rsidRPr="00591BFC">
              <w:rPr>
                <w:b/>
              </w:rPr>
              <w:t>Description</w:t>
            </w:r>
          </w:p>
        </w:tc>
      </w:tr>
      <w:tr w:rsidR="00B70DDB" w:rsidRPr="00591BFC" w14:paraId="7970E5BF" w14:textId="77777777" w:rsidTr="00694E86">
        <w:tc>
          <w:tcPr>
            <w:tcW w:w="2093" w:type="dxa"/>
            <w:shd w:val="clear" w:color="auto" w:fill="auto"/>
          </w:tcPr>
          <w:p w14:paraId="30BED824" w14:textId="77777777" w:rsidR="00B70DDB" w:rsidRPr="00591BFC" w:rsidRDefault="00B70DDB" w:rsidP="00E86771">
            <w:pPr>
              <w:pStyle w:val="NoSpacing"/>
              <w:spacing w:line="360" w:lineRule="auto"/>
            </w:pPr>
            <w:r w:rsidRPr="00591BFC">
              <w:t>‘Capacity’</w:t>
            </w:r>
          </w:p>
        </w:tc>
        <w:tc>
          <w:tcPr>
            <w:tcW w:w="6804" w:type="dxa"/>
            <w:shd w:val="clear" w:color="auto" w:fill="auto"/>
          </w:tcPr>
          <w:p w14:paraId="2476B7AB" w14:textId="77777777" w:rsidR="00B70DDB" w:rsidRPr="00591BFC" w:rsidRDefault="00B70DDB" w:rsidP="00E86771">
            <w:pPr>
              <w:pStyle w:val="NoSpacing"/>
              <w:spacing w:line="360" w:lineRule="auto"/>
              <w:rPr>
                <w:lang w:eastAsia="zh-CN"/>
              </w:rPr>
            </w:pPr>
            <w:r w:rsidRPr="00591BFC">
              <w:rPr>
                <w:lang w:eastAsia="zh-CN"/>
              </w:rPr>
              <w:t>Implementing an intervention depends on participants’ capacity to co-operate and co-ordinate their actions</w:t>
            </w:r>
          </w:p>
        </w:tc>
      </w:tr>
      <w:tr w:rsidR="00B70DDB" w:rsidRPr="00591BFC" w14:paraId="46037B30" w14:textId="77777777" w:rsidTr="00694E86">
        <w:tc>
          <w:tcPr>
            <w:tcW w:w="2093" w:type="dxa"/>
            <w:shd w:val="clear" w:color="auto" w:fill="auto"/>
          </w:tcPr>
          <w:p w14:paraId="7B2ACD4A" w14:textId="77777777" w:rsidR="00B70DDB" w:rsidRPr="00591BFC" w:rsidRDefault="00B70DDB" w:rsidP="00E86771">
            <w:pPr>
              <w:pStyle w:val="NoSpacing"/>
              <w:spacing w:line="360" w:lineRule="auto"/>
            </w:pPr>
            <w:r w:rsidRPr="00591BFC">
              <w:t>‘Potential’</w:t>
            </w:r>
          </w:p>
        </w:tc>
        <w:tc>
          <w:tcPr>
            <w:tcW w:w="6804" w:type="dxa"/>
            <w:shd w:val="clear" w:color="auto" w:fill="auto"/>
          </w:tcPr>
          <w:p w14:paraId="3412884B" w14:textId="77777777" w:rsidR="00B70DDB" w:rsidRPr="00591BFC" w:rsidRDefault="00B70DDB" w:rsidP="00E86771">
            <w:pPr>
              <w:pStyle w:val="NoSpacing"/>
              <w:spacing w:line="360" w:lineRule="auto"/>
              <w:rPr>
                <w:lang w:eastAsia="zh-CN"/>
              </w:rPr>
            </w:pPr>
            <w:r w:rsidRPr="00591BFC">
              <w:rPr>
                <w:lang w:eastAsia="zh-CN"/>
              </w:rPr>
              <w:t xml:space="preserve">Translating capacity into action depends on participants’ </w:t>
            </w:r>
            <w:r w:rsidRPr="00591BFC">
              <w:t xml:space="preserve">commitment </w:t>
            </w:r>
            <w:r w:rsidRPr="00591BFC">
              <w:rPr>
                <w:lang w:eastAsia="zh-CN"/>
              </w:rPr>
              <w:t>to operationali</w:t>
            </w:r>
            <w:r w:rsidR="003021BC" w:rsidRPr="00591BFC">
              <w:rPr>
                <w:lang w:eastAsia="zh-CN"/>
              </w:rPr>
              <w:t>s</w:t>
            </w:r>
            <w:r w:rsidRPr="00591BFC">
              <w:rPr>
                <w:lang w:eastAsia="zh-CN"/>
              </w:rPr>
              <w:t xml:space="preserve">e the intervention </w:t>
            </w:r>
          </w:p>
        </w:tc>
      </w:tr>
      <w:tr w:rsidR="00B70DDB" w:rsidRPr="00591BFC" w14:paraId="0B299C7D" w14:textId="77777777" w:rsidTr="00694E86">
        <w:tc>
          <w:tcPr>
            <w:tcW w:w="2093" w:type="dxa"/>
            <w:shd w:val="clear" w:color="auto" w:fill="auto"/>
          </w:tcPr>
          <w:p w14:paraId="0E99C764" w14:textId="77777777" w:rsidR="00B70DDB" w:rsidRPr="00591BFC" w:rsidRDefault="00B70DDB" w:rsidP="00E86771">
            <w:pPr>
              <w:pStyle w:val="NoSpacing"/>
              <w:spacing w:line="360" w:lineRule="auto"/>
            </w:pPr>
            <w:r w:rsidRPr="00591BFC">
              <w:t>‘Capability’</w:t>
            </w:r>
          </w:p>
        </w:tc>
        <w:tc>
          <w:tcPr>
            <w:tcW w:w="6804" w:type="dxa"/>
            <w:shd w:val="clear" w:color="auto" w:fill="auto"/>
          </w:tcPr>
          <w:p w14:paraId="3C8310D5" w14:textId="77777777" w:rsidR="00B70DDB" w:rsidRPr="00591BFC" w:rsidRDefault="00B70DDB" w:rsidP="00E86771">
            <w:pPr>
              <w:pStyle w:val="NoSpacing"/>
              <w:spacing w:line="360" w:lineRule="auto"/>
              <w:rPr>
                <w:rFonts w:eastAsia="Times New Roman"/>
                <w:lang w:eastAsia="zh-CN"/>
              </w:rPr>
            </w:pPr>
            <w:r w:rsidRPr="00591BFC">
              <w:rPr>
                <w:rFonts w:eastAsia="Times New Roman"/>
                <w:lang w:eastAsia="zh-CN"/>
              </w:rPr>
              <w:t>The capability of participants to enact the intervention depends on its workability and integration into everyday practice</w:t>
            </w:r>
          </w:p>
        </w:tc>
      </w:tr>
      <w:tr w:rsidR="00B70DDB" w:rsidRPr="00591BFC" w14:paraId="67A3495C" w14:textId="77777777" w:rsidTr="00694E86">
        <w:tc>
          <w:tcPr>
            <w:tcW w:w="2093" w:type="dxa"/>
            <w:shd w:val="clear" w:color="auto" w:fill="auto"/>
          </w:tcPr>
          <w:p w14:paraId="56652A78" w14:textId="77777777" w:rsidR="00B70DDB" w:rsidRPr="00591BFC" w:rsidRDefault="00B70DDB" w:rsidP="00E86771">
            <w:pPr>
              <w:pStyle w:val="NoSpacing"/>
              <w:spacing w:line="360" w:lineRule="auto"/>
            </w:pPr>
            <w:r w:rsidRPr="00591BFC">
              <w:t>‘Contribution’</w:t>
            </w:r>
          </w:p>
        </w:tc>
        <w:tc>
          <w:tcPr>
            <w:tcW w:w="6804" w:type="dxa"/>
            <w:shd w:val="clear" w:color="auto" w:fill="auto"/>
          </w:tcPr>
          <w:p w14:paraId="021B2D3E" w14:textId="77777777" w:rsidR="00B70DDB" w:rsidRPr="00591BFC" w:rsidRDefault="00B70DDB" w:rsidP="00E86771">
            <w:pPr>
              <w:pStyle w:val="NoSpacing"/>
              <w:spacing w:line="360" w:lineRule="auto"/>
              <w:rPr>
                <w:rFonts w:eastAsia="Times New Roman"/>
                <w:lang w:eastAsia="zh-CN"/>
              </w:rPr>
            </w:pPr>
            <w:r w:rsidRPr="00591BFC">
              <w:rPr>
                <w:rFonts w:eastAsia="Times New Roman"/>
                <w:lang w:eastAsia="zh-CN"/>
              </w:rPr>
              <w:t>The implementation of an intervention over time depends on participants’ contributions to enacting it by investing in meaning, commitment, effort, and appraisal</w:t>
            </w:r>
          </w:p>
        </w:tc>
      </w:tr>
    </w:tbl>
    <w:p w14:paraId="7E424435" w14:textId="77777777" w:rsidR="00B70DDB" w:rsidRPr="00591BFC" w:rsidRDefault="00B70DDB" w:rsidP="00E86771">
      <w:pPr>
        <w:pStyle w:val="NoSpacing"/>
        <w:spacing w:line="360" w:lineRule="auto"/>
        <w:rPr>
          <w:rFonts w:cs="Tms Rmn"/>
        </w:rPr>
      </w:pPr>
    </w:p>
    <w:p w14:paraId="4F3FAAC7" w14:textId="77777777" w:rsidR="00B70DDB" w:rsidRPr="00591BFC" w:rsidRDefault="00B70DDB" w:rsidP="00E86771">
      <w:pPr>
        <w:pStyle w:val="Heading4"/>
        <w:spacing w:line="360" w:lineRule="auto"/>
        <w:rPr>
          <w:rFonts w:ascii="Calibri" w:hAnsi="Calibri"/>
        </w:rPr>
      </w:pPr>
      <w:r w:rsidRPr="00591BFC">
        <w:rPr>
          <w:rFonts w:ascii="Calibri" w:hAnsi="Calibri"/>
        </w:rPr>
        <w:t>Making business cases for a fracture liaison service</w:t>
      </w:r>
    </w:p>
    <w:p w14:paraId="58876224" w14:textId="77777777" w:rsidR="00B70DDB" w:rsidRPr="00591BFC" w:rsidRDefault="00B70DDB" w:rsidP="00E86771">
      <w:pPr>
        <w:pStyle w:val="NoSpacing"/>
        <w:spacing w:line="360" w:lineRule="auto"/>
        <w:rPr>
          <w:rFonts w:cs="Tms Rmn"/>
        </w:rPr>
      </w:pPr>
    </w:p>
    <w:p w14:paraId="5CCCF4B7" w14:textId="56883E0C" w:rsidR="00B70DDB" w:rsidRPr="00591BFC" w:rsidRDefault="00B70DDB" w:rsidP="00E86771">
      <w:pPr>
        <w:autoSpaceDE w:val="0"/>
        <w:autoSpaceDN w:val="0"/>
        <w:adjustRightInd w:val="0"/>
        <w:spacing w:after="0" w:line="360" w:lineRule="auto"/>
      </w:pPr>
      <w:r w:rsidRPr="00591BFC">
        <w:t>A potential barrier to the implementation of fracture liaison services (FLS) is the challenge of making effective cases to obtain funding</w:t>
      </w:r>
      <w:hyperlink w:anchor="_ENREF_32" w:tooltip="Eisman, 2012 #1083" w:history="1">
        <w:r w:rsidR="00B24FEE">
          <w:fldChar w:fldCharType="begin"/>
        </w:r>
        <w:r w:rsidR="00B24FEE">
          <w:instrText xml:space="preserve"> ADDIN EN.CITE &lt;EndNote&gt;&lt;Cite&gt;&lt;Author&gt;Eisman&lt;/Author&gt;&lt;Year&gt;2012&lt;/Year&gt;&lt;RecNum&gt;1083&lt;/RecNum&gt;&lt;DisplayText&gt;&lt;style face="superscript"&gt;32&lt;/style&gt;&lt;/DisplayText&gt;&lt;record&gt;&lt;rec-number&gt;1083&lt;/rec-number&gt;&lt;foreign-keys&gt;&lt;key app="EN" db-id="sxpszd2ti9dx04ewefrvfp5bpf5faazszr9p" timestamp="0"&gt;1083&lt;/key&gt;&lt;/foreign-keys&gt;&lt;ref-type name="Journal Article"&gt;17&lt;/ref-type&gt;&lt;contributors&gt;&lt;authors&gt;&lt;author&gt;Eisman, J. A. et al.&lt;/author&gt;&lt;/authors&gt;&lt;/contributors&gt;&lt;titles&gt;&lt;title&gt;Supporting Appendix A: Making the first fracture the last fracture: ASBMR task force report on secondary fracture prevention&lt;/title&gt;&lt;secondary-title&gt;Journal of Bone and Mineral Research&lt;/secondary-title&gt;&lt;/titles&gt;&lt;pages&gt;2039 - 2046&lt;/pages&gt;&lt;volume&gt;27&lt;/volume&gt;&lt;number&gt;10&lt;/number&gt;&lt;dates&gt;&lt;year&gt;2012&lt;/year&gt;&lt;/dates&gt;&lt;urls&gt;&lt;/urls&gt;&lt;/record&gt;&lt;/Cite&gt;&lt;/EndNote&gt;</w:instrText>
        </w:r>
        <w:r w:rsidR="00B24FEE">
          <w:fldChar w:fldCharType="separate"/>
        </w:r>
        <w:r w:rsidR="00B24FEE" w:rsidRPr="00B24FEE">
          <w:rPr>
            <w:noProof/>
            <w:vertAlign w:val="superscript"/>
          </w:rPr>
          <w:t>32</w:t>
        </w:r>
        <w:r w:rsidR="00B24FEE">
          <w:fldChar w:fldCharType="end"/>
        </w:r>
      </w:hyperlink>
      <w:r w:rsidR="007E5FCE" w:rsidRPr="00591BFC">
        <w:t xml:space="preserve">. </w:t>
      </w:r>
      <w:r w:rsidRPr="00591BFC">
        <w:t xml:space="preserve">Funding for the commissioning of new services is obtained by </w:t>
      </w:r>
      <w:r w:rsidRPr="00591BFC">
        <w:lastRenderedPageBreak/>
        <w:t>writing business cases and presenting them to managerial bodies in the Trust. These may be developed by a range of professionals. Central to this process are the clinicians and service managers working within the Department. Finance managers are also involved in costing developments and calculating their potential income generation. Clinicians and service managers from other departments may also have a role along with patient representatives. If it is supported, these may be referred to local Clinical Commissioning Groups (CCGs) for final funding approval, especially in the case of larger-scale service developments.</w:t>
      </w:r>
    </w:p>
    <w:p w14:paraId="3DD4F110" w14:textId="77777777" w:rsidR="00B70DDB" w:rsidRPr="00591BFC" w:rsidRDefault="00B70DDB" w:rsidP="00E86771">
      <w:pPr>
        <w:autoSpaceDE w:val="0"/>
        <w:autoSpaceDN w:val="0"/>
        <w:adjustRightInd w:val="0"/>
        <w:spacing w:after="0" w:line="360" w:lineRule="auto"/>
      </w:pPr>
    </w:p>
    <w:p w14:paraId="2D30D1D3" w14:textId="20381852" w:rsidR="00B70DDB" w:rsidRPr="00591BFC" w:rsidRDefault="00B70DDB" w:rsidP="00E86771">
      <w:pPr>
        <w:autoSpaceDE w:val="0"/>
        <w:autoSpaceDN w:val="0"/>
        <w:adjustRightInd w:val="0"/>
        <w:spacing w:after="0" w:line="360" w:lineRule="auto"/>
      </w:pPr>
      <w:r w:rsidRPr="00591BFC">
        <w:t>Commissioning (purchasing) processes within the NHS are complex. In April 2013, responsibility for commissioning services changed from the Department of Health and local PCTs led by managers, to NHS England, a new organisation overseeing 211 GP led local CCGs. These currently control 65% of the NHS budget and operate within defined geographical regions.  The rationale of this re-structure is that GPs are best placed to understand the clinical needs of the local population and are therefore able</w:t>
      </w:r>
      <w:r w:rsidR="003021BC" w:rsidRPr="00591BFC">
        <w:t xml:space="preserve"> to</w:t>
      </w:r>
      <w:r w:rsidRPr="00591BFC">
        <w:t xml:space="preserve"> utilise resources most effectively</w:t>
      </w:r>
      <w:hyperlink w:anchor="_ENREF_50" w:tooltip="Health, 2010 #642" w:history="1">
        <w:r w:rsidR="00B24FEE">
          <w:fldChar w:fldCharType="begin"/>
        </w:r>
        <w:r w:rsidR="00B24FEE">
          <w:instrText xml:space="preserve"> ADDIN EN.CITE &lt;EndNote&gt;&lt;Cite&gt;&lt;Author&gt;Health&lt;/Author&gt;&lt;Year&gt;2010&lt;/Year&gt;&lt;RecNum&gt;642&lt;/RecNum&gt;&lt;DisplayText&gt;&lt;style face="superscript"&gt;50&lt;/style&gt;&lt;/DisplayText&gt;&lt;record&gt;&lt;rec-number&gt;642&lt;/rec-number&gt;&lt;foreign-keys&gt;&lt;key app="EN" db-id="sxpszd2ti9dx04ewefrvfp5bpf5faazszr9p" timestamp="0"&gt;642&lt;/key&gt;&lt;/foreign-keys&gt;&lt;ref-type name="Report"&gt;27&lt;/ref-type&gt;&lt;contributors&gt;&lt;authors&gt;&lt;author&gt;Department of Health&lt;/author&gt;&lt;/authors&gt;&lt;/contributors&gt;&lt;titles&gt;&lt;title&gt;Equity and excellence: liberating the NHS&lt;/title&gt;&lt;/titles&gt;&lt;dates&gt;&lt;year&gt;2010&lt;/year&gt;&lt;/dates&gt;&lt;pub-location&gt;London&lt;/pub-location&gt;&lt;publisher&gt;The Stationary Office&lt;/publisher&gt;&lt;urls&gt;&lt;/urls&gt;&lt;/record&gt;&lt;/Cite&gt;&lt;/EndNote&gt;</w:instrText>
        </w:r>
        <w:r w:rsidR="00B24FEE">
          <w:fldChar w:fldCharType="separate"/>
        </w:r>
        <w:r w:rsidR="00B24FEE" w:rsidRPr="00B24FEE">
          <w:rPr>
            <w:noProof/>
            <w:vertAlign w:val="superscript"/>
          </w:rPr>
          <w:t>50</w:t>
        </w:r>
        <w:r w:rsidR="00B24FEE">
          <w:fldChar w:fldCharType="end"/>
        </w:r>
      </w:hyperlink>
      <w:r w:rsidRPr="00591BFC">
        <w:t>. The introduction of CCGs has coincided with a rise in the number of Foundation Trusts within England. Foundation Trusts are independent organisations responsible for providing over half of NHS hospital, mental health and ambulance services operating in local regions. They are contracted to deliver services that have been commissioned by local CCGs and NHS England and regulated by an independent body called Monitor. A Board of Directors is responsible for setting budgets for the financial year, establishing targets and healthcare priorities</w:t>
      </w:r>
      <w:hyperlink w:anchor="_ENREF_51" w:tooltip="NHS, 2005 #647" w:history="1">
        <w:r w:rsidR="00B24FEE">
          <w:fldChar w:fldCharType="begin"/>
        </w:r>
        <w:r w:rsidR="00B24FEE">
          <w:instrText xml:space="preserve"> ADDIN EN.CITE &lt;EndNote&gt;&lt;Cite&gt;&lt;Author&gt;NHS&lt;/Author&gt;&lt;Year&gt;2005&lt;/Year&gt;&lt;RecNum&gt;647&lt;/RecNum&gt;&lt;DisplayText&gt;&lt;style face="superscript"&gt;51&lt;/style&gt;&lt;/DisplayText&gt;&lt;record&gt;&lt;rec-number&gt;647&lt;/rec-number&gt;&lt;foreign-keys&gt;&lt;key app="EN" db-id="sxpszd2ti9dx04ewefrvfp5bpf5faazszr9p" timestamp="0"&gt;647&lt;/key&gt;&lt;/foreign-keys&gt;&lt;ref-type name="Report"&gt;27&lt;/ref-type&gt;&lt;contributors&gt;&lt;authors&gt;&lt;author&gt;NHS  &lt;/author&gt;&lt;/authors&gt;&lt;/contributors&gt;&lt;titles&gt;&lt;title&gt;A short guide to NHS Foundation Trusts&lt;/title&gt;&lt;/titles&gt;&lt;dates&gt;&lt;year&gt;2005&lt;/year&gt;&lt;/dates&gt;&lt;publisher&gt;NHS&lt;/publisher&gt;&lt;urls&gt;&lt;/urls&gt;&lt;/record&gt;&lt;/Cite&gt;&lt;/EndNote&gt;</w:instrText>
        </w:r>
        <w:r w:rsidR="00B24FEE">
          <w:fldChar w:fldCharType="separate"/>
        </w:r>
        <w:r w:rsidR="00B24FEE" w:rsidRPr="00B24FEE">
          <w:rPr>
            <w:noProof/>
            <w:vertAlign w:val="superscript"/>
          </w:rPr>
          <w:t>51</w:t>
        </w:r>
        <w:r w:rsidR="00B24FEE">
          <w:fldChar w:fldCharType="end"/>
        </w:r>
      </w:hyperlink>
      <w:r w:rsidRPr="00591BFC">
        <w:t xml:space="preserve">. </w:t>
      </w:r>
    </w:p>
    <w:p w14:paraId="44EE4B6B" w14:textId="77777777" w:rsidR="00B70DDB" w:rsidRPr="00591BFC" w:rsidRDefault="00B70DDB" w:rsidP="00E86771">
      <w:pPr>
        <w:autoSpaceDE w:val="0"/>
        <w:autoSpaceDN w:val="0"/>
        <w:adjustRightInd w:val="0"/>
        <w:spacing w:after="0" w:line="360" w:lineRule="auto"/>
      </w:pPr>
    </w:p>
    <w:p w14:paraId="04D01174" w14:textId="26980E5F" w:rsidR="00B70DDB" w:rsidRPr="00591BFC" w:rsidRDefault="00B70DDB" w:rsidP="00E86771">
      <w:pPr>
        <w:autoSpaceDE w:val="0"/>
        <w:autoSpaceDN w:val="0"/>
        <w:adjustRightInd w:val="0"/>
        <w:spacing w:after="0" w:line="360" w:lineRule="auto"/>
      </w:pPr>
      <w:r w:rsidRPr="00591BFC">
        <w:t>Commissioning has been targeted by the Department of Health as a means of raising standards in the NHS and ensuring resources are evenly distributed</w:t>
      </w:r>
      <w:hyperlink w:anchor="_ENREF_1" w:tooltip="British Orthopaedic Association, 2007 #25" w:history="1">
        <w:r w:rsidR="00B24FEE">
          <w:fldChar w:fldCharType="begin"/>
        </w:r>
        <w:r w:rsidR="00B24FEE">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fldChar w:fldCharType="separate"/>
        </w:r>
        <w:r w:rsidR="00B24FEE" w:rsidRPr="00B24FEE">
          <w:rPr>
            <w:noProof/>
            <w:vertAlign w:val="superscript"/>
          </w:rPr>
          <w:t>1</w:t>
        </w:r>
        <w:r w:rsidR="00B24FEE">
          <w:fldChar w:fldCharType="end"/>
        </w:r>
      </w:hyperlink>
      <w:r w:rsidRPr="00591BFC">
        <w:t>. The NHS Commissioning Board states funding decisions should be systematic and transparent and that considerations should include cost-effectiveness, improvements in care quality and the strategic plans of NHS Trusts</w:t>
      </w:r>
      <w:hyperlink w:anchor="_ENREF_52" w:tooltip="Board, 2013 #935" w:history="1">
        <w:r w:rsidR="00B24FEE">
          <w:fldChar w:fldCharType="begin"/>
        </w:r>
        <w:r w:rsidR="00B24FEE">
          <w:instrText xml:space="preserve"> ADDIN EN.CITE &lt;EndNote&gt;&lt;Cite&gt;&lt;Author&gt;Board&lt;/Author&gt;&lt;Year&gt;2013&lt;/Year&gt;&lt;RecNum&gt;935&lt;/RecNum&gt;&lt;DisplayText&gt;&lt;style face="superscript"&gt;52&lt;/style&gt;&lt;/DisplayText&gt;&lt;record&gt;&lt;rec-number&gt;935&lt;/rec-number&gt;&lt;foreign-keys&gt;&lt;key app="EN" db-id="sxpszd2ti9dx04ewefrvfp5bpf5faazszr9p" timestamp="0"&gt;935&lt;/key&gt;&lt;/foreign-keys&gt;&lt;ref-type name="Report"&gt;27&lt;/ref-type&gt;&lt;contributors&gt;&lt;authors&gt;&lt;author&gt;NHS Commissioning Board&lt;/author&gt;&lt;/authors&gt;&lt;/contributors&gt;&lt;titles&gt;&lt;title&gt;Commissioning Policy: Ethical framework for priority setting and resource allocation&lt;/title&gt;&lt;/titles&gt;&lt;dates&gt;&lt;year&gt;2013&lt;/year&gt;&lt;/dates&gt;&lt;publisher&gt;NHS England&lt;/publisher&gt;&lt;urls&gt;&lt;/urls&gt;&lt;/record&gt;&lt;/Cite&gt;&lt;/EndNote&gt;</w:instrText>
        </w:r>
        <w:r w:rsidR="00B24FEE">
          <w:fldChar w:fldCharType="separate"/>
        </w:r>
        <w:r w:rsidR="00B24FEE" w:rsidRPr="00B24FEE">
          <w:rPr>
            <w:noProof/>
            <w:vertAlign w:val="superscript"/>
          </w:rPr>
          <w:t>52</w:t>
        </w:r>
        <w:r w:rsidR="00B24FEE">
          <w:fldChar w:fldCharType="end"/>
        </w:r>
      </w:hyperlink>
      <w:r w:rsidRPr="00591BFC">
        <w:t>. Core public health priorities, prioritising the distribution of resources in key disease areas, have also been identified</w:t>
      </w:r>
      <w:hyperlink w:anchor="_ENREF_53" w:tooltip=",  #940" w:history="1">
        <w:r w:rsidR="00B24FEE">
          <w:fldChar w:fldCharType="begin"/>
        </w:r>
        <w:r w:rsidR="00B24FEE">
          <w:instrText xml:space="preserve"> ADDIN EN.CITE &lt;EndNote&gt;&lt;Cite ExcludeAuth="1" ExcludeYear="1"&gt;&lt;RecNum&gt;940&lt;/RecNum&gt;&lt;DisplayText&gt;&lt;style face="superscript"&gt;53&lt;/style&gt;&lt;/DisplayText&gt;&lt;record&gt;&lt;rec-number&gt;940&lt;/rec-number&gt;&lt;foreign-keys&gt;&lt;key app="EN" db-id="sxpszd2ti9dx04ewefrvfp5bpf5faazszr9p" timestamp="0"&gt;940&lt;/key&gt;&lt;/foreign-keys&gt;&lt;ref-type name="Report"&gt;27&lt;/ref-type&gt;&lt;contributors&gt;&lt;/contributors&gt;&lt;titles&gt;&lt;title&gt;Putting patients first: The NHS England business plan for 2013/14 - 2015/16&lt;/title&gt;&lt;/titles&gt;&lt;dates&gt;&lt;/dates&gt;&lt;publisher&gt;NHS England&lt;/publisher&gt;&lt;urls&gt;&lt;/urls&gt;&lt;/record&gt;&lt;/Cite&gt;&lt;/EndNote&gt;</w:instrText>
        </w:r>
        <w:r w:rsidR="00B24FEE">
          <w:fldChar w:fldCharType="separate"/>
        </w:r>
        <w:r w:rsidR="00B24FEE" w:rsidRPr="00B24FEE">
          <w:rPr>
            <w:noProof/>
            <w:vertAlign w:val="superscript"/>
          </w:rPr>
          <w:t>53</w:t>
        </w:r>
        <w:r w:rsidR="00B24FEE">
          <w:fldChar w:fldCharType="end"/>
        </w:r>
      </w:hyperlink>
      <w:r w:rsidRPr="00591BFC">
        <w:t xml:space="preserve">. </w:t>
      </w:r>
    </w:p>
    <w:p w14:paraId="3D3A50DA" w14:textId="77777777" w:rsidR="00B70DDB" w:rsidRPr="00591BFC" w:rsidRDefault="00B70DDB" w:rsidP="00E86771">
      <w:pPr>
        <w:autoSpaceDE w:val="0"/>
        <w:autoSpaceDN w:val="0"/>
        <w:adjustRightInd w:val="0"/>
        <w:spacing w:after="0" w:line="360" w:lineRule="auto"/>
      </w:pPr>
    </w:p>
    <w:p w14:paraId="013CA081" w14:textId="272A681A" w:rsidR="00B70DDB" w:rsidRPr="00591BFC" w:rsidRDefault="00B70DDB" w:rsidP="00E86771">
      <w:pPr>
        <w:pStyle w:val="NoSpacing"/>
        <w:spacing w:line="360" w:lineRule="auto"/>
      </w:pPr>
      <w:r w:rsidRPr="00591BFC">
        <w:t>There is some support available for clinicians and service managers on how to develop business cases for a FLS. This includes written guidance</w:t>
      </w:r>
      <w:r w:rsidR="00B24FEE">
        <w:fldChar w:fldCharType="begin"/>
      </w:r>
      <w:r w:rsidR="00B24FEE">
        <w:instrText xml:space="preserve"> ADDIN EN.CITE &lt;EndNote&gt;&lt;Cite&gt;&lt;Author&gt;Eisman&lt;/Author&gt;&lt;Year&gt;2012&lt;/Year&gt;&lt;RecNum&gt;1083&lt;/RecNum&gt;&lt;DisplayText&gt;&lt;style face="superscript"&gt;32 54&lt;/style&gt;&lt;/DisplayText&gt;&lt;record&gt;&lt;rec-number&gt;1083&lt;/rec-number&gt;&lt;foreign-keys&gt;&lt;key app="EN" db-id="sxpszd2ti9dx04ewefrvfp5bpf5faazszr9p" timestamp="0"&gt;1083&lt;/key&gt;&lt;/foreign-keys&gt;&lt;ref-type name="Journal Article"&gt;17&lt;/ref-type&gt;&lt;contributors&gt;&lt;authors&gt;&lt;author&gt;Eisman, J. A. et al.&lt;/author&gt;&lt;/authors&gt;&lt;/contributors&gt;&lt;titles&gt;&lt;title&gt;Supporting Appendix A: Making the first fracture the last fracture: ASBMR task force report on secondary fracture prevention&lt;/title&gt;&lt;secondary-title&gt;Journal of Bone and Mineral Research&lt;/secondary-title&gt;&lt;/titles&gt;&lt;pages&gt;2039 - 2046&lt;/pages&gt;&lt;volume&gt;27&lt;/volume&gt;&lt;number&gt;10&lt;/number&gt;&lt;dates&gt;&lt;year&gt;2012&lt;/year&gt;&lt;/dates&gt;&lt;urls&gt;&lt;/urls&gt;&lt;/record&gt;&lt;/Cite&gt;&lt;Cite&gt;&lt;Author&gt;Mitchell&lt;/Author&gt;&lt;Year&gt;2010&lt;/Year&gt;&lt;RecNum&gt;650&lt;/RecNum&gt;&lt;record&gt;&lt;rec-number&gt;650&lt;/rec-number&gt;&lt;foreign-keys&gt;&lt;key app="EN" db-id="sxpszd2ti9dx04ewefrvfp5bpf5faazszr9p" timestamp="0"&gt;650&lt;/key&gt;&lt;/foreign-keys&gt;&lt;ref-type name="Report"&gt;27&lt;/ref-type&gt;&lt;contributors&gt;&lt;authors&gt;&lt;author&gt;Mitchell, P.&lt;/author&gt;&lt;/authors&gt;&lt;/contributors&gt;&lt;titles&gt;&lt;title&gt;Fracture Liaison Services: resource pack&lt;/title&gt;&lt;/titles&gt;&lt;dates&gt;&lt;year&gt;2010&lt;/year&gt;&lt;/dates&gt;&lt;publisher&gt;Novartis&lt;/publisher&gt;&lt;urls&gt;&lt;/urls&gt;&lt;/record&gt;&lt;/Cite&gt;&lt;/EndNote&gt;</w:instrText>
      </w:r>
      <w:r w:rsidR="00B24FEE">
        <w:fldChar w:fldCharType="separate"/>
      </w:r>
      <w:hyperlink w:anchor="_ENREF_32" w:tooltip="Eisman, 2012 #1083" w:history="1">
        <w:r w:rsidR="00B24FEE" w:rsidRPr="00B24FEE">
          <w:rPr>
            <w:noProof/>
            <w:vertAlign w:val="superscript"/>
          </w:rPr>
          <w:t>32</w:t>
        </w:r>
      </w:hyperlink>
      <w:r w:rsidR="00B24FEE" w:rsidRPr="00B24FEE">
        <w:rPr>
          <w:noProof/>
          <w:vertAlign w:val="superscript"/>
        </w:rPr>
        <w:t xml:space="preserve"> </w:t>
      </w:r>
      <w:hyperlink w:anchor="_ENREF_54" w:tooltip="Mitchell, 2010 #650" w:history="1">
        <w:r w:rsidR="00B24FEE" w:rsidRPr="00B24FEE">
          <w:rPr>
            <w:noProof/>
            <w:vertAlign w:val="superscript"/>
          </w:rPr>
          <w:t>54</w:t>
        </w:r>
      </w:hyperlink>
      <w:r w:rsidR="00B24FEE">
        <w:fldChar w:fldCharType="end"/>
      </w:r>
      <w:r w:rsidR="00247456" w:rsidRPr="00591BFC">
        <w:t xml:space="preserve"> </w:t>
      </w:r>
      <w:r w:rsidRPr="00591BFC">
        <w:t>training courses</w:t>
      </w:r>
      <w:hyperlink w:anchor="_ENREF_55" w:tooltip="Society, 2010 #649" w:history="1">
        <w:r w:rsidR="00B24FEE">
          <w:fldChar w:fldCharType="begin"/>
        </w:r>
        <w:r w:rsidR="00B24FEE">
          <w:instrText xml:space="preserve"> ADDIN EN.CITE &lt;EndNote&gt;&lt;Cite&gt;&lt;Author&gt;Society&lt;/Author&gt;&lt;Year&gt;2010&lt;/Year&gt;&lt;RecNum&gt;649&lt;/RecNum&gt;&lt;DisplayText&gt;&lt;style face="superscript"&gt;55&lt;/style&gt;&lt;/DisplayText&gt;&lt;record&gt;&lt;rec-number&gt;649&lt;/rec-number&gt;&lt;foreign-keys&gt;&lt;key app="EN" db-id="sxpszd2ti9dx04ewefrvfp5bpf5faazszr9p" timestamp="0"&gt;649&lt;/key&gt;&lt;/foreign-keys&gt;&lt;ref-type name="Report"&gt;27&lt;/ref-type&gt;&lt;contributors&gt;&lt;authors&gt;&lt;author&gt;National Osteoporosis Society&lt;/author&gt;&lt;/authors&gt;&lt;/contributors&gt;&lt;titles&gt;&lt;title&gt;From zero to FLS: Implementation and beyond &lt;/title&gt;&lt;/titles&gt;&lt;dates&gt;&lt;year&gt;2010&lt;/year&gt;&lt;/dates&gt;&lt;publisher&gt;National Osteoporosis Society&lt;/publisher&gt;&lt;urls&gt;&lt;/urls&gt;&lt;/record&gt;&lt;/Cite&gt;&lt;/EndNote&gt;</w:instrText>
        </w:r>
        <w:r w:rsidR="00B24FEE">
          <w:fldChar w:fldCharType="separate"/>
        </w:r>
        <w:r w:rsidR="00B24FEE" w:rsidRPr="00B24FEE">
          <w:rPr>
            <w:noProof/>
            <w:vertAlign w:val="superscript"/>
          </w:rPr>
          <w:t>55</w:t>
        </w:r>
        <w:r w:rsidR="00B24FEE">
          <w:fldChar w:fldCharType="end"/>
        </w:r>
      </w:hyperlink>
      <w:r w:rsidRPr="00591BFC">
        <w:t xml:space="preserve"> and business case templates</w:t>
      </w:r>
      <w:hyperlink w:anchor="_ENREF_56" w:tooltip="Mitchell, 2010 #651" w:history="1">
        <w:r w:rsidR="00B24FEE">
          <w:fldChar w:fldCharType="begin"/>
        </w:r>
        <w:r w:rsidR="00B24FEE">
          <w:instrText xml:space="preserve"> ADDIN EN.CITE &lt;EndNote&gt;&lt;Cite&gt;&lt;Author&gt;Mitchell&lt;/Author&gt;&lt;Year&gt;2010&lt;/Year&gt;&lt;RecNum&gt;651&lt;/RecNum&gt;&lt;DisplayText&gt;&lt;style face="superscript"&gt;56&lt;/style&gt;&lt;/DisplayText&gt;&lt;record&gt;&lt;rec-number&gt;651&lt;/rec-number&gt;&lt;foreign-keys&gt;&lt;key app="EN" db-id="sxpszd2ti9dx04ewefrvfp5bpf5faazszr9p" timestamp="0"&gt;651&lt;/key&gt;&lt;/foreign-keys&gt;&lt;ref-type name="Book Section"&gt;5&lt;/ref-type&gt;&lt;contributors&gt;&lt;authors&gt;&lt;author&gt;Mitchell, P.&lt;/author&gt;&lt;/authors&gt;&lt;secondary-authors&gt;&lt;author&gt;Novartis&lt;/author&gt;&lt;/secondary-authors&gt;&lt;/contributors&gt;&lt;titles&gt;&lt;title&gt;Appenix 3: Generic Fracture Liaison Service business plan template&lt;/title&gt;&lt;secondary-title&gt;Fracture Liaison Services: resource pack&lt;/secondary-title&gt;&lt;/titles&gt;&lt;dates&gt;&lt;year&gt;2010&lt;/year&gt;&lt;/dates&gt;&lt;urls&gt;&lt;/urls&gt;&lt;/record&gt;&lt;/Cite&gt;&lt;/EndNote&gt;</w:instrText>
        </w:r>
        <w:r w:rsidR="00B24FEE">
          <w:fldChar w:fldCharType="separate"/>
        </w:r>
        <w:r w:rsidR="00B24FEE" w:rsidRPr="00B24FEE">
          <w:rPr>
            <w:noProof/>
            <w:vertAlign w:val="superscript"/>
          </w:rPr>
          <w:t>56</w:t>
        </w:r>
        <w:r w:rsidR="00B24FEE">
          <w:fldChar w:fldCharType="end"/>
        </w:r>
      </w:hyperlink>
      <w:r w:rsidRPr="00591BFC">
        <w:t>. According to this, business cases should describe the health profile of the population, including the numbers of fractures, outline service design with reference to established fracture prevention guidelines, outline costs, particularly how the service will generate savings</w:t>
      </w:r>
      <w:hyperlink w:anchor="_ENREF_56" w:tooltip="Mitchell, 2010 #651" w:history="1">
        <w:r w:rsidR="00B24FEE">
          <w:fldChar w:fldCharType="begin"/>
        </w:r>
        <w:r w:rsidR="00B24FEE">
          <w:instrText xml:space="preserve"> ADDIN EN.CITE &lt;EndNote&gt;&lt;Cite&gt;&lt;Author&gt;Mitchell&lt;/Author&gt;&lt;Year&gt;2010&lt;/Year&gt;&lt;RecNum&gt;651&lt;/RecNum&gt;&lt;DisplayText&gt;&lt;style face="superscript"&gt;56&lt;/style&gt;&lt;/DisplayText&gt;&lt;record&gt;&lt;rec-number&gt;651&lt;/rec-number&gt;&lt;foreign-keys&gt;&lt;key app="EN" db-id="sxpszd2ti9dx04ewefrvfp5bpf5faazszr9p" timestamp="0"&gt;651&lt;/key&gt;&lt;/foreign-keys&gt;&lt;ref-type name="Book Section"&gt;5&lt;/ref-type&gt;&lt;contributors&gt;&lt;authors&gt;&lt;author&gt;Mitchell, P.&lt;/author&gt;&lt;/authors&gt;&lt;secondary-authors&gt;&lt;author&gt;Novartis&lt;/author&gt;&lt;/secondary-authors&gt;&lt;/contributors&gt;&lt;titles&gt;&lt;title&gt;Appenix 3: Generic Fracture Liaison Service business plan template&lt;/title&gt;&lt;secondary-title&gt;Fracture Liaison Services: resource pack&lt;/secondary-title&gt;&lt;/titles&gt;&lt;dates&gt;&lt;year&gt;2010&lt;/year&gt;&lt;/dates&gt;&lt;urls&gt;&lt;/urls&gt;&lt;/record&gt;&lt;/Cite&gt;&lt;/EndNote&gt;</w:instrText>
        </w:r>
        <w:r w:rsidR="00B24FEE">
          <w:fldChar w:fldCharType="separate"/>
        </w:r>
        <w:r w:rsidR="00B24FEE" w:rsidRPr="00B24FEE">
          <w:rPr>
            <w:noProof/>
            <w:vertAlign w:val="superscript"/>
          </w:rPr>
          <w:t>56</w:t>
        </w:r>
        <w:r w:rsidR="00B24FEE">
          <w:fldChar w:fldCharType="end"/>
        </w:r>
      </w:hyperlink>
      <w:r w:rsidRPr="00591BFC">
        <w:t xml:space="preserve"> and utilise a number </w:t>
      </w:r>
      <w:r w:rsidR="00247456" w:rsidRPr="00591BFC">
        <w:t>of different stakeholder groups</w:t>
      </w:r>
      <w:hyperlink w:anchor="_ENREF_32" w:tooltip="Eisman, 2012 #1083" w:history="1">
        <w:r w:rsidR="00B24FEE">
          <w:fldChar w:fldCharType="begin"/>
        </w:r>
        <w:r w:rsidR="00B24FEE">
          <w:instrText xml:space="preserve"> ADDIN EN.CITE &lt;EndNote&gt;&lt;Cite&gt;&lt;Author&gt;Eisman&lt;/Author&gt;&lt;Year&gt;2012&lt;/Year&gt;&lt;RecNum&gt;1083&lt;/RecNum&gt;&lt;DisplayText&gt;&lt;style face="superscript"&gt;32&lt;/style&gt;&lt;/DisplayText&gt;&lt;record&gt;&lt;rec-number&gt;1083&lt;/rec-number&gt;&lt;foreign-keys&gt;&lt;key app="EN" db-id="sxpszd2ti9dx04ewefrvfp5bpf5faazszr9p" timestamp="0"&gt;1083&lt;/key&gt;&lt;/foreign-keys&gt;&lt;ref-type name="Journal Article"&gt;17&lt;/ref-type&gt;&lt;contributors&gt;&lt;authors&gt;&lt;author&gt;Eisman, J. A. et al.&lt;/author&gt;&lt;/authors&gt;&lt;/contributors&gt;&lt;titles&gt;&lt;title&gt;Supporting Appendix A: Making the first fracture the last fracture: ASBMR task force report on secondary fracture prevention&lt;/title&gt;&lt;secondary-title&gt;Journal of Bone and Mineral Research&lt;/secondary-title&gt;&lt;/titles&gt;&lt;pages&gt;2039 - 2046&lt;/pages&gt;&lt;volume&gt;27&lt;/volume&gt;&lt;number&gt;10&lt;/number&gt;&lt;dates&gt;&lt;year&gt;2012&lt;/year&gt;&lt;/dates&gt;&lt;urls&gt;&lt;/urls&gt;&lt;/record&gt;&lt;/Cite&gt;&lt;/EndNote&gt;</w:instrText>
        </w:r>
        <w:r w:rsidR="00B24FEE">
          <w:fldChar w:fldCharType="separate"/>
        </w:r>
        <w:r w:rsidR="00B24FEE" w:rsidRPr="00B24FEE">
          <w:rPr>
            <w:noProof/>
            <w:vertAlign w:val="superscript"/>
          </w:rPr>
          <w:t>32</w:t>
        </w:r>
        <w:r w:rsidR="00B24FEE">
          <w:fldChar w:fldCharType="end"/>
        </w:r>
      </w:hyperlink>
      <w:r w:rsidRPr="00591BFC">
        <w:t xml:space="preserve">. More general guidance on the processes of designing services and </w:t>
      </w:r>
      <w:r w:rsidRPr="00591BFC">
        <w:lastRenderedPageBreak/>
        <w:t>making business cases also exists and some CCGs have developed business case templates to assist in this process</w:t>
      </w:r>
      <w:hyperlink w:anchor="_ENREF_57" w:tooltip="Group, 2012 #653" w:history="1">
        <w:r w:rsidR="00B24FEE">
          <w:fldChar w:fldCharType="begin"/>
        </w:r>
        <w:r w:rsidR="00B24FEE">
          <w:instrText xml:space="preserve"> ADDIN EN.CITE &lt;EndNote&gt;&lt;Cite&gt;&lt;Author&gt;Group&lt;/Author&gt;&lt;Year&gt;2012&lt;/Year&gt;&lt;RecNum&gt;653&lt;/RecNum&gt;&lt;DisplayText&gt;&lt;style face="superscript"&gt;57&lt;/style&gt;&lt;/DisplayText&gt;&lt;record&gt;&lt;rec-number&gt;653&lt;/rec-number&gt;&lt;foreign-keys&gt;&lt;key app="EN" db-id="sxpszd2ti9dx04ewefrvfp5bpf5faazszr9p" timestamp="0"&gt;653&lt;/key&gt;&lt;/foreign-keys&gt;&lt;ref-type name="Report"&gt;27&lt;/ref-type&gt;&lt;contributors&gt;&lt;authors&gt;&lt;author&gt;Milton Keynes Clinical Commissioning Group&lt;/author&gt;&lt;/authors&gt;&lt;/contributors&gt;&lt;titles&gt;&lt;title&gt;CDG template for approval in principle for service change or new service&lt;/title&gt;&lt;/titles&gt;&lt;dates&gt;&lt;year&gt;2012&lt;/year&gt;&lt;/dates&gt;&lt;urls&gt;&lt;/urls&gt;&lt;/record&gt;&lt;/Cite&gt;&lt;/EndNote&gt;</w:instrText>
        </w:r>
        <w:r w:rsidR="00B24FEE">
          <w:fldChar w:fldCharType="separate"/>
        </w:r>
        <w:r w:rsidR="00B24FEE" w:rsidRPr="00B24FEE">
          <w:rPr>
            <w:noProof/>
            <w:vertAlign w:val="superscript"/>
          </w:rPr>
          <w:t>57</w:t>
        </w:r>
        <w:r w:rsidR="00B24FEE">
          <w:fldChar w:fldCharType="end"/>
        </w:r>
      </w:hyperlink>
      <w:r w:rsidRPr="00591BFC">
        <w:t xml:space="preserve">. </w:t>
      </w:r>
    </w:p>
    <w:p w14:paraId="0DE61828" w14:textId="77777777" w:rsidR="00B70DDB" w:rsidRPr="00591BFC" w:rsidRDefault="00B70DDB" w:rsidP="00E86771">
      <w:pPr>
        <w:pStyle w:val="NoSpacing"/>
        <w:spacing w:line="360" w:lineRule="auto"/>
      </w:pPr>
    </w:p>
    <w:p w14:paraId="4F397F36" w14:textId="2A8E519A" w:rsidR="00B70DDB" w:rsidRPr="00591BFC" w:rsidRDefault="00B70DDB" w:rsidP="00E86771">
      <w:pPr>
        <w:pStyle w:val="NoSpacing"/>
        <w:spacing w:line="360" w:lineRule="auto"/>
      </w:pPr>
      <w:r w:rsidRPr="00591BFC">
        <w:t>Several studies have explored the experiences of commissioners of making purchasing decisions in the UK, including those operating under the now abolished PCTs</w:t>
      </w:r>
      <w:r w:rsidR="00B24FEE">
        <w:fldChar w:fldCharType="begin">
          <w:fldData xml:space="preserve">PEVuZE5vdGU+PENpdGU+PEF1dGhvcj5DaGVja2xhbmQ8L0F1dGhvcj48WWVhcj4yMDEyPC9ZZWFy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</w:fldData>
        </w:fldChar>
      </w:r>
      <w:r w:rsidR="00B24FEE">
        <w:instrText xml:space="preserve"> ADDIN EN.CITE </w:instrText>
      </w:r>
      <w:r w:rsidR="00B24FEE">
        <w:fldChar w:fldCharType="begin">
          <w:fldData xml:space="preserve">PEVuZE5vdGU+PENpdGU+PEF1dGhvcj5DaGVja2xhbmQ8L0F1dGhvcj48WWVhcj4yMDEyPC9ZZWFy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</w:fldData>
        </w:fldChar>
      </w:r>
      <w:r w:rsidR="00B24FEE">
        <w:instrText xml:space="preserve"> ADDIN EN.CITE.DATA </w:instrText>
      </w:r>
      <w:r w:rsidR="00B24FEE">
        <w:fldChar w:fldCharType="end"/>
      </w:r>
      <w:r w:rsidR="00B24FEE">
        <w:fldChar w:fldCharType="separate"/>
      </w:r>
      <w:hyperlink w:anchor="_ENREF_58" w:tooltip="Checkland, 2012 #1218" w:history="1">
        <w:r w:rsidR="00B24FEE" w:rsidRPr="00B24FEE">
          <w:rPr>
            <w:noProof/>
            <w:vertAlign w:val="superscript"/>
          </w:rPr>
          <w:t>58</w:t>
        </w:r>
      </w:hyperlink>
      <w:r w:rsidR="00B24FEE" w:rsidRPr="00B24FEE">
        <w:rPr>
          <w:noProof/>
          <w:vertAlign w:val="superscript"/>
        </w:rPr>
        <w:t xml:space="preserve"> </w:t>
      </w:r>
      <w:hyperlink w:anchor="_ENREF_59" w:tooltip="Clarke, 2013 #758" w:history="1">
        <w:r w:rsidR="00B24FEE" w:rsidRPr="00B24FEE">
          <w:rPr>
            <w:noProof/>
            <w:vertAlign w:val="superscript"/>
          </w:rPr>
          <w:t>59</w:t>
        </w:r>
      </w:hyperlink>
      <w:r w:rsidR="00B24FEE">
        <w:fldChar w:fldCharType="end"/>
      </w:r>
      <w:r w:rsidR="00A93DBF" w:rsidRPr="00591BFC">
        <w:t xml:space="preserve"> </w:t>
      </w:r>
      <w:r w:rsidRPr="00591BFC">
        <w:t>and the CCGs</w:t>
      </w:r>
      <w:r w:rsidR="00B24FEE">
        <w:fldChar w:fldCharType="begin">
          <w:fldData xml:space="preserve">PEVuZE5vdGU+PENpdGU+PEF1dGhvcj5DaGVja2xhbmQ8L0F1dGhvcj48WWVhcj4yMDEzPC9ZZWFy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=
</w:fldData>
        </w:fldChar>
      </w:r>
      <w:r w:rsidR="00B24FEE">
        <w:instrText xml:space="preserve"> ADDIN EN.CITE </w:instrText>
      </w:r>
      <w:r w:rsidR="00B24FEE">
        <w:fldChar w:fldCharType="begin">
          <w:fldData xml:space="preserve">PEVuZE5vdGU+PENpdGU+PEF1dGhvcj5DaGVja2xhbmQ8L0F1dGhvcj48WWVhcj4yMDEzPC9ZZWFy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=
</w:fldData>
        </w:fldChar>
      </w:r>
      <w:r w:rsidR="00B24FEE">
        <w:instrText xml:space="preserve"> ADDIN EN.CITE.DATA </w:instrText>
      </w:r>
      <w:r w:rsidR="00B24FEE">
        <w:fldChar w:fldCharType="end"/>
      </w:r>
      <w:r w:rsidR="00B24FEE">
        <w:fldChar w:fldCharType="separate"/>
      </w:r>
      <w:hyperlink w:anchor="_ENREF_60" w:tooltip="Checkland, 2013 #747" w:history="1">
        <w:r w:rsidR="00B24FEE" w:rsidRPr="00B24FEE">
          <w:rPr>
            <w:noProof/>
            <w:vertAlign w:val="superscript"/>
          </w:rPr>
          <w:t>60</w:t>
        </w:r>
      </w:hyperlink>
      <w:r w:rsidR="00B24FEE" w:rsidRPr="00B24FEE">
        <w:rPr>
          <w:noProof/>
          <w:vertAlign w:val="superscript"/>
        </w:rPr>
        <w:t xml:space="preserve"> </w:t>
      </w:r>
      <w:hyperlink w:anchor="_ENREF_61" w:tooltip="Petsoulas, 2014 #1221" w:history="1">
        <w:r w:rsidR="00B24FEE" w:rsidRPr="00B24FEE">
          <w:rPr>
            <w:noProof/>
            <w:vertAlign w:val="superscript"/>
          </w:rPr>
          <w:t>61</w:t>
        </w:r>
      </w:hyperlink>
      <w:r w:rsidR="00B24FEE">
        <w:fldChar w:fldCharType="end"/>
      </w:r>
      <w:r w:rsidRPr="00591BFC">
        <w:t>. These have examined relational aspects of commissioning</w:t>
      </w:r>
      <w:r w:rsidR="00D504D3" w:rsidRPr="00591BFC">
        <w:t xml:space="preserve"> </w:t>
      </w:r>
      <w:r w:rsidR="00B24FEE">
        <w:fldChar w:fldCharType="begin">
          <w:fldData xml:space="preserve">PEVuZE5vdGU+PENpdGU+PEF1dGhvcj5DaGVja2xhbmQ8L0F1dGhvcj48WWVhcj4yMDEyPC9ZZWFy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</w:fldData>
        </w:fldChar>
      </w:r>
      <w:r w:rsidR="00B24FEE">
        <w:instrText xml:space="preserve"> ADDIN EN.CITE </w:instrText>
      </w:r>
      <w:r w:rsidR="00B24FEE">
        <w:fldChar w:fldCharType="begin">
          <w:fldData xml:space="preserve">PEVuZE5vdGU+PENpdGU+PEF1dGhvcj5DaGVja2xhbmQ8L0F1dGhvcj48WWVhcj4yMDEyPC9ZZWFy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</w:fldData>
        </w:fldChar>
      </w:r>
      <w:r w:rsidR="00B24FEE">
        <w:instrText xml:space="preserve"> ADDIN EN.CITE.DATA </w:instrText>
      </w:r>
      <w:r w:rsidR="00B24FEE">
        <w:fldChar w:fldCharType="end"/>
      </w:r>
      <w:r w:rsidR="00B24FEE">
        <w:fldChar w:fldCharType="separate"/>
      </w:r>
      <w:hyperlink w:anchor="_ENREF_58" w:tooltip="Checkland, 2012 #1218" w:history="1">
        <w:r w:rsidR="00B24FEE" w:rsidRPr="00B24FEE">
          <w:rPr>
            <w:noProof/>
            <w:vertAlign w:val="superscript"/>
          </w:rPr>
          <w:t>58</w:t>
        </w:r>
      </w:hyperlink>
      <w:r w:rsidR="00B24FEE" w:rsidRPr="00B24FEE">
        <w:rPr>
          <w:noProof/>
          <w:vertAlign w:val="superscript"/>
        </w:rPr>
        <w:t xml:space="preserve"> </w:t>
      </w:r>
      <w:hyperlink w:anchor="_ENREF_62" w:tooltip="Sampson, 2012 #1222" w:history="1">
        <w:r w:rsidR="00B24FEE" w:rsidRPr="00B24FEE">
          <w:rPr>
            <w:noProof/>
            <w:vertAlign w:val="superscript"/>
          </w:rPr>
          <w:t>62</w:t>
        </w:r>
      </w:hyperlink>
      <w:r w:rsidR="00B24FEE" w:rsidRPr="00B24FEE">
        <w:rPr>
          <w:noProof/>
          <w:vertAlign w:val="superscript"/>
        </w:rPr>
        <w:t xml:space="preserve"> </w:t>
      </w:r>
      <w:hyperlink w:anchor="_ENREF_63" w:tooltip="Zachariadis, 2013 #748" w:history="1">
        <w:r w:rsidR="00B24FEE" w:rsidRPr="00B24FEE">
          <w:rPr>
            <w:noProof/>
            <w:vertAlign w:val="superscript"/>
          </w:rPr>
          <w:t>63</w:t>
        </w:r>
      </w:hyperlink>
      <w:r w:rsidR="00B24FEE">
        <w:fldChar w:fldCharType="end"/>
      </w:r>
      <w:r w:rsidRPr="00591BFC">
        <w:t xml:space="preserve"> and identified factors that impact on decision-making</w:t>
      </w:r>
      <w:r w:rsidR="00B24FEE">
        <w:fldChar w:fldCharType="begin">
          <w:fldData xml:space="preserve">PEVuZE5vdGU+PENpdGU+PEF1dGhvcj5CcmF2byBWZXJnZWw8L0F1dGhvcj48WWVhcj4yMDA2PC9Z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</w:fldData>
        </w:fldChar>
      </w:r>
      <w:r w:rsidR="00B24FEE">
        <w:instrText xml:space="preserve"> ADDIN EN.CITE </w:instrText>
      </w:r>
      <w:r w:rsidR="00B24FEE">
        <w:fldChar w:fldCharType="begin">
          <w:fldData xml:space="preserve">PEVuZE5vdGU+PENpdGU+PEF1dGhvcj5CcmF2byBWZXJnZWw8L0F1dGhvcj48WWVhcj4yMDA2PC9Z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</w:fldData>
        </w:fldChar>
      </w:r>
      <w:r w:rsidR="00B24FEE">
        <w:instrText xml:space="preserve"> ADDIN EN.CITE.DATA </w:instrText>
      </w:r>
      <w:r w:rsidR="00B24FEE">
        <w:fldChar w:fldCharType="end"/>
      </w:r>
      <w:r w:rsidR="00B24FEE">
        <w:fldChar w:fldCharType="separate"/>
      </w:r>
      <w:hyperlink w:anchor="_ENREF_59" w:tooltip="Clarke, 2013 #758" w:history="1">
        <w:r w:rsidR="00B24FEE" w:rsidRPr="00B24FEE">
          <w:rPr>
            <w:noProof/>
            <w:vertAlign w:val="superscript"/>
          </w:rPr>
          <w:t>59</w:t>
        </w:r>
      </w:hyperlink>
      <w:r w:rsidR="00B24FEE" w:rsidRPr="00B24FEE">
        <w:rPr>
          <w:noProof/>
          <w:vertAlign w:val="superscript"/>
        </w:rPr>
        <w:t xml:space="preserve"> </w:t>
      </w:r>
      <w:hyperlink w:anchor="_ENREF_64" w:tooltip="Bravo Vergel, 2006 #1217" w:history="1">
        <w:r w:rsidR="00B24FEE" w:rsidRPr="00B24FEE">
          <w:rPr>
            <w:noProof/>
            <w:vertAlign w:val="superscript"/>
          </w:rPr>
          <w:t>64</w:t>
        </w:r>
      </w:hyperlink>
      <w:r w:rsidR="00B24FEE">
        <w:fldChar w:fldCharType="end"/>
      </w:r>
      <w:r w:rsidRPr="00591BFC">
        <w:t>. Recent research has also explored the new roles of GPs in the commissioning process</w:t>
      </w:r>
      <w:r w:rsidR="00B24FEE">
        <w:fldChar w:fldCharType="begin">
          <w:fldData xml:space="preserve">PEVuZE5vdGU+PENpdGU+PEF1dGhvcj5Bc2htYW48L0F1dGhvcj48WWVhcj4yMDE0PC9ZZWFyPjxS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=
</w:fldData>
        </w:fldChar>
      </w:r>
      <w:r w:rsidR="00B24FEE">
        <w:instrText xml:space="preserve"> ADDIN EN.CITE </w:instrText>
      </w:r>
      <w:r w:rsidR="00B24FEE">
        <w:fldChar w:fldCharType="begin">
          <w:fldData xml:space="preserve">PEVuZE5vdGU+PENpdGU+PEF1dGhvcj5Bc2htYW48L0F1dGhvcj48WWVhcj4yMDE0PC9ZZWFyPjxS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=
</w:fldData>
        </w:fldChar>
      </w:r>
      <w:r w:rsidR="00B24FEE">
        <w:instrText xml:space="preserve"> ADDIN EN.CITE.DATA </w:instrText>
      </w:r>
      <w:r w:rsidR="00B24FEE">
        <w:fldChar w:fldCharType="end"/>
      </w:r>
      <w:r w:rsidR="00B24FEE">
        <w:fldChar w:fldCharType="separate"/>
      </w:r>
      <w:hyperlink w:anchor="_ENREF_65" w:tooltip="Ashman, 2014 #796" w:history="1">
        <w:r w:rsidR="00B24FEE" w:rsidRPr="00B24FEE">
          <w:rPr>
            <w:noProof/>
            <w:vertAlign w:val="superscript"/>
          </w:rPr>
          <w:t>65</w:t>
        </w:r>
      </w:hyperlink>
      <w:r w:rsidR="00B24FEE" w:rsidRPr="00B24FEE">
        <w:rPr>
          <w:noProof/>
          <w:vertAlign w:val="superscript"/>
        </w:rPr>
        <w:t xml:space="preserve"> </w:t>
      </w:r>
      <w:hyperlink w:anchor="_ENREF_66" w:tooltip="Sabey, 2013 #797" w:history="1">
        <w:r w:rsidR="00B24FEE" w:rsidRPr="00B24FEE">
          <w:rPr>
            <w:noProof/>
            <w:vertAlign w:val="superscript"/>
          </w:rPr>
          <w:t>66</w:t>
        </w:r>
      </w:hyperlink>
      <w:r w:rsidR="00B24FEE">
        <w:fldChar w:fldCharType="end"/>
      </w:r>
      <w:r w:rsidRPr="00591BFC">
        <w:t>.  However, only one study has explored the experiences of providers in acute care of making business cases</w:t>
      </w:r>
      <w:hyperlink w:anchor="_ENREF_67" w:tooltip="Shaw, 2013 #703" w:history="1">
        <w:r w:rsidR="00B24FEE">
          <w:fldChar w:fldCharType="begin"/>
        </w:r>
        <w:r w:rsidR="00B24FEE">
          <w:instrText xml:space="preserve"> ADDIN EN.CITE &lt;EndNote&gt;&lt;Cite&gt;&lt;Author&gt;Shaw&lt;/Author&gt;&lt;Year&gt;2013&lt;/Year&gt;&lt;RecNum&gt;703&lt;/RecNum&gt;&lt;DisplayText&gt;&lt;style face="superscript"&gt;67&lt;/style&gt;&lt;/DisplayText&gt;&lt;record&gt;&lt;rec-number&gt;703&lt;/rec-number&gt;&lt;foreign-keys&gt;&lt;key app="EN" db-id="sxpszd2ti9dx04ewefrvfp5bpf5faazszr9p" timestamp="0"&gt;703&lt;/key&gt;&lt;/foreign-keys&gt;&lt;ref-type name="Journal Article"&gt;17&lt;/ref-type&gt;&lt;contributors&gt;&lt;authors&gt;&lt;author&gt;Shaw, Sara E.&lt;/author&gt;&lt;author&gt;Smith, Judith A.&lt;/author&gt;&lt;author&gt;Porter, Alison&lt;/author&gt;&lt;author&gt;Rosen, Rebecca&lt;/author&gt;&lt;author&gt;Mays, Nicholas&lt;/author&gt;&lt;/authors&gt;&lt;/contributors&gt;&lt;auth-address&gt;Queen Mary University of London, London, UK.&lt;/auth-address&gt;&lt;titles&gt;&lt;title&gt;The work of commissioning: a multisite case study of healthcare commissioning in England&amp;apos;s NHS&lt;/title&gt;&lt;secondary-title&gt;BMJ Open&lt;/secondary-title&gt;&lt;/titles&gt;&lt;periodical&gt;&lt;full-title&gt;BMJ Open&lt;/full-title&gt;&lt;/periodical&gt;&lt;pages&gt;e003341-e003341&lt;/pages&gt;&lt;volume&gt;3&lt;/volume&gt;&lt;number&gt;9&lt;/number&gt;&lt;keywords&gt;&lt;keyword&gt;Health Services Administration &amp;amp; Management&lt;/keyword&gt;&lt;keyword&gt;Qualitative Research&lt;/keyword&gt;&lt;/keywords&gt;&lt;dates&gt;&lt;year&gt;2013&lt;/year&gt;&lt;/dates&gt;&lt;pub-location&gt;England&lt;/pub-location&gt;&lt;publisher&gt;BMJ Publishing Group Ltd&lt;/publisher&gt;&lt;isbn&gt;2044-6055&lt;/isbn&gt;&lt;accession-num&gt;24014483&lt;/accession-num&gt;&lt;urls&gt;&lt;related-urls&gt;&lt;url&gt;http://search.ebscohost.com/login.aspx?direct=true&amp;amp;db=cmedm&amp;amp;AN=24014483&amp;amp;site=ehost-live&lt;/url&gt;&lt;/related-urls&gt;&lt;/urls&gt;&lt;electronic-resource-num&gt;10.1136/bmjopen-2013-003341&lt;/electronic-resource-num&gt;&lt;remote-database-name&gt;cmedm&lt;/remote-database-name&gt;&lt;remote-database-provider&gt;EBSCOhost&lt;/remote-database-provider&gt;&lt;/record&gt;&lt;/Cite&gt;&lt;/EndNote&gt;</w:instrText>
        </w:r>
        <w:r w:rsidR="00B24FEE">
          <w:fldChar w:fldCharType="separate"/>
        </w:r>
        <w:r w:rsidR="00B24FEE" w:rsidRPr="00B24FEE">
          <w:rPr>
            <w:noProof/>
            <w:vertAlign w:val="superscript"/>
          </w:rPr>
          <w:t>67</w:t>
        </w:r>
        <w:r w:rsidR="00B24FEE">
          <w:fldChar w:fldCharType="end"/>
        </w:r>
      </w:hyperlink>
      <w:r w:rsidRPr="00591BFC">
        <w:t>.</w:t>
      </w:r>
    </w:p>
    <w:p w14:paraId="6BD2274C" w14:textId="77777777" w:rsidR="00B70DDB" w:rsidRPr="00591BFC" w:rsidRDefault="00B70DDB" w:rsidP="00E86771">
      <w:pPr>
        <w:pStyle w:val="NoSpacing"/>
        <w:spacing w:line="360" w:lineRule="auto"/>
      </w:pPr>
    </w:p>
    <w:p w14:paraId="783A8DAF" w14:textId="77777777" w:rsidR="00B70DDB" w:rsidRPr="00591BFC" w:rsidRDefault="00B70DDB" w:rsidP="00E86771">
      <w:pPr>
        <w:pStyle w:val="Heading3"/>
        <w:spacing w:line="360" w:lineRule="auto"/>
        <w:rPr>
          <w:rFonts w:ascii="Calibri" w:hAnsi="Calibri"/>
          <w:lang w:val="en-GB"/>
        </w:rPr>
      </w:pPr>
      <w:bookmarkStart w:id="120" w:name="_Toc308300730"/>
      <w:bookmarkStart w:id="121" w:name="_Toc311366537"/>
      <w:r w:rsidRPr="00591BFC">
        <w:rPr>
          <w:rFonts w:ascii="Calibri" w:hAnsi="Calibri"/>
          <w:lang w:val="en-GB"/>
        </w:rPr>
        <w:t>Aims</w:t>
      </w:r>
      <w:bookmarkEnd w:id="120"/>
      <w:bookmarkEnd w:id="121"/>
    </w:p>
    <w:p w14:paraId="795A752C" w14:textId="77777777" w:rsidR="00B70DDB" w:rsidRPr="00591BFC" w:rsidRDefault="00B70DDB" w:rsidP="00E86771">
      <w:pPr>
        <w:pStyle w:val="NoSpacing"/>
        <w:spacing w:line="360" w:lineRule="auto"/>
        <w:rPr>
          <w:rFonts w:cs="Tms Rmn"/>
        </w:rPr>
      </w:pPr>
    </w:p>
    <w:p w14:paraId="1E4E09E7" w14:textId="77777777" w:rsidR="00B70DDB" w:rsidRPr="00591BFC" w:rsidRDefault="00B70DDB" w:rsidP="00E86771">
      <w:pPr>
        <w:pStyle w:val="NoSpacing"/>
        <w:spacing w:line="360" w:lineRule="auto"/>
        <w:rPr>
          <w:b/>
        </w:rPr>
      </w:pPr>
      <w:r w:rsidRPr="00591BFC">
        <w:rPr>
          <w:rFonts w:cs="Tms Rmn"/>
        </w:rPr>
        <w:t>This study enable</w:t>
      </w:r>
      <w:r w:rsidR="00E5050E" w:rsidRPr="00591BFC">
        <w:rPr>
          <w:rFonts w:cs="Tms Rmn"/>
        </w:rPr>
        <w:t>d</w:t>
      </w:r>
      <w:r w:rsidRPr="00591BFC">
        <w:rPr>
          <w:rFonts w:cs="Tms Rmn"/>
        </w:rPr>
        <w:t xml:space="preserve"> us to understand how secondary fracture prevention services can be effectively organised and successfully implemented in secondary care to help inform the implementation and integration of these services into practice. It also</w:t>
      </w:r>
      <w:r w:rsidRPr="00591BFC">
        <w:t xml:space="preserve"> </w:t>
      </w:r>
      <w:r w:rsidRPr="00591BFC">
        <w:rPr>
          <w:rFonts w:cs="Tms Rmn"/>
        </w:rPr>
        <w:t>provide</w:t>
      </w:r>
      <w:r w:rsidR="00E5050E" w:rsidRPr="00591BFC">
        <w:rPr>
          <w:rFonts w:cs="Tms Rmn"/>
        </w:rPr>
        <w:t>d</w:t>
      </w:r>
      <w:r w:rsidRPr="00591BFC">
        <w:rPr>
          <w:rFonts w:cs="Tms Rmn"/>
        </w:rPr>
        <w:t xml:space="preserve"> information</w:t>
      </w:r>
      <w:r w:rsidR="00E5050E" w:rsidRPr="00591BFC">
        <w:rPr>
          <w:rFonts w:cs="Tms Rmn"/>
        </w:rPr>
        <w:t xml:space="preserve"> about experiences of business case development for FLS and suggestions for effective strategies</w:t>
      </w:r>
      <w:r w:rsidRPr="00591BFC">
        <w:rPr>
          <w:rFonts w:cs="Tms Rmn"/>
        </w:rPr>
        <w:t xml:space="preserve"> </w:t>
      </w:r>
      <w:r w:rsidR="00E5050E" w:rsidRPr="00591BFC">
        <w:rPr>
          <w:rFonts w:cs="Tms Rmn"/>
        </w:rPr>
        <w:t>for</w:t>
      </w:r>
      <w:r w:rsidRPr="00591BFC">
        <w:rPr>
          <w:rFonts w:cs="Tms Rmn"/>
        </w:rPr>
        <w:t xml:space="preserve"> healthcare professionals and service managers about </w:t>
      </w:r>
      <w:r w:rsidRPr="00591BFC">
        <w:t>how best to develop business cases for FLS in the future.</w:t>
      </w:r>
    </w:p>
    <w:p w14:paraId="32DEB291" w14:textId="77777777" w:rsidR="00B70DDB" w:rsidRPr="00591BFC" w:rsidRDefault="00B70DDB" w:rsidP="00E86771">
      <w:pPr>
        <w:pStyle w:val="NoSpacing"/>
        <w:spacing w:line="360" w:lineRule="auto"/>
        <w:rPr>
          <w:rFonts w:cs="Tms Rmn"/>
          <w:b/>
        </w:rPr>
      </w:pPr>
    </w:p>
    <w:p w14:paraId="247541BD" w14:textId="77777777" w:rsidR="00B70DDB" w:rsidRPr="00591BFC" w:rsidRDefault="00B70DDB" w:rsidP="00E86771">
      <w:pPr>
        <w:pStyle w:val="Heading2"/>
        <w:spacing w:line="360" w:lineRule="auto"/>
        <w:rPr>
          <w:rFonts w:ascii="Calibri" w:hAnsi="Calibri"/>
          <w:lang w:val="en-GB"/>
        </w:rPr>
      </w:pPr>
      <w:bookmarkStart w:id="122" w:name="_Toc308300731"/>
      <w:bookmarkStart w:id="123" w:name="_Toc311366538"/>
      <w:r w:rsidRPr="00591BFC">
        <w:rPr>
          <w:rFonts w:ascii="Calibri" w:hAnsi="Calibri"/>
          <w:lang w:val="en-GB"/>
        </w:rPr>
        <w:t>Methods</w:t>
      </w:r>
      <w:bookmarkEnd w:id="122"/>
      <w:bookmarkEnd w:id="123"/>
    </w:p>
    <w:p w14:paraId="4167BA10" w14:textId="77777777" w:rsidR="00B70DDB" w:rsidRPr="00591BFC" w:rsidRDefault="00B70DDB" w:rsidP="00E86771">
      <w:pPr>
        <w:pStyle w:val="NoSpacing"/>
        <w:spacing w:line="360" w:lineRule="auto"/>
      </w:pPr>
    </w:p>
    <w:p w14:paraId="4359DFD0" w14:textId="77777777" w:rsidR="00B70DDB" w:rsidRPr="00591BFC" w:rsidRDefault="00B70DDB" w:rsidP="00E86771">
      <w:pPr>
        <w:pStyle w:val="Heading3"/>
        <w:spacing w:line="360" w:lineRule="auto"/>
        <w:rPr>
          <w:rFonts w:ascii="Calibri" w:hAnsi="Calibri"/>
          <w:lang w:val="en-GB"/>
        </w:rPr>
      </w:pPr>
      <w:bookmarkStart w:id="124" w:name="_Toc308300732"/>
      <w:bookmarkStart w:id="125" w:name="_Toc311366539"/>
      <w:r w:rsidRPr="00591BFC">
        <w:rPr>
          <w:rFonts w:ascii="Calibri" w:hAnsi="Calibri"/>
          <w:lang w:val="en-GB"/>
        </w:rPr>
        <w:t>Sample</w:t>
      </w:r>
      <w:bookmarkEnd w:id="124"/>
      <w:bookmarkEnd w:id="125"/>
    </w:p>
    <w:p w14:paraId="69EC0CE5" w14:textId="77777777" w:rsidR="00B70DDB" w:rsidRPr="00591BFC" w:rsidRDefault="00B70DDB" w:rsidP="00E86771">
      <w:pPr>
        <w:pStyle w:val="NoSpacing"/>
        <w:spacing w:line="360" w:lineRule="auto"/>
      </w:pPr>
    </w:p>
    <w:p w14:paraId="1FB7A155" w14:textId="5C64692B" w:rsidR="00B70DDB" w:rsidRPr="00591BFC" w:rsidRDefault="00B70DDB" w:rsidP="00E86771">
      <w:pPr>
        <w:pStyle w:val="NoSpacing"/>
        <w:spacing w:line="360" w:lineRule="auto"/>
      </w:pPr>
      <w:r w:rsidRPr="00591BFC">
        <w:t>The sample included 43 professionals from all 11 hospitals in one region in England who were involved in the delivery or organisation of secondary fracture prevention after hip fracture. These included Orthogeriatricians, Fracture Prevention Nurses, Trauma Nurses, Hospital Practitioners in Osteoporosis, Surgeons and Service Managers. Participants were purposively sampled to include a range of characteristics such as profession, years in role and to ensure they were adequately drawn from each of the 11 hospitals</w:t>
      </w:r>
      <w:hyperlink w:anchor="_ENREF_68" w:tooltip="Miles, 1994 #643" w:history="1">
        <w:r w:rsidR="00B24FEE">
          <w:fldChar w:fldCharType="begin"/>
        </w:r>
        <w:r w:rsidR="00B24FEE">
          <w:instrText xml:space="preserve"> ADDIN EN.CITE &lt;EndNote&gt;&lt;Cite&gt;&lt;Author&gt;Miles&lt;/Author&gt;&lt;Year&gt;1994&lt;/Year&gt;&lt;RecNum&gt;643&lt;/RecNum&gt;&lt;DisplayText&gt;&lt;style face="superscript"&gt;68&lt;/style&gt;&lt;/DisplayText&gt;&lt;record&gt;&lt;rec-number&gt;643&lt;/rec-number&gt;&lt;foreign-keys&gt;&lt;key app="EN" db-id="sxpszd2ti9dx04ewefrvfp5bpf5faazszr9p" timestamp="0"&gt;643&lt;/key&gt;&lt;/foreign-keys&gt;&lt;ref-type name="Book"&gt;6&lt;/ref-type&gt;&lt;contributors&gt;&lt;authors&gt;&lt;author&gt;Miles, M. B. Huberman, A M&lt;/author&gt;&lt;/authors&gt;&lt;/contributors&gt;&lt;titles&gt;&lt;title&gt;Qualitative data analysis: a sourcebook of new methods&lt;/title&gt;&lt;/titles&gt;&lt;dates&gt;&lt;year&gt;1994&lt;/year&gt;&lt;/dates&gt;&lt;pub-location&gt;Thousand Oaks, CA&lt;/pub-location&gt;&lt;publisher&gt;Sage&lt;/publisher&gt;&lt;urls&gt;&lt;/urls&gt;&lt;/record&gt;&lt;/Cite&gt;&lt;/EndNote&gt;</w:instrText>
        </w:r>
        <w:r w:rsidR="00B24FEE">
          <w:fldChar w:fldCharType="separate"/>
        </w:r>
        <w:r w:rsidR="00B24FEE" w:rsidRPr="00B24FEE">
          <w:rPr>
            <w:noProof/>
            <w:vertAlign w:val="superscript"/>
          </w:rPr>
          <w:t>68</w:t>
        </w:r>
        <w:r w:rsidR="00B24FEE">
          <w:fldChar w:fldCharType="end"/>
        </w:r>
      </w:hyperlink>
      <w:r w:rsidR="00D504D3" w:rsidRPr="00591BFC">
        <w:t>.</w:t>
      </w:r>
    </w:p>
    <w:p w14:paraId="62B5022F" w14:textId="77777777" w:rsidR="00B70DDB" w:rsidRPr="00591BFC" w:rsidRDefault="00B70DDB" w:rsidP="00E86771">
      <w:pPr>
        <w:pStyle w:val="NoSpacing"/>
        <w:spacing w:line="360" w:lineRule="auto"/>
      </w:pPr>
    </w:p>
    <w:p w14:paraId="5521A9C7" w14:textId="1351674D" w:rsidR="00B70DDB" w:rsidRPr="00591BFC" w:rsidRDefault="00B70DDB" w:rsidP="00E86771">
      <w:pPr>
        <w:pStyle w:val="NoSpacing"/>
        <w:spacing w:line="360" w:lineRule="auto"/>
      </w:pPr>
      <w:r w:rsidRPr="00591BFC">
        <w:t xml:space="preserve">Potential participants were identified by the Clinical Lead/ Champion in Osteoporosis and an Operational Service Manager in Trauma. In three waves of recruitment, the study team approached potential participants by email to provide them with a brief overview of the study, including a Participant Information Booklet for further information. If no response was received within two </w:t>
      </w:r>
      <w:r w:rsidRPr="00591BFC">
        <w:lastRenderedPageBreak/>
        <w:t xml:space="preserve">weeks, this was followed up with a telephone call. </w:t>
      </w:r>
      <w:r w:rsidR="00B3555E" w:rsidRPr="00591BFC">
        <w:t>s</w:t>
      </w:r>
      <w:r w:rsidRPr="00591BFC">
        <w:t>nowball sampling</w:t>
      </w:r>
      <w:hyperlink w:anchor="_ENREF_69" w:tooltip="ROWLAND ATKINSON,  #623" w:history="1">
        <w:r w:rsidR="00B24FEE">
          <w:fldChar w:fldCharType="begin"/>
        </w:r>
        <w:r w:rsidR="00B24FEE">
          <w:instrText xml:space="preserve"> ADDIN EN.CITE &lt;EndNote&gt;&lt;Cite ExcludeYear="1"&gt;&lt;Author&gt;ROWLAND ATKINSON&lt;/Author&gt;&lt;RecNum&gt;623&lt;/RecNum&gt;&lt;DisplayText&gt;&lt;style face="superscript"&gt;69&lt;/style&gt;&lt;/DisplayText&gt;&lt;record&gt;&lt;rec-number&gt;623&lt;/rec-number&gt;&lt;foreign-keys&gt;&lt;key app="EN" db-id="sxpszd2ti9dx04ewefrvfp5bpf5faazszr9p" timestamp="0"&gt;623&lt;/key&gt;&lt;/foreign-keys&gt;&lt;ref-type name="Book"&gt;6&lt;/ref-type&gt;&lt;contributors&gt;&lt;authors&gt;&lt;author&gt;ROWLAND ATKINSON, JOHN FLINT&lt;/author&gt;&lt;/authors&gt;&lt;/contributors&gt;&lt;titles&gt;&lt;title&gt;Sampling, snowball: accessing hidden and hard-to-reach populations. The A-Z of Social Research. SAGE Publications, Ltd&lt;/title&gt;&lt;short-title&gt;Sampling, snowball: accessing hidden and hard-to-reach populations. The A-Z of Social Research. SAGE Publications, Ltd&lt;/short-title&gt;&lt;/titles&gt;&lt;pages&gt;275-281&lt;/pages&gt;&lt;dates&gt;&lt;/dates&gt;&lt;pub-location&gt;London, England&lt;/pub-location&gt;&lt;publisher&gt;SAGE Publications, Ltd&lt;/publisher&gt;&lt;urls&gt;&lt;related-urls&gt;&lt;url&gt;http://dx.doi.org/10.4135/9780857020024&lt;/url&gt;&lt;/related-urls&gt;&lt;/urls&gt;&lt;electronic-resource-num&gt;doi: http://dx.doi.org/10.4135/9780857020024&lt;/electronic-resource-num&gt;&lt;remote-database-name&gt;SAGE Research Methods&lt;/remote-database-name&gt;&lt;remote-database-provider&gt;SAGE Publications, Ltd&lt;/remote-database-provider&gt;&lt;language&gt;English&lt;/language&gt;&lt;/record&gt;&lt;/Cite&gt;&lt;/EndNote&gt;</w:instrText>
        </w:r>
        <w:r w:rsidR="00B24FEE">
          <w:fldChar w:fldCharType="separate"/>
        </w:r>
        <w:r w:rsidR="00B24FEE" w:rsidRPr="00B24FEE">
          <w:rPr>
            <w:noProof/>
            <w:vertAlign w:val="superscript"/>
          </w:rPr>
          <w:t>69</w:t>
        </w:r>
        <w:r w:rsidR="00B24FEE">
          <w:fldChar w:fldCharType="end"/>
        </w:r>
      </w:hyperlink>
      <w:r w:rsidRPr="00591BFC">
        <w:rPr>
          <w:rFonts w:cs="Arial"/>
        </w:rPr>
        <w:t xml:space="preserve"> was used such that </w:t>
      </w:r>
      <w:r w:rsidRPr="00591BFC">
        <w:t>participants recommended other professionals involved in fracture prevention. In total, 82 healthcare professionals were contacted to take part in the study, of whom 43 agreed to take part. The remainder either declined or were unavailable. Rather than aiming to achieve saturation</w:t>
      </w:r>
      <w:hyperlink w:anchor="_ENREF_70" w:tooltip="Kristie Saumure,  #624" w:history="1">
        <w:r w:rsidR="00B24FEE">
          <w:fldChar w:fldCharType="begin"/>
        </w:r>
        <w:r w:rsidR="00B24FEE">
          <w:instrText xml:space="preserve"> ADDIN EN.CITE &lt;EndNote&gt;&lt;Cite ExcludeYear="1"&gt;&lt;Author&gt;Kristie Saumure&lt;/Author&gt;&lt;RecNum&gt;624&lt;/RecNum&gt;&lt;DisplayText&gt;&lt;style face="superscript"&gt;70&lt;/style&gt;&lt;/DisplayText&gt;&lt;record&gt;&lt;rec-number&gt;624&lt;/rec-number&gt;&lt;foreign-keys&gt;&lt;key app="EN" db-id="sxpszd2ti9dx04ewefrvfp5bpf5faazszr9p" timestamp="0"&gt;624&lt;/key&gt;&lt;/foreign-keys&gt;&lt;ref-type name="Book"&gt;6&lt;/ref-type&gt;&lt;contributors&gt;&lt;authors&gt;&lt;author&gt;Kristie Saumure, Lisa M. Given&lt;/author&gt;&lt;/authors&gt;&lt;/contributors&gt;&lt;titles&gt;&lt;title&gt;Data Saturation. The SAGE Encyclopedia of Qualitative Research Methods. SAGE Publications, Inc&lt;/title&gt;&lt;short-title&gt;Data Saturation. The SAGE Encyclopedia of Qualitative Research Methods. SAGE Publications, Inc.&lt;/short-title&gt;&lt;/titles&gt;&lt;pages&gt;196-197&lt;/pages&gt;&lt;dates&gt;&lt;/dates&gt;&lt;pub-location&gt;Thousand Oaks, CA&lt;/pub-location&gt;&lt;publisher&gt;SAGE Publications, Inc.&lt;/publisher&gt;&lt;urls&gt;&lt;related-urls&gt;&lt;url&gt;http://dx.doi.org/10.4135/9781412963909&lt;/url&gt;&lt;/related-urls&gt;&lt;/urls&gt;&lt;electronic-resource-num&gt;doi: http://dx.doi.org/10.4135/9781412963909&lt;/electronic-resource-num&gt;&lt;remote-database-name&gt;SAGE Research Methods&lt;/remote-database-name&gt;&lt;remote-database-provider&gt;SAGE Publications, Inc.&lt;/remote-database-provider&gt;&lt;language&gt;English&lt;/language&gt;&lt;/record&gt;&lt;/Cite&gt;&lt;/EndNote&gt;</w:instrText>
        </w:r>
        <w:r w:rsidR="00B24FEE">
          <w:fldChar w:fldCharType="separate"/>
        </w:r>
        <w:r w:rsidR="00B24FEE" w:rsidRPr="00B24FEE">
          <w:rPr>
            <w:noProof/>
            <w:vertAlign w:val="superscript"/>
          </w:rPr>
          <w:t>70</w:t>
        </w:r>
        <w:r w:rsidR="00B24FEE">
          <w:fldChar w:fldCharType="end"/>
        </w:r>
      </w:hyperlink>
      <w:r w:rsidRPr="00591BFC">
        <w:t>, criterion sampling was applied to ensure an adequate range of professionals to enable us to address the issues under study</w:t>
      </w:r>
      <w:hyperlink w:anchor="_ENREF_71" w:tooltip="Baker, 2012 #644" w:history="1">
        <w:r w:rsidR="00B24FEE">
          <w:fldChar w:fldCharType="begin"/>
        </w:r>
        <w:r w:rsidR="00B24FEE">
          <w:instrText xml:space="preserve"> ADDIN EN.CITE &lt;EndNote&gt;&lt;Cite&gt;&lt;Author&gt;Baker&lt;/Author&gt;&lt;Year&gt;2012&lt;/Year&gt;&lt;RecNum&gt;644&lt;/RecNum&gt;&lt;DisplayText&gt;&lt;style face="superscript"&gt;71&lt;/style&gt;&lt;/DisplayText&gt;&lt;record&gt;&lt;rec-number&gt;644&lt;/rec-number&gt;&lt;foreign-keys&gt;&lt;key app="EN" db-id="sxpszd2ti9dx04ewefrvfp5bpf5faazszr9p" timestamp="0"&gt;644&lt;/key&gt;&lt;/foreign-keys&gt;&lt;ref-type name="Report"&gt;27&lt;/ref-type&gt;&lt;contributors&gt;&lt;authors&gt;&lt;author&gt;Baker, S. E., Edwards, R.&lt;/author&gt;&lt;/authors&gt;&lt;/contributors&gt;&lt;titles&gt;&lt;title&gt;How many qualitative interviews is enough?&lt;/title&gt;&lt;/titles&gt;&lt;dates&gt;&lt;year&gt;2012&lt;/year&gt;&lt;/dates&gt;&lt;publisher&gt;National Centre for Research Methods&lt;/publisher&gt;&lt;urls&gt;&lt;/urls&gt;&lt;/record&gt;&lt;/Cite&gt;&lt;/EndNote&gt;</w:instrText>
        </w:r>
        <w:r w:rsidR="00B24FEE">
          <w:fldChar w:fldCharType="separate"/>
        </w:r>
        <w:r w:rsidR="00B24FEE" w:rsidRPr="00B24FEE">
          <w:rPr>
            <w:noProof/>
            <w:vertAlign w:val="superscript"/>
          </w:rPr>
          <w:t>71</w:t>
        </w:r>
        <w:r w:rsidR="00B24FEE">
          <w:fldChar w:fldCharType="end"/>
        </w:r>
      </w:hyperlink>
      <w:r w:rsidRPr="00591BFC">
        <w:t xml:space="preserve">.  </w:t>
      </w:r>
    </w:p>
    <w:p w14:paraId="077B15EE" w14:textId="77777777" w:rsidR="00B70DDB" w:rsidRPr="00591BFC" w:rsidRDefault="00B70DDB" w:rsidP="00E86771">
      <w:pPr>
        <w:pStyle w:val="NoSpacing"/>
        <w:spacing w:line="360" w:lineRule="auto"/>
      </w:pPr>
    </w:p>
    <w:p w14:paraId="18050EC0" w14:textId="77777777" w:rsidR="00B70DDB" w:rsidRPr="00591BFC" w:rsidRDefault="00B70DDB" w:rsidP="00E86771">
      <w:pPr>
        <w:pStyle w:val="Heading3"/>
        <w:spacing w:line="360" w:lineRule="auto"/>
        <w:rPr>
          <w:rFonts w:ascii="Calibri" w:hAnsi="Calibri"/>
          <w:lang w:val="en-GB"/>
        </w:rPr>
      </w:pPr>
      <w:bookmarkStart w:id="126" w:name="_Toc308300733"/>
      <w:bookmarkStart w:id="127" w:name="_Toc311366540"/>
      <w:r w:rsidRPr="00591BFC">
        <w:rPr>
          <w:rFonts w:ascii="Calibri" w:hAnsi="Calibri"/>
          <w:lang w:val="en-GB"/>
        </w:rPr>
        <w:t>Ethical Approval</w:t>
      </w:r>
      <w:bookmarkEnd w:id="126"/>
      <w:bookmarkEnd w:id="127"/>
    </w:p>
    <w:p w14:paraId="15139393" w14:textId="77777777" w:rsidR="00B70DDB" w:rsidRPr="00591BFC" w:rsidRDefault="00B70DDB" w:rsidP="00E86771">
      <w:pPr>
        <w:pStyle w:val="NoSpacing"/>
        <w:spacing w:line="360" w:lineRule="auto"/>
      </w:pPr>
    </w:p>
    <w:p w14:paraId="2B112E3E" w14:textId="77777777" w:rsidR="00B70DDB" w:rsidRPr="00591BFC" w:rsidRDefault="00B70DDB" w:rsidP="00E86771">
      <w:pPr>
        <w:pStyle w:val="NoSpacing"/>
        <w:spacing w:line="360" w:lineRule="auto"/>
        <w:rPr>
          <w:rFonts w:cs="Tms Rmn"/>
        </w:rPr>
      </w:pPr>
      <w:r w:rsidRPr="00591BFC">
        <w:t xml:space="preserve">Ethical approval was provided by the University of Oxford’s Central University Research Ethics Committee (CUREC) in 2012, reference number MSD-IDREC-C1-2012-147. Each NHS Trust involved provided R&amp;D approval. Participants all provided their written consent prior to interview. This consent process emphasised </w:t>
      </w:r>
      <w:r w:rsidRPr="00591BFC">
        <w:rPr>
          <w:rFonts w:cs="Tms Rmn"/>
        </w:rPr>
        <w:t xml:space="preserve">the aims of the research and that participation was voluntary. Participants were also asked to provide their consent to audio-recording and to inclusion of anonymous quotations in study publications. </w:t>
      </w:r>
    </w:p>
    <w:p w14:paraId="4D27D112" w14:textId="77777777" w:rsidR="00B70DDB" w:rsidRPr="00591BFC" w:rsidRDefault="00B70DDB" w:rsidP="00E86771">
      <w:pPr>
        <w:pStyle w:val="NoSpacing"/>
        <w:spacing w:line="360" w:lineRule="auto"/>
        <w:rPr>
          <w:b/>
        </w:rPr>
      </w:pPr>
    </w:p>
    <w:p w14:paraId="0B8C837F" w14:textId="77777777" w:rsidR="00B70DDB" w:rsidRPr="00591BFC" w:rsidRDefault="00B70DDB" w:rsidP="00E86771">
      <w:pPr>
        <w:pStyle w:val="Heading3"/>
        <w:spacing w:line="360" w:lineRule="auto"/>
        <w:rPr>
          <w:rFonts w:ascii="Calibri" w:hAnsi="Calibri"/>
          <w:lang w:val="en-GB"/>
        </w:rPr>
      </w:pPr>
      <w:bookmarkStart w:id="128" w:name="_Toc308300734"/>
      <w:bookmarkStart w:id="129" w:name="_Toc311366541"/>
      <w:r w:rsidRPr="00591BFC">
        <w:rPr>
          <w:rFonts w:ascii="Calibri" w:hAnsi="Calibri"/>
          <w:lang w:val="en-GB"/>
        </w:rPr>
        <w:t>Interview procedure</w:t>
      </w:r>
      <w:bookmarkEnd w:id="128"/>
      <w:bookmarkEnd w:id="129"/>
    </w:p>
    <w:p w14:paraId="289D5E74" w14:textId="77777777" w:rsidR="00B70DDB" w:rsidRPr="00591BFC" w:rsidRDefault="00B70DDB" w:rsidP="00E86771">
      <w:pPr>
        <w:pStyle w:val="NoSpacing"/>
        <w:spacing w:line="360" w:lineRule="auto"/>
      </w:pPr>
    </w:p>
    <w:p w14:paraId="383D4E46" w14:textId="457D1E90" w:rsidR="00B70DDB" w:rsidRPr="00591BFC" w:rsidRDefault="00B70DDB" w:rsidP="00E86771">
      <w:pPr>
        <w:pStyle w:val="NoSpacing"/>
        <w:spacing w:line="360" w:lineRule="auto"/>
      </w:pPr>
      <w:r w:rsidRPr="00591BFC">
        <w:t>A qualitative researcher (SD) undertook interviews in 2013. All except one interview were conducted face-to-face at the participants’ workplaces; one interview took place by telephone. Interviews were between 30 and 50 minutes long. A topic guide (</w:t>
      </w:r>
      <w:r w:rsidR="00FC769E" w:rsidRPr="00591BFC">
        <w:t>Appendix 2</w:t>
      </w:r>
      <w:r w:rsidRPr="00591BFC">
        <w:t>) was used to help ensure that similar questions were asked of all participants. The topic guide was structured into three areas. The first topic area was based on the four core elements of a fracture prevention service outlined by the International Osteoporosis Foundation (IOF) as part of the ‘Capture the Fracture’ initiative</w:t>
      </w:r>
      <w:r w:rsidR="00B3555E" w:rsidRPr="00591BFC">
        <w:t xml:space="preserve"> </w:t>
      </w:r>
      <w:hyperlink w:anchor="_ENREF_34" w:tooltip="Akesson, 2013 #92" w:history="1">
        <w:r w:rsidR="00B24FEE">
          <w:fldChar w:fldCharType="begin"/>
        </w:r>
        <w:r w:rsidR="00B24FEE">
          <w:instrText xml:space="preserve"> ADDIN EN.CITE &lt;EndNote&gt;&lt;Cite&gt;&lt;Author&gt;Akesson&lt;/Author&gt;&lt;Year&gt;2013&lt;/Year&gt;&lt;RecNum&gt;92&lt;/RecNum&gt;&lt;DisplayText&gt;&lt;style face="superscript"&gt;34&lt;/style&gt;&lt;/DisplayText&gt;&lt;record&gt;&lt;rec-number&gt;92&lt;/rec-number&gt;&lt;foreign-keys&gt;&lt;key app="EN" db-id="sxpszd2ti9dx04ewefrvfp5bpf5faazszr9p" timestamp="0"&gt;92&lt;/key&gt;&lt;/foreign-keys&gt;&lt;ref-type name="Journal Article"&gt;17&lt;/ref-type&gt;&lt;contributors&gt;&lt;authors&gt;&lt;author&gt;Akesson, K.&lt;/author&gt;&lt;author&gt;Marsh, D.&lt;/author&gt;&lt;author&gt;Mitchell, P. J.&lt;/author&gt;&lt;author&gt;McLellan, A. R.&lt;/author&gt;&lt;author&gt;Stenmark, J.&lt;/author&gt;&lt;author&gt;Pierroz, D. D.&lt;/author&gt;&lt;author&gt;Kyer, C.&lt;/author&gt;&lt;author&gt;Cooper, C.&lt;/author&gt;&lt;/authors&gt;&lt;/contributors&gt;&lt;auth-address&gt;Department of Orthopaedics Malmo, Skane University Hospital, Malmo, Sweden.&lt;/auth-address&gt;&lt;titles&gt;&lt;title&gt;Capture the Fracture: a Best Practice Framework and global campaign to break the fragility fracture cycle&lt;/title&gt;&lt;secondary-title&gt;Osteoporos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2135-52&lt;/pages&gt;&lt;volume&gt;24&lt;/volume&gt;&lt;number&gt;8&lt;/number&gt;&lt;edition&gt;2013/04/17&lt;/edition&gt;&lt;dates&gt;&lt;year&gt;2013&lt;/year&gt;&lt;pub-dates&gt;&lt;date&gt;Aug&lt;/date&gt;&lt;/pub-dates&gt;&lt;/dates&gt;&lt;isbn&gt;0937-941x&lt;/isbn&gt;&lt;accession-num&gt;23589162&lt;/accession-num&gt;&lt;urls&gt;&lt;/urls&gt;&lt;custom2&gt;Pmc3706734&lt;/custom2&gt;&lt;electronic-resource-num&gt;10.1007/s00198-013-2348-z&lt;/electronic-resource-num&gt;&lt;remote-database-provider&gt;Nlm&lt;/remote-database-provider&gt;&lt;language&gt;eng&lt;/language&gt;&lt;/record&gt;&lt;/Cite&gt;&lt;/EndNote&gt;</w:instrText>
        </w:r>
        <w:r w:rsidR="00B24FEE">
          <w:fldChar w:fldCharType="separate"/>
        </w:r>
        <w:r w:rsidR="00B24FEE" w:rsidRPr="00B24FEE">
          <w:rPr>
            <w:noProof/>
            <w:vertAlign w:val="superscript"/>
          </w:rPr>
          <w:t>34</w:t>
        </w:r>
        <w:r w:rsidR="00B24FEE">
          <w:fldChar w:fldCharType="end"/>
        </w:r>
      </w:hyperlink>
      <w:r w:rsidRPr="00591BFC">
        <w:t xml:space="preserve">. This helped the researcher to explore participants’ views on the best models of care for the secondary fracture across the four main components of a fracture prevention service and co-ordination of care. The second area covered in interviews was structured around the four constructs of extended </w:t>
      </w:r>
      <w:r w:rsidR="006B566C" w:rsidRPr="00591BFC">
        <w:t xml:space="preserve">NPT </w:t>
      </w:r>
      <w:r w:rsidRPr="00591BFC">
        <w:t xml:space="preserve"> to enable exploration of participants’ experiences of implementing fracture prevention services. The third area explored in interview was participants’ experiences of making business cases for a FLS, factors that they felt informed the decision of commissioners to approve the new service and what they considered to be the best strategies for making them. The interviewer used standard qualitative interview methods such as ‘probing’ to help achieve depth in the interviews</w:t>
      </w:r>
      <w:hyperlink w:anchor="_ENREF_72" w:tooltip="Ayres,  #1226" w:history="1">
        <w:r w:rsidR="00B24FEE">
          <w:fldChar w:fldCharType="begin"/>
        </w:r>
        <w:r w:rsidR="00B24FEE">
          <w:instrText xml:space="preserve"> ADDIN EN.CITE &lt;EndNote&gt;&lt;Cite ExcludeYear="1"&gt;&lt;Author&gt;Ayres&lt;/Author&gt;&lt;RecNum&gt;1226&lt;/RecNum&gt;&lt;DisplayText&gt;&lt;style face="superscript"&gt;72&lt;/style&gt;&lt;/DisplayText&gt;&lt;record&gt;&lt;rec-number&gt;1226&lt;/rec-number&gt;&lt;foreign-keys&gt;&lt;key app="EN" db-id="sxpszd2ti9dx04ewefrvfp5bpf5faazszr9p" timestamp="1435758932"&gt;1226&lt;/key&gt;&lt;/foreign-keys&gt;&lt;ref-type name="Book"&gt;6&lt;/ref-type&gt;&lt;contributors&gt;&lt;authors&gt;&lt;author&gt;Ayres, L. &lt;/author&gt;&lt;/authors&gt;&lt;/contributors&gt;&lt;titles&gt;&lt;title&gt;Semi-Structured Interview. The SAGE Encyclopedia of Qualitative Research Methods&lt;/title&gt;&lt;/titles&gt;&lt;section&gt;811-812&lt;/section&gt;&lt;dates&gt;&lt;/dates&gt;&lt;publisher&gt;SAGE Publications, Inc.&lt;/publisher&gt;&lt;urls&gt;&lt;/urls&gt;&lt;/record&gt;&lt;/Cite&gt;&lt;/EndNote&gt;</w:instrText>
        </w:r>
        <w:r w:rsidR="00B24FEE">
          <w:fldChar w:fldCharType="separate"/>
        </w:r>
        <w:r w:rsidR="00B24FEE" w:rsidRPr="00B24FEE">
          <w:rPr>
            <w:noProof/>
            <w:vertAlign w:val="superscript"/>
          </w:rPr>
          <w:t>72</w:t>
        </w:r>
        <w:r w:rsidR="00B24FEE">
          <w:fldChar w:fldCharType="end"/>
        </w:r>
      </w:hyperlink>
      <w:r w:rsidRPr="00591BFC">
        <w:t xml:space="preserve">. After the first four interviews we revisited the topic guide and made amendments to it to ensure it enabled us to successfully explore the issues under study. The topic guide shown in this report is the final topic </w:t>
      </w:r>
      <w:r w:rsidRPr="00591BFC">
        <w:lastRenderedPageBreak/>
        <w:t xml:space="preserve">guide used in the study. All interviews, including the first four pilot interviews, are included in the final dataset.  </w:t>
      </w:r>
    </w:p>
    <w:p w14:paraId="22F0ADDF" w14:textId="77777777" w:rsidR="00B70DDB" w:rsidRPr="00591BFC" w:rsidRDefault="00B70DDB" w:rsidP="00E86771">
      <w:pPr>
        <w:pStyle w:val="NoSpacing"/>
        <w:spacing w:line="360" w:lineRule="auto"/>
      </w:pPr>
    </w:p>
    <w:p w14:paraId="064B00B5" w14:textId="77777777" w:rsidR="00B70DDB" w:rsidRPr="00591BFC" w:rsidRDefault="00B70DDB" w:rsidP="00E86771">
      <w:pPr>
        <w:pStyle w:val="Heading3"/>
        <w:spacing w:line="360" w:lineRule="auto"/>
        <w:rPr>
          <w:rFonts w:ascii="Calibri" w:hAnsi="Calibri"/>
          <w:lang w:val="en-GB"/>
        </w:rPr>
      </w:pPr>
      <w:bookmarkStart w:id="130" w:name="_Toc308300735"/>
      <w:bookmarkStart w:id="131" w:name="_Toc311366542"/>
      <w:r w:rsidRPr="00591BFC">
        <w:rPr>
          <w:rFonts w:ascii="Calibri" w:hAnsi="Calibri"/>
          <w:lang w:val="en-GB"/>
        </w:rPr>
        <w:t>Data analysis</w:t>
      </w:r>
      <w:bookmarkEnd w:id="130"/>
      <w:bookmarkEnd w:id="131"/>
    </w:p>
    <w:p w14:paraId="0666D82E" w14:textId="77777777" w:rsidR="00B70DDB" w:rsidRPr="00591BFC" w:rsidRDefault="00B70DDB" w:rsidP="00E86771">
      <w:pPr>
        <w:pStyle w:val="NoSpacing"/>
        <w:spacing w:line="360" w:lineRule="auto"/>
      </w:pPr>
    </w:p>
    <w:p w14:paraId="32800792" w14:textId="5F4F4D88" w:rsidR="00B70DDB" w:rsidRPr="00591BFC" w:rsidRDefault="00B70DDB" w:rsidP="00E86771">
      <w:pPr>
        <w:pStyle w:val="NoSpacing"/>
        <w:spacing w:line="360" w:lineRule="auto"/>
      </w:pPr>
      <w:r w:rsidRPr="00591BFC">
        <w:t xml:space="preserve">Interviews were audio-recorded, transcribed, anonymised and imported into the qualitative data analysis software NVivo.  Analysis took place in two parts. Part 1 used coding and an abductive approach to address how and why secondary fracture prevention services can be successfully implemented in secondary care using extended </w:t>
      </w:r>
      <w:r w:rsidR="006B566C" w:rsidRPr="00591BFC">
        <w:t xml:space="preserve">NPT </w:t>
      </w:r>
      <w:r w:rsidRPr="00591BFC">
        <w:t>to provide theoretical basis to the analysis. Part 2 was an inductive thematic analysis, albeit that it was focused on exploring participants’ experiences of making business cases for a FLS, factors that they felt informed the decision of commissioners to approve the new service and what they considered to be the best strategies for making them.</w:t>
      </w:r>
    </w:p>
    <w:p w14:paraId="74AF41FB" w14:textId="77777777" w:rsidR="00B70DDB" w:rsidRPr="00591BFC" w:rsidRDefault="00B70DDB" w:rsidP="00E86771">
      <w:pPr>
        <w:pStyle w:val="NoSpacing"/>
        <w:spacing w:line="360" w:lineRule="auto"/>
      </w:pPr>
    </w:p>
    <w:p w14:paraId="02832124" w14:textId="77777777" w:rsidR="00B70DDB" w:rsidRPr="00591BFC" w:rsidRDefault="00B70DDB" w:rsidP="00E86771">
      <w:pPr>
        <w:pStyle w:val="Heading4"/>
        <w:spacing w:line="360" w:lineRule="auto"/>
        <w:rPr>
          <w:rFonts w:ascii="Calibri" w:hAnsi="Calibri"/>
        </w:rPr>
      </w:pPr>
      <w:r w:rsidRPr="00591BFC">
        <w:rPr>
          <w:rFonts w:ascii="Calibri" w:hAnsi="Calibri"/>
        </w:rPr>
        <w:t xml:space="preserve">Part 1: How and why secondary fracture prevention services can be successfully implemented in secondary care using extended </w:t>
      </w:r>
      <w:r w:rsidR="003A3A41" w:rsidRPr="00591BFC">
        <w:rPr>
          <w:rFonts w:ascii="Calibri" w:hAnsi="Calibri"/>
        </w:rPr>
        <w:t>Normalisation</w:t>
      </w:r>
      <w:r w:rsidRPr="00591BFC">
        <w:rPr>
          <w:rFonts w:ascii="Calibri" w:hAnsi="Calibri"/>
        </w:rPr>
        <w:t xml:space="preserve"> Process Theory</w:t>
      </w:r>
    </w:p>
    <w:p w14:paraId="7B9B055E" w14:textId="77777777" w:rsidR="00B70DDB" w:rsidRPr="00591BFC" w:rsidRDefault="00B70DDB" w:rsidP="00E86771">
      <w:pPr>
        <w:pStyle w:val="NoSpacing"/>
        <w:spacing w:line="360" w:lineRule="auto"/>
        <w:rPr>
          <w:b/>
        </w:rPr>
      </w:pPr>
    </w:p>
    <w:p w14:paraId="0529D633" w14:textId="5CE45C35" w:rsidR="00B70DDB" w:rsidRPr="00591BFC" w:rsidRDefault="00B70DDB" w:rsidP="00E86771">
      <w:pPr>
        <w:pStyle w:val="NoSpacing"/>
        <w:spacing w:line="360" w:lineRule="auto"/>
      </w:pPr>
      <w:r w:rsidRPr="00591BFC">
        <w:t>Analysis was undertaken using an abductive approach</w:t>
      </w:r>
      <w:hyperlink w:anchor="_ENREF_73" w:tooltip="Shank,  #1097" w:history="1">
        <w:r w:rsidR="00B24FEE">
          <w:fldChar w:fldCharType="begin"/>
        </w:r>
        <w:r w:rsidR="00B24FEE">
          <w:instrText xml:space="preserve"> ADDIN EN.CITE &lt;EndNote&gt;&lt;Cite ExcludeYear="1"&gt;&lt;Author&gt;Shank&lt;/Author&gt;&lt;RecNum&gt;1097&lt;/RecNum&gt;&lt;DisplayText&gt;&lt;style face="superscript"&gt;73&lt;/style&gt;&lt;/DisplayText&gt;&lt;record&gt;&lt;rec-number&gt;1097&lt;/rec-number&gt;&lt;foreign-keys&gt;&lt;key app="EN" db-id="sxpszd2ti9dx04ewefrvfp5bpf5faazszr9p" timestamp="0"&gt;1097&lt;/key&gt;&lt;/foreign-keys&gt;&lt;ref-type name="Book"&gt;6&lt;/ref-type&gt;&lt;contributors&gt;&lt;authors&gt;&lt;author&gt;Gary Shank&lt;/author&gt;&lt;/authors&gt;&lt;/contributors&gt;&lt;titles&gt;&lt;title&gt;Abduction. The SAGE Encyclopedia of Qualitative Research Methods. SAGE Publications, Inc&lt;/title&gt;&lt;short-title&gt;Abduction. The SAGE Encyclopedia of Qualitative Research Methods. SAGE Publications, Inc.&lt;/short-title&gt;&lt;/titles&gt;&lt;pages&gt;2-3&lt;/pages&gt;&lt;dates&gt;&lt;/dates&gt;&lt;pub-location&gt;Thousand Oaks, CA&lt;/pub-location&gt;&lt;publisher&gt;SAGE Publications, Inc.&lt;/publisher&gt;&lt;urls&gt;&lt;related-urls&gt;&lt;url&gt;http://dx.doi.org/10.4135/9781412963909&lt;/url&gt;&lt;/related-urls&gt;&lt;/urls&gt;&lt;electronic-resource-num&gt;doi: http://dx.doi.org/10.4135/9781412963909&lt;/electronic-resource-num&gt;&lt;remote-database-name&gt;SAGE Research Methods&lt;/remote-database-name&gt;&lt;remote-database-provider&gt;SAGE Publications, Inc.&lt;/remote-database-provider&gt;&lt;language&gt;English&lt;/language&gt;&lt;/record&gt;&lt;/Cite&gt;&lt;/EndNote&gt;</w:instrText>
        </w:r>
        <w:r w:rsidR="00B24FEE">
          <w:fldChar w:fldCharType="separate"/>
        </w:r>
        <w:r w:rsidR="00B24FEE" w:rsidRPr="00B24FEE">
          <w:rPr>
            <w:noProof/>
            <w:vertAlign w:val="superscript"/>
          </w:rPr>
          <w:t>73</w:t>
        </w:r>
        <w:r w:rsidR="00B24FEE">
          <w:fldChar w:fldCharType="end"/>
        </w:r>
      </w:hyperlink>
      <w:r w:rsidRPr="00591BFC">
        <w:t>. This involved initial thematic analysis, which comprised inductive coding of data to identify themes and subthemes in the responses</w:t>
      </w:r>
      <w:hyperlink w:anchor="_ENREF_74" w:tooltip="Braun, 2006 #626" w:history="1">
        <w:r w:rsidR="00B24FEE">
          <w:fldChar w:fldCharType="begin"/>
        </w:r>
        <w:r w:rsidR="00B24FEE">
          <w:instrText xml:space="preserve"> ADDIN EN.CITE &lt;EndNote&gt;&lt;Cite&gt;&lt;Author&gt;Braun&lt;/Author&gt;&lt;Year&gt;2006&lt;/Year&gt;&lt;RecNum&gt;626&lt;/RecNum&gt;&lt;DisplayText&gt;&lt;style face="superscript"&gt;74&lt;/style&gt;&lt;/DisplayText&gt;&lt;record&gt;&lt;rec-number&gt;626&lt;/rec-number&gt;&lt;foreign-keys&gt;&lt;key app="EN" db-id="sxpszd2ti9dx04ewefrvfp5bpf5faazszr9p" timestamp="0"&gt;626&lt;/key&gt;&lt;/foreign-keys&gt;&lt;ref-type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ages&gt;77-101&lt;/pages&gt;&lt;volume&gt;3&lt;/volume&gt;&lt;number&gt;2&lt;/number&gt;&lt;dates&gt;&lt;year&gt;2006&lt;/year&gt;&lt;pub-dates&gt;&lt;date&gt;2006/01/01&lt;/date&gt;&lt;/pub-dates&gt;&lt;/dates&gt;&lt;publisher&gt;Routledge&lt;/publisher&gt;&lt;isbn&gt;1478-0887&lt;/isbn&gt;&lt;urls&gt;&lt;related-urls&gt;&lt;url&gt;http://www.tandfonline.com/doi/abs/10.1191/1478088706qp063oa&lt;/url&gt;&lt;/related-urls&gt;&lt;/urls&gt;&lt;electronic-resource-num&gt;10.1191/1478088706qp063oa&lt;/electronic-resource-num&gt;&lt;access-date&gt;2014/05/06&lt;/access-date&gt;&lt;/record&gt;&lt;/Cite&gt;&lt;/EndNote&gt;</w:instrText>
        </w:r>
        <w:r w:rsidR="00B24FEE">
          <w:fldChar w:fldCharType="separate"/>
        </w:r>
        <w:r w:rsidR="00B24FEE" w:rsidRPr="00B24FEE">
          <w:rPr>
            <w:noProof/>
            <w:vertAlign w:val="superscript"/>
          </w:rPr>
          <w:t>74</w:t>
        </w:r>
        <w:r w:rsidR="00B24FEE">
          <w:fldChar w:fldCharType="end"/>
        </w:r>
      </w:hyperlink>
      <w:r w:rsidRPr="00591BFC">
        <w:t xml:space="preserve">. Coded data were then transposed onto the four constructs of extended </w:t>
      </w:r>
      <w:r w:rsidR="006B566C" w:rsidRPr="00591BFC">
        <w:t>NPT</w:t>
      </w:r>
      <w:r w:rsidRPr="00591BFC">
        <w:t>. In order to compare and contrast participant</w:t>
      </w:r>
      <w:r w:rsidR="00E5050E" w:rsidRPr="00591BFC">
        <w:t>s’</w:t>
      </w:r>
      <w:r w:rsidRPr="00591BFC">
        <w:t xml:space="preserve"> responses, data was then displayed on charts using the framework approach to data organisation</w:t>
      </w:r>
      <w:hyperlink w:anchor="_ENREF_75" w:tooltip="Ritchie, 2003 #52" w:history="1">
        <w:r w:rsidR="00B24FEE">
          <w:fldChar w:fldCharType="begin"/>
        </w:r>
        <w:r w:rsidR="00B24FEE">
          <w:instrText xml:space="preserve"> ADDIN EN.CITE &lt;EndNote&gt;&lt;Cite&gt;&lt;Author&gt;Ritchie&lt;/Author&gt;&lt;Year&gt;2003&lt;/Year&gt;&lt;RecNum&gt;52&lt;/RecNum&gt;&lt;DisplayText&gt;&lt;style face="superscript"&gt;75&lt;/style&gt;&lt;/DisplayText&gt;&lt;record&gt;&lt;rec-number&gt;52&lt;/rec-number&gt;&lt;foreign-keys&gt;&lt;key app="EN" db-id="sxpszd2ti9dx04ewefrvfp5bpf5faazszr9p" timestamp="0"&gt;52&lt;/key&gt;&lt;/foreign-keys&gt;&lt;ref-type name="Book"&gt;6&lt;/ref-type&gt;&lt;contributors&gt;&lt;authors&gt;&lt;author&gt;Ritchie, J.&lt;/author&gt;&lt;author&gt;Lewis, J.&lt;/author&gt;&lt;author&gt;(eds).&lt;/author&gt;&lt;/authors&gt;&lt;/contributors&gt;&lt;titles&gt;&lt;title&gt;Qualitative research practice: a guide for social science students and researchers. &lt;/title&gt;&lt;/titles&gt;&lt;dates&gt;&lt;year&gt;2003&lt;/year&gt;&lt;/dates&gt;&lt;publisher&gt;London: Sage.&lt;/publisher&gt;&lt;urls&gt;&lt;/urls&gt;&lt;/record&gt;&lt;/Cite&gt;&lt;/EndNote&gt;</w:instrText>
        </w:r>
        <w:r w:rsidR="00B24FEE">
          <w:fldChar w:fldCharType="separate"/>
        </w:r>
        <w:r w:rsidR="00B24FEE" w:rsidRPr="00B24FEE">
          <w:rPr>
            <w:noProof/>
            <w:vertAlign w:val="superscript"/>
          </w:rPr>
          <w:t>75</w:t>
        </w:r>
        <w:r w:rsidR="00B24FEE">
          <w:fldChar w:fldCharType="end"/>
        </w:r>
      </w:hyperlink>
      <w:r w:rsidRPr="00591BFC">
        <w:t xml:space="preserve">. </w:t>
      </w:r>
    </w:p>
    <w:p w14:paraId="310B0E10" w14:textId="77777777" w:rsidR="00B70DDB" w:rsidRPr="00591BFC" w:rsidRDefault="00B70DDB" w:rsidP="00E86771">
      <w:pPr>
        <w:pStyle w:val="NoSpacing"/>
        <w:spacing w:line="360" w:lineRule="auto"/>
      </w:pPr>
    </w:p>
    <w:p w14:paraId="102743BF" w14:textId="77777777" w:rsidR="00B70DDB" w:rsidRPr="00591BFC" w:rsidRDefault="00B70DDB" w:rsidP="00E86771">
      <w:pPr>
        <w:pStyle w:val="Heading4"/>
        <w:spacing w:line="360" w:lineRule="auto"/>
        <w:rPr>
          <w:rFonts w:ascii="Calibri" w:hAnsi="Calibri"/>
        </w:rPr>
      </w:pPr>
      <w:r w:rsidRPr="00591BFC">
        <w:rPr>
          <w:rFonts w:ascii="Calibri" w:hAnsi="Calibri"/>
        </w:rPr>
        <w:t>Part 2: Exploring participants’ experiences of making business cases for a FLS</w:t>
      </w:r>
    </w:p>
    <w:p w14:paraId="4D5EB840" w14:textId="77777777" w:rsidR="00B70DDB" w:rsidRPr="00591BFC" w:rsidRDefault="00B70DDB" w:rsidP="00E86771">
      <w:pPr>
        <w:pStyle w:val="NoSpacing"/>
        <w:spacing w:line="360" w:lineRule="auto"/>
      </w:pPr>
    </w:p>
    <w:p w14:paraId="45CF3C20" w14:textId="532718EA" w:rsidR="00B70DDB" w:rsidRPr="00591BFC" w:rsidRDefault="00B70DDB" w:rsidP="00E86771">
      <w:pPr>
        <w:pStyle w:val="NoSpacing"/>
        <w:spacing w:line="360" w:lineRule="auto"/>
      </w:pPr>
      <w:r w:rsidRPr="00591BFC">
        <w:t>Data was analysed using a thematic approach to identify themes and subthemes in the responses</w:t>
      </w:r>
      <w:hyperlink w:anchor="_ENREF_74" w:tooltip="Braun, 2006 #626" w:history="1">
        <w:r w:rsidR="00B24FEE">
          <w:fldChar w:fldCharType="begin"/>
        </w:r>
        <w:r w:rsidR="00B24FEE">
          <w:instrText xml:space="preserve"> ADDIN EN.CITE &lt;EndNote&gt;&lt;Cite&gt;&lt;Author&gt;Braun&lt;/Author&gt;&lt;Year&gt;2006&lt;/Year&gt;&lt;RecNum&gt;626&lt;/RecNum&gt;&lt;DisplayText&gt;&lt;style face="superscript"&gt;74&lt;/style&gt;&lt;/DisplayText&gt;&lt;record&gt;&lt;rec-number&gt;626&lt;/rec-number&gt;&lt;foreign-keys&gt;&lt;key app="EN" db-id="sxpszd2ti9dx04ewefrvfp5bpf5faazszr9p" timestamp="0"&gt;626&lt;/key&gt;&lt;/foreign-keys&gt;&lt;ref-type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ages&gt;77-101&lt;/pages&gt;&lt;volume&gt;3&lt;/volume&gt;&lt;number&gt;2&lt;/number&gt;&lt;dates&gt;&lt;year&gt;2006&lt;/year&gt;&lt;pub-dates&gt;&lt;date&gt;2006/01/01&lt;/date&gt;&lt;/pub-dates&gt;&lt;/dates&gt;&lt;publisher&gt;Routledge&lt;/publisher&gt;&lt;isbn&gt;1478-0887&lt;/isbn&gt;&lt;urls&gt;&lt;related-urls&gt;&lt;url&gt;http://www.tandfonline.com/doi/abs/10.1191/1478088706qp063oa&lt;/url&gt;&lt;/related-urls&gt;&lt;/urls&gt;&lt;electronic-resource-num&gt;10.1191/1478088706qp063oa&lt;/electronic-resource-num&gt;&lt;access-date&gt;2014/05/06&lt;/access-date&gt;&lt;/record&gt;&lt;/Cite&gt;&lt;/EndNote&gt;</w:instrText>
        </w:r>
        <w:r w:rsidR="00B24FEE">
          <w:fldChar w:fldCharType="separate"/>
        </w:r>
        <w:r w:rsidR="00B24FEE" w:rsidRPr="00B24FEE">
          <w:rPr>
            <w:noProof/>
            <w:vertAlign w:val="superscript"/>
          </w:rPr>
          <w:t>74</w:t>
        </w:r>
        <w:r w:rsidR="00B24FEE">
          <w:fldChar w:fldCharType="end"/>
        </w:r>
      </w:hyperlink>
      <w:r w:rsidRPr="00591BFC">
        <w:t>. A framework approach to data organisation was also applied here to facilitate cross-comparison of responses</w:t>
      </w:r>
      <w:hyperlink w:anchor="_ENREF_75" w:tooltip="Ritchie, 2003 #52" w:history="1">
        <w:r w:rsidR="00B24FEE">
          <w:fldChar w:fldCharType="begin"/>
        </w:r>
        <w:r w:rsidR="00B24FEE">
          <w:instrText xml:space="preserve"> ADDIN EN.CITE &lt;EndNote&gt;&lt;Cite&gt;&lt;Author&gt;Ritchie&lt;/Author&gt;&lt;Year&gt;2003&lt;/Year&gt;&lt;RecNum&gt;52&lt;/RecNum&gt;&lt;DisplayText&gt;&lt;style face="superscript"&gt;75&lt;/style&gt;&lt;/DisplayText&gt;&lt;record&gt;&lt;rec-number&gt;52&lt;/rec-number&gt;&lt;foreign-keys&gt;&lt;key app="EN" db-id="sxpszd2ti9dx04ewefrvfp5bpf5faazszr9p" timestamp="0"&gt;52&lt;/key&gt;&lt;/foreign-keys&gt;&lt;ref-type name="Book"&gt;6&lt;/ref-type&gt;&lt;contributors&gt;&lt;authors&gt;&lt;author&gt;Ritchie, J.&lt;/author&gt;&lt;author&gt;Lewis, J.&lt;/author&gt;&lt;author&gt;(eds).&lt;/author&gt;&lt;/authors&gt;&lt;/contributors&gt;&lt;titles&gt;&lt;title&gt;Qualitative research practice: a guide for social science students and researchers. &lt;/title&gt;&lt;/titles&gt;&lt;dates&gt;&lt;year&gt;2003&lt;/year&gt;&lt;/dates&gt;&lt;publisher&gt;London: Sage.&lt;/publisher&gt;&lt;urls&gt;&lt;/urls&gt;&lt;/record&gt;&lt;/Cite&gt;&lt;/EndNote&gt;</w:instrText>
        </w:r>
        <w:r w:rsidR="00B24FEE">
          <w:fldChar w:fldCharType="separate"/>
        </w:r>
        <w:r w:rsidR="00B24FEE" w:rsidRPr="00B24FEE">
          <w:rPr>
            <w:noProof/>
            <w:vertAlign w:val="superscript"/>
          </w:rPr>
          <w:t>75</w:t>
        </w:r>
        <w:r w:rsidR="00B24FEE">
          <w:fldChar w:fldCharType="end"/>
        </w:r>
      </w:hyperlink>
      <w:r w:rsidRPr="00591BFC">
        <w:t xml:space="preserve">. </w:t>
      </w:r>
    </w:p>
    <w:p w14:paraId="3A427F67" w14:textId="77777777" w:rsidR="00B70DDB" w:rsidRPr="00591BFC" w:rsidRDefault="00B70DDB" w:rsidP="00E86771">
      <w:pPr>
        <w:pStyle w:val="NoSpacing"/>
        <w:spacing w:line="360" w:lineRule="auto"/>
      </w:pPr>
    </w:p>
    <w:p w14:paraId="764AD8DD" w14:textId="53AF7495" w:rsidR="00B70DDB" w:rsidRPr="00591BFC" w:rsidRDefault="00B70DDB" w:rsidP="00E86771">
      <w:pPr>
        <w:pStyle w:val="NoSpacing"/>
        <w:spacing w:line="360" w:lineRule="auto"/>
      </w:pPr>
      <w:r w:rsidRPr="00591BFC">
        <w:t>In both parts of the analysis, 20% of the interview transcripts were independently coded by another member of the team (RG-H) and codes compared and discussed to arrive at a single code list which was refined as the analysis progressed</w:t>
      </w:r>
      <w:hyperlink w:anchor="_ENREF_76" w:tooltip="Pope, 2000 #627" w:history="1">
        <w:r w:rsidR="00B24FEE">
          <w:fldChar w:fldCharType="begin"/>
        </w:r>
        <w:r w:rsidR="00B24FEE">
          <w:instrText xml:space="preserve"> ADDIN EN.CITE &lt;EndNote&gt;&lt;Cite&gt;&lt;Author&gt;Pope&lt;/Author&gt;&lt;Year&gt;2000&lt;/Year&gt;&lt;RecNum&gt;627&lt;/RecNum&gt;&lt;DisplayText&gt;&lt;style face="superscript"&gt;76&lt;/style&gt;&lt;/DisplayText&gt;&lt;record&gt;&lt;rec-number&gt;627&lt;/rec-number&gt;&lt;foreign-keys&gt;&lt;key app="EN" db-id="sxpszd2ti9dx04ewefrvfp5bpf5faazszr9p" timestamp="0"&gt;627&lt;/key&gt;&lt;/foreign-keys&gt;&lt;ref-type name="Journal Article"&gt;17&lt;/ref-type&gt;&lt;contributors&gt;&lt;authors&gt;&lt;author&gt;Catherine Pope&lt;/author&gt;&lt;author&gt;Sue Ziebland&lt;/author&gt;&lt;author&gt;Nicholas Mays&lt;/author&gt;&lt;/authors&gt;&lt;/contributors&gt;&lt;titles&gt;&lt;title&gt;Analysing qualitative data&lt;/title&gt;&lt;secondary-title&gt;BMJ&lt;/secondary-title&gt;&lt;/titles&gt;&lt;periodical&gt;&lt;full-title&gt;BMJ&lt;/full-title&gt;&lt;/periodical&gt;&lt;pages&gt;114-116&lt;/pages&gt;&lt;volume&gt;320&lt;/volume&gt;&lt;number&gt;7227&lt;/number&gt;&lt;dates&gt;&lt;year&gt;2000&lt;/year&gt;&lt;pub-dates&gt;&lt;date&gt;2000-01-08 08:00:00&lt;/date&gt;&lt;/pub-dates&gt;&lt;/dates&gt;&lt;urls&gt;&lt;pdf-urls&gt;&lt;url&gt;http://www.bmj.com/bmj/320/7227/114.full.pdf&lt;/url&gt;&lt;/pdf-urls&gt;&lt;/urls&gt;&lt;electronic-resource-num&gt;10.1136/bmj.320.7227.114&lt;/electronic-resource-num&gt;&lt;/record&gt;&lt;/Cite&gt;&lt;/EndNote&gt;</w:instrText>
        </w:r>
        <w:r w:rsidR="00B24FEE">
          <w:fldChar w:fldCharType="separate"/>
        </w:r>
        <w:r w:rsidR="00B24FEE" w:rsidRPr="00B24FEE">
          <w:rPr>
            <w:noProof/>
            <w:vertAlign w:val="superscript"/>
          </w:rPr>
          <w:t>76</w:t>
        </w:r>
        <w:r w:rsidR="00B24FEE">
          <w:fldChar w:fldCharType="end"/>
        </w:r>
      </w:hyperlink>
      <w:r w:rsidRPr="00591BFC">
        <w:t>. Descriptive accounts of the data were then generated and discussed.</w:t>
      </w:r>
    </w:p>
    <w:p w14:paraId="306E7EA9" w14:textId="77777777" w:rsidR="00B70DDB" w:rsidRPr="00591BFC" w:rsidRDefault="00B70DDB" w:rsidP="00E86771">
      <w:pPr>
        <w:pStyle w:val="NoSpacing"/>
        <w:spacing w:line="360" w:lineRule="auto"/>
      </w:pPr>
    </w:p>
    <w:p w14:paraId="19FDF449" w14:textId="77777777" w:rsidR="00B70DDB" w:rsidRPr="00591BFC" w:rsidRDefault="00B70DDB" w:rsidP="00E86771">
      <w:pPr>
        <w:pStyle w:val="Heading2"/>
        <w:spacing w:line="360" w:lineRule="auto"/>
        <w:rPr>
          <w:rFonts w:ascii="Calibri" w:hAnsi="Calibri"/>
          <w:lang w:val="en-GB"/>
        </w:rPr>
      </w:pPr>
      <w:bookmarkStart w:id="132" w:name="_Toc308300736"/>
      <w:bookmarkStart w:id="133" w:name="_Toc311366543"/>
      <w:r w:rsidRPr="00591BFC">
        <w:rPr>
          <w:rFonts w:ascii="Calibri" w:hAnsi="Calibri"/>
          <w:lang w:val="en-GB"/>
        </w:rPr>
        <w:lastRenderedPageBreak/>
        <w:t>Results</w:t>
      </w:r>
      <w:bookmarkEnd w:id="132"/>
      <w:bookmarkEnd w:id="133"/>
    </w:p>
    <w:p w14:paraId="3E9154A9" w14:textId="77777777" w:rsidR="00B70DDB" w:rsidRPr="00591BFC" w:rsidRDefault="00B70DDB" w:rsidP="00E86771">
      <w:pPr>
        <w:pStyle w:val="NoSpacing"/>
        <w:spacing w:line="360" w:lineRule="auto"/>
        <w:rPr>
          <w:highlight w:val="yellow"/>
        </w:rPr>
      </w:pPr>
    </w:p>
    <w:p w14:paraId="68699D73" w14:textId="77777777" w:rsidR="00B70DDB" w:rsidRPr="00591BFC" w:rsidRDefault="00B70DDB" w:rsidP="00E86771">
      <w:pPr>
        <w:pStyle w:val="NoSpacing"/>
        <w:spacing w:line="360" w:lineRule="auto"/>
      </w:pPr>
      <w:r w:rsidRPr="00591BFC">
        <w:rPr>
          <w:lang w:eastAsia="en-GB"/>
        </w:rPr>
        <w:t xml:space="preserve">The sample included 38 health professionals and five service managers eight Fracture Prevention Nurses, four Orthogeriatricians, four Geriatricians, two GP Osteoporosis Specialists, five Consultant Trauma Orthopaedic Surgeons, eight Rheumatology Consultants, two Orthopaedic Nurses, one Trauma Matron, one Matron for the Hip Fracture Unit, one Falls Co-ordinator, one Falls Nurse, one Bone Densitometry Specialist and five Service Managers.  Between three to seven participants from each hospital took part in the study. </w:t>
      </w:r>
      <w:r w:rsidRPr="00591BFC">
        <w:t>The range of time spent in their current roles ranged from less than one year to 32 years</w:t>
      </w:r>
      <w:r w:rsidR="00E5050E" w:rsidRPr="00591BFC">
        <w:t>. T</w:t>
      </w:r>
      <w:r w:rsidRPr="00591BFC">
        <w:t xml:space="preserve">ime </w:t>
      </w:r>
      <w:r w:rsidRPr="00591BFC">
        <w:rPr>
          <w:lang w:eastAsia="en-GB"/>
        </w:rPr>
        <w:t xml:space="preserve">spent working at the hospital ranged from less than one year </w:t>
      </w:r>
      <w:r w:rsidRPr="00591BFC">
        <w:t xml:space="preserve">to 27 years. Of the 43 participants, 33 had experience of making business cases for a FLS and only these have been included in the second part of the analysis.  Participants’ key characteristics are displayed in </w:t>
      </w:r>
      <w:r w:rsidR="00180EF2" w:rsidRPr="00591BFC">
        <w:fldChar w:fldCharType="begin"/>
      </w:r>
      <w:r w:rsidR="00180EF2" w:rsidRPr="00591BFC">
        <w:instrText xml:space="preserve"> REF _Ref423089679 \h </w:instrText>
      </w:r>
      <w:r w:rsidR="00E814C1" w:rsidRPr="00591BFC">
        <w:instrText xml:space="preserve"> \* MERGEFORMAT </w:instrText>
      </w:r>
      <w:r w:rsidR="00180EF2" w:rsidRPr="00591BFC">
        <w:fldChar w:fldCharType="separate"/>
      </w:r>
      <w:r w:rsidR="007B18C0" w:rsidRPr="00591BFC">
        <w:t xml:space="preserve">Table </w:t>
      </w:r>
      <w:r w:rsidR="007B18C0" w:rsidRPr="00591BFC">
        <w:rPr>
          <w:noProof/>
        </w:rPr>
        <w:t>8</w:t>
      </w:r>
      <w:r w:rsidR="00180EF2" w:rsidRPr="00591BFC">
        <w:fldChar w:fldCharType="end"/>
      </w:r>
      <w:r w:rsidRPr="00591BFC">
        <w:t>, but we present summarised information only in order to avoid the potential for identification of participants.</w:t>
      </w:r>
    </w:p>
    <w:p w14:paraId="36CA3E9D" w14:textId="77777777" w:rsidR="00B70DDB" w:rsidRPr="00591BFC" w:rsidRDefault="00B70DDB" w:rsidP="00E86771">
      <w:pPr>
        <w:pStyle w:val="NoSpacing"/>
        <w:spacing w:line="360" w:lineRule="auto"/>
      </w:pPr>
    </w:p>
    <w:p w14:paraId="07D0CDDA" w14:textId="77777777" w:rsidR="00180EF2" w:rsidRPr="00591BFC" w:rsidRDefault="00180EF2" w:rsidP="00E86771">
      <w:pPr>
        <w:pStyle w:val="Caption"/>
        <w:keepNext/>
        <w:spacing w:line="360" w:lineRule="auto"/>
      </w:pPr>
      <w:bookmarkStart w:id="134" w:name="_Ref423089679"/>
      <w:bookmarkStart w:id="135" w:name="_Toc308262403"/>
      <w:bookmarkStart w:id="136" w:name="_Toc311366669"/>
      <w:r w:rsidRPr="00591BFC">
        <w:t xml:space="preserve">Table </w:t>
      </w:r>
      <w:r w:rsidR="002149AD">
        <w:fldChar w:fldCharType="begin"/>
      </w:r>
      <w:r w:rsidR="002149AD">
        <w:instrText xml:space="preserve"> SEQ Table \* ARABIC </w:instrText>
      </w:r>
      <w:r w:rsidR="002149AD">
        <w:fldChar w:fldCharType="separate"/>
      </w:r>
      <w:r w:rsidR="00655089">
        <w:rPr>
          <w:noProof/>
        </w:rPr>
        <w:t>8</w:t>
      </w:r>
      <w:r w:rsidR="002149AD">
        <w:rPr>
          <w:noProof/>
        </w:rPr>
        <w:fldChar w:fldCharType="end"/>
      </w:r>
      <w:bookmarkEnd w:id="134"/>
      <w:r w:rsidRPr="00591BFC">
        <w:t xml:space="preserve"> Participant characteristics (aggregated to ensure anonymity)</w:t>
      </w:r>
      <w:bookmarkEnd w:id="135"/>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278"/>
        <w:gridCol w:w="2126"/>
        <w:gridCol w:w="1560"/>
        <w:gridCol w:w="1984"/>
      </w:tblGrid>
      <w:tr w:rsidR="00B70DDB" w:rsidRPr="00591BFC" w14:paraId="60CBC909" w14:textId="77777777" w:rsidTr="00180EF2">
        <w:tc>
          <w:tcPr>
            <w:tcW w:w="1841" w:type="dxa"/>
            <w:shd w:val="clear" w:color="auto" w:fill="auto"/>
          </w:tcPr>
          <w:p w14:paraId="7075DC3D" w14:textId="77777777" w:rsidR="00B70DDB" w:rsidRPr="00591BFC" w:rsidRDefault="00B70DDB" w:rsidP="00E86771">
            <w:pPr>
              <w:pStyle w:val="NoSpacing"/>
              <w:spacing w:line="360" w:lineRule="auto"/>
            </w:pPr>
            <w:r w:rsidRPr="00591BFC">
              <w:t>Professional group</w:t>
            </w:r>
          </w:p>
        </w:tc>
        <w:tc>
          <w:tcPr>
            <w:tcW w:w="1278" w:type="dxa"/>
            <w:shd w:val="clear" w:color="auto" w:fill="auto"/>
          </w:tcPr>
          <w:p w14:paraId="748F0B44" w14:textId="77777777" w:rsidR="00B70DDB" w:rsidRPr="00591BFC" w:rsidRDefault="00B70DDB" w:rsidP="00E86771">
            <w:pPr>
              <w:pStyle w:val="NoSpacing"/>
              <w:spacing w:line="360" w:lineRule="auto"/>
            </w:pPr>
            <w:r w:rsidRPr="00591BFC">
              <w:t>Number of participants</w:t>
            </w:r>
          </w:p>
        </w:tc>
        <w:tc>
          <w:tcPr>
            <w:tcW w:w="2126" w:type="dxa"/>
            <w:shd w:val="clear" w:color="auto" w:fill="auto"/>
          </w:tcPr>
          <w:p w14:paraId="2EB01A54" w14:textId="77777777" w:rsidR="00B70DDB" w:rsidRPr="00591BFC" w:rsidRDefault="00B70DDB" w:rsidP="00E86771">
            <w:pPr>
              <w:pStyle w:val="NoSpacing"/>
              <w:spacing w:line="360" w:lineRule="auto"/>
            </w:pPr>
            <w:r w:rsidRPr="00591BFC">
              <w:t>Years spent working in current roles (range)</w:t>
            </w:r>
          </w:p>
        </w:tc>
        <w:tc>
          <w:tcPr>
            <w:tcW w:w="1560" w:type="dxa"/>
            <w:shd w:val="clear" w:color="auto" w:fill="auto"/>
          </w:tcPr>
          <w:p w14:paraId="34EECE46" w14:textId="77777777" w:rsidR="00B70DDB" w:rsidRPr="00591BFC" w:rsidRDefault="00B70DDB" w:rsidP="00E86771">
            <w:pPr>
              <w:pStyle w:val="NoSpacing"/>
              <w:spacing w:line="360" w:lineRule="auto"/>
            </w:pPr>
            <w:r w:rsidRPr="00591BFC">
              <w:t>Years spent working at the hospital (range)</w:t>
            </w:r>
          </w:p>
          <w:p w14:paraId="486C3164" w14:textId="77777777" w:rsidR="00B70DDB" w:rsidRPr="00591BFC" w:rsidRDefault="00B70DDB" w:rsidP="00E86771">
            <w:pPr>
              <w:pStyle w:val="NoSpacing"/>
              <w:spacing w:line="360" w:lineRule="auto"/>
            </w:pPr>
          </w:p>
        </w:tc>
        <w:tc>
          <w:tcPr>
            <w:tcW w:w="1984" w:type="dxa"/>
            <w:shd w:val="clear" w:color="auto" w:fill="auto"/>
          </w:tcPr>
          <w:p w14:paraId="79AF9A9F" w14:textId="77777777" w:rsidR="00B70DDB" w:rsidRPr="00591BFC" w:rsidRDefault="00B70DDB" w:rsidP="00E86771">
            <w:pPr>
              <w:pStyle w:val="NoSpacing"/>
              <w:spacing w:line="360" w:lineRule="auto"/>
            </w:pPr>
            <w:r w:rsidRPr="00591BFC">
              <w:t>Number of these participants who had experience of making business cases for a FLS</w:t>
            </w:r>
          </w:p>
        </w:tc>
      </w:tr>
      <w:tr w:rsidR="00B70DDB" w:rsidRPr="00591BFC" w14:paraId="027E3D98" w14:textId="77777777" w:rsidTr="00180EF2">
        <w:tc>
          <w:tcPr>
            <w:tcW w:w="1841" w:type="dxa"/>
            <w:shd w:val="clear" w:color="auto" w:fill="auto"/>
          </w:tcPr>
          <w:p w14:paraId="04EC411B" w14:textId="77777777" w:rsidR="00B70DDB" w:rsidRPr="00591BFC" w:rsidRDefault="00B70DDB" w:rsidP="00E86771">
            <w:pPr>
              <w:pStyle w:val="NoSpacing"/>
              <w:spacing w:line="360" w:lineRule="auto"/>
            </w:pPr>
            <w:r w:rsidRPr="00591BFC">
              <w:t>Fracture Prevention Nurses</w:t>
            </w:r>
          </w:p>
        </w:tc>
        <w:tc>
          <w:tcPr>
            <w:tcW w:w="1278" w:type="dxa"/>
            <w:shd w:val="clear" w:color="auto" w:fill="auto"/>
          </w:tcPr>
          <w:p w14:paraId="768A4C52" w14:textId="77777777" w:rsidR="00B70DDB" w:rsidRPr="00591BFC" w:rsidRDefault="00B70DDB" w:rsidP="00E86771">
            <w:pPr>
              <w:pStyle w:val="NoSpacing"/>
              <w:spacing w:line="360" w:lineRule="auto"/>
            </w:pPr>
            <w:r w:rsidRPr="00591BFC">
              <w:t>8</w:t>
            </w:r>
          </w:p>
        </w:tc>
        <w:tc>
          <w:tcPr>
            <w:tcW w:w="2126" w:type="dxa"/>
            <w:shd w:val="clear" w:color="auto" w:fill="auto"/>
          </w:tcPr>
          <w:p w14:paraId="329EE9BD" w14:textId="77777777" w:rsidR="00B70DDB" w:rsidRPr="00591BFC" w:rsidRDefault="00B70DDB" w:rsidP="00E86771">
            <w:pPr>
              <w:pStyle w:val="NoSpacing"/>
              <w:spacing w:line="360" w:lineRule="auto"/>
            </w:pPr>
            <w:r w:rsidRPr="00591BFC">
              <w:t>1-15</w:t>
            </w:r>
          </w:p>
        </w:tc>
        <w:tc>
          <w:tcPr>
            <w:tcW w:w="1560" w:type="dxa"/>
            <w:shd w:val="clear" w:color="auto" w:fill="auto"/>
          </w:tcPr>
          <w:p w14:paraId="1579CC8F" w14:textId="77777777" w:rsidR="00B70DDB" w:rsidRPr="00591BFC" w:rsidRDefault="00B70DDB" w:rsidP="00E86771">
            <w:pPr>
              <w:pStyle w:val="NoSpacing"/>
              <w:spacing w:line="360" w:lineRule="auto"/>
            </w:pPr>
            <w:r w:rsidRPr="00591BFC">
              <w:t>1-27</w:t>
            </w:r>
          </w:p>
        </w:tc>
        <w:tc>
          <w:tcPr>
            <w:tcW w:w="1984" w:type="dxa"/>
            <w:shd w:val="clear" w:color="auto" w:fill="auto"/>
          </w:tcPr>
          <w:p w14:paraId="7CA935B4" w14:textId="77777777" w:rsidR="00B70DDB" w:rsidRPr="00591BFC" w:rsidRDefault="00B70DDB" w:rsidP="00E86771">
            <w:pPr>
              <w:pStyle w:val="NoSpacing"/>
              <w:spacing w:line="360" w:lineRule="auto"/>
            </w:pPr>
            <w:r w:rsidRPr="00591BFC">
              <w:t>5</w:t>
            </w:r>
          </w:p>
        </w:tc>
      </w:tr>
      <w:tr w:rsidR="00B70DDB" w:rsidRPr="00591BFC" w14:paraId="02E2B86D" w14:textId="77777777" w:rsidTr="00180EF2">
        <w:tc>
          <w:tcPr>
            <w:tcW w:w="1841" w:type="dxa"/>
            <w:shd w:val="clear" w:color="auto" w:fill="auto"/>
          </w:tcPr>
          <w:p w14:paraId="400DA5CB" w14:textId="77777777" w:rsidR="00B70DDB" w:rsidRPr="00591BFC" w:rsidRDefault="00B70DDB" w:rsidP="00E86771">
            <w:pPr>
              <w:pStyle w:val="NoSpacing"/>
              <w:spacing w:line="360" w:lineRule="auto"/>
            </w:pPr>
            <w:r w:rsidRPr="00591BFC">
              <w:t>Orthogeriatricians</w:t>
            </w:r>
          </w:p>
        </w:tc>
        <w:tc>
          <w:tcPr>
            <w:tcW w:w="1278" w:type="dxa"/>
            <w:shd w:val="clear" w:color="auto" w:fill="auto"/>
          </w:tcPr>
          <w:p w14:paraId="669E31B7" w14:textId="77777777" w:rsidR="00B70DDB" w:rsidRPr="00591BFC" w:rsidRDefault="00B70DDB" w:rsidP="00E86771">
            <w:pPr>
              <w:pStyle w:val="NoSpacing"/>
              <w:spacing w:line="360" w:lineRule="auto"/>
            </w:pPr>
            <w:r w:rsidRPr="00591BFC">
              <w:t>4</w:t>
            </w:r>
          </w:p>
        </w:tc>
        <w:tc>
          <w:tcPr>
            <w:tcW w:w="2126" w:type="dxa"/>
            <w:shd w:val="clear" w:color="auto" w:fill="auto"/>
          </w:tcPr>
          <w:p w14:paraId="5DE62992" w14:textId="77777777" w:rsidR="00B70DDB" w:rsidRPr="00591BFC" w:rsidRDefault="00B70DDB" w:rsidP="00E86771">
            <w:pPr>
              <w:pStyle w:val="NoSpacing"/>
              <w:spacing w:line="360" w:lineRule="auto"/>
            </w:pPr>
            <w:r w:rsidRPr="00591BFC">
              <w:t>4-13</w:t>
            </w:r>
          </w:p>
        </w:tc>
        <w:tc>
          <w:tcPr>
            <w:tcW w:w="1560" w:type="dxa"/>
            <w:shd w:val="clear" w:color="auto" w:fill="auto"/>
          </w:tcPr>
          <w:p w14:paraId="61D5BC0D" w14:textId="77777777" w:rsidR="00B70DDB" w:rsidRPr="00591BFC" w:rsidRDefault="00B70DDB" w:rsidP="00E86771">
            <w:pPr>
              <w:pStyle w:val="NoSpacing"/>
              <w:spacing w:line="360" w:lineRule="auto"/>
            </w:pPr>
            <w:r w:rsidRPr="00591BFC">
              <w:t>4-16</w:t>
            </w:r>
          </w:p>
        </w:tc>
        <w:tc>
          <w:tcPr>
            <w:tcW w:w="1984" w:type="dxa"/>
            <w:shd w:val="clear" w:color="auto" w:fill="auto"/>
          </w:tcPr>
          <w:p w14:paraId="5F9C1BC8" w14:textId="77777777" w:rsidR="00B70DDB" w:rsidRPr="00591BFC" w:rsidRDefault="00B70DDB" w:rsidP="00E86771">
            <w:pPr>
              <w:pStyle w:val="NoSpacing"/>
              <w:spacing w:line="360" w:lineRule="auto"/>
            </w:pPr>
            <w:r w:rsidRPr="00591BFC">
              <w:t>4</w:t>
            </w:r>
          </w:p>
        </w:tc>
      </w:tr>
      <w:tr w:rsidR="00B70DDB" w:rsidRPr="00591BFC" w14:paraId="4578DB3C" w14:textId="77777777" w:rsidTr="00180EF2">
        <w:tc>
          <w:tcPr>
            <w:tcW w:w="1841" w:type="dxa"/>
            <w:shd w:val="clear" w:color="auto" w:fill="auto"/>
          </w:tcPr>
          <w:p w14:paraId="4EC9EF3C" w14:textId="77777777" w:rsidR="00B70DDB" w:rsidRPr="00591BFC" w:rsidRDefault="00B70DDB" w:rsidP="00E86771">
            <w:pPr>
              <w:pStyle w:val="NoSpacing"/>
              <w:spacing w:line="360" w:lineRule="auto"/>
            </w:pPr>
            <w:r w:rsidRPr="00591BFC">
              <w:t>Geriatricians</w:t>
            </w:r>
          </w:p>
        </w:tc>
        <w:tc>
          <w:tcPr>
            <w:tcW w:w="1278" w:type="dxa"/>
            <w:shd w:val="clear" w:color="auto" w:fill="auto"/>
          </w:tcPr>
          <w:p w14:paraId="33EBAF23" w14:textId="77777777" w:rsidR="00B70DDB" w:rsidRPr="00591BFC" w:rsidRDefault="00B70DDB" w:rsidP="00E86771">
            <w:pPr>
              <w:pStyle w:val="NoSpacing"/>
              <w:spacing w:line="360" w:lineRule="auto"/>
            </w:pPr>
            <w:r w:rsidRPr="00591BFC">
              <w:t>4</w:t>
            </w:r>
          </w:p>
        </w:tc>
        <w:tc>
          <w:tcPr>
            <w:tcW w:w="2126" w:type="dxa"/>
            <w:shd w:val="clear" w:color="auto" w:fill="auto"/>
          </w:tcPr>
          <w:p w14:paraId="73AA9021" w14:textId="77777777" w:rsidR="00B70DDB" w:rsidRPr="00591BFC" w:rsidRDefault="00B70DDB" w:rsidP="00E86771">
            <w:pPr>
              <w:pStyle w:val="NoSpacing"/>
              <w:spacing w:line="360" w:lineRule="auto"/>
            </w:pPr>
            <w:r w:rsidRPr="00591BFC">
              <w:t>3-21</w:t>
            </w:r>
          </w:p>
        </w:tc>
        <w:tc>
          <w:tcPr>
            <w:tcW w:w="1560" w:type="dxa"/>
            <w:shd w:val="clear" w:color="auto" w:fill="auto"/>
          </w:tcPr>
          <w:p w14:paraId="71682797" w14:textId="77777777" w:rsidR="00B70DDB" w:rsidRPr="00591BFC" w:rsidRDefault="00B70DDB" w:rsidP="00E86771">
            <w:pPr>
              <w:pStyle w:val="NoSpacing"/>
              <w:spacing w:line="360" w:lineRule="auto"/>
            </w:pPr>
            <w:r w:rsidRPr="00591BFC">
              <w:t>2-6</w:t>
            </w:r>
          </w:p>
        </w:tc>
        <w:tc>
          <w:tcPr>
            <w:tcW w:w="1984" w:type="dxa"/>
            <w:shd w:val="clear" w:color="auto" w:fill="auto"/>
          </w:tcPr>
          <w:p w14:paraId="43C3B162" w14:textId="77777777" w:rsidR="00B70DDB" w:rsidRPr="00591BFC" w:rsidRDefault="00B70DDB" w:rsidP="00E86771">
            <w:pPr>
              <w:pStyle w:val="NoSpacing"/>
              <w:spacing w:line="360" w:lineRule="auto"/>
            </w:pPr>
            <w:r w:rsidRPr="00591BFC">
              <w:t>4</w:t>
            </w:r>
          </w:p>
        </w:tc>
      </w:tr>
      <w:tr w:rsidR="00B70DDB" w:rsidRPr="00591BFC" w14:paraId="5CC3B309" w14:textId="77777777" w:rsidTr="00180EF2">
        <w:tc>
          <w:tcPr>
            <w:tcW w:w="1841" w:type="dxa"/>
            <w:shd w:val="clear" w:color="auto" w:fill="auto"/>
          </w:tcPr>
          <w:p w14:paraId="487F7672" w14:textId="77777777" w:rsidR="00B70DDB" w:rsidRPr="00591BFC" w:rsidRDefault="00B70DDB" w:rsidP="00E86771">
            <w:pPr>
              <w:pStyle w:val="NoSpacing"/>
              <w:spacing w:line="360" w:lineRule="auto"/>
            </w:pPr>
            <w:r w:rsidRPr="00591BFC">
              <w:t>GP Osteoporosis Specialists</w:t>
            </w:r>
          </w:p>
        </w:tc>
        <w:tc>
          <w:tcPr>
            <w:tcW w:w="1278" w:type="dxa"/>
            <w:shd w:val="clear" w:color="auto" w:fill="auto"/>
          </w:tcPr>
          <w:p w14:paraId="5CEFD199" w14:textId="77777777" w:rsidR="00B70DDB" w:rsidRPr="00591BFC" w:rsidRDefault="00B70DDB" w:rsidP="00E86771">
            <w:pPr>
              <w:pStyle w:val="NoSpacing"/>
              <w:spacing w:line="360" w:lineRule="auto"/>
            </w:pPr>
            <w:r w:rsidRPr="00591BFC">
              <w:t>2</w:t>
            </w:r>
          </w:p>
        </w:tc>
        <w:tc>
          <w:tcPr>
            <w:tcW w:w="2126" w:type="dxa"/>
            <w:shd w:val="clear" w:color="auto" w:fill="auto"/>
          </w:tcPr>
          <w:p w14:paraId="7748C0C8" w14:textId="77777777" w:rsidR="00B70DDB" w:rsidRPr="00591BFC" w:rsidRDefault="00B70DDB" w:rsidP="00E86771">
            <w:pPr>
              <w:pStyle w:val="NoSpacing"/>
              <w:spacing w:line="360" w:lineRule="auto"/>
            </w:pPr>
            <w:r w:rsidRPr="00591BFC">
              <w:t>10-43</w:t>
            </w:r>
          </w:p>
        </w:tc>
        <w:tc>
          <w:tcPr>
            <w:tcW w:w="1560" w:type="dxa"/>
            <w:shd w:val="clear" w:color="auto" w:fill="auto"/>
          </w:tcPr>
          <w:p w14:paraId="3D18AF91" w14:textId="77777777" w:rsidR="00B70DDB" w:rsidRPr="00591BFC" w:rsidRDefault="00B70DDB" w:rsidP="00E86771">
            <w:pPr>
              <w:pStyle w:val="NoSpacing"/>
              <w:spacing w:line="360" w:lineRule="auto"/>
            </w:pPr>
            <w:r w:rsidRPr="00591BFC">
              <w:t>10-20</w:t>
            </w:r>
          </w:p>
        </w:tc>
        <w:tc>
          <w:tcPr>
            <w:tcW w:w="1984" w:type="dxa"/>
            <w:shd w:val="clear" w:color="auto" w:fill="auto"/>
          </w:tcPr>
          <w:p w14:paraId="771431B4" w14:textId="77777777" w:rsidR="00B70DDB" w:rsidRPr="00591BFC" w:rsidRDefault="00B70DDB" w:rsidP="00E86771">
            <w:pPr>
              <w:pStyle w:val="NoSpacing"/>
              <w:spacing w:line="360" w:lineRule="auto"/>
            </w:pPr>
            <w:r w:rsidRPr="00591BFC">
              <w:t>2</w:t>
            </w:r>
          </w:p>
        </w:tc>
      </w:tr>
      <w:tr w:rsidR="00B70DDB" w:rsidRPr="00591BFC" w14:paraId="1C2FF47B" w14:textId="77777777" w:rsidTr="00180EF2">
        <w:tc>
          <w:tcPr>
            <w:tcW w:w="1841" w:type="dxa"/>
            <w:shd w:val="clear" w:color="auto" w:fill="auto"/>
          </w:tcPr>
          <w:p w14:paraId="5AB848CB" w14:textId="77777777" w:rsidR="00B70DDB" w:rsidRPr="00591BFC" w:rsidRDefault="00B70DDB" w:rsidP="00E86771">
            <w:pPr>
              <w:pStyle w:val="NoSpacing"/>
              <w:spacing w:line="360" w:lineRule="auto"/>
            </w:pPr>
            <w:r w:rsidRPr="00591BFC">
              <w:t>Consultant Trauma Orthopaedic Surgeons</w:t>
            </w:r>
          </w:p>
        </w:tc>
        <w:tc>
          <w:tcPr>
            <w:tcW w:w="1278" w:type="dxa"/>
            <w:shd w:val="clear" w:color="auto" w:fill="auto"/>
          </w:tcPr>
          <w:p w14:paraId="6ACD7C7E" w14:textId="77777777" w:rsidR="00B70DDB" w:rsidRPr="00591BFC" w:rsidRDefault="00B70DDB" w:rsidP="00E86771">
            <w:pPr>
              <w:pStyle w:val="NoSpacing"/>
              <w:spacing w:line="360" w:lineRule="auto"/>
            </w:pPr>
            <w:r w:rsidRPr="00591BFC">
              <w:t>5</w:t>
            </w:r>
          </w:p>
        </w:tc>
        <w:tc>
          <w:tcPr>
            <w:tcW w:w="2126" w:type="dxa"/>
            <w:shd w:val="clear" w:color="auto" w:fill="auto"/>
          </w:tcPr>
          <w:p w14:paraId="682DEB6D" w14:textId="77777777" w:rsidR="00B70DDB" w:rsidRPr="00591BFC" w:rsidRDefault="00B70DDB" w:rsidP="00E86771">
            <w:pPr>
              <w:pStyle w:val="NoSpacing"/>
              <w:spacing w:line="360" w:lineRule="auto"/>
            </w:pPr>
            <w:r w:rsidRPr="00591BFC">
              <w:t>&lt;1-32</w:t>
            </w:r>
          </w:p>
        </w:tc>
        <w:tc>
          <w:tcPr>
            <w:tcW w:w="1560" w:type="dxa"/>
            <w:shd w:val="clear" w:color="auto" w:fill="auto"/>
          </w:tcPr>
          <w:p w14:paraId="44ADA5F7" w14:textId="77777777" w:rsidR="00B70DDB" w:rsidRPr="00591BFC" w:rsidRDefault="00B70DDB" w:rsidP="00E86771">
            <w:pPr>
              <w:pStyle w:val="NoSpacing"/>
              <w:spacing w:line="360" w:lineRule="auto"/>
            </w:pPr>
            <w:r w:rsidRPr="00591BFC">
              <w:t>2-19</w:t>
            </w:r>
          </w:p>
        </w:tc>
        <w:tc>
          <w:tcPr>
            <w:tcW w:w="1984" w:type="dxa"/>
            <w:shd w:val="clear" w:color="auto" w:fill="auto"/>
          </w:tcPr>
          <w:p w14:paraId="54C4C7C0" w14:textId="77777777" w:rsidR="00B70DDB" w:rsidRPr="00591BFC" w:rsidRDefault="00B70DDB" w:rsidP="00E86771">
            <w:pPr>
              <w:pStyle w:val="NoSpacing"/>
              <w:spacing w:line="360" w:lineRule="auto"/>
            </w:pPr>
            <w:r w:rsidRPr="00591BFC">
              <w:t>3</w:t>
            </w:r>
          </w:p>
        </w:tc>
      </w:tr>
      <w:tr w:rsidR="00B70DDB" w:rsidRPr="00591BFC" w14:paraId="098E0596" w14:textId="77777777" w:rsidTr="00180EF2">
        <w:tc>
          <w:tcPr>
            <w:tcW w:w="1841" w:type="dxa"/>
            <w:shd w:val="clear" w:color="auto" w:fill="auto"/>
          </w:tcPr>
          <w:p w14:paraId="76C2E374" w14:textId="77777777" w:rsidR="00B70DDB" w:rsidRPr="00591BFC" w:rsidRDefault="00B70DDB" w:rsidP="00E86771">
            <w:pPr>
              <w:pStyle w:val="NoSpacing"/>
              <w:spacing w:line="360" w:lineRule="auto"/>
            </w:pPr>
            <w:r w:rsidRPr="00591BFC">
              <w:t>Rheumatology Consultants</w:t>
            </w:r>
          </w:p>
        </w:tc>
        <w:tc>
          <w:tcPr>
            <w:tcW w:w="1278" w:type="dxa"/>
            <w:shd w:val="clear" w:color="auto" w:fill="auto"/>
          </w:tcPr>
          <w:p w14:paraId="2D9CD200" w14:textId="77777777" w:rsidR="00B70DDB" w:rsidRPr="00591BFC" w:rsidRDefault="00B70DDB" w:rsidP="00E86771">
            <w:pPr>
              <w:pStyle w:val="NoSpacing"/>
              <w:spacing w:line="360" w:lineRule="auto"/>
            </w:pPr>
            <w:r w:rsidRPr="00591BFC">
              <w:t>8</w:t>
            </w:r>
          </w:p>
        </w:tc>
        <w:tc>
          <w:tcPr>
            <w:tcW w:w="2126" w:type="dxa"/>
            <w:shd w:val="clear" w:color="auto" w:fill="auto"/>
          </w:tcPr>
          <w:p w14:paraId="74312363" w14:textId="77777777" w:rsidR="00B70DDB" w:rsidRPr="00591BFC" w:rsidRDefault="00B70DDB" w:rsidP="00E86771">
            <w:pPr>
              <w:pStyle w:val="NoSpacing"/>
              <w:spacing w:line="360" w:lineRule="auto"/>
            </w:pPr>
            <w:r w:rsidRPr="00591BFC">
              <w:t>5-25</w:t>
            </w:r>
          </w:p>
        </w:tc>
        <w:tc>
          <w:tcPr>
            <w:tcW w:w="1560" w:type="dxa"/>
            <w:shd w:val="clear" w:color="auto" w:fill="auto"/>
          </w:tcPr>
          <w:p w14:paraId="1C27818E" w14:textId="77777777" w:rsidR="00B70DDB" w:rsidRPr="00591BFC" w:rsidRDefault="00B70DDB" w:rsidP="00E86771">
            <w:pPr>
              <w:pStyle w:val="NoSpacing"/>
              <w:spacing w:line="360" w:lineRule="auto"/>
            </w:pPr>
            <w:r w:rsidRPr="00591BFC">
              <w:t>5-25</w:t>
            </w:r>
          </w:p>
        </w:tc>
        <w:tc>
          <w:tcPr>
            <w:tcW w:w="1984" w:type="dxa"/>
            <w:shd w:val="clear" w:color="auto" w:fill="auto"/>
          </w:tcPr>
          <w:p w14:paraId="32A1F057" w14:textId="77777777" w:rsidR="00B70DDB" w:rsidRPr="00591BFC" w:rsidRDefault="00B70DDB" w:rsidP="00E86771">
            <w:pPr>
              <w:pStyle w:val="NoSpacing"/>
              <w:spacing w:line="360" w:lineRule="auto"/>
            </w:pPr>
            <w:r w:rsidRPr="00591BFC">
              <w:t>6</w:t>
            </w:r>
          </w:p>
        </w:tc>
      </w:tr>
      <w:tr w:rsidR="00B70DDB" w:rsidRPr="00591BFC" w14:paraId="0ABAC8CF" w14:textId="77777777" w:rsidTr="00180EF2">
        <w:tc>
          <w:tcPr>
            <w:tcW w:w="1841" w:type="dxa"/>
            <w:shd w:val="clear" w:color="auto" w:fill="auto"/>
          </w:tcPr>
          <w:p w14:paraId="28790603" w14:textId="77777777" w:rsidR="00B70DDB" w:rsidRPr="00591BFC" w:rsidRDefault="00B70DDB" w:rsidP="00E86771">
            <w:pPr>
              <w:pStyle w:val="NoSpacing"/>
              <w:spacing w:line="360" w:lineRule="auto"/>
            </w:pPr>
            <w:r w:rsidRPr="00591BFC">
              <w:lastRenderedPageBreak/>
              <w:t xml:space="preserve">Additional nursing staff (Orthopaedic Nurses, </w:t>
            </w:r>
            <w:r w:rsidRPr="00591BFC">
              <w:rPr>
                <w:lang w:eastAsia="en-GB"/>
              </w:rPr>
              <w:t>Trauma Matrons, Matrons for Hip Fracture Units)</w:t>
            </w:r>
          </w:p>
        </w:tc>
        <w:tc>
          <w:tcPr>
            <w:tcW w:w="1278" w:type="dxa"/>
            <w:shd w:val="clear" w:color="auto" w:fill="auto"/>
          </w:tcPr>
          <w:p w14:paraId="45E8759C" w14:textId="77777777" w:rsidR="00B70DDB" w:rsidRPr="00591BFC" w:rsidRDefault="00B70DDB" w:rsidP="00E86771">
            <w:pPr>
              <w:pStyle w:val="NoSpacing"/>
              <w:spacing w:line="360" w:lineRule="auto"/>
            </w:pPr>
            <w:r w:rsidRPr="00591BFC">
              <w:t>4</w:t>
            </w:r>
          </w:p>
        </w:tc>
        <w:tc>
          <w:tcPr>
            <w:tcW w:w="2126" w:type="dxa"/>
            <w:shd w:val="clear" w:color="auto" w:fill="auto"/>
          </w:tcPr>
          <w:p w14:paraId="01F4B752" w14:textId="77777777" w:rsidR="00B70DDB" w:rsidRPr="00591BFC" w:rsidRDefault="00B70DDB" w:rsidP="00E86771">
            <w:pPr>
              <w:pStyle w:val="NoSpacing"/>
              <w:spacing w:line="360" w:lineRule="auto"/>
            </w:pPr>
            <w:r w:rsidRPr="00591BFC">
              <w:t>3-14</w:t>
            </w:r>
          </w:p>
        </w:tc>
        <w:tc>
          <w:tcPr>
            <w:tcW w:w="1560" w:type="dxa"/>
            <w:shd w:val="clear" w:color="auto" w:fill="auto"/>
          </w:tcPr>
          <w:p w14:paraId="24296982" w14:textId="77777777" w:rsidR="00B70DDB" w:rsidRPr="00591BFC" w:rsidRDefault="00B70DDB" w:rsidP="00E86771">
            <w:pPr>
              <w:pStyle w:val="NoSpacing"/>
              <w:spacing w:line="360" w:lineRule="auto"/>
            </w:pPr>
            <w:r w:rsidRPr="00591BFC">
              <w:t>3-25</w:t>
            </w:r>
          </w:p>
        </w:tc>
        <w:tc>
          <w:tcPr>
            <w:tcW w:w="1984" w:type="dxa"/>
            <w:shd w:val="clear" w:color="auto" w:fill="auto"/>
          </w:tcPr>
          <w:p w14:paraId="63C153DA" w14:textId="77777777" w:rsidR="00B70DDB" w:rsidRPr="00591BFC" w:rsidRDefault="00B70DDB" w:rsidP="00E86771">
            <w:pPr>
              <w:pStyle w:val="NoSpacing"/>
              <w:spacing w:line="360" w:lineRule="auto"/>
            </w:pPr>
            <w:r w:rsidRPr="00591BFC">
              <w:t>3</w:t>
            </w:r>
          </w:p>
        </w:tc>
      </w:tr>
      <w:tr w:rsidR="00B70DDB" w:rsidRPr="00591BFC" w14:paraId="0FA26070" w14:textId="77777777" w:rsidTr="00180EF2">
        <w:tc>
          <w:tcPr>
            <w:tcW w:w="1841" w:type="dxa"/>
            <w:shd w:val="clear" w:color="auto" w:fill="auto"/>
          </w:tcPr>
          <w:p w14:paraId="3AB67548" w14:textId="77777777" w:rsidR="00B70DDB" w:rsidRPr="00591BFC" w:rsidRDefault="00B70DDB" w:rsidP="00E86771">
            <w:pPr>
              <w:pStyle w:val="NoSpacing"/>
              <w:spacing w:line="360" w:lineRule="auto"/>
            </w:pPr>
            <w:r w:rsidRPr="00591BFC">
              <w:t>Falls Co-ordinators</w:t>
            </w:r>
          </w:p>
        </w:tc>
        <w:tc>
          <w:tcPr>
            <w:tcW w:w="1278" w:type="dxa"/>
            <w:shd w:val="clear" w:color="auto" w:fill="auto"/>
          </w:tcPr>
          <w:p w14:paraId="04BE1AF5" w14:textId="77777777" w:rsidR="00B70DDB" w:rsidRPr="00591BFC" w:rsidRDefault="00B70DDB" w:rsidP="00E86771">
            <w:pPr>
              <w:pStyle w:val="NoSpacing"/>
              <w:spacing w:line="360" w:lineRule="auto"/>
            </w:pPr>
            <w:r w:rsidRPr="00591BFC">
              <w:t>1</w:t>
            </w:r>
          </w:p>
        </w:tc>
        <w:tc>
          <w:tcPr>
            <w:tcW w:w="2126" w:type="dxa"/>
            <w:shd w:val="clear" w:color="auto" w:fill="auto"/>
          </w:tcPr>
          <w:p w14:paraId="0C1CEDA4" w14:textId="77777777" w:rsidR="00B70DDB" w:rsidRPr="00591BFC" w:rsidRDefault="00B70DDB" w:rsidP="00E86771">
            <w:pPr>
              <w:pStyle w:val="NoSpacing"/>
              <w:spacing w:line="360" w:lineRule="auto"/>
            </w:pPr>
            <w:r w:rsidRPr="00591BFC">
              <w:t>1</w:t>
            </w:r>
          </w:p>
        </w:tc>
        <w:tc>
          <w:tcPr>
            <w:tcW w:w="1560" w:type="dxa"/>
            <w:shd w:val="clear" w:color="auto" w:fill="auto"/>
          </w:tcPr>
          <w:p w14:paraId="4CD56EBD" w14:textId="77777777" w:rsidR="00B70DDB" w:rsidRPr="00591BFC" w:rsidRDefault="00B70DDB" w:rsidP="00E86771">
            <w:pPr>
              <w:pStyle w:val="NoSpacing"/>
              <w:spacing w:line="360" w:lineRule="auto"/>
            </w:pPr>
            <w:r w:rsidRPr="00591BFC">
              <w:t>20</w:t>
            </w:r>
          </w:p>
        </w:tc>
        <w:tc>
          <w:tcPr>
            <w:tcW w:w="1984" w:type="dxa"/>
            <w:shd w:val="clear" w:color="auto" w:fill="auto"/>
          </w:tcPr>
          <w:p w14:paraId="33063169" w14:textId="77777777" w:rsidR="00B70DDB" w:rsidRPr="00591BFC" w:rsidRDefault="00B70DDB" w:rsidP="00E86771">
            <w:pPr>
              <w:pStyle w:val="NoSpacing"/>
              <w:spacing w:line="360" w:lineRule="auto"/>
            </w:pPr>
            <w:r w:rsidRPr="00591BFC">
              <w:t>0</w:t>
            </w:r>
          </w:p>
        </w:tc>
      </w:tr>
      <w:tr w:rsidR="00B70DDB" w:rsidRPr="00591BFC" w14:paraId="0748CD7A" w14:textId="77777777" w:rsidTr="00180EF2">
        <w:tc>
          <w:tcPr>
            <w:tcW w:w="1841" w:type="dxa"/>
            <w:shd w:val="clear" w:color="auto" w:fill="auto"/>
          </w:tcPr>
          <w:p w14:paraId="635A739D" w14:textId="77777777" w:rsidR="00B70DDB" w:rsidRPr="00591BFC" w:rsidRDefault="00B70DDB" w:rsidP="00E86771">
            <w:pPr>
              <w:pStyle w:val="NoSpacing"/>
              <w:spacing w:line="360" w:lineRule="auto"/>
            </w:pPr>
            <w:r w:rsidRPr="00591BFC">
              <w:t>Falls Nurses</w:t>
            </w:r>
          </w:p>
        </w:tc>
        <w:tc>
          <w:tcPr>
            <w:tcW w:w="1278" w:type="dxa"/>
            <w:shd w:val="clear" w:color="auto" w:fill="auto"/>
          </w:tcPr>
          <w:p w14:paraId="20124074" w14:textId="77777777" w:rsidR="00B70DDB" w:rsidRPr="00591BFC" w:rsidRDefault="00B70DDB" w:rsidP="00E86771">
            <w:pPr>
              <w:pStyle w:val="NoSpacing"/>
              <w:spacing w:line="360" w:lineRule="auto"/>
            </w:pPr>
            <w:r w:rsidRPr="00591BFC">
              <w:t>1</w:t>
            </w:r>
          </w:p>
        </w:tc>
        <w:tc>
          <w:tcPr>
            <w:tcW w:w="2126" w:type="dxa"/>
            <w:shd w:val="clear" w:color="auto" w:fill="auto"/>
          </w:tcPr>
          <w:p w14:paraId="773F63A0" w14:textId="77777777" w:rsidR="00B70DDB" w:rsidRPr="00591BFC" w:rsidRDefault="00B70DDB" w:rsidP="00E86771">
            <w:pPr>
              <w:pStyle w:val="NoSpacing"/>
              <w:spacing w:line="360" w:lineRule="auto"/>
            </w:pPr>
            <w:r w:rsidRPr="00591BFC">
              <w:t>23</w:t>
            </w:r>
          </w:p>
        </w:tc>
        <w:tc>
          <w:tcPr>
            <w:tcW w:w="1560" w:type="dxa"/>
            <w:shd w:val="clear" w:color="auto" w:fill="auto"/>
          </w:tcPr>
          <w:p w14:paraId="55DDE7E3" w14:textId="77777777" w:rsidR="00B70DDB" w:rsidRPr="00591BFC" w:rsidRDefault="00B70DDB" w:rsidP="00E86771">
            <w:pPr>
              <w:pStyle w:val="NoSpacing"/>
              <w:spacing w:line="360" w:lineRule="auto"/>
            </w:pPr>
            <w:r w:rsidRPr="00591BFC">
              <w:t>23</w:t>
            </w:r>
          </w:p>
        </w:tc>
        <w:tc>
          <w:tcPr>
            <w:tcW w:w="1984" w:type="dxa"/>
            <w:shd w:val="clear" w:color="auto" w:fill="auto"/>
          </w:tcPr>
          <w:p w14:paraId="3D15C58F" w14:textId="77777777" w:rsidR="00B70DDB" w:rsidRPr="00591BFC" w:rsidRDefault="00B70DDB" w:rsidP="00E86771">
            <w:pPr>
              <w:pStyle w:val="NoSpacing"/>
              <w:spacing w:line="360" w:lineRule="auto"/>
            </w:pPr>
            <w:r w:rsidRPr="00591BFC">
              <w:t>0</w:t>
            </w:r>
          </w:p>
        </w:tc>
      </w:tr>
      <w:tr w:rsidR="00B70DDB" w:rsidRPr="00591BFC" w14:paraId="000F668B" w14:textId="77777777" w:rsidTr="00180EF2">
        <w:tc>
          <w:tcPr>
            <w:tcW w:w="1841" w:type="dxa"/>
            <w:shd w:val="clear" w:color="auto" w:fill="auto"/>
          </w:tcPr>
          <w:p w14:paraId="0EFF8296" w14:textId="77777777" w:rsidR="00B70DDB" w:rsidRPr="00591BFC" w:rsidRDefault="00B70DDB" w:rsidP="00E86771">
            <w:pPr>
              <w:pStyle w:val="NoSpacing"/>
              <w:spacing w:line="360" w:lineRule="auto"/>
            </w:pPr>
            <w:r w:rsidRPr="00591BFC">
              <w:rPr>
                <w:lang w:eastAsia="en-GB"/>
              </w:rPr>
              <w:t>Bone Densitometry Specialists</w:t>
            </w:r>
          </w:p>
        </w:tc>
        <w:tc>
          <w:tcPr>
            <w:tcW w:w="1278" w:type="dxa"/>
            <w:shd w:val="clear" w:color="auto" w:fill="auto"/>
          </w:tcPr>
          <w:p w14:paraId="7B416FFB" w14:textId="77777777" w:rsidR="00B70DDB" w:rsidRPr="00591BFC" w:rsidRDefault="00B70DDB" w:rsidP="00E86771">
            <w:pPr>
              <w:pStyle w:val="NoSpacing"/>
              <w:spacing w:line="360" w:lineRule="auto"/>
            </w:pPr>
            <w:r w:rsidRPr="00591BFC">
              <w:t>1</w:t>
            </w:r>
          </w:p>
        </w:tc>
        <w:tc>
          <w:tcPr>
            <w:tcW w:w="2126" w:type="dxa"/>
            <w:shd w:val="clear" w:color="auto" w:fill="auto"/>
          </w:tcPr>
          <w:p w14:paraId="1871F8EE" w14:textId="77777777" w:rsidR="00B70DDB" w:rsidRPr="00591BFC" w:rsidRDefault="00B70DDB" w:rsidP="00E86771">
            <w:pPr>
              <w:pStyle w:val="NoSpacing"/>
              <w:spacing w:line="360" w:lineRule="auto"/>
            </w:pPr>
            <w:r w:rsidRPr="00591BFC">
              <w:t>11</w:t>
            </w:r>
          </w:p>
        </w:tc>
        <w:tc>
          <w:tcPr>
            <w:tcW w:w="1560" w:type="dxa"/>
            <w:shd w:val="clear" w:color="auto" w:fill="auto"/>
          </w:tcPr>
          <w:p w14:paraId="676788F7" w14:textId="77777777" w:rsidR="00B70DDB" w:rsidRPr="00591BFC" w:rsidRDefault="00B70DDB" w:rsidP="00E86771">
            <w:pPr>
              <w:pStyle w:val="NoSpacing"/>
              <w:spacing w:line="360" w:lineRule="auto"/>
            </w:pPr>
            <w:r w:rsidRPr="00591BFC">
              <w:t>12</w:t>
            </w:r>
          </w:p>
        </w:tc>
        <w:tc>
          <w:tcPr>
            <w:tcW w:w="1984" w:type="dxa"/>
            <w:shd w:val="clear" w:color="auto" w:fill="auto"/>
          </w:tcPr>
          <w:p w14:paraId="09FE6904" w14:textId="77777777" w:rsidR="00B70DDB" w:rsidRPr="00591BFC" w:rsidRDefault="00B70DDB" w:rsidP="00E86771">
            <w:pPr>
              <w:pStyle w:val="NoSpacing"/>
              <w:spacing w:line="360" w:lineRule="auto"/>
            </w:pPr>
            <w:r w:rsidRPr="00591BFC">
              <w:t>1</w:t>
            </w:r>
          </w:p>
        </w:tc>
      </w:tr>
      <w:tr w:rsidR="00B70DDB" w:rsidRPr="00591BFC" w14:paraId="3308553C" w14:textId="77777777" w:rsidTr="00180EF2">
        <w:tc>
          <w:tcPr>
            <w:tcW w:w="1841" w:type="dxa"/>
            <w:shd w:val="clear" w:color="auto" w:fill="auto"/>
          </w:tcPr>
          <w:p w14:paraId="69DD9CCA" w14:textId="77777777" w:rsidR="00B70DDB" w:rsidRPr="00591BFC" w:rsidRDefault="00B70DDB" w:rsidP="00E86771">
            <w:pPr>
              <w:pStyle w:val="NoSpacing"/>
              <w:spacing w:line="360" w:lineRule="auto"/>
              <w:rPr>
                <w:lang w:eastAsia="en-GB"/>
              </w:rPr>
            </w:pPr>
            <w:r w:rsidRPr="00591BFC">
              <w:rPr>
                <w:lang w:eastAsia="en-GB"/>
              </w:rPr>
              <w:t>Service Managers</w:t>
            </w:r>
          </w:p>
        </w:tc>
        <w:tc>
          <w:tcPr>
            <w:tcW w:w="1278" w:type="dxa"/>
            <w:shd w:val="clear" w:color="auto" w:fill="auto"/>
          </w:tcPr>
          <w:p w14:paraId="75D4D75C" w14:textId="77777777" w:rsidR="00B70DDB" w:rsidRPr="00591BFC" w:rsidRDefault="00B70DDB" w:rsidP="00E86771">
            <w:pPr>
              <w:pStyle w:val="NoSpacing"/>
              <w:spacing w:line="360" w:lineRule="auto"/>
            </w:pPr>
            <w:r w:rsidRPr="00591BFC">
              <w:t>5</w:t>
            </w:r>
          </w:p>
        </w:tc>
        <w:tc>
          <w:tcPr>
            <w:tcW w:w="2126" w:type="dxa"/>
            <w:shd w:val="clear" w:color="auto" w:fill="auto"/>
          </w:tcPr>
          <w:p w14:paraId="0156D412" w14:textId="77777777" w:rsidR="00B70DDB" w:rsidRPr="00591BFC" w:rsidRDefault="00B70DDB" w:rsidP="00E86771">
            <w:pPr>
              <w:pStyle w:val="NoSpacing"/>
              <w:spacing w:line="360" w:lineRule="auto"/>
            </w:pPr>
            <w:r w:rsidRPr="00591BFC">
              <w:t>2-6</w:t>
            </w:r>
          </w:p>
        </w:tc>
        <w:tc>
          <w:tcPr>
            <w:tcW w:w="1560" w:type="dxa"/>
            <w:shd w:val="clear" w:color="auto" w:fill="auto"/>
          </w:tcPr>
          <w:p w14:paraId="7B125C86" w14:textId="77777777" w:rsidR="00B70DDB" w:rsidRPr="00591BFC" w:rsidRDefault="00B70DDB" w:rsidP="00E86771">
            <w:pPr>
              <w:pStyle w:val="NoSpacing"/>
              <w:spacing w:line="360" w:lineRule="auto"/>
            </w:pPr>
            <w:r w:rsidRPr="00591BFC">
              <w:t>&lt;1-5</w:t>
            </w:r>
          </w:p>
        </w:tc>
        <w:tc>
          <w:tcPr>
            <w:tcW w:w="1984" w:type="dxa"/>
            <w:shd w:val="clear" w:color="auto" w:fill="auto"/>
          </w:tcPr>
          <w:p w14:paraId="0A748469" w14:textId="77777777" w:rsidR="00B70DDB" w:rsidRPr="00591BFC" w:rsidRDefault="00B70DDB" w:rsidP="00E86771">
            <w:pPr>
              <w:pStyle w:val="NoSpacing"/>
              <w:spacing w:line="360" w:lineRule="auto"/>
            </w:pPr>
            <w:r w:rsidRPr="00591BFC">
              <w:t>5</w:t>
            </w:r>
          </w:p>
        </w:tc>
      </w:tr>
    </w:tbl>
    <w:p w14:paraId="61BAB543" w14:textId="77777777" w:rsidR="00B70DDB" w:rsidRPr="00591BFC" w:rsidRDefault="00B70DDB" w:rsidP="00E86771">
      <w:pPr>
        <w:pStyle w:val="NoSpacing"/>
        <w:spacing w:line="360" w:lineRule="auto"/>
      </w:pPr>
    </w:p>
    <w:p w14:paraId="52C8BCB5" w14:textId="77777777" w:rsidR="00B70DDB" w:rsidRPr="00591BFC" w:rsidRDefault="00B70DDB" w:rsidP="00E86771">
      <w:pPr>
        <w:pStyle w:val="NoSpacing"/>
        <w:spacing w:line="360" w:lineRule="auto"/>
      </w:pPr>
      <w:r w:rsidRPr="00591BFC">
        <w:t>Findings and subsequent discussions from the two parts of the study are presented below.</w:t>
      </w:r>
    </w:p>
    <w:p w14:paraId="79FC3EC5" w14:textId="77777777" w:rsidR="00B70DDB" w:rsidRPr="00591BFC" w:rsidRDefault="00B70DDB" w:rsidP="00E86771">
      <w:pPr>
        <w:pStyle w:val="NoSpacing"/>
        <w:spacing w:line="360" w:lineRule="auto"/>
      </w:pPr>
    </w:p>
    <w:p w14:paraId="5D0115A8" w14:textId="77777777" w:rsidR="00B70DDB" w:rsidRPr="00591BFC" w:rsidRDefault="00B70DDB" w:rsidP="00E86771">
      <w:pPr>
        <w:pStyle w:val="Heading3"/>
        <w:spacing w:line="360" w:lineRule="auto"/>
        <w:rPr>
          <w:rFonts w:ascii="Calibri" w:hAnsi="Calibri"/>
          <w:lang w:val="en-GB"/>
        </w:rPr>
      </w:pPr>
      <w:bookmarkStart w:id="137" w:name="_Toc308300737"/>
      <w:bookmarkStart w:id="138" w:name="_Toc311366544"/>
      <w:r w:rsidRPr="00591BFC">
        <w:rPr>
          <w:rFonts w:ascii="Calibri" w:hAnsi="Calibri"/>
          <w:lang w:val="en-GB"/>
        </w:rPr>
        <w:t xml:space="preserve">Part 1: Using extended </w:t>
      </w:r>
      <w:r w:rsidR="003A3A41" w:rsidRPr="00591BFC">
        <w:rPr>
          <w:rFonts w:ascii="Calibri" w:hAnsi="Calibri"/>
          <w:lang w:val="en-GB"/>
        </w:rPr>
        <w:t>Normalisation</w:t>
      </w:r>
      <w:r w:rsidRPr="00591BFC">
        <w:rPr>
          <w:rFonts w:ascii="Calibri" w:hAnsi="Calibri"/>
          <w:lang w:val="en-GB"/>
        </w:rPr>
        <w:t xml:space="preserve"> Process Theory to understand how and why secondary fracture prevention services can be successfully implemented</w:t>
      </w:r>
      <w:r w:rsidR="00180EF2" w:rsidRPr="00591BFC">
        <w:rPr>
          <w:rFonts w:ascii="Calibri" w:hAnsi="Calibri"/>
          <w:lang w:val="en-GB"/>
        </w:rPr>
        <w:t xml:space="preserve"> , barriers and enablers to change and elements of care seen as most effective</w:t>
      </w:r>
      <w:bookmarkEnd w:id="137"/>
      <w:bookmarkEnd w:id="138"/>
    </w:p>
    <w:p w14:paraId="0DA8C53F" w14:textId="77777777" w:rsidR="00B70DDB" w:rsidRPr="00591BFC" w:rsidRDefault="00B70DDB" w:rsidP="00E86771">
      <w:pPr>
        <w:pStyle w:val="NoSpacing"/>
        <w:spacing w:line="360" w:lineRule="auto"/>
      </w:pPr>
    </w:p>
    <w:p w14:paraId="1EA3B4FD" w14:textId="77777777" w:rsidR="00B70DDB" w:rsidRPr="00591BFC" w:rsidRDefault="00B70DDB" w:rsidP="00E86771">
      <w:pPr>
        <w:pStyle w:val="Heading4"/>
        <w:spacing w:line="360" w:lineRule="auto"/>
        <w:rPr>
          <w:rFonts w:ascii="Calibri" w:hAnsi="Calibri"/>
        </w:rPr>
      </w:pPr>
      <w:r w:rsidRPr="00591BFC">
        <w:rPr>
          <w:rFonts w:ascii="Calibri" w:hAnsi="Calibri"/>
        </w:rPr>
        <w:t xml:space="preserve">Findings </w:t>
      </w:r>
    </w:p>
    <w:p w14:paraId="0963231B" w14:textId="77777777" w:rsidR="00B70DDB" w:rsidRPr="00591BFC" w:rsidRDefault="00B70DDB" w:rsidP="00E86771">
      <w:pPr>
        <w:pStyle w:val="NoSpacing"/>
        <w:spacing w:line="360" w:lineRule="auto"/>
        <w:rPr>
          <w:b/>
        </w:rPr>
      </w:pPr>
    </w:p>
    <w:p w14:paraId="3B468A71" w14:textId="77777777" w:rsidR="00180EF2" w:rsidRPr="00591BFC" w:rsidRDefault="00B70DDB" w:rsidP="00E86771">
      <w:pPr>
        <w:spacing w:after="0" w:line="360" w:lineRule="auto"/>
        <w:contextualSpacing/>
        <w:rPr>
          <w:rFonts w:cs="Tms Rmn"/>
        </w:rPr>
      </w:pPr>
      <w:r w:rsidRPr="00591BFC">
        <w:rPr>
          <w:rFonts w:cs="Tms Rmn"/>
        </w:rPr>
        <w:t xml:space="preserve">A summary of the </w:t>
      </w:r>
      <w:r w:rsidR="00180EF2" w:rsidRPr="00591BFC">
        <w:rPr>
          <w:rFonts w:cs="Tms Rmn"/>
        </w:rPr>
        <w:t>themes</w:t>
      </w:r>
      <w:r w:rsidRPr="00591BFC">
        <w:rPr>
          <w:rFonts w:cs="Tms Rmn"/>
        </w:rPr>
        <w:t xml:space="preserve"> identified and their relation to the four main constructs of extended </w:t>
      </w:r>
      <w:r w:rsidR="00A77A6F" w:rsidRPr="00591BFC">
        <w:rPr>
          <w:rFonts w:cs="Tms Rmn"/>
        </w:rPr>
        <w:t>NPT are</w:t>
      </w:r>
      <w:r w:rsidR="00180EF2" w:rsidRPr="00591BFC">
        <w:rPr>
          <w:rFonts w:cs="Tms Rmn"/>
        </w:rPr>
        <w:t xml:space="preserve"> outlined in </w:t>
      </w:r>
      <w:r w:rsidR="002E63B3" w:rsidRPr="00591BFC">
        <w:rPr>
          <w:rFonts w:cs="Tms Rmn"/>
        </w:rPr>
        <w:fldChar w:fldCharType="begin"/>
      </w:r>
      <w:r w:rsidR="002E63B3" w:rsidRPr="00591BFC">
        <w:rPr>
          <w:rFonts w:cs="Tms Rmn"/>
        </w:rPr>
        <w:instrText xml:space="preserve"> REF _Ref423090172 \h </w:instrText>
      </w:r>
      <w:r w:rsidR="00E814C1" w:rsidRPr="00591BFC">
        <w:rPr>
          <w:rFonts w:cs="Tms Rmn"/>
        </w:rPr>
        <w:instrText xml:space="preserve"> \* MERGEFORMAT </w:instrText>
      </w:r>
      <w:r w:rsidR="002E63B3" w:rsidRPr="00591BFC">
        <w:rPr>
          <w:rFonts w:cs="Tms Rmn"/>
        </w:rPr>
      </w:r>
      <w:r w:rsidR="002E63B3" w:rsidRPr="00591BFC">
        <w:rPr>
          <w:rFonts w:cs="Tms Rmn"/>
        </w:rPr>
        <w:fldChar w:fldCharType="separate"/>
      </w:r>
      <w:r w:rsidR="007B18C0" w:rsidRPr="00591BFC">
        <w:t xml:space="preserve">Table </w:t>
      </w:r>
      <w:r w:rsidR="007B18C0" w:rsidRPr="00591BFC">
        <w:rPr>
          <w:noProof/>
        </w:rPr>
        <w:t>9</w:t>
      </w:r>
      <w:r w:rsidR="002E63B3" w:rsidRPr="00591BFC">
        <w:rPr>
          <w:rFonts w:cs="Tms Rmn"/>
        </w:rPr>
        <w:fldChar w:fldCharType="end"/>
      </w:r>
      <w:r w:rsidR="00180EF2" w:rsidRPr="00591BFC">
        <w:rPr>
          <w:rFonts w:cs="Tms Rmn"/>
        </w:rPr>
        <w:t>.</w:t>
      </w:r>
    </w:p>
    <w:p w14:paraId="1C39DD68" w14:textId="77777777" w:rsidR="00B70DDB" w:rsidRPr="00591BFC" w:rsidRDefault="00180EF2" w:rsidP="00E86771">
      <w:pPr>
        <w:spacing w:line="360" w:lineRule="auto"/>
      </w:pPr>
      <w:r w:rsidRPr="00591BFC">
        <w:br w:type="page"/>
      </w:r>
    </w:p>
    <w:p w14:paraId="72EF95C7" w14:textId="77777777" w:rsidR="00180EF2" w:rsidRPr="00591BFC" w:rsidRDefault="00180EF2" w:rsidP="00E86771">
      <w:pPr>
        <w:pStyle w:val="Caption"/>
        <w:keepNext/>
        <w:spacing w:line="360" w:lineRule="auto"/>
      </w:pPr>
      <w:bookmarkStart w:id="139" w:name="_Ref423090172"/>
      <w:bookmarkStart w:id="140" w:name="_Toc308262404"/>
      <w:bookmarkStart w:id="141" w:name="_Toc311366670"/>
      <w:r w:rsidRPr="00591BFC">
        <w:t xml:space="preserve">Table </w:t>
      </w:r>
      <w:r w:rsidR="002149AD">
        <w:fldChar w:fldCharType="begin"/>
      </w:r>
      <w:r w:rsidR="002149AD">
        <w:instrText xml:space="preserve"> SEQ Table \* ARABIC </w:instrText>
      </w:r>
      <w:r w:rsidR="002149AD">
        <w:fldChar w:fldCharType="separate"/>
      </w:r>
      <w:r w:rsidR="00655089">
        <w:rPr>
          <w:noProof/>
        </w:rPr>
        <w:t>9</w:t>
      </w:r>
      <w:r w:rsidR="002149AD">
        <w:rPr>
          <w:noProof/>
        </w:rPr>
        <w:fldChar w:fldCharType="end"/>
      </w:r>
      <w:bookmarkEnd w:id="139"/>
      <w:r w:rsidRPr="00591BFC">
        <w:t xml:space="preserve"> Themes identified and their relation to the four</w:t>
      </w:r>
      <w:r w:rsidR="002E63B3" w:rsidRPr="00591BFC">
        <w:t xml:space="preserve"> </w:t>
      </w:r>
      <w:r w:rsidRPr="00591BFC">
        <w:t xml:space="preserve">main constructs of extended </w:t>
      </w:r>
      <w:r w:rsidR="003A3A41" w:rsidRPr="00591BFC">
        <w:t>Normalisation</w:t>
      </w:r>
      <w:r w:rsidRPr="00591BFC">
        <w:t xml:space="preserve"> Process Theory</w:t>
      </w:r>
      <w:bookmarkEnd w:id="140"/>
      <w:bookmarkEnd w:id="141"/>
    </w:p>
    <w:tbl>
      <w:tblPr>
        <w:tblW w:w="9939"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710"/>
        <w:gridCol w:w="2193"/>
        <w:gridCol w:w="2325"/>
      </w:tblGrid>
      <w:tr w:rsidR="00B70DDB" w:rsidRPr="00591BFC" w14:paraId="1B148DA2" w14:textId="77777777" w:rsidTr="00180EF2">
        <w:trPr>
          <w:trHeight w:val="269"/>
        </w:trPr>
        <w:tc>
          <w:tcPr>
            <w:tcW w:w="9939" w:type="dxa"/>
            <w:gridSpan w:val="4"/>
            <w:tcBorders>
              <w:top w:val="single" w:sz="4" w:space="0" w:color="auto"/>
              <w:bottom w:val="nil"/>
            </w:tcBorders>
            <w:shd w:val="clear" w:color="auto" w:fill="auto"/>
          </w:tcPr>
          <w:p w14:paraId="6C51D991" w14:textId="77777777" w:rsidR="00B70DDB" w:rsidRPr="00591BFC" w:rsidRDefault="00B70DDB" w:rsidP="00E86771">
            <w:pPr>
              <w:spacing w:line="360" w:lineRule="auto"/>
            </w:pPr>
          </w:p>
        </w:tc>
      </w:tr>
      <w:tr w:rsidR="00B70DDB" w:rsidRPr="00591BFC" w14:paraId="7FA1647A" w14:textId="77777777" w:rsidTr="00180EF2">
        <w:trPr>
          <w:trHeight w:val="269"/>
        </w:trPr>
        <w:tc>
          <w:tcPr>
            <w:tcW w:w="2711" w:type="dxa"/>
            <w:tcBorders>
              <w:top w:val="nil"/>
              <w:bottom w:val="nil"/>
            </w:tcBorders>
            <w:shd w:val="clear" w:color="auto" w:fill="auto"/>
          </w:tcPr>
          <w:p w14:paraId="7E8A405D" w14:textId="77777777" w:rsidR="00B70DDB" w:rsidRPr="00591BFC" w:rsidRDefault="00B70DDB" w:rsidP="00E86771">
            <w:pPr>
              <w:spacing w:line="360" w:lineRule="auto"/>
              <w:rPr>
                <w:b/>
              </w:rPr>
            </w:pPr>
            <w:r w:rsidRPr="00591BFC">
              <w:rPr>
                <w:rFonts w:cs="Tms Rmn"/>
                <w:b/>
              </w:rPr>
              <w:t>‘Capacity’</w:t>
            </w:r>
          </w:p>
        </w:tc>
        <w:tc>
          <w:tcPr>
            <w:tcW w:w="2710" w:type="dxa"/>
            <w:tcBorders>
              <w:top w:val="nil"/>
              <w:bottom w:val="nil"/>
            </w:tcBorders>
            <w:shd w:val="clear" w:color="auto" w:fill="auto"/>
          </w:tcPr>
          <w:p w14:paraId="18D418B0" w14:textId="77777777" w:rsidR="00B70DDB" w:rsidRPr="00591BFC" w:rsidRDefault="00B70DDB" w:rsidP="00E86771">
            <w:pPr>
              <w:spacing w:line="360" w:lineRule="auto"/>
              <w:rPr>
                <w:b/>
              </w:rPr>
            </w:pPr>
            <w:r w:rsidRPr="00591BFC">
              <w:rPr>
                <w:rFonts w:cs="Tms Rmn"/>
                <w:b/>
              </w:rPr>
              <w:t>‘Potential’</w:t>
            </w:r>
          </w:p>
        </w:tc>
        <w:tc>
          <w:tcPr>
            <w:tcW w:w="2193" w:type="dxa"/>
            <w:tcBorders>
              <w:top w:val="nil"/>
              <w:bottom w:val="nil"/>
            </w:tcBorders>
            <w:shd w:val="clear" w:color="auto" w:fill="auto"/>
          </w:tcPr>
          <w:p w14:paraId="1BC3D6CE" w14:textId="77777777" w:rsidR="00B70DDB" w:rsidRPr="00591BFC" w:rsidRDefault="00B70DDB" w:rsidP="00E86771">
            <w:pPr>
              <w:spacing w:line="360" w:lineRule="auto"/>
              <w:rPr>
                <w:b/>
              </w:rPr>
            </w:pPr>
            <w:r w:rsidRPr="00591BFC">
              <w:rPr>
                <w:rFonts w:cs="Tms Rmn"/>
                <w:b/>
              </w:rPr>
              <w:t>‘Capability’</w:t>
            </w:r>
          </w:p>
        </w:tc>
        <w:tc>
          <w:tcPr>
            <w:tcW w:w="2325" w:type="dxa"/>
            <w:tcBorders>
              <w:top w:val="nil"/>
              <w:bottom w:val="nil"/>
            </w:tcBorders>
            <w:shd w:val="clear" w:color="auto" w:fill="auto"/>
          </w:tcPr>
          <w:p w14:paraId="43145F86" w14:textId="77777777" w:rsidR="00B70DDB" w:rsidRPr="00591BFC" w:rsidRDefault="00B70DDB" w:rsidP="00E86771">
            <w:pPr>
              <w:spacing w:line="360" w:lineRule="auto"/>
              <w:rPr>
                <w:b/>
              </w:rPr>
            </w:pPr>
            <w:r w:rsidRPr="00591BFC">
              <w:rPr>
                <w:rFonts w:cs="Tms Rmn"/>
                <w:b/>
              </w:rPr>
              <w:t>‘Contribution’</w:t>
            </w:r>
          </w:p>
        </w:tc>
      </w:tr>
      <w:tr w:rsidR="00B70DDB" w:rsidRPr="00591BFC" w14:paraId="1880800E" w14:textId="77777777" w:rsidTr="00180EF2">
        <w:trPr>
          <w:trHeight w:val="1600"/>
        </w:trPr>
        <w:tc>
          <w:tcPr>
            <w:tcW w:w="2711" w:type="dxa"/>
            <w:tcBorders>
              <w:top w:val="nil"/>
              <w:bottom w:val="nil"/>
            </w:tcBorders>
            <w:shd w:val="clear" w:color="auto" w:fill="auto"/>
          </w:tcPr>
          <w:p w14:paraId="6D98A37D" w14:textId="77777777" w:rsidR="00B70DDB" w:rsidRPr="00591BFC" w:rsidRDefault="00B70DDB" w:rsidP="00E86771">
            <w:pPr>
              <w:spacing w:after="120" w:line="360" w:lineRule="auto"/>
            </w:pPr>
          </w:p>
          <w:p w14:paraId="13C4E654" w14:textId="77777777" w:rsidR="00B70DDB" w:rsidRPr="00591BFC" w:rsidRDefault="00B70DDB" w:rsidP="00E86771">
            <w:pPr>
              <w:spacing w:after="120" w:line="360" w:lineRule="auto"/>
            </w:pPr>
            <w:r w:rsidRPr="00591BFC">
              <w:t xml:space="preserve">Role of dedicated fracture prevention coordinator </w:t>
            </w:r>
          </w:p>
        </w:tc>
        <w:tc>
          <w:tcPr>
            <w:tcW w:w="2710" w:type="dxa"/>
            <w:tcBorders>
              <w:top w:val="nil"/>
              <w:bottom w:val="nil"/>
            </w:tcBorders>
            <w:shd w:val="clear" w:color="auto" w:fill="auto"/>
          </w:tcPr>
          <w:p w14:paraId="03C4D7FF" w14:textId="77777777" w:rsidR="00B70DDB" w:rsidRPr="00591BFC" w:rsidRDefault="00B70DDB" w:rsidP="00E86771">
            <w:pPr>
              <w:spacing w:after="120" w:line="360" w:lineRule="auto"/>
            </w:pPr>
          </w:p>
          <w:p w14:paraId="319EFCF2" w14:textId="77777777" w:rsidR="00B70DDB" w:rsidRPr="00591BFC" w:rsidRDefault="00B70DDB" w:rsidP="00E86771">
            <w:pPr>
              <w:spacing w:after="120" w:line="360" w:lineRule="auto"/>
            </w:pPr>
            <w:r w:rsidRPr="00591BFC">
              <w:t>High levels of support for introducing service</w:t>
            </w:r>
          </w:p>
        </w:tc>
        <w:tc>
          <w:tcPr>
            <w:tcW w:w="2193" w:type="dxa"/>
            <w:tcBorders>
              <w:top w:val="nil"/>
              <w:bottom w:val="nil"/>
            </w:tcBorders>
            <w:shd w:val="clear" w:color="auto" w:fill="auto"/>
          </w:tcPr>
          <w:p w14:paraId="3B5AA94E" w14:textId="77777777" w:rsidR="00B70DDB" w:rsidRPr="00591BFC" w:rsidRDefault="00B70DDB" w:rsidP="00E86771">
            <w:pPr>
              <w:spacing w:after="120" w:line="360" w:lineRule="auto"/>
            </w:pPr>
          </w:p>
          <w:p w14:paraId="201DE390" w14:textId="77777777" w:rsidR="00B70DDB" w:rsidRPr="00591BFC" w:rsidRDefault="00B70DDB" w:rsidP="00E86771">
            <w:pPr>
              <w:spacing w:after="120" w:line="360" w:lineRule="auto"/>
            </w:pPr>
            <w:r w:rsidRPr="00591BFC">
              <w:t>Fracture prevention coordinators ‘freeing up’ professionals previously engaged in care</w:t>
            </w:r>
          </w:p>
        </w:tc>
        <w:tc>
          <w:tcPr>
            <w:tcW w:w="2325" w:type="dxa"/>
            <w:tcBorders>
              <w:top w:val="nil"/>
              <w:bottom w:val="nil"/>
            </w:tcBorders>
            <w:shd w:val="clear" w:color="auto" w:fill="auto"/>
          </w:tcPr>
          <w:p w14:paraId="35AFD711" w14:textId="77777777" w:rsidR="00B70DDB" w:rsidRPr="00591BFC" w:rsidRDefault="00B70DDB" w:rsidP="00E86771">
            <w:pPr>
              <w:spacing w:after="120" w:line="360" w:lineRule="auto"/>
            </w:pPr>
          </w:p>
          <w:p w14:paraId="35DA7327" w14:textId="77777777" w:rsidR="00B70DDB" w:rsidRPr="00591BFC" w:rsidRDefault="00B70DDB" w:rsidP="00E86771">
            <w:pPr>
              <w:spacing w:after="120" w:line="360" w:lineRule="auto"/>
            </w:pPr>
            <w:r w:rsidRPr="00591BFC">
              <w:t>Multi-disciplinary team meetings</w:t>
            </w:r>
          </w:p>
        </w:tc>
      </w:tr>
      <w:tr w:rsidR="00B70DDB" w:rsidRPr="00591BFC" w14:paraId="3C120510" w14:textId="77777777" w:rsidTr="00180EF2">
        <w:trPr>
          <w:trHeight w:val="1077"/>
        </w:trPr>
        <w:tc>
          <w:tcPr>
            <w:tcW w:w="2711" w:type="dxa"/>
            <w:tcBorders>
              <w:top w:val="nil"/>
              <w:bottom w:val="nil"/>
            </w:tcBorders>
            <w:shd w:val="clear" w:color="auto" w:fill="auto"/>
          </w:tcPr>
          <w:p w14:paraId="14BD473F" w14:textId="77777777" w:rsidR="00B70DDB" w:rsidRPr="00591BFC" w:rsidRDefault="00B70DDB" w:rsidP="00E86771">
            <w:pPr>
              <w:spacing w:after="120" w:line="360" w:lineRule="auto"/>
            </w:pPr>
            <w:r w:rsidRPr="00591BFC">
              <w:t>Multi-disciplinary paperwork: protocols and proforma records</w:t>
            </w:r>
          </w:p>
        </w:tc>
        <w:tc>
          <w:tcPr>
            <w:tcW w:w="2710" w:type="dxa"/>
            <w:tcBorders>
              <w:top w:val="nil"/>
              <w:bottom w:val="nil"/>
            </w:tcBorders>
            <w:shd w:val="clear" w:color="auto" w:fill="auto"/>
          </w:tcPr>
          <w:p w14:paraId="3C62EB2B" w14:textId="77777777" w:rsidR="00B70DDB" w:rsidRPr="00591BFC" w:rsidRDefault="00B70DDB" w:rsidP="00E86771">
            <w:pPr>
              <w:spacing w:after="120" w:line="360" w:lineRule="auto"/>
            </w:pPr>
            <w:r w:rsidRPr="00591BFC">
              <w:t>Lack of support for introducing service from some professionals</w:t>
            </w:r>
          </w:p>
        </w:tc>
        <w:tc>
          <w:tcPr>
            <w:tcW w:w="2193" w:type="dxa"/>
            <w:tcBorders>
              <w:top w:val="nil"/>
              <w:bottom w:val="nil"/>
            </w:tcBorders>
            <w:shd w:val="clear" w:color="auto" w:fill="auto"/>
          </w:tcPr>
          <w:p w14:paraId="39E49BB3" w14:textId="77777777" w:rsidR="00B70DDB" w:rsidRPr="00591BFC" w:rsidRDefault="00B70DDB" w:rsidP="00E86771">
            <w:pPr>
              <w:spacing w:after="120" w:line="360" w:lineRule="auto"/>
            </w:pPr>
            <w:r w:rsidRPr="00591BFC">
              <w:t>Lack of time to deliver intervention</w:t>
            </w:r>
          </w:p>
        </w:tc>
        <w:tc>
          <w:tcPr>
            <w:tcW w:w="2325" w:type="dxa"/>
            <w:tcBorders>
              <w:top w:val="nil"/>
              <w:bottom w:val="nil"/>
            </w:tcBorders>
            <w:shd w:val="clear" w:color="auto" w:fill="auto"/>
          </w:tcPr>
          <w:p w14:paraId="1235FC05" w14:textId="77777777" w:rsidR="00B70DDB" w:rsidRPr="00591BFC" w:rsidRDefault="00B70DDB" w:rsidP="00E86771">
            <w:pPr>
              <w:spacing w:after="120" w:line="360" w:lineRule="auto"/>
            </w:pPr>
            <w:r w:rsidRPr="00591BFC">
              <w:t>Clinical databases</w:t>
            </w:r>
          </w:p>
        </w:tc>
      </w:tr>
      <w:tr w:rsidR="00B70DDB" w:rsidRPr="00591BFC" w14:paraId="083C813D" w14:textId="77777777" w:rsidTr="00180EF2">
        <w:trPr>
          <w:trHeight w:val="1062"/>
        </w:trPr>
        <w:tc>
          <w:tcPr>
            <w:tcW w:w="2711" w:type="dxa"/>
            <w:tcBorders>
              <w:top w:val="nil"/>
              <w:bottom w:val="nil"/>
            </w:tcBorders>
            <w:shd w:val="clear" w:color="auto" w:fill="auto"/>
          </w:tcPr>
          <w:p w14:paraId="1A5907F6" w14:textId="77777777" w:rsidR="00B70DDB" w:rsidRPr="00591BFC" w:rsidRDefault="00B70DDB" w:rsidP="00E86771">
            <w:pPr>
              <w:spacing w:after="120" w:line="360" w:lineRule="auto"/>
            </w:pPr>
            <w:r w:rsidRPr="00591BFC">
              <w:t>Multi-disciplinary team-work: multi-disciplinary team meetings, joint ward rounds</w:t>
            </w:r>
          </w:p>
        </w:tc>
        <w:tc>
          <w:tcPr>
            <w:tcW w:w="2710" w:type="dxa"/>
            <w:tcBorders>
              <w:top w:val="nil"/>
              <w:bottom w:val="nil"/>
            </w:tcBorders>
            <w:shd w:val="clear" w:color="auto" w:fill="auto"/>
          </w:tcPr>
          <w:p w14:paraId="64933757" w14:textId="77777777" w:rsidR="00B70DDB" w:rsidRPr="00591BFC" w:rsidRDefault="00B70DDB" w:rsidP="00E86771">
            <w:pPr>
              <w:spacing w:after="120" w:line="360" w:lineRule="auto"/>
            </w:pPr>
            <w:r w:rsidRPr="00591BFC">
              <w:t>Relationships between different professional groups</w:t>
            </w:r>
          </w:p>
        </w:tc>
        <w:tc>
          <w:tcPr>
            <w:tcW w:w="2193" w:type="dxa"/>
            <w:tcBorders>
              <w:top w:val="nil"/>
              <w:bottom w:val="nil"/>
            </w:tcBorders>
            <w:shd w:val="clear" w:color="auto" w:fill="auto"/>
          </w:tcPr>
          <w:p w14:paraId="7EBEEFAD" w14:textId="77777777" w:rsidR="00B70DDB" w:rsidRPr="00591BFC" w:rsidRDefault="00B70DDB" w:rsidP="00E86771">
            <w:pPr>
              <w:spacing w:after="120" w:line="360" w:lineRule="auto"/>
            </w:pPr>
            <w:r w:rsidRPr="00591BFC">
              <w:t>Lack of capacity to administer DXA scans</w:t>
            </w:r>
          </w:p>
        </w:tc>
        <w:tc>
          <w:tcPr>
            <w:tcW w:w="2325" w:type="dxa"/>
            <w:tcBorders>
              <w:top w:val="nil"/>
              <w:bottom w:val="nil"/>
            </w:tcBorders>
            <w:shd w:val="clear" w:color="auto" w:fill="auto"/>
          </w:tcPr>
          <w:p w14:paraId="7DFDAF56" w14:textId="77777777" w:rsidR="00B70DDB" w:rsidRPr="00591BFC" w:rsidRDefault="00B70DDB" w:rsidP="00E86771">
            <w:pPr>
              <w:spacing w:after="120" w:line="360" w:lineRule="auto"/>
            </w:pPr>
            <w:r w:rsidRPr="00591BFC">
              <w:t>Internal monitoring systems</w:t>
            </w:r>
          </w:p>
        </w:tc>
      </w:tr>
      <w:tr w:rsidR="00B70DDB" w:rsidRPr="00591BFC" w14:paraId="17F3CE71" w14:textId="77777777" w:rsidTr="00180EF2">
        <w:trPr>
          <w:trHeight w:val="1077"/>
        </w:trPr>
        <w:tc>
          <w:tcPr>
            <w:tcW w:w="2711" w:type="dxa"/>
            <w:tcBorders>
              <w:top w:val="nil"/>
              <w:bottom w:val="nil"/>
            </w:tcBorders>
            <w:shd w:val="clear" w:color="auto" w:fill="auto"/>
          </w:tcPr>
          <w:p w14:paraId="1436B28A" w14:textId="77777777" w:rsidR="00B70DDB" w:rsidRPr="00591BFC" w:rsidRDefault="00B70DDB" w:rsidP="00E86771">
            <w:pPr>
              <w:spacing w:after="120" w:line="360" w:lineRule="auto"/>
            </w:pPr>
            <w:r w:rsidRPr="00591BFC">
              <w:t>Positive working relationships</w:t>
            </w:r>
          </w:p>
        </w:tc>
        <w:tc>
          <w:tcPr>
            <w:tcW w:w="2710" w:type="dxa"/>
            <w:tcBorders>
              <w:top w:val="nil"/>
              <w:bottom w:val="nil"/>
            </w:tcBorders>
            <w:shd w:val="clear" w:color="auto" w:fill="auto"/>
          </w:tcPr>
          <w:p w14:paraId="116C2683" w14:textId="77777777" w:rsidR="00B70DDB" w:rsidRPr="00591BFC" w:rsidRDefault="00B70DDB" w:rsidP="00E86771">
            <w:pPr>
              <w:spacing w:after="120" w:line="360" w:lineRule="auto"/>
            </w:pPr>
            <w:r w:rsidRPr="00591BFC">
              <w:t>Multi-disciplinary team working</w:t>
            </w:r>
          </w:p>
        </w:tc>
        <w:tc>
          <w:tcPr>
            <w:tcW w:w="2193" w:type="dxa"/>
            <w:tcBorders>
              <w:top w:val="nil"/>
              <w:bottom w:val="nil"/>
            </w:tcBorders>
            <w:shd w:val="clear" w:color="auto" w:fill="auto"/>
          </w:tcPr>
          <w:p w14:paraId="7D0E22EA" w14:textId="77777777" w:rsidR="00B70DDB" w:rsidRPr="00591BFC" w:rsidRDefault="00B70DDB" w:rsidP="00E86771">
            <w:pPr>
              <w:spacing w:after="120" w:line="360" w:lineRule="auto"/>
            </w:pPr>
            <w:r w:rsidRPr="00591BFC">
              <w:t>Challenges faced by service users in accessing services</w:t>
            </w:r>
          </w:p>
        </w:tc>
        <w:tc>
          <w:tcPr>
            <w:tcW w:w="2325" w:type="dxa"/>
            <w:tcBorders>
              <w:top w:val="nil"/>
              <w:bottom w:val="nil"/>
            </w:tcBorders>
            <w:shd w:val="clear" w:color="auto" w:fill="auto"/>
          </w:tcPr>
          <w:p w14:paraId="225E551C" w14:textId="77777777" w:rsidR="00B70DDB" w:rsidRPr="00591BFC" w:rsidRDefault="00B70DDB" w:rsidP="00E86771">
            <w:pPr>
              <w:spacing w:after="120" w:line="360" w:lineRule="auto"/>
            </w:pPr>
            <w:r w:rsidRPr="00591BFC">
              <w:t>External monitoring systems linked to funding</w:t>
            </w:r>
          </w:p>
        </w:tc>
      </w:tr>
      <w:tr w:rsidR="00B70DDB" w:rsidRPr="00591BFC" w14:paraId="12925CD9" w14:textId="77777777" w:rsidTr="00180EF2">
        <w:trPr>
          <w:trHeight w:val="538"/>
        </w:trPr>
        <w:tc>
          <w:tcPr>
            <w:tcW w:w="2711" w:type="dxa"/>
            <w:tcBorders>
              <w:top w:val="nil"/>
              <w:bottom w:val="nil"/>
            </w:tcBorders>
            <w:shd w:val="clear" w:color="auto" w:fill="auto"/>
          </w:tcPr>
          <w:p w14:paraId="7F439286" w14:textId="77777777" w:rsidR="00B70DDB" w:rsidRPr="00591BFC" w:rsidRDefault="00B70DDB" w:rsidP="00E86771">
            <w:pPr>
              <w:spacing w:after="120" w:line="360" w:lineRule="auto"/>
            </w:pPr>
            <w:r w:rsidRPr="00591BFC">
              <w:t xml:space="preserve">Location of professionals close to the service and each other </w:t>
            </w:r>
          </w:p>
        </w:tc>
        <w:tc>
          <w:tcPr>
            <w:tcW w:w="2710" w:type="dxa"/>
            <w:tcBorders>
              <w:top w:val="nil"/>
              <w:bottom w:val="nil"/>
            </w:tcBorders>
            <w:shd w:val="clear" w:color="auto" w:fill="auto"/>
          </w:tcPr>
          <w:p w14:paraId="5E5917D6" w14:textId="77777777" w:rsidR="00B70DDB" w:rsidRPr="00591BFC" w:rsidRDefault="00B70DDB" w:rsidP="00E86771">
            <w:pPr>
              <w:spacing w:after="120" w:line="360" w:lineRule="auto"/>
            </w:pPr>
            <w:r w:rsidRPr="00591BFC">
              <w:t>Role of fracture prevention coordinator</w:t>
            </w:r>
          </w:p>
        </w:tc>
        <w:tc>
          <w:tcPr>
            <w:tcW w:w="2193" w:type="dxa"/>
            <w:tcBorders>
              <w:top w:val="nil"/>
              <w:bottom w:val="nil"/>
            </w:tcBorders>
            <w:shd w:val="clear" w:color="auto" w:fill="auto"/>
          </w:tcPr>
          <w:p w14:paraId="1AF46202" w14:textId="77777777" w:rsidR="00B70DDB" w:rsidRPr="00591BFC" w:rsidRDefault="00B70DDB" w:rsidP="00E86771">
            <w:pPr>
              <w:spacing w:after="120" w:line="360" w:lineRule="auto"/>
            </w:pPr>
          </w:p>
        </w:tc>
        <w:tc>
          <w:tcPr>
            <w:tcW w:w="2325" w:type="dxa"/>
            <w:tcBorders>
              <w:top w:val="nil"/>
              <w:bottom w:val="nil"/>
            </w:tcBorders>
            <w:shd w:val="clear" w:color="auto" w:fill="auto"/>
          </w:tcPr>
          <w:p w14:paraId="2C60A478" w14:textId="77777777" w:rsidR="00B70DDB" w:rsidRPr="00591BFC" w:rsidRDefault="00B70DDB" w:rsidP="00E86771">
            <w:pPr>
              <w:spacing w:after="120" w:line="360" w:lineRule="auto"/>
            </w:pPr>
          </w:p>
        </w:tc>
      </w:tr>
      <w:tr w:rsidR="00B70DDB" w:rsidRPr="00591BFC" w14:paraId="69AB2C7B" w14:textId="77777777" w:rsidTr="00180EF2">
        <w:trPr>
          <w:trHeight w:val="1062"/>
        </w:trPr>
        <w:tc>
          <w:tcPr>
            <w:tcW w:w="2711" w:type="dxa"/>
            <w:tcBorders>
              <w:top w:val="nil"/>
              <w:bottom w:val="nil"/>
            </w:tcBorders>
            <w:shd w:val="clear" w:color="auto" w:fill="auto"/>
          </w:tcPr>
          <w:p w14:paraId="1400AEBA" w14:textId="77777777" w:rsidR="00B70DDB" w:rsidRPr="00591BFC" w:rsidRDefault="00B70DDB" w:rsidP="00E86771">
            <w:pPr>
              <w:spacing w:after="120" w:line="360" w:lineRule="auto"/>
            </w:pPr>
            <w:r w:rsidRPr="00591BFC">
              <w:t>Challenge of securing co-operation and communication with GPs</w:t>
            </w:r>
          </w:p>
        </w:tc>
        <w:tc>
          <w:tcPr>
            <w:tcW w:w="2710" w:type="dxa"/>
            <w:tcBorders>
              <w:top w:val="nil"/>
              <w:bottom w:val="nil"/>
            </w:tcBorders>
            <w:shd w:val="clear" w:color="auto" w:fill="auto"/>
          </w:tcPr>
          <w:p w14:paraId="793BCA64" w14:textId="77777777" w:rsidR="00B70DDB" w:rsidRPr="00591BFC" w:rsidRDefault="00B70DDB" w:rsidP="00E86771">
            <w:pPr>
              <w:spacing w:after="120" w:line="360" w:lineRule="auto"/>
            </w:pPr>
            <w:r w:rsidRPr="00591BFC">
              <w:t>Varying commitment from practitioners in primary care</w:t>
            </w:r>
          </w:p>
        </w:tc>
        <w:tc>
          <w:tcPr>
            <w:tcW w:w="2193" w:type="dxa"/>
            <w:tcBorders>
              <w:top w:val="nil"/>
              <w:bottom w:val="nil"/>
            </w:tcBorders>
            <w:shd w:val="clear" w:color="auto" w:fill="auto"/>
          </w:tcPr>
          <w:p w14:paraId="05D060B5" w14:textId="77777777" w:rsidR="00B70DDB" w:rsidRPr="00591BFC" w:rsidRDefault="00B70DDB" w:rsidP="00E86771">
            <w:pPr>
              <w:spacing w:after="120" w:line="360" w:lineRule="auto"/>
            </w:pPr>
          </w:p>
        </w:tc>
        <w:tc>
          <w:tcPr>
            <w:tcW w:w="2325" w:type="dxa"/>
            <w:tcBorders>
              <w:top w:val="nil"/>
              <w:bottom w:val="nil"/>
            </w:tcBorders>
            <w:shd w:val="clear" w:color="auto" w:fill="auto"/>
          </w:tcPr>
          <w:p w14:paraId="261AB554" w14:textId="77777777" w:rsidR="00B70DDB" w:rsidRPr="00591BFC" w:rsidRDefault="00B70DDB" w:rsidP="00E86771">
            <w:pPr>
              <w:spacing w:after="120" w:line="360" w:lineRule="auto"/>
            </w:pPr>
          </w:p>
        </w:tc>
      </w:tr>
      <w:tr w:rsidR="00B70DDB" w:rsidRPr="00591BFC" w14:paraId="2DFA7D55" w14:textId="77777777" w:rsidTr="00180EF2">
        <w:trPr>
          <w:trHeight w:val="1077"/>
        </w:trPr>
        <w:tc>
          <w:tcPr>
            <w:tcW w:w="2711" w:type="dxa"/>
            <w:tcBorders>
              <w:top w:val="nil"/>
              <w:bottom w:val="nil"/>
            </w:tcBorders>
            <w:shd w:val="clear" w:color="auto" w:fill="auto"/>
          </w:tcPr>
          <w:p w14:paraId="66D66A22" w14:textId="77777777" w:rsidR="00B70DDB" w:rsidRPr="00591BFC" w:rsidRDefault="00B70DDB" w:rsidP="00E86771">
            <w:pPr>
              <w:spacing w:after="120" w:line="360" w:lineRule="auto"/>
            </w:pPr>
            <w:r w:rsidRPr="00591BFC">
              <w:t>High workload in primary care impacting on time spent implementing intervention</w:t>
            </w:r>
          </w:p>
        </w:tc>
        <w:tc>
          <w:tcPr>
            <w:tcW w:w="2710" w:type="dxa"/>
            <w:tcBorders>
              <w:top w:val="nil"/>
              <w:bottom w:val="nil"/>
            </w:tcBorders>
            <w:shd w:val="clear" w:color="auto" w:fill="auto"/>
          </w:tcPr>
          <w:p w14:paraId="4AB2996E" w14:textId="77777777" w:rsidR="00B70DDB" w:rsidRPr="00591BFC" w:rsidRDefault="00B70DDB" w:rsidP="00E86771">
            <w:pPr>
              <w:spacing w:after="120" w:line="360" w:lineRule="auto"/>
            </w:pPr>
          </w:p>
        </w:tc>
        <w:tc>
          <w:tcPr>
            <w:tcW w:w="2193" w:type="dxa"/>
            <w:tcBorders>
              <w:top w:val="nil"/>
              <w:bottom w:val="nil"/>
            </w:tcBorders>
            <w:shd w:val="clear" w:color="auto" w:fill="auto"/>
          </w:tcPr>
          <w:p w14:paraId="40B4ED33" w14:textId="77777777" w:rsidR="00B70DDB" w:rsidRPr="00591BFC" w:rsidRDefault="00B70DDB" w:rsidP="00E86771">
            <w:pPr>
              <w:spacing w:after="120" w:line="360" w:lineRule="auto"/>
            </w:pPr>
          </w:p>
        </w:tc>
        <w:tc>
          <w:tcPr>
            <w:tcW w:w="2325" w:type="dxa"/>
            <w:tcBorders>
              <w:top w:val="nil"/>
              <w:bottom w:val="nil"/>
            </w:tcBorders>
            <w:shd w:val="clear" w:color="auto" w:fill="auto"/>
          </w:tcPr>
          <w:p w14:paraId="77FC8801" w14:textId="77777777" w:rsidR="00B70DDB" w:rsidRPr="00591BFC" w:rsidRDefault="00B70DDB" w:rsidP="00E86771">
            <w:pPr>
              <w:spacing w:after="120" w:line="360" w:lineRule="auto"/>
            </w:pPr>
          </w:p>
        </w:tc>
      </w:tr>
      <w:tr w:rsidR="00B70DDB" w:rsidRPr="00591BFC" w14:paraId="21532822" w14:textId="77777777" w:rsidTr="00180EF2">
        <w:trPr>
          <w:trHeight w:val="1077"/>
        </w:trPr>
        <w:tc>
          <w:tcPr>
            <w:tcW w:w="2711" w:type="dxa"/>
            <w:tcBorders>
              <w:top w:val="nil"/>
              <w:bottom w:val="nil"/>
            </w:tcBorders>
            <w:shd w:val="clear" w:color="auto" w:fill="auto"/>
          </w:tcPr>
          <w:p w14:paraId="7DA7002A" w14:textId="77777777" w:rsidR="00B70DDB" w:rsidRPr="00591BFC" w:rsidRDefault="00B70DDB" w:rsidP="00E86771">
            <w:pPr>
              <w:spacing w:after="120" w:line="360" w:lineRule="auto"/>
            </w:pPr>
            <w:r w:rsidRPr="00591BFC">
              <w:lastRenderedPageBreak/>
              <w:t>Written communication with GPs, especially discharge summaries and DXA reports</w:t>
            </w:r>
          </w:p>
        </w:tc>
        <w:tc>
          <w:tcPr>
            <w:tcW w:w="2710" w:type="dxa"/>
            <w:tcBorders>
              <w:top w:val="nil"/>
              <w:bottom w:val="nil"/>
            </w:tcBorders>
            <w:shd w:val="clear" w:color="auto" w:fill="auto"/>
          </w:tcPr>
          <w:p w14:paraId="0ABE46BE" w14:textId="77777777" w:rsidR="00B70DDB" w:rsidRPr="00591BFC" w:rsidRDefault="00B70DDB" w:rsidP="00E86771">
            <w:pPr>
              <w:spacing w:after="120" w:line="360" w:lineRule="auto"/>
            </w:pPr>
          </w:p>
        </w:tc>
        <w:tc>
          <w:tcPr>
            <w:tcW w:w="2193" w:type="dxa"/>
            <w:tcBorders>
              <w:top w:val="nil"/>
              <w:bottom w:val="nil"/>
            </w:tcBorders>
            <w:shd w:val="clear" w:color="auto" w:fill="auto"/>
          </w:tcPr>
          <w:p w14:paraId="40ACA7B0" w14:textId="77777777" w:rsidR="00B70DDB" w:rsidRPr="00591BFC" w:rsidRDefault="00B70DDB" w:rsidP="00E86771">
            <w:pPr>
              <w:spacing w:after="120" w:line="360" w:lineRule="auto"/>
            </w:pPr>
          </w:p>
        </w:tc>
        <w:tc>
          <w:tcPr>
            <w:tcW w:w="2325" w:type="dxa"/>
            <w:tcBorders>
              <w:top w:val="nil"/>
              <w:bottom w:val="nil"/>
            </w:tcBorders>
            <w:shd w:val="clear" w:color="auto" w:fill="auto"/>
          </w:tcPr>
          <w:p w14:paraId="3AA9DB69" w14:textId="77777777" w:rsidR="00B70DDB" w:rsidRPr="00591BFC" w:rsidRDefault="00B70DDB" w:rsidP="00E86771">
            <w:pPr>
              <w:spacing w:after="120" w:line="360" w:lineRule="auto"/>
            </w:pPr>
          </w:p>
        </w:tc>
      </w:tr>
      <w:tr w:rsidR="00B70DDB" w:rsidRPr="00591BFC" w14:paraId="4692FC1D" w14:textId="77777777" w:rsidTr="00180EF2">
        <w:trPr>
          <w:trHeight w:val="1077"/>
        </w:trPr>
        <w:tc>
          <w:tcPr>
            <w:tcW w:w="2711" w:type="dxa"/>
            <w:tcBorders>
              <w:top w:val="nil"/>
            </w:tcBorders>
            <w:shd w:val="clear" w:color="auto" w:fill="auto"/>
          </w:tcPr>
          <w:p w14:paraId="0E3763CA" w14:textId="77777777" w:rsidR="00B70DDB" w:rsidRPr="00591BFC" w:rsidRDefault="00B70DDB" w:rsidP="00E86771">
            <w:pPr>
              <w:spacing w:after="120" w:line="360" w:lineRule="auto"/>
            </w:pPr>
            <w:r w:rsidRPr="00591BFC">
              <w:t>Potential role of fracture prevention coordinators in primary care</w:t>
            </w:r>
          </w:p>
        </w:tc>
        <w:tc>
          <w:tcPr>
            <w:tcW w:w="2710" w:type="dxa"/>
            <w:tcBorders>
              <w:top w:val="nil"/>
            </w:tcBorders>
            <w:shd w:val="clear" w:color="auto" w:fill="auto"/>
          </w:tcPr>
          <w:p w14:paraId="7DFC0223" w14:textId="77777777" w:rsidR="00B70DDB" w:rsidRPr="00591BFC" w:rsidRDefault="00B70DDB" w:rsidP="00E86771">
            <w:pPr>
              <w:spacing w:after="120" w:line="360" w:lineRule="auto"/>
            </w:pPr>
          </w:p>
        </w:tc>
        <w:tc>
          <w:tcPr>
            <w:tcW w:w="2193" w:type="dxa"/>
            <w:tcBorders>
              <w:top w:val="nil"/>
            </w:tcBorders>
            <w:shd w:val="clear" w:color="auto" w:fill="auto"/>
          </w:tcPr>
          <w:p w14:paraId="47EAFD0A" w14:textId="77777777" w:rsidR="00B70DDB" w:rsidRPr="00591BFC" w:rsidRDefault="00B70DDB" w:rsidP="00E86771">
            <w:pPr>
              <w:spacing w:after="120" w:line="360" w:lineRule="auto"/>
            </w:pPr>
          </w:p>
        </w:tc>
        <w:tc>
          <w:tcPr>
            <w:tcW w:w="2325" w:type="dxa"/>
            <w:tcBorders>
              <w:top w:val="nil"/>
            </w:tcBorders>
            <w:shd w:val="clear" w:color="auto" w:fill="auto"/>
          </w:tcPr>
          <w:p w14:paraId="1CFA3A15" w14:textId="77777777" w:rsidR="00B70DDB" w:rsidRPr="00591BFC" w:rsidRDefault="00B70DDB" w:rsidP="00E86771">
            <w:pPr>
              <w:spacing w:after="120" w:line="360" w:lineRule="auto"/>
            </w:pPr>
          </w:p>
        </w:tc>
      </w:tr>
    </w:tbl>
    <w:p w14:paraId="0FDEBF20" w14:textId="77777777" w:rsidR="00B70DDB" w:rsidRPr="00591BFC" w:rsidRDefault="00B70DDB" w:rsidP="00E86771">
      <w:pPr>
        <w:spacing w:after="0" w:line="360" w:lineRule="auto"/>
      </w:pPr>
    </w:p>
    <w:p w14:paraId="6F56F940" w14:textId="4B41FC3B" w:rsidR="00B70DDB" w:rsidRPr="00591BFC" w:rsidRDefault="002E63B3" w:rsidP="00E86771">
      <w:pPr>
        <w:pStyle w:val="NoSpacing"/>
        <w:spacing w:line="360" w:lineRule="auto"/>
        <w:rPr>
          <w:rFonts w:cs="Tms Rmn"/>
        </w:rPr>
      </w:pPr>
      <w:r w:rsidRPr="00591BFC">
        <w:br w:type="page"/>
      </w:r>
      <w:r w:rsidR="00B70DDB" w:rsidRPr="00591BFC">
        <w:lastRenderedPageBreak/>
        <w:t xml:space="preserve">Healthcare professionals’ views about issues that affect the implementation of services using the four constructs of extended </w:t>
      </w:r>
      <w:r w:rsidR="006B566C" w:rsidRPr="00591BFC">
        <w:t xml:space="preserve">NPT </w:t>
      </w:r>
      <w:r w:rsidR="00B70DDB" w:rsidRPr="00591BFC">
        <w:t>are presented in more detail below.</w:t>
      </w:r>
    </w:p>
    <w:p w14:paraId="76A50927" w14:textId="77777777" w:rsidR="00B70DDB" w:rsidRPr="00591BFC" w:rsidRDefault="00B70DDB" w:rsidP="00E86771">
      <w:pPr>
        <w:pStyle w:val="NoSpacing"/>
        <w:spacing w:line="360" w:lineRule="auto"/>
        <w:rPr>
          <w:lang w:eastAsia="zh-CN"/>
        </w:rPr>
      </w:pPr>
    </w:p>
    <w:p w14:paraId="345D1594" w14:textId="77777777" w:rsidR="00B70DDB" w:rsidRPr="00591BFC" w:rsidRDefault="00B70DDB" w:rsidP="00E86771">
      <w:pPr>
        <w:spacing w:line="360" w:lineRule="auto"/>
        <w:rPr>
          <w:lang w:eastAsia="zh-CN"/>
        </w:rPr>
      </w:pPr>
      <w:r w:rsidRPr="00591BFC">
        <w:rPr>
          <w:b/>
          <w:lang w:eastAsia="zh-CN"/>
        </w:rPr>
        <w:t>Capacity</w:t>
      </w:r>
      <w:r w:rsidRPr="00591BFC">
        <w:rPr>
          <w:lang w:eastAsia="zh-CN"/>
        </w:rPr>
        <w:t xml:space="preserve">: Implementing the service depends on participants’ capacity to co-operate and </w:t>
      </w:r>
      <w:r w:rsidR="003021BC" w:rsidRPr="00591BFC">
        <w:rPr>
          <w:lang w:eastAsia="zh-CN"/>
        </w:rPr>
        <w:t>co-ordinate their actions</w:t>
      </w:r>
      <w:r w:rsidR="00F17DB7" w:rsidRPr="00591BFC">
        <w:rPr>
          <w:lang w:eastAsia="zh-CN"/>
        </w:rPr>
        <w:t>.</w:t>
      </w:r>
    </w:p>
    <w:p w14:paraId="7211A4B5" w14:textId="77777777" w:rsidR="002E63B3" w:rsidRPr="00591BFC" w:rsidRDefault="002E63B3" w:rsidP="00E86771">
      <w:pPr>
        <w:pStyle w:val="NoSpacing"/>
        <w:spacing w:line="360" w:lineRule="auto"/>
        <w:rPr>
          <w:lang w:eastAsia="zh-CN"/>
        </w:rPr>
      </w:pPr>
      <w:r w:rsidRPr="00591BFC">
        <w:rPr>
          <w:lang w:eastAsia="zh-CN"/>
        </w:rPr>
        <w:t>Participants’ capacity to co-operate and co-ordinate their actions was achieved by using dedicated fracture prevention coordinators who organised important processes of care and oversaw the delivery of the service. The presence of co-ordinators was seen as a key element in effective interventions because they managed the relationships between different professional groups to ensure they were aligned with the aims and objectives of the service. Co-ordination was achieved using ‘multi-disciplinary paperwork’ such as protocols and proformas that meant information was accessible and shared between participants. Multi-disciplinary working such as multi-disciplinary team meetings also facilitated communication, enabling the team to discuss patients and jointly develop policy.  As a result of these factors, co-operation between participants in secondary care was high.</w:t>
      </w:r>
    </w:p>
    <w:p w14:paraId="29E89AB5" w14:textId="77777777" w:rsidR="00B70DDB" w:rsidRPr="00591BFC" w:rsidRDefault="00B70DDB" w:rsidP="00E86771">
      <w:pPr>
        <w:pStyle w:val="NoSpacing"/>
        <w:spacing w:line="360" w:lineRule="auto"/>
        <w:rPr>
          <w:lang w:eastAsia="zh-CN"/>
        </w:rPr>
      </w:pPr>
    </w:p>
    <w:p w14:paraId="5B83DB68" w14:textId="77777777" w:rsidR="00B70DDB" w:rsidRPr="00591BFC" w:rsidRDefault="00B70DDB" w:rsidP="00E86771">
      <w:pPr>
        <w:pStyle w:val="NoSpacing"/>
        <w:spacing w:line="360" w:lineRule="auto"/>
        <w:rPr>
          <w:lang w:eastAsia="zh-CN"/>
        </w:rPr>
      </w:pPr>
      <w:r w:rsidRPr="00591BFC">
        <w:rPr>
          <w:lang w:eastAsia="zh-CN"/>
        </w:rPr>
        <w:t xml:space="preserve">The physical location of professionals in relation to the centre of the service influenced the levels of communication and enthusiasm for the intervention. Participants’ capacity to co-operate and co-ordinate with GPs was therefore viewed as challenging. Additional factors that were seen to impact on GPs’ investment in the intervention included the lack of reimbursement for delivering fracture prevention services in relation to other conditions, and high workloads. To facilitate communication, participants suggested improving written communications such as discharge summaries and DXA reports. However, participants </w:t>
      </w:r>
      <w:r w:rsidR="002E63B3" w:rsidRPr="00591BFC">
        <w:rPr>
          <w:lang w:eastAsia="zh-CN"/>
        </w:rPr>
        <w:t xml:space="preserve">also </w:t>
      </w:r>
      <w:r w:rsidRPr="00591BFC">
        <w:rPr>
          <w:lang w:eastAsia="zh-CN"/>
        </w:rPr>
        <w:t>recognised the limitations of these strategies. Introducing fracture liaison nurses into the community was suggested as a means of providing advice and guidance to GPs and overseeing the implementation of services in primary care.</w:t>
      </w:r>
      <w:r w:rsidR="00F17DB7" w:rsidRPr="00591BFC">
        <w:rPr>
          <w:lang w:eastAsia="zh-CN"/>
        </w:rPr>
        <w:t xml:space="preserve"> Quotations from participants supporting these findings are included below. </w:t>
      </w:r>
    </w:p>
    <w:p w14:paraId="6C8513D3" w14:textId="77777777" w:rsidR="00B70DDB" w:rsidRPr="00591BFC" w:rsidRDefault="00B70DDB" w:rsidP="00E86771">
      <w:pPr>
        <w:pStyle w:val="NoSpacing"/>
        <w:spacing w:line="360" w:lineRule="auto"/>
        <w:rPr>
          <w:lang w:eastAsia="zh-CN"/>
        </w:rPr>
      </w:pPr>
    </w:p>
    <w:p w14:paraId="485666D6" w14:textId="77777777" w:rsidR="00F17DB7" w:rsidRPr="00591BFC" w:rsidRDefault="00F17DB7" w:rsidP="00E86771">
      <w:pPr>
        <w:pStyle w:val="NoSpacing"/>
        <w:spacing w:line="360" w:lineRule="auto"/>
        <w:rPr>
          <w:rFonts w:cs="Calibri"/>
        </w:rPr>
      </w:pPr>
      <w:r w:rsidRPr="00591BFC">
        <w:rPr>
          <w:rFonts w:cs="Calibri"/>
          <w:i/>
        </w:rPr>
        <w:t>[As the fracture prevention co-ordinator] I’m the key link in it all to be honest; it’s very much me who kind of sits in the middle really. I will link out to anybody any service that the patient needs</w:t>
      </w:r>
      <w:r w:rsidRPr="00591BFC">
        <w:rPr>
          <w:rFonts w:cs="Calibri"/>
        </w:rPr>
        <w:t>. [Participant ID: 002]</w:t>
      </w:r>
    </w:p>
    <w:p w14:paraId="35B3E9D9" w14:textId="77777777" w:rsidR="00F17DB7" w:rsidRPr="00591BFC" w:rsidRDefault="00F17DB7" w:rsidP="00E86771">
      <w:pPr>
        <w:pStyle w:val="NoSpacing"/>
        <w:spacing w:line="360" w:lineRule="auto"/>
        <w:rPr>
          <w:rFonts w:cs="Calibri"/>
        </w:rPr>
      </w:pPr>
    </w:p>
    <w:p w14:paraId="521EF5F5" w14:textId="77777777" w:rsidR="00F17DB7" w:rsidRPr="00591BFC" w:rsidRDefault="00F17DB7" w:rsidP="00E86771">
      <w:pPr>
        <w:pStyle w:val="NoSpacing"/>
        <w:spacing w:line="360" w:lineRule="auto"/>
        <w:rPr>
          <w:rFonts w:cs="Calibri"/>
        </w:rPr>
      </w:pPr>
      <w:r w:rsidRPr="00591BFC">
        <w:rPr>
          <w:rFonts w:cs="Calibri"/>
          <w:i/>
        </w:rPr>
        <w:t xml:space="preserve">[The fracture prevention team] have a separate Monday morning meeting as well to discuss every patient individually. So I think because of that there is a lot of communication both verbally and written as well, so I don’t think we have any issues there at all. </w:t>
      </w:r>
      <w:r w:rsidRPr="00591BFC">
        <w:rPr>
          <w:rFonts w:cs="Calibri"/>
        </w:rPr>
        <w:t>[Participant ID: 003 C]</w:t>
      </w:r>
    </w:p>
    <w:p w14:paraId="08CEA6D4" w14:textId="77777777" w:rsidR="00F17DB7" w:rsidRPr="00591BFC" w:rsidRDefault="00F17DB7" w:rsidP="00E86771">
      <w:pPr>
        <w:pStyle w:val="NoSpacing"/>
        <w:spacing w:line="360" w:lineRule="auto"/>
        <w:rPr>
          <w:rFonts w:cs="Calibri"/>
        </w:rPr>
      </w:pPr>
    </w:p>
    <w:p w14:paraId="7AE2B8ED" w14:textId="77777777" w:rsidR="00F17DB7" w:rsidRPr="00591BFC" w:rsidRDefault="00F17DB7" w:rsidP="00E86771">
      <w:pPr>
        <w:pStyle w:val="NoSpacing"/>
        <w:spacing w:line="360" w:lineRule="auto"/>
        <w:rPr>
          <w:rFonts w:cs="Calibri"/>
        </w:rPr>
      </w:pPr>
      <w:r w:rsidRPr="00591BFC">
        <w:rPr>
          <w:rFonts w:cs="Calibri"/>
          <w:i/>
        </w:rPr>
        <w:t xml:space="preserve">The meetings that we attend [are useful as] you kind of gain a mutual professional respect. </w:t>
      </w:r>
      <w:r w:rsidRPr="00591BFC">
        <w:rPr>
          <w:rFonts w:cs="Calibri"/>
        </w:rPr>
        <w:t>[Participant ID: 004]</w:t>
      </w:r>
    </w:p>
    <w:p w14:paraId="66DD58DA" w14:textId="77777777" w:rsidR="00F17DB7" w:rsidRPr="00591BFC" w:rsidRDefault="00F17DB7" w:rsidP="00E86771">
      <w:pPr>
        <w:pStyle w:val="NoSpacing"/>
        <w:spacing w:line="360" w:lineRule="auto"/>
        <w:rPr>
          <w:rFonts w:cs="Calibri"/>
        </w:rPr>
      </w:pPr>
    </w:p>
    <w:p w14:paraId="54A68DAB" w14:textId="77777777" w:rsidR="00F17DB7" w:rsidRPr="00591BFC" w:rsidRDefault="00F17DB7" w:rsidP="00E86771">
      <w:pPr>
        <w:pStyle w:val="NoSpacing"/>
        <w:spacing w:line="360" w:lineRule="auto"/>
        <w:rPr>
          <w:rFonts w:cs="Calibri"/>
        </w:rPr>
      </w:pPr>
      <w:r w:rsidRPr="00591BFC">
        <w:rPr>
          <w:rFonts w:cs="Calibri"/>
          <w:i/>
        </w:rPr>
        <w:t>There’s not been a huge amount of engagement with primary care… they seem to be very – two separate camps: there’s what actually happens in trauma and then there’s what happens in primary care, and the communication is difficult</w:t>
      </w:r>
      <w:r w:rsidRPr="00591BFC">
        <w:rPr>
          <w:rFonts w:cs="Calibri"/>
        </w:rPr>
        <w:t xml:space="preserve"> [Participant ID: 009]</w:t>
      </w:r>
    </w:p>
    <w:p w14:paraId="1495B73C" w14:textId="77777777" w:rsidR="00F17DB7" w:rsidRPr="00591BFC" w:rsidRDefault="00F17DB7" w:rsidP="00E86771">
      <w:pPr>
        <w:pStyle w:val="NoSpacing"/>
        <w:spacing w:line="360" w:lineRule="auto"/>
        <w:rPr>
          <w:rFonts w:cs="Calibri"/>
        </w:rPr>
      </w:pPr>
    </w:p>
    <w:p w14:paraId="4EA331AB" w14:textId="77777777" w:rsidR="00F17DB7" w:rsidRPr="00591BFC" w:rsidRDefault="00F17DB7" w:rsidP="00E86771">
      <w:pPr>
        <w:pStyle w:val="NoSpacing"/>
        <w:spacing w:line="360" w:lineRule="auto"/>
        <w:rPr>
          <w:rFonts w:cs="Tms Rmn"/>
        </w:rPr>
      </w:pPr>
      <w:r w:rsidRPr="00591BFC">
        <w:rPr>
          <w:rFonts w:cs="Tms Rmn"/>
          <w:i/>
        </w:rPr>
        <w:t>GPs get probably 400 or 500 letters a day, do they read everything? Hopefully they do.</w:t>
      </w:r>
      <w:r w:rsidRPr="00591BFC">
        <w:rPr>
          <w:rFonts w:cs="Tms Rmn"/>
        </w:rPr>
        <w:t xml:space="preserve"> [</w:t>
      </w:r>
      <w:r w:rsidRPr="00591BFC">
        <w:rPr>
          <w:rFonts w:cs="Calibri"/>
        </w:rPr>
        <w:t xml:space="preserve">Participant ID: </w:t>
      </w:r>
      <w:r w:rsidRPr="00591BFC">
        <w:rPr>
          <w:rFonts w:cs="Tms Rmn"/>
        </w:rPr>
        <w:t>035]</w:t>
      </w:r>
    </w:p>
    <w:p w14:paraId="65B541CA" w14:textId="77777777" w:rsidR="00F17DB7" w:rsidRPr="00591BFC" w:rsidRDefault="00F17DB7" w:rsidP="00E86771">
      <w:pPr>
        <w:pStyle w:val="NoSpacing"/>
        <w:spacing w:line="360" w:lineRule="auto"/>
        <w:rPr>
          <w:rFonts w:cs="Calibri"/>
        </w:rPr>
      </w:pPr>
    </w:p>
    <w:p w14:paraId="75A9C5F6" w14:textId="77777777" w:rsidR="00B70DDB" w:rsidRPr="00A77A6F" w:rsidRDefault="00F17DB7" w:rsidP="00E86771">
      <w:pPr>
        <w:pStyle w:val="NoSpacing"/>
        <w:spacing w:line="360" w:lineRule="auto"/>
        <w:rPr>
          <w:rFonts w:cs="Calibri"/>
        </w:rPr>
      </w:pPr>
      <w:r w:rsidRPr="00591BFC">
        <w:rPr>
          <w:rFonts w:cs="Calibri"/>
          <w:i/>
        </w:rPr>
        <w:t>GPs are fantastic, but how can they be experts and know everything… and that’s why I think we have a duty to them and to our patients to inform appropriately.</w:t>
      </w:r>
      <w:r w:rsidR="00A77A6F">
        <w:rPr>
          <w:rFonts w:cs="Calibri"/>
        </w:rPr>
        <w:t xml:space="preserve"> [Participant ID: 042]</w:t>
      </w:r>
    </w:p>
    <w:p w14:paraId="0D1C5792" w14:textId="77777777" w:rsidR="00B70DDB" w:rsidRPr="00591BFC" w:rsidRDefault="00B70DDB" w:rsidP="00E86771">
      <w:pPr>
        <w:pStyle w:val="NoSpacing"/>
        <w:spacing w:line="360" w:lineRule="auto"/>
        <w:rPr>
          <w:lang w:eastAsia="zh-CN"/>
        </w:rPr>
      </w:pPr>
    </w:p>
    <w:p w14:paraId="1358306B" w14:textId="77777777" w:rsidR="00B70DDB" w:rsidRPr="00591BFC" w:rsidRDefault="00B70DDB" w:rsidP="00A77A6F">
      <w:pPr>
        <w:spacing w:line="360" w:lineRule="auto"/>
        <w:rPr>
          <w:lang w:eastAsia="zh-CN"/>
        </w:rPr>
      </w:pPr>
      <w:r w:rsidRPr="00591BFC">
        <w:rPr>
          <w:b/>
          <w:lang w:eastAsia="zh-CN"/>
        </w:rPr>
        <w:t>Potential:</w:t>
      </w:r>
      <w:r w:rsidRPr="00591BFC">
        <w:rPr>
          <w:lang w:eastAsia="zh-CN"/>
        </w:rPr>
        <w:t xml:space="preserve"> Translating capacity into action depends on participants’ </w:t>
      </w:r>
      <w:r w:rsidRPr="00591BFC">
        <w:rPr>
          <w:rFonts w:cs="Tms Rmn"/>
        </w:rPr>
        <w:t xml:space="preserve">commitment </w:t>
      </w:r>
      <w:r w:rsidRPr="00591BFC">
        <w:rPr>
          <w:lang w:eastAsia="zh-CN"/>
        </w:rPr>
        <w:t>to operationalise t</w:t>
      </w:r>
      <w:r w:rsidR="00F17DB7" w:rsidRPr="00591BFC">
        <w:rPr>
          <w:lang w:eastAsia="zh-CN"/>
        </w:rPr>
        <w:t>he fracture prevention service.</w:t>
      </w:r>
      <w:r w:rsidR="00A77A6F">
        <w:rPr>
          <w:lang w:eastAsia="zh-CN"/>
        </w:rPr>
        <w:t xml:space="preserve"> </w:t>
      </w:r>
    </w:p>
    <w:p w14:paraId="39462B13" w14:textId="77777777" w:rsidR="00B524B7" w:rsidRPr="00591BFC" w:rsidRDefault="00B524B7" w:rsidP="00E86771">
      <w:pPr>
        <w:pStyle w:val="NoSpacing"/>
        <w:spacing w:line="360" w:lineRule="auto"/>
        <w:rPr>
          <w:lang w:eastAsia="zh-CN"/>
        </w:rPr>
      </w:pPr>
      <w:r w:rsidRPr="00591BFC">
        <w:rPr>
          <w:lang w:eastAsia="zh-CN"/>
        </w:rPr>
        <w:t xml:space="preserve">Professionals were enthusiastic about the introduction of services, and such enthusiasm enabled services to be started and to continue to deliver effective care. Participants described having considered services to be necessary before they were implemented and identified the importance of a ‘strong lead’ in the introduction of a new service. Counter to this, they often characterised less supportive professionals as ‘difficult’ and ‘obstructive’ potential barriers to implementation. It was clear that in some cases, opposition of colleagues to the introduction of a new service was founded on the complex, hierarchical relationships between different professional groups. However, since these individuals were a minority their presence was not seen as presenting an insuperable barrier to implementation. </w:t>
      </w:r>
    </w:p>
    <w:p w14:paraId="53EF4634" w14:textId="77777777" w:rsidR="00B524B7" w:rsidRPr="00591BFC" w:rsidRDefault="00B524B7" w:rsidP="00E86771">
      <w:pPr>
        <w:pStyle w:val="NoSpacing"/>
        <w:spacing w:line="360" w:lineRule="auto"/>
        <w:rPr>
          <w:lang w:eastAsia="zh-CN"/>
        </w:rPr>
      </w:pPr>
    </w:p>
    <w:p w14:paraId="1D650B9D" w14:textId="77777777" w:rsidR="00B70DDB" w:rsidRPr="00591BFC" w:rsidRDefault="00B524B7" w:rsidP="00E86771">
      <w:pPr>
        <w:pStyle w:val="NoSpacing"/>
        <w:spacing w:line="360" w:lineRule="auto"/>
        <w:rPr>
          <w:lang w:eastAsia="zh-CN"/>
        </w:rPr>
      </w:pPr>
      <w:r w:rsidRPr="00591BFC">
        <w:rPr>
          <w:lang w:eastAsia="zh-CN"/>
        </w:rPr>
        <w:t>In addition, continued commitment of the multi-disciplinary team to enacting the intervention was enabled and facilitated by the fracture prevention co-ordinators who managed different professional cultures within the multi-disciplinary team, and ensured that their aims and objectives were aligned. One of the main challenges encountered was the sense that GPs were not as committed to enactment of the intervention.</w:t>
      </w:r>
      <w:r w:rsidR="00F17DB7" w:rsidRPr="00591BFC">
        <w:rPr>
          <w:lang w:eastAsia="zh-CN"/>
        </w:rPr>
        <w:t xml:space="preserve"> Quotations from participants supporting these findings are included below.</w:t>
      </w:r>
    </w:p>
    <w:p w14:paraId="487B4DE4" w14:textId="77777777" w:rsidR="00B70DDB" w:rsidRPr="00591BFC" w:rsidRDefault="00B70DDB" w:rsidP="00E86771">
      <w:pPr>
        <w:pStyle w:val="NoSpacing"/>
        <w:spacing w:line="360" w:lineRule="auto"/>
        <w:rPr>
          <w:lang w:eastAsia="zh-CN"/>
        </w:rPr>
      </w:pPr>
    </w:p>
    <w:p w14:paraId="3D680516" w14:textId="77777777" w:rsidR="00F17DB7" w:rsidRPr="00591BFC" w:rsidRDefault="00F17DB7" w:rsidP="00E86771">
      <w:pPr>
        <w:pStyle w:val="NoSpacing"/>
        <w:spacing w:line="360" w:lineRule="auto"/>
        <w:rPr>
          <w:rFonts w:cs="Calibri"/>
        </w:rPr>
      </w:pPr>
      <w:r w:rsidRPr="00591BFC">
        <w:rPr>
          <w:rFonts w:cs="Calibri"/>
          <w:i/>
        </w:rPr>
        <w:lastRenderedPageBreak/>
        <w:t>I mean we were so desperate for it that we bent over backwards to make it work. I mean it was never a problem in the sense that if it’s a service you’ve been asking for a very long time, if someone finally provides it you’re going to make sure it works and give that individual as much support as they need to come into the system.</w:t>
      </w:r>
      <w:r w:rsidRPr="00591BFC">
        <w:rPr>
          <w:rFonts w:cs="Calibri"/>
        </w:rPr>
        <w:t xml:space="preserve"> [Participant ID: 001] </w:t>
      </w:r>
    </w:p>
    <w:p w14:paraId="5A97EDFD" w14:textId="77777777" w:rsidR="00F17DB7" w:rsidRPr="00591BFC" w:rsidRDefault="00F17DB7" w:rsidP="00E86771">
      <w:pPr>
        <w:pStyle w:val="NoSpacing"/>
        <w:spacing w:line="360" w:lineRule="auto"/>
        <w:rPr>
          <w:rFonts w:cs="Calibri"/>
          <w:color w:val="000000"/>
        </w:rPr>
      </w:pPr>
    </w:p>
    <w:p w14:paraId="1191EA50" w14:textId="77777777" w:rsidR="00F17DB7" w:rsidRPr="00591BFC" w:rsidRDefault="00F17DB7" w:rsidP="00E86771">
      <w:pPr>
        <w:pStyle w:val="NoSpacing"/>
        <w:spacing w:line="360" w:lineRule="auto"/>
        <w:rPr>
          <w:rFonts w:cs="Calibri"/>
        </w:rPr>
      </w:pPr>
      <w:r w:rsidRPr="00591BFC">
        <w:rPr>
          <w:rFonts w:cs="Calibri"/>
          <w:i/>
        </w:rPr>
        <w:t xml:space="preserve">So there’s some people who historically are the ones that are resistant to change are just dissatisfied, disgruntled, have lost enthusiasm, just mistrust, have become jaded with the system… </w:t>
      </w:r>
      <w:r w:rsidRPr="00591BFC">
        <w:rPr>
          <w:rFonts w:cs="Calibri"/>
          <w:i/>
          <w:iCs/>
          <w:color w:val="000000"/>
        </w:rPr>
        <w:t xml:space="preserve">Sometimes it can be very obstructive </w:t>
      </w:r>
      <w:r w:rsidRPr="00591BFC">
        <w:rPr>
          <w:rFonts w:cs="Calibri"/>
          <w:color w:val="000000"/>
        </w:rPr>
        <w:t>[Participant ID: 006]</w:t>
      </w:r>
    </w:p>
    <w:p w14:paraId="25D6CC04" w14:textId="77777777" w:rsidR="00F17DB7" w:rsidRPr="00591BFC" w:rsidRDefault="00F17DB7" w:rsidP="00E86771">
      <w:pPr>
        <w:pStyle w:val="NoSpacing"/>
        <w:spacing w:line="360" w:lineRule="auto"/>
        <w:rPr>
          <w:rFonts w:cs="Calibri"/>
          <w:i/>
        </w:rPr>
      </w:pPr>
    </w:p>
    <w:p w14:paraId="3C5D7DD6" w14:textId="77777777" w:rsidR="00F17DB7" w:rsidRPr="00591BFC" w:rsidRDefault="00F17DB7" w:rsidP="00E86771">
      <w:pPr>
        <w:pStyle w:val="NoSpacing"/>
        <w:spacing w:line="360" w:lineRule="auto"/>
        <w:rPr>
          <w:rFonts w:cs="Calibri"/>
        </w:rPr>
      </w:pPr>
      <w:r w:rsidRPr="00591BFC">
        <w:rPr>
          <w:rFonts w:cs="Calibri"/>
          <w:i/>
        </w:rPr>
        <w:t>I think those particular individuals probably looked down on geriatricians and so they didn’t like it that a geriatrician was coming and saying… this is when you operate and they didn’t like being told what to do</w:t>
      </w:r>
      <w:r w:rsidRPr="00591BFC">
        <w:rPr>
          <w:rFonts w:cs="Calibri"/>
        </w:rPr>
        <w:t xml:space="preserve"> [Participant ID: 005]</w:t>
      </w:r>
    </w:p>
    <w:p w14:paraId="69B1400C" w14:textId="77777777" w:rsidR="00F17DB7" w:rsidRPr="00591BFC" w:rsidRDefault="00F17DB7" w:rsidP="00E86771">
      <w:pPr>
        <w:pStyle w:val="NoSpacing"/>
        <w:spacing w:line="360" w:lineRule="auto"/>
        <w:rPr>
          <w:lang w:eastAsia="zh-CN"/>
        </w:rPr>
      </w:pPr>
    </w:p>
    <w:p w14:paraId="4FF30D3C" w14:textId="77777777" w:rsidR="00F17DB7" w:rsidRPr="00591BFC" w:rsidRDefault="00F17DB7" w:rsidP="00E86771">
      <w:pPr>
        <w:pStyle w:val="NoSpacing"/>
        <w:spacing w:line="360" w:lineRule="auto"/>
        <w:rPr>
          <w:rFonts w:cs="Calibri"/>
        </w:rPr>
      </w:pPr>
      <w:r w:rsidRPr="00591BFC">
        <w:rPr>
          <w:rFonts w:cs="Calibri"/>
          <w:i/>
        </w:rPr>
        <w:t>It’s just about encouraging people to know that they all have a role, we all have a responsibility to deliver the quality care and all of us are important in making that so. You know each of you can’t do it without the other and it’s actually about ownership and responsibility</w:t>
      </w:r>
      <w:r w:rsidRPr="00591BFC">
        <w:rPr>
          <w:rFonts w:cs="Calibri"/>
        </w:rPr>
        <w:t xml:space="preserve"> [Participant ID: 026]</w:t>
      </w:r>
    </w:p>
    <w:p w14:paraId="3A4FA0D2" w14:textId="77777777" w:rsidR="00F17DB7" w:rsidRPr="00591BFC" w:rsidRDefault="00F17DB7" w:rsidP="00E86771">
      <w:pPr>
        <w:pStyle w:val="NoSpacing"/>
        <w:spacing w:line="360" w:lineRule="auto"/>
      </w:pPr>
    </w:p>
    <w:p w14:paraId="1BD972F4" w14:textId="77777777" w:rsidR="00F17DB7" w:rsidRPr="00591BFC" w:rsidRDefault="00F17DB7" w:rsidP="00E86771">
      <w:pPr>
        <w:pStyle w:val="NoSpacing"/>
        <w:spacing w:line="360" w:lineRule="auto"/>
        <w:rPr>
          <w:rFonts w:cs="Calibri"/>
        </w:rPr>
      </w:pPr>
      <w:r w:rsidRPr="00591BFC">
        <w:rPr>
          <w:rFonts w:cs="Calibri"/>
          <w:i/>
        </w:rPr>
        <w:t>It needs a strong lead, it needs a me or equivalent of me really… In terms of the Orthopaedic Team, you know you’re working with Orthopaedic Nurses so it’s a different culture set… So you need to sort of pull in the ethos</w:t>
      </w:r>
      <w:r w:rsidRPr="00591BFC">
        <w:rPr>
          <w:rFonts w:cs="Calibri"/>
        </w:rPr>
        <w:t xml:space="preserve"> [Participant ID: 026]</w:t>
      </w:r>
    </w:p>
    <w:p w14:paraId="001BCC3E" w14:textId="77777777" w:rsidR="00F17DB7" w:rsidRPr="00591BFC" w:rsidRDefault="00F17DB7" w:rsidP="00E86771">
      <w:pPr>
        <w:pStyle w:val="NoSpacing"/>
        <w:spacing w:line="360" w:lineRule="auto"/>
        <w:rPr>
          <w:b/>
        </w:rPr>
      </w:pPr>
    </w:p>
    <w:p w14:paraId="45771295" w14:textId="77777777" w:rsidR="00F17DB7" w:rsidRPr="00591BFC" w:rsidRDefault="00F17DB7" w:rsidP="00E86771">
      <w:pPr>
        <w:pStyle w:val="NoSpacing"/>
        <w:spacing w:line="360" w:lineRule="auto"/>
        <w:rPr>
          <w:rFonts w:cs="Calibri"/>
        </w:rPr>
      </w:pPr>
      <w:r w:rsidRPr="00591BFC">
        <w:rPr>
          <w:rFonts w:cs="Calibri"/>
          <w:i/>
        </w:rPr>
        <w:t>I think the amount of interest from General Practice is variable and I think the variability to be honest on the whole is average if you’re lucky. And I think there isn’t an engagement I don’t feel, in the majority of Primary Care, and ownership of secondary prevention fracture.</w:t>
      </w:r>
      <w:r w:rsidRPr="00591BFC">
        <w:rPr>
          <w:rFonts w:cs="Calibri"/>
        </w:rPr>
        <w:t xml:space="preserve"> [Participant ID: 027]</w:t>
      </w:r>
    </w:p>
    <w:p w14:paraId="0410B07B" w14:textId="77777777" w:rsidR="00B70DDB" w:rsidRPr="00591BFC" w:rsidRDefault="00B70DDB" w:rsidP="00E86771">
      <w:pPr>
        <w:pStyle w:val="NoSpacing"/>
        <w:spacing w:line="360" w:lineRule="auto"/>
        <w:rPr>
          <w:rFonts w:eastAsia="Times New Roman"/>
          <w:b/>
          <w:lang w:eastAsia="zh-CN"/>
        </w:rPr>
      </w:pPr>
    </w:p>
    <w:p w14:paraId="0F4F1216" w14:textId="77777777" w:rsidR="00B70DDB" w:rsidRPr="00591BFC" w:rsidRDefault="00B70DDB" w:rsidP="00E86771">
      <w:pPr>
        <w:spacing w:line="360" w:lineRule="auto"/>
        <w:rPr>
          <w:bCs/>
          <w:lang w:eastAsia="zh-CN"/>
        </w:rPr>
      </w:pPr>
      <w:r w:rsidRPr="00591BFC">
        <w:rPr>
          <w:b/>
          <w:lang w:eastAsia="zh-CN"/>
        </w:rPr>
        <w:t>Capability:</w:t>
      </w:r>
      <w:r w:rsidRPr="00591BFC">
        <w:rPr>
          <w:lang w:eastAsia="zh-CN"/>
        </w:rPr>
        <w:t xml:space="preserve"> The capability of users to enact the components of a fracture prevention service depends on their potential for workability and integra</w:t>
      </w:r>
      <w:r w:rsidR="00F17DB7" w:rsidRPr="00591BFC">
        <w:rPr>
          <w:lang w:eastAsia="zh-CN"/>
        </w:rPr>
        <w:t>tion in their everyday practice.</w:t>
      </w:r>
    </w:p>
    <w:p w14:paraId="6775A0B2" w14:textId="77777777" w:rsidR="00B70DDB" w:rsidRPr="00591BFC" w:rsidRDefault="00B70DDB" w:rsidP="00E86771">
      <w:pPr>
        <w:pStyle w:val="NoSpacing"/>
        <w:spacing w:line="360" w:lineRule="auto"/>
        <w:rPr>
          <w:rFonts w:eastAsia="Times New Roman"/>
          <w:bCs/>
          <w:lang w:eastAsia="zh-CN"/>
        </w:rPr>
      </w:pPr>
    </w:p>
    <w:p w14:paraId="26A2AA2D" w14:textId="77777777" w:rsidR="00B70DDB" w:rsidRPr="00591BFC" w:rsidRDefault="00B524B7" w:rsidP="00E86771">
      <w:pPr>
        <w:pStyle w:val="NoSpacing"/>
        <w:spacing w:line="360" w:lineRule="auto"/>
        <w:rPr>
          <w:rFonts w:eastAsia="Times New Roman"/>
          <w:bCs/>
          <w:lang w:eastAsia="zh-CN"/>
        </w:rPr>
      </w:pPr>
      <w:r w:rsidRPr="00591BFC">
        <w:rPr>
          <w:rFonts w:eastAsia="Times New Roman"/>
          <w:bCs/>
          <w:lang w:eastAsia="zh-CN"/>
        </w:rPr>
        <w:t xml:space="preserve">Participants saw the workability and integration of services into everyday practice as high when fracture liaison services provided a new layer of service provision. Their presence freed up the capacity of other professionals previously responsible for undertaking this role and otherwise did not change the content of their work. However, there were also considerable barriers to implementation. Participants viewed some services as under-resourced and under-staffed, which limited the time they were able to dedicate to effective patient care. Administrative and </w:t>
      </w:r>
      <w:r w:rsidRPr="00591BFC">
        <w:rPr>
          <w:rFonts w:eastAsia="Times New Roman"/>
          <w:bCs/>
          <w:lang w:eastAsia="zh-CN"/>
        </w:rPr>
        <w:lastRenderedPageBreak/>
        <w:t>communications work was described as particularly time-consuming. Participants also felt that clinicians lacked equipment to deliver certain aspects of patient care, and this sometimes included poor access to DXA scanners. Finally, the organisation and delivery of these services presented patient barriers to access. For instance, participants felt that some patients struggled to reach services because of difficulties with public transport; this was particularly problematic for patients living long distances away. Transport costs were also seen as a barrier for patients with limited financial resources.</w:t>
      </w:r>
      <w:r w:rsidR="00F17DB7" w:rsidRPr="00591BFC">
        <w:rPr>
          <w:rFonts w:eastAsia="Times New Roman"/>
          <w:bCs/>
          <w:lang w:eastAsia="zh-CN"/>
        </w:rPr>
        <w:t xml:space="preserve"> </w:t>
      </w:r>
      <w:r w:rsidR="00F17DB7" w:rsidRPr="00591BFC">
        <w:rPr>
          <w:lang w:eastAsia="zh-CN"/>
        </w:rPr>
        <w:t>Quotations from participants supporting these findings are included below.</w:t>
      </w:r>
    </w:p>
    <w:p w14:paraId="49674E33" w14:textId="77777777" w:rsidR="00B524B7" w:rsidRPr="00591BFC" w:rsidRDefault="00B524B7" w:rsidP="00E86771">
      <w:pPr>
        <w:pStyle w:val="NoSpacing"/>
        <w:spacing w:line="360" w:lineRule="auto"/>
        <w:rPr>
          <w:b/>
        </w:rPr>
      </w:pPr>
    </w:p>
    <w:p w14:paraId="1B2FC9CE" w14:textId="77777777" w:rsidR="00F17DB7" w:rsidRPr="00591BFC" w:rsidRDefault="00F17DB7" w:rsidP="00E86771">
      <w:pPr>
        <w:pStyle w:val="NoSpacing"/>
        <w:spacing w:line="360" w:lineRule="auto"/>
        <w:rPr>
          <w:rFonts w:cs="Calibri"/>
        </w:rPr>
      </w:pPr>
      <w:r w:rsidRPr="00591BFC">
        <w:rPr>
          <w:rFonts w:cs="Calibri"/>
          <w:i/>
        </w:rPr>
        <w:t>[The introduction of the service was not that difficult because] the model is that [the fracture prevention co-ordinators] just come in and do everything.  So we’re not asking other people to do much else for hip fracture…. We’re not even asking the trauma team to identify the hip fractures because the fracture liaison service is basically doing everything.</w:t>
      </w:r>
      <w:r w:rsidRPr="00591BFC">
        <w:rPr>
          <w:rFonts w:cs="Calibri"/>
        </w:rPr>
        <w:t xml:space="preserve"> [Participant ID: 007]</w:t>
      </w:r>
    </w:p>
    <w:p w14:paraId="135D9E0F" w14:textId="77777777" w:rsidR="00F17DB7" w:rsidRPr="00591BFC" w:rsidRDefault="00F17DB7" w:rsidP="00E86771">
      <w:pPr>
        <w:pStyle w:val="NoSpacing"/>
        <w:spacing w:line="360" w:lineRule="auto"/>
      </w:pPr>
    </w:p>
    <w:p w14:paraId="09855E19" w14:textId="77777777" w:rsidR="00F17DB7" w:rsidRPr="00591BFC" w:rsidRDefault="00F17DB7" w:rsidP="00E86771">
      <w:pPr>
        <w:pStyle w:val="NoSpacing"/>
        <w:spacing w:line="360" w:lineRule="auto"/>
        <w:rPr>
          <w:rFonts w:cs="Calibri"/>
        </w:rPr>
      </w:pPr>
      <w:r w:rsidRPr="00591BFC">
        <w:rPr>
          <w:rFonts w:cs="Calibri"/>
          <w:i/>
        </w:rPr>
        <w:t>I think there are obviously different demands on people’s time which sometimes means care is delayed</w:t>
      </w:r>
      <w:r w:rsidRPr="00591BFC">
        <w:rPr>
          <w:rFonts w:cs="Calibri"/>
        </w:rPr>
        <w:t xml:space="preserve"> [Participant ID: 018]</w:t>
      </w:r>
    </w:p>
    <w:p w14:paraId="5C77A4D8" w14:textId="77777777" w:rsidR="00F17DB7" w:rsidRPr="00591BFC" w:rsidRDefault="00F17DB7" w:rsidP="00E86771">
      <w:pPr>
        <w:pStyle w:val="NoSpacing"/>
        <w:spacing w:line="360" w:lineRule="auto"/>
      </w:pPr>
    </w:p>
    <w:p w14:paraId="74FBE269" w14:textId="77777777" w:rsidR="00F17DB7" w:rsidRPr="00591BFC" w:rsidRDefault="00F17DB7" w:rsidP="00E86771">
      <w:pPr>
        <w:pStyle w:val="NoSpacing"/>
        <w:spacing w:line="360" w:lineRule="auto"/>
        <w:rPr>
          <w:rFonts w:cs="Calibri"/>
          <w:color w:val="000000"/>
        </w:rPr>
      </w:pPr>
      <w:r w:rsidRPr="00591BFC">
        <w:rPr>
          <w:rFonts w:cs="Calibri"/>
          <w:i/>
          <w:iCs/>
          <w:color w:val="000000"/>
        </w:rPr>
        <w:t xml:space="preserve">There is one Orthogeriatrician who does all that work but of course she can’t be here 24 hours a day, seven days a week so there have been some patients who will occasionally come through and slip through the net. </w:t>
      </w:r>
      <w:r w:rsidRPr="00591BFC">
        <w:rPr>
          <w:rFonts w:cs="Calibri"/>
          <w:color w:val="000000"/>
        </w:rPr>
        <w:t xml:space="preserve">[Participant ID: 001] </w:t>
      </w:r>
    </w:p>
    <w:p w14:paraId="7E29BE37" w14:textId="77777777" w:rsidR="00F17DB7" w:rsidRPr="00591BFC" w:rsidRDefault="00F17DB7" w:rsidP="00E86771">
      <w:pPr>
        <w:pStyle w:val="NoSpacing"/>
        <w:spacing w:line="360" w:lineRule="auto"/>
      </w:pPr>
    </w:p>
    <w:p w14:paraId="22734FB9" w14:textId="77777777" w:rsidR="00F17DB7" w:rsidRPr="00591BFC" w:rsidRDefault="00F17DB7" w:rsidP="00E86771">
      <w:pPr>
        <w:pStyle w:val="NoSpacing"/>
        <w:spacing w:line="360" w:lineRule="auto"/>
        <w:rPr>
          <w:rFonts w:cs="Calibri"/>
        </w:rPr>
      </w:pPr>
      <w:r w:rsidRPr="00591BFC">
        <w:rPr>
          <w:rFonts w:cs="Calibri"/>
          <w:i/>
        </w:rPr>
        <w:t>We do at least 3,500 scans a year with one scanner and two people… We have to meet the Government targets, the six week diagnostic targets and we are just about making those targets with difficulty.</w:t>
      </w:r>
      <w:r w:rsidRPr="00591BFC">
        <w:rPr>
          <w:rFonts w:cs="Calibri"/>
        </w:rPr>
        <w:t xml:space="preserve"> [Participant ID: 025]</w:t>
      </w:r>
    </w:p>
    <w:p w14:paraId="3CC63CE8" w14:textId="77777777" w:rsidR="00F17DB7" w:rsidRPr="00591BFC" w:rsidRDefault="00F17DB7" w:rsidP="00E86771">
      <w:pPr>
        <w:pStyle w:val="NoSpacing"/>
        <w:spacing w:line="360" w:lineRule="auto"/>
      </w:pPr>
    </w:p>
    <w:p w14:paraId="1C1B5BD0" w14:textId="77777777" w:rsidR="00F17DB7" w:rsidRPr="00591BFC" w:rsidRDefault="00F17DB7" w:rsidP="00E86771">
      <w:pPr>
        <w:pStyle w:val="NoSpacing"/>
        <w:spacing w:line="360" w:lineRule="auto"/>
      </w:pPr>
      <w:r w:rsidRPr="00591BFC">
        <w:rPr>
          <w:i/>
        </w:rPr>
        <w:t>Our biggest barrier is obviously the fact that we have to drag our patients from [another town] down to [the city]…  So I guess it’s a demographics and the location in relation of distance travelled, that means sometimes people are reluctant [to attend].</w:t>
      </w:r>
      <w:r w:rsidRPr="00591BFC">
        <w:t xml:space="preserve"> [</w:t>
      </w:r>
      <w:r w:rsidRPr="00591BFC">
        <w:rPr>
          <w:rFonts w:cs="Calibri"/>
        </w:rPr>
        <w:t xml:space="preserve">Participant ID: </w:t>
      </w:r>
      <w:r w:rsidRPr="00591BFC">
        <w:t>004]</w:t>
      </w:r>
    </w:p>
    <w:p w14:paraId="609DF1A2" w14:textId="77777777" w:rsidR="00F17DB7" w:rsidRPr="00591BFC" w:rsidRDefault="00F17DB7" w:rsidP="00E86771">
      <w:pPr>
        <w:pStyle w:val="NoSpacing"/>
        <w:spacing w:line="360" w:lineRule="auto"/>
        <w:rPr>
          <w:rFonts w:eastAsia="Times New Roman"/>
          <w:lang w:eastAsia="zh-CN"/>
        </w:rPr>
      </w:pPr>
    </w:p>
    <w:p w14:paraId="264BC119" w14:textId="77777777" w:rsidR="00B524B7" w:rsidRPr="00591BFC" w:rsidRDefault="00B70DDB" w:rsidP="00E86771">
      <w:pPr>
        <w:spacing w:line="360" w:lineRule="auto"/>
        <w:rPr>
          <w:lang w:eastAsia="zh-CN"/>
        </w:rPr>
      </w:pPr>
      <w:r w:rsidRPr="00591BFC">
        <w:rPr>
          <w:b/>
          <w:lang w:eastAsia="zh-CN"/>
        </w:rPr>
        <w:t>Contribution:</w:t>
      </w:r>
      <w:r w:rsidRPr="00591BFC">
        <w:rPr>
          <w:lang w:eastAsia="zh-CN"/>
        </w:rPr>
        <w:t xml:space="preserve"> Participants’ contributions to enacting a fracture prevention service depend on them investing in meaning, commitment, effort, and appraisal</w:t>
      </w:r>
      <w:r w:rsidR="003021BC" w:rsidRPr="00591BFC">
        <w:rPr>
          <w:lang w:eastAsia="zh-CN"/>
        </w:rPr>
        <w:t xml:space="preserve"> </w:t>
      </w:r>
    </w:p>
    <w:p w14:paraId="433BAF7A" w14:textId="77777777" w:rsidR="00B524B7" w:rsidRPr="00591BFC" w:rsidRDefault="00B524B7" w:rsidP="00E86771">
      <w:pPr>
        <w:pStyle w:val="NoSpacing"/>
        <w:spacing w:line="360" w:lineRule="auto"/>
        <w:rPr>
          <w:rFonts w:eastAsia="Times New Roman"/>
          <w:lang w:eastAsia="zh-CN"/>
        </w:rPr>
      </w:pPr>
      <w:r w:rsidRPr="00591BFC">
        <w:rPr>
          <w:rFonts w:eastAsia="Times New Roman"/>
          <w:lang w:eastAsia="zh-CN"/>
        </w:rPr>
        <w:t xml:space="preserve">Fracture prevention co-ordinators did not change the clinical work that was undertaken. Rather, their introduction changed the way the work was organised and delivered. Multi-disciplinary meetings were used to sustain the potential and capacity of professionals involved in service delivery. </w:t>
      </w:r>
    </w:p>
    <w:p w14:paraId="63C7BB87" w14:textId="77777777" w:rsidR="00B524B7" w:rsidRPr="00591BFC" w:rsidRDefault="00B524B7" w:rsidP="00E86771">
      <w:pPr>
        <w:pStyle w:val="NoSpacing"/>
        <w:spacing w:line="360" w:lineRule="auto"/>
        <w:rPr>
          <w:rFonts w:eastAsia="Times New Roman"/>
          <w:lang w:eastAsia="zh-CN"/>
        </w:rPr>
      </w:pPr>
    </w:p>
    <w:p w14:paraId="00720C94" w14:textId="77777777" w:rsidR="00F17DB7" w:rsidRPr="00591BFC" w:rsidRDefault="00B524B7" w:rsidP="00E86771">
      <w:pPr>
        <w:pStyle w:val="NoSpacing"/>
        <w:spacing w:line="360" w:lineRule="auto"/>
        <w:rPr>
          <w:lang w:eastAsia="zh-CN"/>
        </w:rPr>
      </w:pPr>
      <w:r w:rsidRPr="00591BFC">
        <w:rPr>
          <w:rFonts w:eastAsia="Times New Roman"/>
          <w:lang w:eastAsia="zh-CN"/>
        </w:rPr>
        <w:t xml:space="preserve">Clinical databases also enabled providers to deliver services over time since databases helped to define individual roles and ensured that work was not duplicated. Poor data quality presented difficulties, making it challenging for providers to identify consistently patients with hip fracture and to deliver clinical practice. Such data also presented obstacles to monitoring outcomes and this was seen as playing a vital role in ensuring that work was carried out to high standards over time. Monitoring operated in two ways. First, it enabled clinicians within the service to assess levels of adherence to bone protection therapies and evaluate service delivery, allowing them to reconfigure services if necessary. Second, it was a means of linking activity to funding mechanisms such as the Best Practice Tariff and Quality Outcomes Framework in primary care which potentially provided an important impetus for sustaining and developing high quality services. The respective influence of these funding mechanisms was described as variable. Although participants saw the Best Practice Tariff as useful to provide financial benefit, they saw the Quality Outcomes Framework as less valuable because it did not. </w:t>
      </w:r>
      <w:r w:rsidR="00F17DB7" w:rsidRPr="00591BFC">
        <w:rPr>
          <w:lang w:eastAsia="zh-CN"/>
        </w:rPr>
        <w:t>Quotations from participants supporting these findings are included below.</w:t>
      </w:r>
    </w:p>
    <w:p w14:paraId="325937C6" w14:textId="77777777" w:rsidR="00B70DDB" w:rsidRPr="00591BFC" w:rsidRDefault="00B70DDB" w:rsidP="00E86771">
      <w:pPr>
        <w:pStyle w:val="NoSpacing"/>
        <w:spacing w:line="360" w:lineRule="auto"/>
        <w:rPr>
          <w:rFonts w:eastAsia="Times New Roman"/>
          <w:b/>
          <w:lang w:eastAsia="zh-CN"/>
        </w:rPr>
      </w:pPr>
    </w:p>
    <w:p w14:paraId="23BD6EA4" w14:textId="77777777" w:rsidR="00B70DDB" w:rsidRPr="00591BFC" w:rsidRDefault="00B70DDB" w:rsidP="00E86771">
      <w:pPr>
        <w:pStyle w:val="NoSpacing"/>
        <w:spacing w:line="360" w:lineRule="auto"/>
        <w:rPr>
          <w:rFonts w:cs="Calibri"/>
        </w:rPr>
      </w:pPr>
      <w:r w:rsidRPr="00591BFC">
        <w:rPr>
          <w:rFonts w:cs="Calibri"/>
          <w:i/>
        </w:rPr>
        <w:t xml:space="preserve">I can modify [the guidelines for assessment] how I want to. You know because it doesn’t work perfectly at the beginning and things change and you know the hospital and the Government introduce new requirements so you have to modify your form </w:t>
      </w:r>
      <w:r w:rsidRPr="00591BFC">
        <w:rPr>
          <w:rFonts w:cs="Calibri"/>
        </w:rPr>
        <w:t>[Participant ID: 017]</w:t>
      </w:r>
    </w:p>
    <w:p w14:paraId="354A420A" w14:textId="77777777" w:rsidR="00B70DDB" w:rsidRPr="00591BFC" w:rsidRDefault="00B70DDB" w:rsidP="00E86771">
      <w:pPr>
        <w:pStyle w:val="NoSpacing"/>
        <w:spacing w:line="360" w:lineRule="auto"/>
        <w:rPr>
          <w:rFonts w:cs="Calibri"/>
        </w:rPr>
      </w:pPr>
    </w:p>
    <w:p w14:paraId="7CD43B27" w14:textId="77777777" w:rsidR="00B70DDB" w:rsidRPr="00591BFC" w:rsidRDefault="00B70DDB" w:rsidP="00E86771">
      <w:pPr>
        <w:pStyle w:val="NoSpacing"/>
        <w:spacing w:line="360" w:lineRule="auto"/>
        <w:rPr>
          <w:rFonts w:cs="Tms Rmn"/>
        </w:rPr>
      </w:pPr>
      <w:r w:rsidRPr="00591BFC">
        <w:rPr>
          <w:rFonts w:cs="Tms Rmn"/>
          <w:i/>
        </w:rPr>
        <w:t>It depends which doctors have been on the night before as to how much has been put onto [the computer system]…  some of it turns out to be rubbish</w:t>
      </w:r>
      <w:r w:rsidRPr="00591BFC">
        <w:rPr>
          <w:rFonts w:cs="Tms Rmn"/>
        </w:rPr>
        <w:t xml:space="preserve"> [</w:t>
      </w:r>
      <w:r w:rsidRPr="00591BFC">
        <w:rPr>
          <w:rFonts w:cs="Calibri"/>
        </w:rPr>
        <w:t>Participant ID: 010</w:t>
      </w:r>
      <w:r w:rsidRPr="00591BFC">
        <w:rPr>
          <w:rFonts w:cs="Tms Rmn"/>
        </w:rPr>
        <w:t>]</w:t>
      </w:r>
    </w:p>
    <w:p w14:paraId="74EE5498" w14:textId="77777777" w:rsidR="00B70DDB" w:rsidRPr="00591BFC" w:rsidRDefault="00B70DDB" w:rsidP="00E86771">
      <w:pPr>
        <w:pStyle w:val="NoSpacing"/>
        <w:spacing w:line="360" w:lineRule="auto"/>
        <w:rPr>
          <w:rFonts w:eastAsia="Times New Roman"/>
          <w:i/>
          <w:lang w:eastAsia="zh-CN"/>
        </w:rPr>
      </w:pPr>
    </w:p>
    <w:p w14:paraId="76303264" w14:textId="77777777" w:rsidR="00B70DDB" w:rsidRPr="00591BFC" w:rsidRDefault="00B70DDB" w:rsidP="00E86771">
      <w:pPr>
        <w:pStyle w:val="NoSpacing"/>
        <w:spacing w:line="360" w:lineRule="auto"/>
        <w:rPr>
          <w:rFonts w:cs="Calibri"/>
        </w:rPr>
      </w:pPr>
      <w:r w:rsidRPr="00591BFC">
        <w:rPr>
          <w:rFonts w:eastAsia="Times New Roman"/>
          <w:i/>
          <w:lang w:eastAsia="zh-CN"/>
        </w:rPr>
        <w:t>[Auditing] i</w:t>
      </w:r>
      <w:r w:rsidRPr="00591BFC">
        <w:rPr>
          <w:rFonts w:cs="Calibri"/>
          <w:i/>
        </w:rPr>
        <w:t>t would be helpful because if you know what your compliance rate is you know whether or not you’re having an impact. So if you’ve got a service whereby you’re suggesting that they have a treatment and then it turns out that no one actually takes these, well then why are you wasting your resources on trying to you know</w:t>
      </w:r>
      <w:r w:rsidRPr="00591BFC">
        <w:rPr>
          <w:rFonts w:cs="Calibri"/>
        </w:rPr>
        <w:t>. [Participant ID: 024]</w:t>
      </w:r>
    </w:p>
    <w:p w14:paraId="320A2B2D" w14:textId="77777777" w:rsidR="00B70DDB" w:rsidRPr="00591BFC" w:rsidRDefault="00B70DDB" w:rsidP="00E86771">
      <w:pPr>
        <w:pStyle w:val="NoSpacing"/>
        <w:spacing w:line="360" w:lineRule="auto"/>
        <w:rPr>
          <w:rFonts w:eastAsia="Times New Roman"/>
          <w:b/>
          <w:lang w:eastAsia="zh-CN"/>
        </w:rPr>
      </w:pPr>
    </w:p>
    <w:p w14:paraId="4B273922" w14:textId="77777777" w:rsidR="00B70DDB" w:rsidRPr="00591BFC" w:rsidRDefault="00B70DDB" w:rsidP="00E86771">
      <w:pPr>
        <w:pStyle w:val="NoSpacing"/>
        <w:spacing w:line="360" w:lineRule="auto"/>
        <w:rPr>
          <w:i/>
        </w:rPr>
      </w:pPr>
      <w:r w:rsidRPr="00591BFC">
        <w:rPr>
          <w:i/>
        </w:rPr>
        <w:t xml:space="preserve">We have a score card so we can get all the compartments of the Best Practice Tariff… so we keep a track of what things are, which things are going well, which things we are not performing very well and obviously look for the reasons for any shortcomings </w:t>
      </w:r>
      <w:r w:rsidRPr="00591BFC">
        <w:t>[</w:t>
      </w:r>
      <w:r w:rsidRPr="00591BFC">
        <w:rPr>
          <w:rFonts w:cs="Calibri"/>
        </w:rPr>
        <w:t xml:space="preserve">Participant ID: </w:t>
      </w:r>
      <w:r w:rsidRPr="00591BFC">
        <w:t>012].</w:t>
      </w:r>
      <w:r w:rsidRPr="00591BFC">
        <w:rPr>
          <w:i/>
        </w:rPr>
        <w:t xml:space="preserve"> </w:t>
      </w:r>
    </w:p>
    <w:p w14:paraId="3AC7BABF" w14:textId="77777777" w:rsidR="00B70DDB" w:rsidRPr="00591BFC" w:rsidRDefault="00B70DDB" w:rsidP="00E86771">
      <w:pPr>
        <w:pStyle w:val="NoSpacing"/>
        <w:spacing w:line="360" w:lineRule="auto"/>
        <w:rPr>
          <w:b/>
        </w:rPr>
      </w:pPr>
    </w:p>
    <w:p w14:paraId="1B5412B9" w14:textId="77777777" w:rsidR="00B70DDB" w:rsidRPr="00591BFC" w:rsidRDefault="00B70DDB" w:rsidP="00E86771">
      <w:pPr>
        <w:pStyle w:val="Heading4"/>
        <w:spacing w:line="360" w:lineRule="auto"/>
        <w:rPr>
          <w:rFonts w:ascii="Calibri" w:hAnsi="Calibri"/>
        </w:rPr>
      </w:pPr>
      <w:r w:rsidRPr="00591BFC">
        <w:rPr>
          <w:rFonts w:ascii="Calibri" w:hAnsi="Calibri"/>
        </w:rPr>
        <w:t xml:space="preserve">Discussion </w:t>
      </w:r>
    </w:p>
    <w:p w14:paraId="035EF4D0" w14:textId="77777777" w:rsidR="00B70DDB" w:rsidRPr="00591BFC" w:rsidRDefault="00B70DDB" w:rsidP="00E86771">
      <w:pPr>
        <w:pStyle w:val="NoSpacing"/>
        <w:spacing w:line="360" w:lineRule="auto"/>
        <w:rPr>
          <w:rFonts w:cs="Tms Rmn"/>
        </w:rPr>
      </w:pPr>
    </w:p>
    <w:p w14:paraId="6CE28C7A" w14:textId="0A843AE5" w:rsidR="00B70DDB" w:rsidRPr="00591BFC" w:rsidRDefault="00B70DDB" w:rsidP="00E86771">
      <w:pPr>
        <w:pStyle w:val="NoSpacing"/>
        <w:spacing w:line="360" w:lineRule="auto"/>
        <w:rPr>
          <w:rFonts w:cs="Tms Rmn"/>
        </w:rPr>
      </w:pPr>
      <w:r w:rsidRPr="00591BFC">
        <w:rPr>
          <w:rFonts w:cs="Tms Rmn"/>
        </w:rPr>
        <w:lastRenderedPageBreak/>
        <w:t xml:space="preserve">The study used extended </w:t>
      </w:r>
      <w:r w:rsidR="006B566C" w:rsidRPr="00591BFC">
        <w:rPr>
          <w:rFonts w:cs="Tms Rmn"/>
        </w:rPr>
        <w:t>NPT</w:t>
      </w:r>
      <w:hyperlink w:anchor="_ENREF_43" w:tooltip="May, 2013 #81" w:history="1">
        <w:r w:rsidR="00B24FEE">
          <w:rPr>
            <w:rFonts w:cs="Tms Rmn"/>
          </w:rPr>
          <w:fldChar w:fldCharType="begin">
            <w:fldData xml:space="preserve">PEVuZE5vdGU+PENpdGU+PEF1dGhvcj5NYXk8L0F1dGhvcj48WWVhcj4yMDEzPC9ZZWFyPjxSZWNO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</w:fldData>
          </w:fldChar>
        </w:r>
        <w:r w:rsidR="00B24FEE">
          <w:rPr>
            <w:rFonts w:cs="Tms Rmn"/>
          </w:rPr>
          <w:instrText xml:space="preserve"> ADDIN EN.CITE </w:instrText>
        </w:r>
        <w:r w:rsidR="00B24FEE">
          <w:rPr>
            <w:rFonts w:cs="Tms Rmn"/>
          </w:rPr>
          <w:fldChar w:fldCharType="begin">
            <w:fldData xml:space="preserve">PEVuZE5vdGU+PENpdGU+PEF1dGhvcj5NYXk8L0F1dGhvcj48WWVhcj4yMDEzPC9ZZWFyPjxSZWNO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</w:fldData>
          </w:fldChar>
        </w:r>
        <w:r w:rsidR="00B24FEE">
          <w:rPr>
            <w:rFonts w:cs="Tms Rmn"/>
          </w:rPr>
          <w:instrText xml:space="preserve"> ADDIN EN.CITE.DATA </w:instrText>
        </w:r>
        <w:r w:rsidR="00B24FEE">
          <w:rPr>
            <w:rFonts w:cs="Tms Rmn"/>
          </w:rPr>
        </w:r>
        <w:r w:rsidR="00B24FEE">
          <w:rPr>
            <w:rFonts w:cs="Tms Rmn"/>
          </w:rPr>
          <w:fldChar w:fldCharType="end"/>
        </w:r>
        <w:r w:rsidR="00B24FEE">
          <w:rPr>
            <w:rFonts w:cs="Tms Rmn"/>
          </w:rPr>
        </w:r>
        <w:r w:rsidR="00B24FEE">
          <w:rPr>
            <w:rFonts w:cs="Tms Rmn"/>
          </w:rPr>
          <w:fldChar w:fldCharType="separate"/>
        </w:r>
        <w:r w:rsidR="00B24FEE" w:rsidRPr="00B24FEE">
          <w:rPr>
            <w:rFonts w:cs="Tms Rmn"/>
            <w:noProof/>
            <w:vertAlign w:val="superscript"/>
          </w:rPr>
          <w:t>43</w:t>
        </w:r>
        <w:r w:rsidR="00B24FEE">
          <w:rPr>
            <w:rFonts w:cs="Tms Rmn"/>
          </w:rPr>
          <w:fldChar w:fldCharType="end"/>
        </w:r>
      </w:hyperlink>
      <w:r w:rsidRPr="00591BFC">
        <w:rPr>
          <w:rFonts w:cs="Tms Rmn"/>
        </w:rPr>
        <w:t xml:space="preserve"> to understand how </w:t>
      </w:r>
      <w:r w:rsidRPr="00591BFC">
        <w:t>and why hospitals adopted their models of care for the prevention of secondary fractures after hip fracture, identify how secondary fracture prevention services can be successfully implemented, with a focus on barriers and enablers to change and the elements of care that healthcare professionals think are most effective.</w:t>
      </w:r>
      <w:r w:rsidRPr="00591BFC">
        <w:rPr>
          <w:rFonts w:cs="Tms Rmn"/>
        </w:rPr>
        <w:t xml:space="preserve">  With regard to successful implementation, professionals’ capacity or levels of communication and cooperation, was influenced by their distance in relation to the centre of the service. As a result, communication with GPs was viewed as challenging. Potential or enthusiasm for enacting the intervention was generally high although participants identified exceptions. Shared commitments were facilitated by multi-disciplinary team working. However, GPs were seen to be less committed to delivering fracture prevention. </w:t>
      </w:r>
    </w:p>
    <w:p w14:paraId="4A341802" w14:textId="77777777" w:rsidR="00B70DDB" w:rsidRPr="00591BFC" w:rsidRDefault="00B70DDB" w:rsidP="00E86771">
      <w:pPr>
        <w:pStyle w:val="NoSpacing"/>
        <w:tabs>
          <w:tab w:val="left" w:pos="975"/>
        </w:tabs>
        <w:spacing w:line="360" w:lineRule="auto"/>
        <w:rPr>
          <w:rFonts w:cs="Tms Rmn"/>
        </w:rPr>
      </w:pPr>
      <w:r w:rsidRPr="00591BFC">
        <w:rPr>
          <w:rFonts w:cs="Tms Rmn"/>
        </w:rPr>
        <w:tab/>
      </w:r>
    </w:p>
    <w:p w14:paraId="4B89EFF3" w14:textId="77777777" w:rsidR="00B524B7" w:rsidRPr="00591BFC" w:rsidRDefault="00B524B7" w:rsidP="00E86771">
      <w:pPr>
        <w:pStyle w:val="NoSpacing"/>
        <w:spacing w:line="360" w:lineRule="auto"/>
        <w:rPr>
          <w:rFonts w:cs="Tms Rmn"/>
        </w:rPr>
      </w:pPr>
      <w:r w:rsidRPr="00591BFC">
        <w:rPr>
          <w:rFonts w:cs="Tms Rmn"/>
        </w:rPr>
        <w:t xml:space="preserve">Introduction of fracture prevention co-ordinators was advocated because their inclusion enhanced professionals’ capability to deliver the service, ‘freeing up’ other members of the team who had been previously responsible for this role. As a result the service could be easily integrated with existing services and the involvement of co-ordinators was seen as central to effective services. In addition, enthusiasm and leadership of professionals enabled services to be implemented and was a key reason for the introduction of new services. However, a lack of time, equipment and the challenges of accessing the services for some patients hindered implementation and had the potential to reduce the effectiveness of services for patients. Participants identified strategies to facilitate the delivery of the service over time, and they saw good delivery seen key elements of effective care. Strategies included multi-disciplinary team meetings, clinical databases recording aspects of patient care and monitoring to enable professionals to adapt and change the service where necessary. </w:t>
      </w:r>
    </w:p>
    <w:p w14:paraId="05C71459" w14:textId="77777777" w:rsidR="00B70DDB" w:rsidRPr="00591BFC" w:rsidRDefault="00B70DDB" w:rsidP="00E86771">
      <w:pPr>
        <w:pStyle w:val="NoSpacing"/>
        <w:spacing w:line="360" w:lineRule="auto"/>
        <w:rPr>
          <w:rFonts w:cs="Tms Rmn"/>
        </w:rPr>
      </w:pPr>
    </w:p>
    <w:p w14:paraId="4164505B" w14:textId="77777777" w:rsidR="00B70DDB" w:rsidRPr="00591BFC" w:rsidRDefault="00B70DDB" w:rsidP="00E86771">
      <w:pPr>
        <w:pStyle w:val="Heading4"/>
        <w:spacing w:line="360" w:lineRule="auto"/>
        <w:rPr>
          <w:rFonts w:ascii="Calibri" w:hAnsi="Calibri"/>
        </w:rPr>
      </w:pPr>
      <w:r w:rsidRPr="00591BFC">
        <w:rPr>
          <w:rFonts w:ascii="Calibri" w:hAnsi="Calibri"/>
        </w:rPr>
        <w:t>Relationship to current literature</w:t>
      </w:r>
    </w:p>
    <w:p w14:paraId="406B8B79" w14:textId="77777777" w:rsidR="00B70DDB" w:rsidRPr="00591BFC" w:rsidRDefault="00B70DDB" w:rsidP="00E86771">
      <w:pPr>
        <w:pStyle w:val="NoSpacing"/>
        <w:spacing w:line="360" w:lineRule="auto"/>
      </w:pPr>
    </w:p>
    <w:p w14:paraId="78D287AE" w14:textId="33D222D5" w:rsidR="00B524B7" w:rsidRPr="00591BFC" w:rsidRDefault="00B524B7" w:rsidP="00E86771">
      <w:pPr>
        <w:pStyle w:val="NoSpacing"/>
        <w:spacing w:line="360" w:lineRule="auto"/>
      </w:pPr>
      <w:r w:rsidRPr="00591BFC">
        <w:t>This study contributes to existing work on the delivery of fracture prevention by describing aspects of successful implementation, including barriers and enablers. Implementation of good services was seen as key to delivery of effective care for patients. Findings reflect those from previous studies that have advocated the use of fracture prevention co-ordinators in organising care</w:t>
      </w:r>
      <w:r w:rsidR="00B24FEE">
        <w:fldChar w:fldCharType="begin">
          <w:fldData xml:space="preserve">PEVuZE5vdGU+PENpdGU+PEF1dGhvcj5NaXRjaGVsbDwvQXV0aG9yPjxZZWFyPjIwMTM8L1llYXI+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</w:fldData>
        </w:fldChar>
      </w:r>
      <w:r w:rsidR="00B24FEE">
        <w:instrText xml:space="preserve"> ADDIN EN.CITE </w:instrText>
      </w:r>
      <w:r w:rsidR="00B24FEE">
        <w:fldChar w:fldCharType="begin">
          <w:fldData xml:space="preserve">PEVuZE5vdGU+PENpdGU+PEF1dGhvcj5NaXRjaGVsbDwvQXV0aG9yPjxZZWFyPjIwMTM8L1llYXI+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</w:fldData>
        </w:fldChar>
      </w:r>
      <w:r w:rsidR="00B24FEE">
        <w:instrText xml:space="preserve"> ADDIN EN.CITE.DATA </w:instrText>
      </w:r>
      <w:r w:rsidR="00B24FEE">
        <w:fldChar w:fldCharType="end"/>
      </w:r>
      <w:r w:rsidR="00B24FEE">
        <w:fldChar w:fldCharType="separate"/>
      </w:r>
      <w:hyperlink w:anchor="_ENREF_10" w:tooltip="Marsh, 2011 #18" w:history="1">
        <w:r w:rsidR="00B24FEE" w:rsidRPr="00B24FEE">
          <w:rPr>
            <w:noProof/>
            <w:vertAlign w:val="superscript"/>
          </w:rPr>
          <w:t>10</w:t>
        </w:r>
      </w:hyperlink>
      <w:r w:rsidR="00B24FEE" w:rsidRPr="00B24FEE">
        <w:rPr>
          <w:noProof/>
          <w:vertAlign w:val="superscript"/>
        </w:rPr>
        <w:t xml:space="preserve"> </w:t>
      </w:r>
      <w:hyperlink w:anchor="_ENREF_32" w:tooltip="Eisman, 2012 #1083" w:history="1">
        <w:r w:rsidR="00B24FEE" w:rsidRPr="00B24FEE">
          <w:rPr>
            <w:noProof/>
            <w:vertAlign w:val="superscript"/>
          </w:rPr>
          <w:t>32</w:t>
        </w:r>
      </w:hyperlink>
      <w:r w:rsidR="00B24FEE" w:rsidRPr="00B24FEE">
        <w:rPr>
          <w:noProof/>
          <w:vertAlign w:val="superscript"/>
        </w:rPr>
        <w:t xml:space="preserve"> </w:t>
      </w:r>
      <w:hyperlink w:anchor="_ENREF_34" w:tooltip="Akesson, 2013 #92" w:history="1">
        <w:r w:rsidR="00B24FEE" w:rsidRPr="00B24FEE">
          <w:rPr>
            <w:noProof/>
            <w:vertAlign w:val="superscript"/>
          </w:rPr>
          <w:t>34-36</w:t>
        </w:r>
      </w:hyperlink>
      <w:r w:rsidR="00B24FEE">
        <w:fldChar w:fldCharType="end"/>
      </w:r>
      <w:r w:rsidRPr="00591BFC">
        <w:t>. The British Orthopaedic Association also recommends enhancing co-ordination between primary and secondary care by developing comprehensive discharge summaries and introducing fracture prevention co-ordinators into the community</w:t>
      </w:r>
      <w:hyperlink w:anchor="_ENREF_1" w:tooltip="British Orthopaedic Association, 2007 #25" w:history="1">
        <w:r w:rsidR="00B24FEE">
          <w:fldChar w:fldCharType="begin"/>
        </w:r>
        <w:r w:rsidR="00B24FEE">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fldChar w:fldCharType="separate"/>
        </w:r>
        <w:r w:rsidR="00B24FEE" w:rsidRPr="00B24FEE">
          <w:rPr>
            <w:noProof/>
            <w:vertAlign w:val="superscript"/>
          </w:rPr>
          <w:t>1</w:t>
        </w:r>
        <w:r w:rsidR="00B24FEE">
          <w:fldChar w:fldCharType="end"/>
        </w:r>
      </w:hyperlink>
      <w:r w:rsidRPr="00591BFC">
        <w:t>.  Undertaking service audits and introducing cost saving incentives has also been recognised as a means of ensuring the service develops over time</w:t>
      </w:r>
      <w:hyperlink w:anchor="_ENREF_32" w:tooltip="Eisman, 2012 #1083" w:history="1">
        <w:r w:rsidR="00B24FEE">
          <w:fldChar w:fldCharType="begin"/>
        </w:r>
        <w:r w:rsidR="00B24FEE">
          <w:instrText xml:space="preserve"> ADDIN EN.CITE &lt;EndNote&gt;&lt;Cite&gt;&lt;Author&gt;Eisman&lt;/Author&gt;&lt;Year&gt;2012&lt;/Year&gt;&lt;RecNum&gt;1083&lt;/RecNum&gt;&lt;DisplayText&gt;&lt;style face="superscript"&gt;32&lt;/style&gt;&lt;/DisplayText&gt;&lt;record&gt;&lt;rec-number&gt;1083&lt;/rec-number&gt;&lt;foreign-keys&gt;&lt;key app="EN" db-id="sxpszd2ti9dx04ewefrvfp5bpf5faazszr9p" timestamp="0"&gt;1083&lt;/key&gt;&lt;/foreign-keys&gt;&lt;ref-type name="Journal Article"&gt;17&lt;/ref-type&gt;&lt;contributors&gt;&lt;authors&gt;&lt;author&gt;Eisman, J. A. et al.&lt;/author&gt;&lt;/authors&gt;&lt;/contributors&gt;&lt;titles&gt;&lt;title&gt;Supporting Appendix A: Making the first fracture the last fracture: ASBMR task force report on secondary fracture prevention&lt;/title&gt;&lt;secondary-title&gt;Journal of Bone and Mineral Research&lt;/secondary-title&gt;&lt;/titles&gt;&lt;pages&gt;2039 - 2046&lt;/pages&gt;&lt;volume&gt;27&lt;/volume&gt;&lt;number&gt;10&lt;/number&gt;&lt;dates&gt;&lt;year&gt;2012&lt;/year&gt;&lt;/dates&gt;&lt;urls&gt;&lt;/urls&gt;&lt;/record&gt;&lt;/Cite&gt;&lt;/EndNote&gt;</w:instrText>
        </w:r>
        <w:r w:rsidR="00B24FEE">
          <w:fldChar w:fldCharType="separate"/>
        </w:r>
        <w:r w:rsidR="00B24FEE" w:rsidRPr="00B24FEE">
          <w:rPr>
            <w:noProof/>
            <w:vertAlign w:val="superscript"/>
          </w:rPr>
          <w:t>32</w:t>
        </w:r>
        <w:r w:rsidR="00B24FEE">
          <w:fldChar w:fldCharType="end"/>
        </w:r>
      </w:hyperlink>
      <w:r w:rsidRPr="00591BFC">
        <w:t xml:space="preserve">. </w:t>
      </w:r>
      <w:r w:rsidRPr="00591BFC">
        <w:lastRenderedPageBreak/>
        <w:t xml:space="preserve">An additional finding from this study is the role of potential or the commitments of professionals to enact the intervention and the role of fracture prevention co-ordinators in mobilising collective commitments within the multi-disciplinary team. </w:t>
      </w:r>
    </w:p>
    <w:p w14:paraId="3FAC1F8A" w14:textId="77777777" w:rsidR="00B70DDB" w:rsidRPr="00591BFC" w:rsidRDefault="00B70DDB" w:rsidP="00E86771">
      <w:pPr>
        <w:pStyle w:val="NoSpacing"/>
        <w:spacing w:line="360" w:lineRule="auto"/>
      </w:pPr>
    </w:p>
    <w:p w14:paraId="4942B864" w14:textId="2B2B5439" w:rsidR="00B70DDB" w:rsidRPr="00591BFC" w:rsidRDefault="00B70DDB" w:rsidP="00E86771">
      <w:pPr>
        <w:pStyle w:val="NoSpacing"/>
        <w:spacing w:line="360" w:lineRule="auto"/>
      </w:pPr>
      <w:r w:rsidRPr="00591BFC">
        <w:t>Findings on the challenges of implementing these services can be placed in the context of recent work conducted on service delivery for other conditions. A lack of co-operation and co-ordination within secondary care and between primary and secondary care has been recognised across the NHS</w:t>
      </w:r>
      <w:hyperlink w:anchor="_ENREF_77" w:tooltip="Mason, 2013 #633" w:history="1">
        <w:r w:rsidR="00B24FEE">
          <w:fldChar w:fldCharType="begin">
            <w:fldData xml:space="preserve">PEVuZE5vdGU+PENpdGU+PEF1dGhvcj5NYXNvbjwvQXV0aG9yPjxZZWFyPjIwMTM8L1llYXI+PFJl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</w:fldData>
          </w:fldChar>
        </w:r>
        <w:r w:rsidR="00B24FEE">
          <w:instrText xml:space="preserve"> ADDIN EN.CITE </w:instrText>
        </w:r>
        <w:r w:rsidR="00B24FEE">
          <w:fldChar w:fldCharType="begin">
            <w:fldData xml:space="preserve">PEVuZE5vdGU+PENpdGU+PEF1dGhvcj5NYXNvbjwvQXV0aG9yPjxZZWFyPjIwMTM8L1llYXI+PFJl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</w:fldData>
          </w:fldChar>
        </w:r>
        <w:r w:rsidR="00B24FEE">
          <w:instrText xml:space="preserve"> ADDIN EN.CITE.DATA </w:instrText>
        </w:r>
        <w:r w:rsidR="00B24FEE">
          <w:fldChar w:fldCharType="end"/>
        </w:r>
        <w:r w:rsidR="00B24FEE">
          <w:fldChar w:fldCharType="separate"/>
        </w:r>
        <w:r w:rsidR="00B24FEE" w:rsidRPr="00B24FEE">
          <w:rPr>
            <w:noProof/>
            <w:vertAlign w:val="superscript"/>
          </w:rPr>
          <w:t>77-79</w:t>
        </w:r>
        <w:r w:rsidR="00B24FEE">
          <w:fldChar w:fldCharType="end"/>
        </w:r>
      </w:hyperlink>
      <w:r w:rsidRPr="00591BFC">
        <w:t>. Furthermore, a lack of time to deliver care, lack of access to equipment and the inability of some socio-demographic groups to access services has also been identified</w:t>
      </w:r>
      <w:hyperlink w:anchor="_ENREF_80" w:tooltip="Limb, 2013 #638" w:history="1">
        <w:r w:rsidR="00B24FEE">
          <w:fldChar w:fldCharType="begin"/>
        </w:r>
        <w:r w:rsidR="00B24FEE">
          <w:instrText xml:space="preserve"> ADDIN EN.CITE &lt;EndNote&gt;&lt;Cite&gt;&lt;Author&gt;Limb&lt;/Author&gt;&lt;Year&gt;2013&lt;/Year&gt;&lt;RecNum&gt;638&lt;/RecNum&gt;&lt;DisplayText&gt;&lt;style face="superscript"&gt;80&lt;/style&gt;&lt;/DisplayText&gt;&lt;record&gt;&lt;rec-number&gt;638&lt;/rec-number&gt;&lt;foreign-keys&gt;&lt;key app="EN" db-id="sxpszd2ti9dx04ewefrvfp5bpf5faazszr9p" timestamp="0"&gt;638&lt;/key&gt;&lt;/foreign-keys&gt;&lt;ref-type name="Journal Article"&gt;17&lt;/ref-type&gt;&lt;contributors&gt;&lt;authors&gt;&lt;author&gt;Matthew Limb&lt;/author&gt;&lt;/authors&gt;&lt;/contributors&gt;&lt;titles&gt;&lt;title&gt;NHS England slips further behind on its efficiency savings target&lt;/title&gt;&lt;secondary-title&gt;BMJ&lt;/secondary-title&gt;&lt;/titles&gt;&lt;periodical&gt;&lt;full-title&gt;BMJ&lt;/full-title&gt;&lt;/periodical&gt;&lt;volume&gt;347&lt;/volume&gt;&lt;dates&gt;&lt;year&gt;2013&lt;/year&gt;&lt;pub-dates&gt;&lt;date&gt;2013-08-28 11:52:28&lt;/date&gt;&lt;/pub-dates&gt;&lt;/dates&gt;&lt;urls&gt;&lt;pdf-urls&gt;&lt;url&gt;http://www.bmj.com/bmj/347/bmj.f5297.full.pdf&lt;/url&gt;&lt;/pdf-urls&gt;&lt;/urls&gt;&lt;electronic-resource-num&gt;10.1136/bmj.f5297&lt;/electronic-resource-num&gt;&lt;/record&gt;&lt;/Cite&gt;&lt;/EndNote&gt;</w:instrText>
        </w:r>
        <w:r w:rsidR="00B24FEE">
          <w:fldChar w:fldCharType="separate"/>
        </w:r>
        <w:r w:rsidR="00B24FEE" w:rsidRPr="00B24FEE">
          <w:rPr>
            <w:noProof/>
            <w:vertAlign w:val="superscript"/>
          </w:rPr>
          <w:t>80</w:t>
        </w:r>
        <w:r w:rsidR="00B24FEE">
          <w:fldChar w:fldCharType="end"/>
        </w:r>
      </w:hyperlink>
      <w:r w:rsidRPr="00591BFC">
        <w:t>.</w:t>
      </w:r>
    </w:p>
    <w:p w14:paraId="1FA8A434" w14:textId="77777777" w:rsidR="00B70DDB" w:rsidRPr="00591BFC" w:rsidRDefault="00B70DDB" w:rsidP="00E86771">
      <w:pPr>
        <w:pStyle w:val="NoSpacing"/>
        <w:spacing w:line="360" w:lineRule="auto"/>
      </w:pPr>
    </w:p>
    <w:p w14:paraId="23B02A7F" w14:textId="77777777" w:rsidR="00B70DDB" w:rsidRPr="00591BFC" w:rsidRDefault="00B70DDB" w:rsidP="00E86771">
      <w:pPr>
        <w:pStyle w:val="Heading4"/>
        <w:spacing w:line="360" w:lineRule="auto"/>
        <w:rPr>
          <w:rFonts w:ascii="Calibri" w:hAnsi="Calibri"/>
        </w:rPr>
      </w:pPr>
      <w:r w:rsidRPr="00591BFC">
        <w:rPr>
          <w:rFonts w:ascii="Calibri" w:hAnsi="Calibri"/>
        </w:rPr>
        <w:t>Further research</w:t>
      </w:r>
    </w:p>
    <w:p w14:paraId="385B082E" w14:textId="77777777" w:rsidR="00B70DDB" w:rsidRPr="00591BFC" w:rsidRDefault="00B70DDB" w:rsidP="00E86771">
      <w:pPr>
        <w:pStyle w:val="NoSpacing"/>
        <w:spacing w:line="360" w:lineRule="auto"/>
      </w:pPr>
    </w:p>
    <w:p w14:paraId="17558F7A" w14:textId="2ADCB172" w:rsidR="00B524B7" w:rsidRPr="00591BFC" w:rsidRDefault="00B524B7" w:rsidP="00E86771">
      <w:pPr>
        <w:pStyle w:val="NoSpacing"/>
        <w:spacing w:line="360" w:lineRule="auto"/>
      </w:pPr>
      <w:r w:rsidRPr="00591BFC">
        <w:t>It was clear in our qualitative work that communication with primary care was sometimes challenging, and research could further explore reasons for this in order to inform the design of possible improvements. Primary care clinicians have key roles in initiation of medication and ongoing monitoring of patients and further research could complement the findings presented here. Future research should also consider patients’ experiences to ensure that future service developments fully meet their needs and preferences</w:t>
      </w:r>
      <w:hyperlink w:anchor="_ENREF_81" w:tooltip="Gooberman-Hill, 2012 #543" w:history="1">
        <w:r w:rsidR="00B24FEE">
          <w:fldChar w:fldCharType="begin"/>
        </w:r>
        <w:r w:rsidR="00B24FEE">
          <w:instrText xml:space="preserve"> ADDIN EN.CITE &lt;EndNote&gt;&lt;Cite&gt;&lt;Author&gt;Gooberman-Hill&lt;/Author&gt;&lt;Year&gt;2012&lt;/Year&gt;&lt;RecNum&gt;543&lt;/RecNum&gt;&lt;DisplayText&gt;&lt;style face="superscript"&gt;81&lt;/style&gt;&lt;/DisplayText&gt;&lt;record&gt;&lt;rec-number&gt;543&lt;/rec-number&gt;&lt;foreign-keys&gt;&lt;key app="EN" db-id="sxpszd2ti9dx04ewefrvfp5bpf5faazszr9p" timestamp="0"&gt;543&lt;/key&gt;&lt;/foreign-keys&gt;&lt;ref-type name="Journal Article"&gt;17&lt;/ref-type&gt;&lt;contributors&gt;&lt;authors&gt;&lt;author&gt;Gooberman-Hill, Rachael&lt;/author&gt;&lt;/authors&gt;&lt;/contributors&gt;&lt;auth-address&gt;School of Clinical Sciences, University of Bristol, Southmead Hospital, Wesbury-on-Trym, Bristol, UK.&lt;/auth-address&gt;&lt;titles&gt;&lt;title&gt;Qualitative approaches to understanding patient preferences&lt;/title&gt;&lt;secondary-title&gt;The Patient&lt;/secondary-title&gt;&lt;/titles&gt;&lt;pages&gt;215-223&lt;/pages&gt;&lt;volume&gt;5&lt;/volume&gt;&lt;number&gt;4&lt;/number&gt;&lt;keywords&gt;&lt;keyword&gt;Patient Preference*&lt;/keyword&gt;&lt;keyword&gt;Qualitative Research*&lt;/keyword&gt;&lt;keyword&gt;Research Design*&lt;/keyword&gt;&lt;keyword&gt;Data Collection/*methods&lt;/keyword&gt;&lt;keyword&gt;Health Services Research/*methods&lt;/keyword&gt;&lt;keyword&gt;Checklist&lt;/keyword&gt;&lt;keyword&gt;Humans&lt;/keyword&gt;&lt;keyword&gt;Patient-Centered Care&lt;/keyword&gt;&lt;/keywords&gt;&lt;dates&gt;&lt;year&gt;2012&lt;/year&gt;&lt;/dates&gt;&lt;pub-location&gt;England&lt;/pub-location&gt;&lt;publisher&gt;Adis, Springer International&lt;/publisher&gt;&lt;isbn&gt;1178-1653&lt;/isbn&gt;&lt;accession-num&gt;23006055&lt;/accession-num&gt;&lt;urls&gt;&lt;related-urls&gt;&lt;url&gt;http://search.ebscohost.com/login.aspx?direct=true&amp;amp;db=cmedm&amp;amp;AN=23006055&amp;amp;site=ehost-live&lt;/url&gt;&lt;/related-urls&gt;&lt;/urls&gt;&lt;electronic-resource-num&gt;10.2165/11633720-000000000-00000&lt;/electronic-resource-num&gt;&lt;remote-database-name&gt;cmedm&lt;/remote-database-name&gt;&lt;remote-database-provider&gt;EBSCOhost&lt;/remote-database-provider&gt;&lt;/record&gt;&lt;/Cite&gt;&lt;/EndNote&gt;</w:instrText>
        </w:r>
        <w:r w:rsidR="00B24FEE">
          <w:fldChar w:fldCharType="separate"/>
        </w:r>
        <w:r w:rsidR="00B24FEE" w:rsidRPr="00B24FEE">
          <w:rPr>
            <w:noProof/>
            <w:vertAlign w:val="superscript"/>
          </w:rPr>
          <w:t>81</w:t>
        </w:r>
        <w:r w:rsidR="00B24FEE">
          <w:fldChar w:fldCharType="end"/>
        </w:r>
      </w:hyperlink>
      <w:r w:rsidRPr="00591BFC">
        <w:t>.  Falls prevention is also critical in the prevention of further fractures</w:t>
      </w:r>
      <w:r w:rsidR="00B24FEE">
        <w:fldChar w:fldCharType="begin">
          <w:fldData xml:space="preserve">PEVuZE5vdGU+PENpdGU+PEF1dGhvcj5Ccml0aXNoIE9ydGhvcGFlZGljIEFzc29jaWF0aW9uPC9B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</w:fldData>
        </w:fldChar>
      </w:r>
      <w:r w:rsidR="00B24FEE">
        <w:instrText xml:space="preserve"> ADDIN EN.CITE </w:instrText>
      </w:r>
      <w:r w:rsidR="00B24FEE">
        <w:fldChar w:fldCharType="begin">
          <w:fldData xml:space="preserve">PEVuZE5vdGU+PENpdGU+PEF1dGhvcj5Ccml0aXNoIE9ydGhvcGFlZGljIEFzc29jaWF0aW9uPC9B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</w:fldData>
        </w:fldChar>
      </w:r>
      <w:r w:rsidR="00B24FEE">
        <w:instrText xml:space="preserve"> ADDIN EN.CITE.DATA </w:instrText>
      </w:r>
      <w:r w:rsidR="00B24FEE">
        <w:fldChar w:fldCharType="end"/>
      </w:r>
      <w:r w:rsidR="00B24FEE">
        <w:fldChar w:fldCharType="separate"/>
      </w:r>
      <w:hyperlink w:anchor="_ENREF_1" w:tooltip="British Orthopaedic Association, 2007 #25" w:history="1">
        <w:r w:rsidR="00B24FEE" w:rsidRPr="00B24FEE">
          <w:rPr>
            <w:noProof/>
            <w:vertAlign w:val="superscript"/>
          </w:rPr>
          <w:t>1</w:t>
        </w:r>
      </w:hyperlink>
      <w:r w:rsidR="00B24FEE" w:rsidRPr="00B24FEE">
        <w:rPr>
          <w:noProof/>
          <w:vertAlign w:val="superscript"/>
        </w:rPr>
        <w:t xml:space="preserve"> </w:t>
      </w:r>
      <w:hyperlink w:anchor="_ENREF_81" w:tooltip="Gooberman-Hill, 2012 #543" w:history="1">
        <w:r w:rsidR="00B24FEE" w:rsidRPr="00B24FEE">
          <w:rPr>
            <w:noProof/>
            <w:vertAlign w:val="superscript"/>
          </w:rPr>
          <w:t>81</w:t>
        </w:r>
      </w:hyperlink>
      <w:r w:rsidR="00B24FEE">
        <w:fldChar w:fldCharType="end"/>
      </w:r>
      <w:r w:rsidRPr="00591BFC">
        <w:t xml:space="preserve"> and a future study exploring the experiences of delivering these services would contribute to a ‘system wide’ understanding of the challenges of undertaking fracture prevention.</w:t>
      </w:r>
    </w:p>
    <w:p w14:paraId="486DE8BA" w14:textId="77777777" w:rsidR="00B70DDB" w:rsidRPr="00591BFC" w:rsidRDefault="00B70DDB" w:rsidP="00E86771">
      <w:pPr>
        <w:pStyle w:val="Heading3"/>
        <w:spacing w:line="360" w:lineRule="auto"/>
        <w:rPr>
          <w:rFonts w:ascii="Calibri" w:hAnsi="Calibri"/>
          <w:lang w:val="en-GB"/>
        </w:rPr>
      </w:pPr>
      <w:bookmarkStart w:id="142" w:name="_Toc308300738"/>
      <w:bookmarkStart w:id="143" w:name="_Toc311366545"/>
      <w:r w:rsidRPr="00591BFC">
        <w:rPr>
          <w:rFonts w:ascii="Calibri" w:hAnsi="Calibri"/>
          <w:lang w:val="en-GB"/>
        </w:rPr>
        <w:t>Part 2: Exploring the experiences of clinicians and service managers of developing and making business cases for a Fracture Liaison Service (FLS)</w:t>
      </w:r>
      <w:bookmarkEnd w:id="142"/>
      <w:bookmarkEnd w:id="143"/>
    </w:p>
    <w:p w14:paraId="3B860442" w14:textId="77777777" w:rsidR="00B70DDB" w:rsidRPr="00591BFC" w:rsidRDefault="00B70DDB" w:rsidP="00E86771">
      <w:pPr>
        <w:pStyle w:val="NoSpacing"/>
        <w:spacing w:line="360" w:lineRule="auto"/>
      </w:pPr>
    </w:p>
    <w:p w14:paraId="1F5E25E8" w14:textId="74FE5CED" w:rsidR="00B70DDB" w:rsidRPr="00591BFC" w:rsidRDefault="00B70DDB" w:rsidP="00E86771">
      <w:pPr>
        <w:pStyle w:val="NoSpacing"/>
        <w:spacing w:line="360" w:lineRule="auto"/>
      </w:pPr>
      <w:r w:rsidRPr="00591BFC">
        <w:t xml:space="preserve">In the second part of the qualitative research we explored the experience of business case development </w:t>
      </w:r>
      <w:r w:rsidR="00B3555E" w:rsidRPr="00591BFC">
        <w:t>an FLS</w:t>
      </w:r>
      <w:r w:rsidRPr="00591BFC">
        <w:t>. This was addressed through the latter part of the interviews, as described in the methods section above. Of the 43 participants in the study as a whole, 33 had experience of making cases</w:t>
      </w:r>
      <w:r w:rsidR="004D3996">
        <w:t xml:space="preserve"> (Table 10)</w:t>
      </w:r>
      <w:r w:rsidRPr="00591BFC">
        <w:t>, and we analysed the material from these interviews in relation to this topic. In the findings presented here, we describe healthcare professionals’ views and experiences of making business cases for a FLS; identify factors they think impact on the decision of managerial bodies to approve the service; and explore what they feel are the most successful strategies for making an effective case.</w:t>
      </w:r>
    </w:p>
    <w:p w14:paraId="79E0E528" w14:textId="77777777" w:rsidR="00B70DDB" w:rsidRPr="00591BFC" w:rsidRDefault="00B70DDB" w:rsidP="00E86771">
      <w:pPr>
        <w:pStyle w:val="NoSpacing"/>
        <w:spacing w:line="360" w:lineRule="auto"/>
      </w:pPr>
    </w:p>
    <w:p w14:paraId="43C4325B" w14:textId="77777777" w:rsidR="00AD04D2" w:rsidRDefault="00AD04D2" w:rsidP="00AD04D2">
      <w:pPr>
        <w:pStyle w:val="Caption"/>
        <w:keepNext/>
        <w:spacing w:line="360" w:lineRule="auto"/>
      </w:pPr>
      <w:bookmarkStart w:id="144" w:name="_Toc308262405"/>
      <w:bookmarkStart w:id="145" w:name="_Toc311366671"/>
      <w:r w:rsidRPr="00591BFC">
        <w:lastRenderedPageBreak/>
        <w:t xml:space="preserve">Table </w:t>
      </w:r>
      <w:r w:rsidR="002149AD">
        <w:fldChar w:fldCharType="begin"/>
      </w:r>
      <w:r w:rsidR="002149AD">
        <w:instrText xml:space="preserve"> SEQ Table \* ARABIC </w:instrText>
      </w:r>
      <w:r w:rsidR="002149AD">
        <w:fldChar w:fldCharType="separate"/>
      </w:r>
      <w:r>
        <w:rPr>
          <w:noProof/>
        </w:rPr>
        <w:t>10</w:t>
      </w:r>
      <w:r w:rsidR="002149AD">
        <w:rPr>
          <w:noProof/>
        </w:rPr>
        <w:fldChar w:fldCharType="end"/>
      </w:r>
      <w:r w:rsidRPr="00591BFC">
        <w:t xml:space="preserve"> Participant characteristics </w:t>
      </w:r>
      <w:r>
        <w:t>for those who had experience of making business cases for a FLS</w:t>
      </w:r>
      <w:r w:rsidR="004D3996">
        <w:t xml:space="preserve"> </w:t>
      </w:r>
      <w:r w:rsidR="004D3996" w:rsidRPr="00591BFC">
        <w:t>(aggregated to ensure anonymity)</w:t>
      </w:r>
      <w:bookmarkEnd w:id="144"/>
      <w:bookmarkEnd w:id="1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278"/>
        <w:gridCol w:w="2126"/>
        <w:gridCol w:w="1560"/>
      </w:tblGrid>
      <w:tr w:rsidR="00AD04D2" w:rsidRPr="00C43F88" w14:paraId="32133CD3" w14:textId="77777777" w:rsidTr="00AD04D2">
        <w:tc>
          <w:tcPr>
            <w:tcW w:w="1841" w:type="dxa"/>
            <w:shd w:val="clear" w:color="auto" w:fill="auto"/>
          </w:tcPr>
          <w:p w14:paraId="58CCAC97" w14:textId="77777777" w:rsidR="00AD04D2" w:rsidRPr="0017566D" w:rsidRDefault="00AD04D2" w:rsidP="00C43F88">
            <w:r w:rsidRPr="004D3996">
              <w:t>Professional group</w:t>
            </w:r>
          </w:p>
        </w:tc>
        <w:tc>
          <w:tcPr>
            <w:tcW w:w="1278" w:type="dxa"/>
            <w:shd w:val="clear" w:color="auto" w:fill="auto"/>
          </w:tcPr>
          <w:p w14:paraId="3F060D66" w14:textId="77777777" w:rsidR="00AD04D2" w:rsidRPr="005B7A96" w:rsidRDefault="00AD04D2" w:rsidP="00C43F88">
            <w:r w:rsidRPr="005B7A96">
              <w:t>Number of participants</w:t>
            </w:r>
          </w:p>
        </w:tc>
        <w:tc>
          <w:tcPr>
            <w:tcW w:w="2126" w:type="dxa"/>
            <w:shd w:val="clear" w:color="auto" w:fill="auto"/>
          </w:tcPr>
          <w:p w14:paraId="663CD526" w14:textId="77777777" w:rsidR="00AD04D2" w:rsidRPr="00D5230E" w:rsidRDefault="00AD04D2" w:rsidP="00C43F88">
            <w:r w:rsidRPr="00D5230E">
              <w:t>Years spent working in current role (range)</w:t>
            </w:r>
          </w:p>
        </w:tc>
        <w:tc>
          <w:tcPr>
            <w:tcW w:w="1560" w:type="dxa"/>
            <w:shd w:val="clear" w:color="auto" w:fill="auto"/>
          </w:tcPr>
          <w:p w14:paraId="46C9FD81" w14:textId="77777777" w:rsidR="00AD04D2" w:rsidRPr="00D5230E" w:rsidRDefault="00AD04D2" w:rsidP="00C43F88">
            <w:r w:rsidRPr="00D5230E">
              <w:t>Years spent working at the hospital (range)</w:t>
            </w:r>
          </w:p>
          <w:p w14:paraId="4E0F0A84" w14:textId="77777777" w:rsidR="00AD04D2" w:rsidRPr="00181F37" w:rsidRDefault="00AD04D2" w:rsidP="00C43F88"/>
        </w:tc>
      </w:tr>
      <w:tr w:rsidR="00AD04D2" w:rsidRPr="00C43F88" w14:paraId="30CE7DA4" w14:textId="77777777" w:rsidTr="00AD04D2">
        <w:tc>
          <w:tcPr>
            <w:tcW w:w="1841" w:type="dxa"/>
            <w:shd w:val="clear" w:color="auto" w:fill="auto"/>
          </w:tcPr>
          <w:p w14:paraId="27114072" w14:textId="77777777" w:rsidR="00AD04D2" w:rsidRPr="004D3996" w:rsidRDefault="00AD04D2" w:rsidP="00C43F88">
            <w:r w:rsidRPr="004D3996">
              <w:t>Fracture Prevention Nurses</w:t>
            </w:r>
          </w:p>
        </w:tc>
        <w:tc>
          <w:tcPr>
            <w:tcW w:w="1278" w:type="dxa"/>
            <w:shd w:val="clear" w:color="auto" w:fill="auto"/>
          </w:tcPr>
          <w:p w14:paraId="5BE22E6D" w14:textId="77777777" w:rsidR="00AD04D2" w:rsidRPr="0017566D" w:rsidRDefault="00AD04D2" w:rsidP="00C43F88">
            <w:r w:rsidRPr="0017566D">
              <w:t>5</w:t>
            </w:r>
          </w:p>
        </w:tc>
        <w:tc>
          <w:tcPr>
            <w:tcW w:w="2126" w:type="dxa"/>
            <w:shd w:val="clear" w:color="auto" w:fill="auto"/>
          </w:tcPr>
          <w:p w14:paraId="0F1C03B6" w14:textId="77777777" w:rsidR="00AD04D2" w:rsidRPr="005B7A96" w:rsidRDefault="00AD04D2" w:rsidP="00C43F88">
            <w:r w:rsidRPr="005B7A96">
              <w:t>2 - 11</w:t>
            </w:r>
          </w:p>
        </w:tc>
        <w:tc>
          <w:tcPr>
            <w:tcW w:w="1560" w:type="dxa"/>
            <w:shd w:val="clear" w:color="auto" w:fill="auto"/>
          </w:tcPr>
          <w:p w14:paraId="40C7171D" w14:textId="77777777" w:rsidR="00AD04D2" w:rsidRPr="00D5230E" w:rsidRDefault="00AD04D2" w:rsidP="00C43F88">
            <w:r w:rsidRPr="00D5230E">
              <w:t>2 - 11</w:t>
            </w:r>
          </w:p>
        </w:tc>
      </w:tr>
      <w:tr w:rsidR="00AD04D2" w:rsidRPr="00C43F88" w14:paraId="3E0ADE91" w14:textId="77777777" w:rsidTr="00AD04D2">
        <w:tc>
          <w:tcPr>
            <w:tcW w:w="1841" w:type="dxa"/>
            <w:shd w:val="clear" w:color="auto" w:fill="auto"/>
          </w:tcPr>
          <w:p w14:paraId="7CB6C8B4" w14:textId="77777777" w:rsidR="00AD04D2" w:rsidRPr="004D3996" w:rsidRDefault="00AD04D2" w:rsidP="00C43F88">
            <w:r w:rsidRPr="004D3996">
              <w:t>Orthogeriatricians</w:t>
            </w:r>
          </w:p>
        </w:tc>
        <w:tc>
          <w:tcPr>
            <w:tcW w:w="1278" w:type="dxa"/>
            <w:shd w:val="clear" w:color="auto" w:fill="auto"/>
          </w:tcPr>
          <w:p w14:paraId="0B3E9037" w14:textId="77777777" w:rsidR="00AD04D2" w:rsidRPr="0017566D" w:rsidRDefault="00AD04D2" w:rsidP="00C43F88">
            <w:r w:rsidRPr="0017566D">
              <w:t>4</w:t>
            </w:r>
          </w:p>
        </w:tc>
        <w:tc>
          <w:tcPr>
            <w:tcW w:w="2126" w:type="dxa"/>
            <w:shd w:val="clear" w:color="auto" w:fill="auto"/>
          </w:tcPr>
          <w:p w14:paraId="7A2F33F7" w14:textId="77777777" w:rsidR="00AD04D2" w:rsidRPr="005B7A96" w:rsidRDefault="00AD04D2" w:rsidP="00C43F88">
            <w:r w:rsidRPr="005B7A96">
              <w:t>4 - 13</w:t>
            </w:r>
          </w:p>
        </w:tc>
        <w:tc>
          <w:tcPr>
            <w:tcW w:w="1560" w:type="dxa"/>
            <w:shd w:val="clear" w:color="auto" w:fill="auto"/>
          </w:tcPr>
          <w:p w14:paraId="7FE98E73" w14:textId="77777777" w:rsidR="00AD04D2" w:rsidRPr="00D5230E" w:rsidRDefault="00AD04D2" w:rsidP="00C43F88">
            <w:r w:rsidRPr="00D5230E">
              <w:t>4 - 16</w:t>
            </w:r>
          </w:p>
        </w:tc>
      </w:tr>
      <w:tr w:rsidR="00AD04D2" w:rsidRPr="00C43F88" w14:paraId="3CEE4DF9" w14:textId="77777777" w:rsidTr="00AD04D2">
        <w:tc>
          <w:tcPr>
            <w:tcW w:w="1841" w:type="dxa"/>
            <w:shd w:val="clear" w:color="auto" w:fill="auto"/>
          </w:tcPr>
          <w:p w14:paraId="42094634" w14:textId="77777777" w:rsidR="00AD04D2" w:rsidRPr="004D3996" w:rsidRDefault="00AD04D2" w:rsidP="00C43F88">
            <w:r w:rsidRPr="004D3996">
              <w:t>Geriatricians</w:t>
            </w:r>
          </w:p>
        </w:tc>
        <w:tc>
          <w:tcPr>
            <w:tcW w:w="1278" w:type="dxa"/>
            <w:shd w:val="clear" w:color="auto" w:fill="auto"/>
          </w:tcPr>
          <w:p w14:paraId="78D71772" w14:textId="77777777" w:rsidR="00AD04D2" w:rsidRPr="0017566D" w:rsidRDefault="00AD04D2" w:rsidP="00C43F88">
            <w:r w:rsidRPr="0017566D">
              <w:t>4</w:t>
            </w:r>
          </w:p>
        </w:tc>
        <w:tc>
          <w:tcPr>
            <w:tcW w:w="2126" w:type="dxa"/>
            <w:shd w:val="clear" w:color="auto" w:fill="auto"/>
          </w:tcPr>
          <w:p w14:paraId="6EAB7975" w14:textId="77777777" w:rsidR="00AD04D2" w:rsidRPr="005B7A96" w:rsidRDefault="00AD04D2" w:rsidP="00C43F88">
            <w:r w:rsidRPr="005B7A96">
              <w:t>3 - 21</w:t>
            </w:r>
          </w:p>
        </w:tc>
        <w:tc>
          <w:tcPr>
            <w:tcW w:w="1560" w:type="dxa"/>
            <w:shd w:val="clear" w:color="auto" w:fill="auto"/>
          </w:tcPr>
          <w:p w14:paraId="435F5FE3" w14:textId="77777777" w:rsidR="00AD04D2" w:rsidRPr="00D5230E" w:rsidRDefault="00AD04D2" w:rsidP="00C43F88">
            <w:r w:rsidRPr="00D5230E">
              <w:t>2 – 6</w:t>
            </w:r>
          </w:p>
        </w:tc>
      </w:tr>
      <w:tr w:rsidR="00AD04D2" w:rsidRPr="00C43F88" w14:paraId="4F75E45A" w14:textId="77777777" w:rsidTr="00AD04D2">
        <w:tc>
          <w:tcPr>
            <w:tcW w:w="1841" w:type="dxa"/>
            <w:shd w:val="clear" w:color="auto" w:fill="auto"/>
          </w:tcPr>
          <w:p w14:paraId="1D322060" w14:textId="77777777" w:rsidR="00AD04D2" w:rsidRPr="004D3996" w:rsidRDefault="00AD04D2" w:rsidP="00C43F88">
            <w:r w:rsidRPr="004D3996">
              <w:t>GP Osteoporosis Specialists</w:t>
            </w:r>
          </w:p>
        </w:tc>
        <w:tc>
          <w:tcPr>
            <w:tcW w:w="1278" w:type="dxa"/>
            <w:shd w:val="clear" w:color="auto" w:fill="auto"/>
          </w:tcPr>
          <w:p w14:paraId="2710D154" w14:textId="77777777" w:rsidR="00AD04D2" w:rsidRPr="0017566D" w:rsidRDefault="00AD04D2" w:rsidP="00C43F88">
            <w:r w:rsidRPr="0017566D">
              <w:t>2</w:t>
            </w:r>
          </w:p>
        </w:tc>
        <w:tc>
          <w:tcPr>
            <w:tcW w:w="2126" w:type="dxa"/>
            <w:shd w:val="clear" w:color="auto" w:fill="auto"/>
          </w:tcPr>
          <w:p w14:paraId="4B3B3DCF" w14:textId="77777777" w:rsidR="00AD04D2" w:rsidRPr="005B7A96" w:rsidRDefault="00AD04D2" w:rsidP="00C43F88">
            <w:r w:rsidRPr="005B7A96">
              <w:t>10 - 43</w:t>
            </w:r>
          </w:p>
        </w:tc>
        <w:tc>
          <w:tcPr>
            <w:tcW w:w="1560" w:type="dxa"/>
            <w:shd w:val="clear" w:color="auto" w:fill="auto"/>
          </w:tcPr>
          <w:p w14:paraId="3ABF142D" w14:textId="77777777" w:rsidR="00AD04D2" w:rsidRPr="00D5230E" w:rsidRDefault="00AD04D2" w:rsidP="00C43F88">
            <w:r w:rsidRPr="00D5230E">
              <w:t>10 – 20</w:t>
            </w:r>
          </w:p>
        </w:tc>
      </w:tr>
      <w:tr w:rsidR="00AD04D2" w:rsidRPr="00C43F88" w14:paraId="03E35E08" w14:textId="77777777" w:rsidTr="00AD04D2">
        <w:tc>
          <w:tcPr>
            <w:tcW w:w="1841" w:type="dxa"/>
            <w:shd w:val="clear" w:color="auto" w:fill="auto"/>
          </w:tcPr>
          <w:p w14:paraId="78C64102" w14:textId="77777777" w:rsidR="00AD04D2" w:rsidRPr="0017566D" w:rsidRDefault="00AD04D2" w:rsidP="00C43F88">
            <w:r w:rsidRPr="004D3996">
              <w:t>Consultant Trauma Orthopaedic Surg</w:t>
            </w:r>
            <w:r w:rsidRPr="0017566D">
              <w:t>eons</w:t>
            </w:r>
          </w:p>
        </w:tc>
        <w:tc>
          <w:tcPr>
            <w:tcW w:w="1278" w:type="dxa"/>
            <w:shd w:val="clear" w:color="auto" w:fill="auto"/>
          </w:tcPr>
          <w:p w14:paraId="68B8F4A4" w14:textId="77777777" w:rsidR="00AD04D2" w:rsidRPr="005B7A96" w:rsidRDefault="00AD04D2" w:rsidP="00C43F88">
            <w:r w:rsidRPr="005B7A96">
              <w:t>3</w:t>
            </w:r>
          </w:p>
        </w:tc>
        <w:tc>
          <w:tcPr>
            <w:tcW w:w="2126" w:type="dxa"/>
            <w:shd w:val="clear" w:color="auto" w:fill="auto"/>
          </w:tcPr>
          <w:p w14:paraId="1A8E2ECB" w14:textId="77777777" w:rsidR="00AD04D2" w:rsidRPr="00D5230E" w:rsidRDefault="00AD04D2" w:rsidP="00C43F88">
            <w:r w:rsidRPr="00D5230E">
              <w:t>&lt;1 – 32</w:t>
            </w:r>
          </w:p>
        </w:tc>
        <w:tc>
          <w:tcPr>
            <w:tcW w:w="1560" w:type="dxa"/>
            <w:shd w:val="clear" w:color="auto" w:fill="auto"/>
          </w:tcPr>
          <w:p w14:paraId="5BA5D4D9" w14:textId="77777777" w:rsidR="00AD04D2" w:rsidRPr="00D5230E" w:rsidRDefault="00AD04D2" w:rsidP="00C43F88">
            <w:r w:rsidRPr="00D5230E">
              <w:t>4 - 19</w:t>
            </w:r>
          </w:p>
        </w:tc>
      </w:tr>
      <w:tr w:rsidR="00AD04D2" w:rsidRPr="00C43F88" w14:paraId="27786A0B" w14:textId="77777777" w:rsidTr="00AD04D2">
        <w:tc>
          <w:tcPr>
            <w:tcW w:w="1841" w:type="dxa"/>
            <w:shd w:val="clear" w:color="auto" w:fill="auto"/>
          </w:tcPr>
          <w:p w14:paraId="449AFA2D" w14:textId="77777777" w:rsidR="00AD04D2" w:rsidRPr="004D3996" w:rsidRDefault="00AD04D2" w:rsidP="00C43F88">
            <w:r w:rsidRPr="004D3996">
              <w:t>Rheumatology Consultants</w:t>
            </w:r>
          </w:p>
        </w:tc>
        <w:tc>
          <w:tcPr>
            <w:tcW w:w="1278" w:type="dxa"/>
            <w:shd w:val="clear" w:color="auto" w:fill="auto"/>
          </w:tcPr>
          <w:p w14:paraId="087C5CB4" w14:textId="77777777" w:rsidR="00AD04D2" w:rsidRPr="0017566D" w:rsidRDefault="00AD04D2" w:rsidP="00C43F88">
            <w:r w:rsidRPr="0017566D">
              <w:t>6</w:t>
            </w:r>
          </w:p>
        </w:tc>
        <w:tc>
          <w:tcPr>
            <w:tcW w:w="2126" w:type="dxa"/>
            <w:shd w:val="clear" w:color="auto" w:fill="auto"/>
          </w:tcPr>
          <w:p w14:paraId="25FD1C64" w14:textId="77777777" w:rsidR="00AD04D2" w:rsidRPr="005B7A96" w:rsidRDefault="00AD04D2" w:rsidP="00C43F88">
            <w:r w:rsidRPr="005B7A96">
              <w:t>5 - 25</w:t>
            </w:r>
          </w:p>
        </w:tc>
        <w:tc>
          <w:tcPr>
            <w:tcW w:w="1560" w:type="dxa"/>
            <w:shd w:val="clear" w:color="auto" w:fill="auto"/>
          </w:tcPr>
          <w:p w14:paraId="7A36E83D" w14:textId="77777777" w:rsidR="00AD04D2" w:rsidRPr="00D5230E" w:rsidRDefault="00AD04D2" w:rsidP="00C43F88">
            <w:r w:rsidRPr="00D5230E">
              <w:t>5 – 25</w:t>
            </w:r>
          </w:p>
        </w:tc>
      </w:tr>
      <w:tr w:rsidR="00AD04D2" w:rsidRPr="00C43F88" w14:paraId="57407900" w14:textId="77777777" w:rsidTr="00AD04D2">
        <w:tc>
          <w:tcPr>
            <w:tcW w:w="1841" w:type="dxa"/>
            <w:shd w:val="clear" w:color="auto" w:fill="auto"/>
          </w:tcPr>
          <w:p w14:paraId="5188E177" w14:textId="77777777" w:rsidR="00AD04D2" w:rsidRPr="00C43F88" w:rsidRDefault="00AD04D2" w:rsidP="00C43F88">
            <w:r w:rsidRPr="004D3996">
              <w:t xml:space="preserve">Additional nursing staff (Orthopaedic Nurses, </w:t>
            </w:r>
            <w:r w:rsidRPr="00C43F88">
              <w:t>Trauma Matrons, Matrons for Hip Fracture Units)</w:t>
            </w:r>
          </w:p>
        </w:tc>
        <w:tc>
          <w:tcPr>
            <w:tcW w:w="1278" w:type="dxa"/>
            <w:shd w:val="clear" w:color="auto" w:fill="auto"/>
          </w:tcPr>
          <w:p w14:paraId="0B3E7849" w14:textId="77777777" w:rsidR="00AD04D2" w:rsidRPr="00C43F88" w:rsidRDefault="00AD04D2" w:rsidP="00C43F88">
            <w:r w:rsidRPr="00C43F88">
              <w:t>3</w:t>
            </w:r>
          </w:p>
        </w:tc>
        <w:tc>
          <w:tcPr>
            <w:tcW w:w="2126" w:type="dxa"/>
            <w:shd w:val="clear" w:color="auto" w:fill="auto"/>
          </w:tcPr>
          <w:p w14:paraId="76994B21" w14:textId="77777777" w:rsidR="00AD04D2" w:rsidRPr="00C43F88" w:rsidRDefault="00AD04D2" w:rsidP="00C43F88">
            <w:r w:rsidRPr="00C43F88">
              <w:t>3 - 14</w:t>
            </w:r>
          </w:p>
        </w:tc>
        <w:tc>
          <w:tcPr>
            <w:tcW w:w="1560" w:type="dxa"/>
            <w:shd w:val="clear" w:color="auto" w:fill="auto"/>
          </w:tcPr>
          <w:p w14:paraId="71E41D2F" w14:textId="77777777" w:rsidR="00AD04D2" w:rsidRPr="00C43F88" w:rsidRDefault="00AD04D2" w:rsidP="00C43F88">
            <w:r w:rsidRPr="00C43F88">
              <w:t>3 - 14</w:t>
            </w:r>
          </w:p>
        </w:tc>
      </w:tr>
      <w:tr w:rsidR="00AD04D2" w:rsidRPr="00C43F88" w14:paraId="75851428" w14:textId="77777777" w:rsidTr="00AD04D2">
        <w:tc>
          <w:tcPr>
            <w:tcW w:w="1841" w:type="dxa"/>
            <w:shd w:val="clear" w:color="auto" w:fill="auto"/>
          </w:tcPr>
          <w:p w14:paraId="5F6EE89D" w14:textId="77777777" w:rsidR="00AD04D2" w:rsidRPr="00C43F88" w:rsidRDefault="00AD04D2" w:rsidP="00C43F88">
            <w:r w:rsidRPr="00C43F88">
              <w:t>Bone Densitometry Specialists</w:t>
            </w:r>
          </w:p>
        </w:tc>
        <w:tc>
          <w:tcPr>
            <w:tcW w:w="1278" w:type="dxa"/>
            <w:shd w:val="clear" w:color="auto" w:fill="auto"/>
          </w:tcPr>
          <w:p w14:paraId="3CDEB34A" w14:textId="77777777" w:rsidR="00AD04D2" w:rsidRPr="00C43F88" w:rsidRDefault="00AD04D2" w:rsidP="00C43F88">
            <w:r w:rsidRPr="00C43F88">
              <w:t>1</w:t>
            </w:r>
          </w:p>
        </w:tc>
        <w:tc>
          <w:tcPr>
            <w:tcW w:w="2126" w:type="dxa"/>
            <w:shd w:val="clear" w:color="auto" w:fill="auto"/>
          </w:tcPr>
          <w:p w14:paraId="4690F912" w14:textId="77777777" w:rsidR="00AD04D2" w:rsidRPr="00C43F88" w:rsidRDefault="00AD04D2" w:rsidP="00C43F88">
            <w:r w:rsidRPr="00C43F88">
              <w:t>11</w:t>
            </w:r>
          </w:p>
        </w:tc>
        <w:tc>
          <w:tcPr>
            <w:tcW w:w="1560" w:type="dxa"/>
            <w:shd w:val="clear" w:color="auto" w:fill="auto"/>
          </w:tcPr>
          <w:p w14:paraId="42B0038D" w14:textId="77777777" w:rsidR="00AD04D2" w:rsidRPr="00C43F88" w:rsidRDefault="00AD04D2" w:rsidP="00C43F88">
            <w:r w:rsidRPr="00C43F88">
              <w:t>12</w:t>
            </w:r>
          </w:p>
        </w:tc>
      </w:tr>
      <w:tr w:rsidR="00AD04D2" w:rsidRPr="00C43F88" w14:paraId="2B795F9B" w14:textId="77777777" w:rsidTr="00AD04D2">
        <w:tc>
          <w:tcPr>
            <w:tcW w:w="1841" w:type="dxa"/>
            <w:shd w:val="clear" w:color="auto" w:fill="auto"/>
          </w:tcPr>
          <w:p w14:paraId="0D633DDE" w14:textId="77777777" w:rsidR="00AD04D2" w:rsidRPr="00C43F88" w:rsidRDefault="00AD04D2" w:rsidP="00C43F88">
            <w:r w:rsidRPr="00C43F88">
              <w:t>Service Managers</w:t>
            </w:r>
          </w:p>
        </w:tc>
        <w:tc>
          <w:tcPr>
            <w:tcW w:w="1278" w:type="dxa"/>
            <w:shd w:val="clear" w:color="auto" w:fill="auto"/>
          </w:tcPr>
          <w:p w14:paraId="33492087" w14:textId="77777777" w:rsidR="00AD04D2" w:rsidRPr="00C43F88" w:rsidRDefault="00AD04D2" w:rsidP="00C43F88">
            <w:r w:rsidRPr="00C43F88">
              <w:t>5</w:t>
            </w:r>
          </w:p>
        </w:tc>
        <w:tc>
          <w:tcPr>
            <w:tcW w:w="2126" w:type="dxa"/>
            <w:shd w:val="clear" w:color="auto" w:fill="auto"/>
          </w:tcPr>
          <w:p w14:paraId="17719B56" w14:textId="77777777" w:rsidR="00AD04D2" w:rsidRPr="00C43F88" w:rsidRDefault="00AD04D2" w:rsidP="00C43F88">
            <w:r w:rsidRPr="00C43F88">
              <w:t>2 - 6</w:t>
            </w:r>
          </w:p>
        </w:tc>
        <w:tc>
          <w:tcPr>
            <w:tcW w:w="1560" w:type="dxa"/>
            <w:shd w:val="clear" w:color="auto" w:fill="auto"/>
          </w:tcPr>
          <w:p w14:paraId="7C60DFDF" w14:textId="77777777" w:rsidR="00AD04D2" w:rsidRPr="00C43F88" w:rsidRDefault="00AD04D2" w:rsidP="00C43F88">
            <w:r w:rsidRPr="00C43F88">
              <w:t>&lt;1 - 5</w:t>
            </w:r>
          </w:p>
        </w:tc>
      </w:tr>
    </w:tbl>
    <w:p w14:paraId="6A557EDE" w14:textId="77777777" w:rsidR="00AD04D2" w:rsidRPr="00AD04D2" w:rsidRDefault="00AD04D2" w:rsidP="00C43F88"/>
    <w:p w14:paraId="6CF10860" w14:textId="77777777" w:rsidR="00AD04D2" w:rsidRPr="00591BFC" w:rsidRDefault="00AD04D2" w:rsidP="00E86771">
      <w:pPr>
        <w:pStyle w:val="NoSpacing"/>
        <w:spacing w:line="360" w:lineRule="auto"/>
      </w:pPr>
    </w:p>
    <w:p w14:paraId="75DB4322" w14:textId="77777777" w:rsidR="00B70DDB" w:rsidRPr="00591BFC" w:rsidRDefault="00B70DDB" w:rsidP="00E86771">
      <w:pPr>
        <w:pStyle w:val="NoSpacing"/>
        <w:spacing w:line="360" w:lineRule="auto"/>
      </w:pPr>
    </w:p>
    <w:p w14:paraId="77AB5DB8" w14:textId="77777777" w:rsidR="00B70DDB" w:rsidRPr="00591BFC" w:rsidRDefault="00B70DDB" w:rsidP="00E86771">
      <w:pPr>
        <w:pStyle w:val="Heading4"/>
        <w:spacing w:line="360" w:lineRule="auto"/>
        <w:rPr>
          <w:rFonts w:ascii="Calibri" w:hAnsi="Calibri"/>
        </w:rPr>
      </w:pPr>
      <w:r w:rsidRPr="00591BFC">
        <w:rPr>
          <w:rFonts w:ascii="Calibri" w:hAnsi="Calibri"/>
        </w:rPr>
        <w:lastRenderedPageBreak/>
        <w:t xml:space="preserve">Experiences of making business cases for a FLS </w:t>
      </w:r>
    </w:p>
    <w:p w14:paraId="04374B1E" w14:textId="77777777" w:rsidR="00B70DDB" w:rsidRPr="00591BFC" w:rsidRDefault="00B70DDB" w:rsidP="00E86771">
      <w:pPr>
        <w:autoSpaceDE w:val="0"/>
        <w:autoSpaceDN w:val="0"/>
        <w:adjustRightInd w:val="0"/>
        <w:spacing w:after="0" w:line="360" w:lineRule="auto"/>
      </w:pPr>
      <w:r w:rsidRPr="00591BFC">
        <w:t xml:space="preserve">Participants felt that constructing business cases was challenging and at times frustrating. It was seen to be time consuming, a problem made more difficult by their conflicting clinical commitments. Processes of approving the cases were viewed as ‘tedious’ and ‘incredibly cumbersome’. They felt that the propensity of operational and senior managers to remain in their posts for short periods of time exacerbated this problem as it meant any progress for developing the case was lost when they left. Having multiple tiers of management to approve the service was also viewed as a hindrance. </w:t>
      </w:r>
    </w:p>
    <w:p w14:paraId="58496755" w14:textId="77777777" w:rsidR="00B70DDB" w:rsidRPr="00591BFC" w:rsidRDefault="00B70DDB" w:rsidP="00E867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b/>
        </w:rPr>
      </w:pPr>
    </w:p>
    <w:p w14:paraId="130E12E1" w14:textId="77777777" w:rsidR="00B70DDB" w:rsidRPr="00591BFC" w:rsidRDefault="00B70DDB" w:rsidP="00E867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r w:rsidRPr="00591BFC">
        <w:rPr>
          <w:rFonts w:cs="Calibri"/>
        </w:rPr>
        <w:t>Clinicians had varying levels of confidence in their ability to make effective business cases and in their understanding of the approval processes. Some felt that it was unsuited to their skillset, others that they lacked sufficient training. Collection of relevant data was viewed as a challenge since the quality of data available was seen to be limited. Others were unsure how to demonstrate improvements in care quality.</w:t>
      </w:r>
    </w:p>
    <w:p w14:paraId="1DF703E7" w14:textId="77777777" w:rsidR="00B70DDB" w:rsidRPr="00591BFC" w:rsidRDefault="00B70DDB" w:rsidP="00E867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b/>
        </w:rPr>
      </w:pPr>
    </w:p>
    <w:p w14:paraId="285D774E" w14:textId="48C93CD7" w:rsidR="00B70DDB" w:rsidRPr="00591BFC" w:rsidRDefault="00B70DDB" w:rsidP="00E867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r w:rsidRPr="00591BFC">
        <w:rPr>
          <w:rFonts w:cs="Calibri"/>
        </w:rPr>
        <w:t>Funding structures within the hospital were also viewed as an impediment to service development. The compartmentalisation of budgets meant there were disagreements about which departments should be responsible for funding the service.  These challenges were seen to arise from the necessary inter-disciplinary working required to deliver the service, both within secondary care and between primary and secondary care</w:t>
      </w:r>
      <w:hyperlink w:anchor="_ENREF_1" w:tooltip="British Orthopaedic Association, 2007 #25" w:history="1">
        <w:r w:rsidR="00B24FEE">
          <w:rPr>
            <w:rFonts w:cs="Calibri"/>
          </w:rPr>
          <w:fldChar w:fldCharType="begin"/>
        </w:r>
        <w:r w:rsidR="00B24FEE">
          <w:rPr>
            <w:rFonts w:cs="Calibri"/>
          </w:rPr>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rPr>
            <w:rFonts w:cs="Calibri"/>
          </w:rPr>
          <w:fldChar w:fldCharType="separate"/>
        </w:r>
        <w:r w:rsidR="00B24FEE" w:rsidRPr="00B24FEE">
          <w:rPr>
            <w:rFonts w:cs="Calibri"/>
            <w:noProof/>
            <w:vertAlign w:val="superscript"/>
          </w:rPr>
          <w:t>1</w:t>
        </w:r>
        <w:r w:rsidR="00B24FEE">
          <w:rPr>
            <w:rFonts w:cs="Calibri"/>
          </w:rPr>
          <w:fldChar w:fldCharType="end"/>
        </w:r>
      </w:hyperlink>
      <w:r w:rsidRPr="00591BFC">
        <w:rPr>
          <w:rFonts w:cs="Calibri"/>
        </w:rPr>
        <w:t xml:space="preserve">. </w:t>
      </w:r>
    </w:p>
    <w:p w14:paraId="24B6C2A1" w14:textId="77777777" w:rsidR="00B70DDB" w:rsidRPr="00591BFC" w:rsidRDefault="00B70DDB" w:rsidP="00E867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b/>
        </w:rPr>
      </w:pPr>
    </w:p>
    <w:p w14:paraId="1255656B" w14:textId="77777777" w:rsidR="00F17DB7" w:rsidRPr="00591BFC" w:rsidRDefault="00617823" w:rsidP="00E86771">
      <w:pPr>
        <w:pStyle w:val="NoSpacing"/>
        <w:spacing w:line="360" w:lineRule="auto"/>
        <w:rPr>
          <w:lang w:eastAsia="zh-CN"/>
        </w:rPr>
      </w:pPr>
      <w:r w:rsidRPr="00591BFC">
        <w:rPr>
          <w:rFonts w:cs="Calibri"/>
        </w:rPr>
        <w:t>The importance of effective communication and co-operation between stakeholders was emphasised. However, experiences of this were variable. Although some identified examples of successful co-working, others felt some of their colleagues were more ‘resistant to change’. Participants also thought that relationships between clinicians and operational service managers were varied. Although some provided examples of effective working relationships, some service managers felt they needed more support from clinicians in developing business cases and this was view was reciprocated by a number of participating clinicians. In general, participants thought that increasing the level of co-operation between commissioners and providers (including Trust Managers) would be beneficial.</w:t>
      </w:r>
      <w:r w:rsidR="00F17DB7" w:rsidRPr="00591BFC">
        <w:rPr>
          <w:lang w:eastAsia="zh-CN"/>
        </w:rPr>
        <w:t xml:space="preserve"> Quotations from participants supporting these findings are included below.</w:t>
      </w:r>
    </w:p>
    <w:p w14:paraId="712085EC" w14:textId="77777777" w:rsidR="00B70DDB" w:rsidRPr="00591BFC" w:rsidRDefault="00B70DDB" w:rsidP="00E86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p>
    <w:p w14:paraId="07BE9697" w14:textId="77777777" w:rsidR="00B70DDB" w:rsidRPr="00591BFC" w:rsidRDefault="00B70DDB" w:rsidP="00E8677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Calibri"/>
        </w:rPr>
      </w:pPr>
      <w:r w:rsidRPr="00591BFC">
        <w:rPr>
          <w:rFonts w:cs="Calibri"/>
          <w:i/>
        </w:rPr>
        <w:t>[Making business cases is a] total and utter brick wall… and after a while you do lose the will to live.</w:t>
      </w:r>
      <w:r w:rsidRPr="00591BFC">
        <w:rPr>
          <w:rFonts w:cs="Calibri"/>
        </w:rPr>
        <w:t xml:space="preserve"> [</w:t>
      </w:r>
      <w:r w:rsidRPr="00591BFC">
        <w:rPr>
          <w:rFonts w:cs="Calibri"/>
          <w:color w:val="000000"/>
        </w:rPr>
        <w:t xml:space="preserve">Participant ID: </w:t>
      </w:r>
      <w:r w:rsidRPr="00591BFC">
        <w:rPr>
          <w:rFonts w:cs="Calibri"/>
        </w:rPr>
        <w:t>029]</w:t>
      </w:r>
    </w:p>
    <w:p w14:paraId="35A3C90B" w14:textId="77777777" w:rsidR="00B70DDB" w:rsidRPr="00591BFC" w:rsidRDefault="00B70DDB" w:rsidP="00E86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p>
    <w:p w14:paraId="67646896" w14:textId="77777777" w:rsidR="00B70DDB" w:rsidRPr="00591BFC" w:rsidRDefault="00B70DDB" w:rsidP="00E86771">
      <w:pPr>
        <w:spacing w:after="0" w:line="360" w:lineRule="auto"/>
        <w:rPr>
          <w:i/>
        </w:rPr>
      </w:pPr>
      <w:r w:rsidRPr="00591BFC">
        <w:rPr>
          <w:i/>
        </w:rPr>
        <w:lastRenderedPageBreak/>
        <w:t xml:space="preserve">I will never be able to write a good business case, because I can’t.  I don’t like doing them, I get bored, it’s not where my skills are so don’t ask me to do it. </w:t>
      </w:r>
      <w:r w:rsidRPr="00591BFC">
        <w:rPr>
          <w:rFonts w:cs="Calibri"/>
          <w:color w:val="000000"/>
        </w:rPr>
        <w:t>[Participant ID: 009]</w:t>
      </w:r>
    </w:p>
    <w:p w14:paraId="120D282C" w14:textId="77777777" w:rsidR="00B70DDB" w:rsidRPr="00591BFC" w:rsidRDefault="00B70DDB" w:rsidP="00E86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p>
    <w:p w14:paraId="1DCAE61F" w14:textId="77777777" w:rsidR="00B70DDB" w:rsidRPr="00591BFC" w:rsidRDefault="00B70DDB" w:rsidP="00E86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color w:val="000000"/>
        </w:rPr>
      </w:pPr>
      <w:r w:rsidRPr="00591BFC">
        <w:rPr>
          <w:rFonts w:cs="Calibri"/>
          <w:i/>
        </w:rPr>
        <w:t xml:space="preserve">You constantly find you’ve got to go digging around for statistics.  You’re trying to find numbers from data that isn’t collected… [it’s] all done on percentages and sort of guesswork. </w:t>
      </w:r>
      <w:r w:rsidRPr="00591BFC">
        <w:rPr>
          <w:color w:val="000000"/>
        </w:rPr>
        <w:t>[Participant ID: 008]</w:t>
      </w:r>
    </w:p>
    <w:p w14:paraId="0BEAE757" w14:textId="77777777" w:rsidR="00B70DDB" w:rsidRPr="00591BFC" w:rsidRDefault="00B70DDB" w:rsidP="00E86771">
      <w:pPr>
        <w:widowControl w:val="0"/>
        <w:autoSpaceDE w:val="0"/>
        <w:autoSpaceDN w:val="0"/>
        <w:adjustRightInd w:val="0"/>
        <w:spacing w:after="0" w:line="360" w:lineRule="auto"/>
        <w:rPr>
          <w:rFonts w:cs="Calibri"/>
        </w:rPr>
      </w:pPr>
    </w:p>
    <w:p w14:paraId="4DB9B14C" w14:textId="77777777" w:rsidR="00B70DDB" w:rsidRPr="00591BFC" w:rsidRDefault="00B70DDB" w:rsidP="00E86771">
      <w:pPr>
        <w:spacing w:after="0" w:line="360" w:lineRule="auto"/>
      </w:pPr>
      <w:r w:rsidRPr="00591BFC">
        <w:rPr>
          <w:i/>
        </w:rPr>
        <w:t>If you start getting into areas of complexity, so frailty complexity, where you get different services crossing: whose budget is it?  It’s harder to cost them… just things like this don’t fit into categories.</w:t>
      </w:r>
      <w:r w:rsidRPr="00591BFC">
        <w:t xml:space="preserve"> </w:t>
      </w:r>
      <w:r w:rsidRPr="00591BFC">
        <w:rPr>
          <w:color w:val="000000"/>
        </w:rPr>
        <w:t>[Participant ID: 007]</w:t>
      </w:r>
    </w:p>
    <w:p w14:paraId="67D38F64" w14:textId="77777777" w:rsidR="00B70DDB" w:rsidRPr="00591BFC" w:rsidRDefault="00B70DDB" w:rsidP="00E867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720" w:hanging="720"/>
        <w:rPr>
          <w:rFonts w:cs="Calibri"/>
        </w:rPr>
      </w:pPr>
    </w:p>
    <w:p w14:paraId="3A30E6EA" w14:textId="77777777" w:rsidR="00B70DDB" w:rsidRPr="00591BFC" w:rsidRDefault="00B70DDB" w:rsidP="00E86771">
      <w:pPr>
        <w:spacing w:after="0" w:line="360" w:lineRule="auto"/>
        <w:rPr>
          <w:i/>
        </w:rPr>
      </w:pPr>
      <w:r w:rsidRPr="00591BFC">
        <w:rPr>
          <w:i/>
        </w:rPr>
        <w:t xml:space="preserve">[The service manager's] priorities are dependent on their interests. </w:t>
      </w:r>
      <w:r w:rsidRPr="00591BFC">
        <w:rPr>
          <w:color w:val="000000"/>
        </w:rPr>
        <w:t>[Participant ID: 030]</w:t>
      </w:r>
    </w:p>
    <w:p w14:paraId="011774F4" w14:textId="77777777" w:rsidR="00B70DDB" w:rsidRPr="00591BFC" w:rsidRDefault="00B70DDB" w:rsidP="00E86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p>
    <w:p w14:paraId="7BEE753A" w14:textId="77777777" w:rsidR="00B70DDB" w:rsidRPr="00591BFC" w:rsidRDefault="00B70DDB" w:rsidP="00E86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r w:rsidRPr="00591BFC">
        <w:rPr>
          <w:rFonts w:cs="Calibri"/>
          <w:i/>
        </w:rPr>
        <w:t>We felt that we were setting up and driving towards an improved Hip Fracture Service… but we were doing it without the support of our management.</w:t>
      </w:r>
      <w:r w:rsidRPr="00591BFC">
        <w:rPr>
          <w:rFonts w:cs="Calibri"/>
        </w:rPr>
        <w:t xml:space="preserve"> [</w:t>
      </w:r>
      <w:r w:rsidRPr="00591BFC">
        <w:rPr>
          <w:color w:val="000000"/>
        </w:rPr>
        <w:t xml:space="preserve">Participant ID: </w:t>
      </w:r>
      <w:r w:rsidRPr="00591BFC">
        <w:rPr>
          <w:rFonts w:cs="Calibri"/>
        </w:rPr>
        <w:t>038]</w:t>
      </w:r>
    </w:p>
    <w:p w14:paraId="061421F1" w14:textId="77777777" w:rsidR="00B70DDB" w:rsidRPr="00591BFC" w:rsidRDefault="00B70DDB" w:rsidP="00E86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p>
    <w:p w14:paraId="4D66E0E8" w14:textId="77777777" w:rsidR="00B70DDB" w:rsidRPr="00591BFC" w:rsidRDefault="00F17DB7" w:rsidP="00E86771">
      <w:pPr>
        <w:pStyle w:val="Heading4"/>
        <w:spacing w:line="360" w:lineRule="auto"/>
        <w:rPr>
          <w:rFonts w:ascii="Calibri" w:hAnsi="Calibri"/>
        </w:rPr>
      </w:pPr>
      <w:r w:rsidRPr="00591BFC">
        <w:rPr>
          <w:rFonts w:ascii="Calibri" w:hAnsi="Calibri"/>
        </w:rPr>
        <w:t xml:space="preserve"> Views about FLS approval </w:t>
      </w:r>
    </w:p>
    <w:p w14:paraId="7ECF139F" w14:textId="77777777" w:rsidR="00B70DDB" w:rsidRPr="00591BFC" w:rsidRDefault="00B70DDB" w:rsidP="00E86771">
      <w:pPr>
        <w:widowControl w:val="0"/>
        <w:autoSpaceDE w:val="0"/>
        <w:autoSpaceDN w:val="0"/>
        <w:adjustRightInd w:val="0"/>
        <w:spacing w:after="0" w:line="360" w:lineRule="auto"/>
      </w:pPr>
    </w:p>
    <w:p w14:paraId="6930B7D1" w14:textId="77777777" w:rsidR="00B70DDB" w:rsidRPr="00591BFC" w:rsidRDefault="00B70DDB" w:rsidP="00E86771">
      <w:pPr>
        <w:widowControl w:val="0"/>
        <w:autoSpaceDE w:val="0"/>
        <w:autoSpaceDN w:val="0"/>
        <w:adjustRightInd w:val="0"/>
        <w:spacing w:after="0" w:line="360" w:lineRule="auto"/>
      </w:pPr>
      <w:r w:rsidRPr="00591BFC">
        <w:t>Participants identified factors they thought impacted on the decision of managerial bodies to approve the service. Financial considerations were viewed as the most important factor and they felt under pressure to demonstrate the potential for short-term cost savings. This was seen to be difficult when making business cases for FLS since fracture prevention tends to generate savings in the longer term.</w:t>
      </w:r>
    </w:p>
    <w:p w14:paraId="0D08ACEA" w14:textId="77777777" w:rsidR="00B70DDB" w:rsidRPr="00591BFC" w:rsidRDefault="00B70DDB" w:rsidP="00E86771">
      <w:pPr>
        <w:widowControl w:val="0"/>
        <w:autoSpaceDE w:val="0"/>
        <w:autoSpaceDN w:val="0"/>
        <w:adjustRightInd w:val="0"/>
        <w:spacing w:after="0" w:line="360" w:lineRule="auto"/>
      </w:pPr>
    </w:p>
    <w:p w14:paraId="20DE3446" w14:textId="702E8E9E" w:rsidR="00B70DDB" w:rsidRPr="00591BFC" w:rsidRDefault="00B70DDB" w:rsidP="00E86771">
      <w:pPr>
        <w:widowControl w:val="0"/>
        <w:autoSpaceDE w:val="0"/>
        <w:autoSpaceDN w:val="0"/>
        <w:adjustRightInd w:val="0"/>
        <w:spacing w:after="0" w:line="360" w:lineRule="auto"/>
      </w:pPr>
      <w:r w:rsidRPr="00591BFC">
        <w:t>The majority of clinicians thought that quality of care was given a low priority by funders, a view that was not shared by service managers. Political priorities such as dementia as well as national guidelines were seen as factors. This presented a further problem since participants felt that osteoporosis was viewed as a low national priority and that as a result, commissioners were less likely to approve the service. In addition, they thought approval was hindered by a perception that osteoporosis should be managed in primary care and linked this to the increasing concentration of funds in the community</w:t>
      </w:r>
      <w:hyperlink w:anchor="_ENREF_82" w:tooltip="Health, 2007 #640" w:history="1">
        <w:r w:rsidR="00B24FEE">
          <w:rPr>
            <w:rFonts w:cs="Calibri"/>
          </w:rPr>
          <w:fldChar w:fldCharType="begin"/>
        </w:r>
        <w:r w:rsidR="00B24FEE">
          <w:rPr>
            <w:rFonts w:cs="Calibri"/>
          </w:rPr>
          <w:instrText xml:space="preserve"> ADDIN EN.CITE &lt;EndNote&gt;&lt;Cite&gt;&lt;Author&gt;Health&lt;/Author&gt;&lt;Year&gt;2007&lt;/Year&gt;&lt;RecNum&gt;640&lt;/RecNum&gt;&lt;DisplayText&gt;&lt;style face="superscript"&gt;82&lt;/style&gt;&lt;/DisplayText&gt;&lt;record&gt;&lt;rec-number&gt;640&lt;/rec-number&gt;&lt;foreign-keys&gt;&lt;key app="EN" db-id="sxpszd2ti9dx04ewefrvfp5bpf5faazszr9p" timestamp="0"&gt;640&lt;/key&gt;&lt;/foreign-keys&gt;&lt;ref-type name="Report"&gt;27&lt;/ref-type&gt;&lt;contributors&gt;&lt;authors&gt;&lt;author&gt;Department of Health&lt;/author&gt;&lt;/authors&gt;&lt;/contributors&gt;&lt;titles&gt;&lt;title&gt;Our NHS: our future. NHS next stage review - interim report&lt;/title&gt;&lt;/titles&gt;&lt;dates&gt;&lt;year&gt;2007&lt;/year&gt;&lt;/dates&gt;&lt;pub-location&gt;London&lt;/pub-location&gt;&lt;publisher&gt;Department of Health&lt;/publisher&gt;&lt;urls&gt;&lt;/urls&gt;&lt;/record&gt;&lt;/Cite&gt;&lt;/EndNote&gt;</w:instrText>
        </w:r>
        <w:r w:rsidR="00B24FEE">
          <w:rPr>
            <w:rFonts w:cs="Calibri"/>
          </w:rPr>
          <w:fldChar w:fldCharType="separate"/>
        </w:r>
        <w:r w:rsidR="00B24FEE" w:rsidRPr="00B24FEE">
          <w:rPr>
            <w:rFonts w:cs="Calibri"/>
            <w:noProof/>
            <w:vertAlign w:val="superscript"/>
          </w:rPr>
          <w:t>82</w:t>
        </w:r>
        <w:r w:rsidR="00B24FEE">
          <w:rPr>
            <w:rFonts w:cs="Calibri"/>
          </w:rPr>
          <w:fldChar w:fldCharType="end"/>
        </w:r>
      </w:hyperlink>
      <w:r w:rsidRPr="00591BFC">
        <w:rPr>
          <w:rFonts w:cs="Calibri"/>
        </w:rPr>
        <w:t>.</w:t>
      </w:r>
      <w:r w:rsidRPr="00591BFC">
        <w:t xml:space="preserve"> </w:t>
      </w:r>
    </w:p>
    <w:p w14:paraId="07881BCD" w14:textId="77777777" w:rsidR="00B70DDB" w:rsidRPr="00591BFC" w:rsidRDefault="00B70DDB" w:rsidP="00E86771">
      <w:pPr>
        <w:widowControl w:val="0"/>
        <w:autoSpaceDE w:val="0"/>
        <w:autoSpaceDN w:val="0"/>
        <w:adjustRightInd w:val="0"/>
        <w:spacing w:after="0" w:line="360" w:lineRule="auto"/>
      </w:pPr>
    </w:p>
    <w:p w14:paraId="0B9F4E0F" w14:textId="77777777" w:rsidR="00B70DDB" w:rsidRPr="00591BFC" w:rsidRDefault="00B70DDB" w:rsidP="00E86771">
      <w:pPr>
        <w:widowControl w:val="0"/>
        <w:autoSpaceDE w:val="0"/>
        <w:autoSpaceDN w:val="0"/>
        <w:adjustRightInd w:val="0"/>
        <w:spacing w:after="0" w:line="360" w:lineRule="auto"/>
      </w:pPr>
      <w:r w:rsidRPr="00591BFC">
        <w:t xml:space="preserve">Clinicians thought that services were more likely to receive funding if their audit results and clinical outcomes data suggested they were ‘failing’. This was a source of frustration for participants at one hospital who felt they had had to wait for their service to ‘deteriorate’ before their business case </w:t>
      </w:r>
      <w:r w:rsidRPr="00591BFC">
        <w:lastRenderedPageBreak/>
        <w:t>was approved.</w:t>
      </w:r>
    </w:p>
    <w:p w14:paraId="79824CF8" w14:textId="77777777" w:rsidR="00B70DDB" w:rsidRPr="00591BFC" w:rsidRDefault="00B70DDB" w:rsidP="00E86771">
      <w:pPr>
        <w:widowControl w:val="0"/>
        <w:autoSpaceDE w:val="0"/>
        <w:autoSpaceDN w:val="0"/>
        <w:adjustRightInd w:val="0"/>
        <w:spacing w:after="0" w:line="360" w:lineRule="auto"/>
        <w:rPr>
          <w:b/>
        </w:rPr>
      </w:pPr>
    </w:p>
    <w:p w14:paraId="16CFB6CA" w14:textId="64FDFAAF" w:rsidR="00B70DDB" w:rsidRPr="00591BFC" w:rsidRDefault="00B70DDB" w:rsidP="00E86771">
      <w:pPr>
        <w:widowControl w:val="0"/>
        <w:autoSpaceDE w:val="0"/>
        <w:autoSpaceDN w:val="0"/>
        <w:adjustRightInd w:val="0"/>
        <w:spacing w:after="0" w:line="360" w:lineRule="auto"/>
        <w:rPr>
          <w:rFonts w:cs="Calibri"/>
        </w:rPr>
      </w:pPr>
      <w:r w:rsidRPr="00591BFC">
        <w:t>Participants thought that the personality and persistence of the</w:t>
      </w:r>
      <w:r w:rsidRPr="00591BFC">
        <w:rPr>
          <w:rFonts w:cs="Calibri"/>
        </w:rPr>
        <w:t xml:space="preserve"> ‘local champions’, the clinicians leading the case</w:t>
      </w:r>
      <w:hyperlink w:anchor="_ENREF_32" w:tooltip="Eisman, 2012 #1083" w:history="1">
        <w:r w:rsidR="00B24FEE">
          <w:rPr>
            <w:rFonts w:cs="Calibri"/>
          </w:rPr>
          <w:fldChar w:fldCharType="begin"/>
        </w:r>
        <w:r w:rsidR="00B24FEE">
          <w:rPr>
            <w:rFonts w:cs="Calibri"/>
          </w:rPr>
          <w:instrText xml:space="preserve"> ADDIN EN.CITE &lt;EndNote&gt;&lt;Cite&gt;&lt;Author&gt;Eisman&lt;/Author&gt;&lt;Year&gt;2012&lt;/Year&gt;&lt;RecNum&gt;1083&lt;/RecNum&gt;&lt;DisplayText&gt;&lt;style face="superscript"&gt;32&lt;/style&gt;&lt;/DisplayText&gt;&lt;record&gt;&lt;rec-number&gt;1083&lt;/rec-number&gt;&lt;foreign-keys&gt;&lt;key app="EN" db-id="sxpszd2ti9dx04ewefrvfp5bpf5faazszr9p" timestamp="0"&gt;1083&lt;/key&gt;&lt;/foreign-keys&gt;&lt;ref-type name="Journal Article"&gt;17&lt;/ref-type&gt;&lt;contributors&gt;&lt;authors&gt;&lt;author&gt;Eisman, J. A. et al.&lt;/author&gt;&lt;/authors&gt;&lt;/contributors&gt;&lt;titles&gt;&lt;title&gt;Supporting Appendix A: Making the first fracture the last fracture: ASBMR task force report on secondary fracture prevention&lt;/title&gt;&lt;secondary-title&gt;Journal of Bone and Mineral Research&lt;/secondary-title&gt;&lt;/titles&gt;&lt;pages&gt;2039 - 2046&lt;/pages&gt;&lt;volume&gt;27&lt;/volume&gt;&lt;number&gt;10&lt;/number&gt;&lt;dates&gt;&lt;year&gt;2012&lt;/year&gt;&lt;/dates&gt;&lt;urls&gt;&lt;/urls&gt;&lt;/record&gt;&lt;/Cite&gt;&lt;/EndNote&gt;</w:instrText>
        </w:r>
        <w:r w:rsidR="00B24FEE">
          <w:rPr>
            <w:rFonts w:cs="Calibri"/>
          </w:rPr>
          <w:fldChar w:fldCharType="separate"/>
        </w:r>
        <w:r w:rsidR="00B24FEE" w:rsidRPr="00B24FEE">
          <w:rPr>
            <w:rFonts w:cs="Calibri"/>
            <w:noProof/>
            <w:vertAlign w:val="superscript"/>
          </w:rPr>
          <w:t>32</w:t>
        </w:r>
        <w:r w:rsidR="00B24FEE">
          <w:rPr>
            <w:rFonts w:cs="Calibri"/>
          </w:rPr>
          <w:fldChar w:fldCharType="end"/>
        </w:r>
      </w:hyperlink>
      <w:r w:rsidRPr="00591BFC">
        <w:rPr>
          <w:rFonts w:cs="Calibri"/>
        </w:rPr>
        <w:t>, influenced funding decisions along with the clinical interests of GP commissioners. Both of these factors suggest participants felt commissioners did not always make funding decisions based on the principles</w:t>
      </w:r>
      <w:r w:rsidR="00F17DB7" w:rsidRPr="00591BFC">
        <w:rPr>
          <w:rFonts w:cs="Calibri"/>
        </w:rPr>
        <w:t xml:space="preserve"> of evidence based healthcare. Quotes supporting f</w:t>
      </w:r>
      <w:r w:rsidRPr="00591BFC">
        <w:rPr>
          <w:rFonts w:cs="Calibri"/>
        </w:rPr>
        <w:t>actors seen to determine whether an FLS is approved</w:t>
      </w:r>
      <w:r w:rsidR="00F17DB7" w:rsidRPr="00591BFC">
        <w:rPr>
          <w:rFonts w:cs="Calibri"/>
        </w:rPr>
        <w:t xml:space="preserve"> are shown below. </w:t>
      </w:r>
    </w:p>
    <w:p w14:paraId="39A41E0D" w14:textId="77777777" w:rsidR="00B70DDB" w:rsidRPr="00591BFC" w:rsidRDefault="00B70DDB" w:rsidP="00E867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720" w:hanging="720"/>
        <w:rPr>
          <w:rFonts w:cs="Calibri"/>
        </w:rPr>
      </w:pPr>
    </w:p>
    <w:p w14:paraId="6821BB2D" w14:textId="77777777" w:rsidR="00B70DDB" w:rsidRPr="00591BFC" w:rsidRDefault="00B70DDB" w:rsidP="00E86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r w:rsidRPr="00591BFC">
        <w:rPr>
          <w:rFonts w:cs="Calibri"/>
          <w:i/>
        </w:rPr>
        <w:t xml:space="preserve">The powers that be don’t want to put the money into it because you’re not going to see an instant result. </w:t>
      </w:r>
      <w:r w:rsidRPr="00591BFC">
        <w:rPr>
          <w:rFonts w:cs="Calibri"/>
        </w:rPr>
        <w:t>[</w:t>
      </w:r>
      <w:r w:rsidRPr="00591BFC">
        <w:rPr>
          <w:color w:val="000000"/>
        </w:rPr>
        <w:t xml:space="preserve">Participant ID: </w:t>
      </w:r>
      <w:r w:rsidRPr="00591BFC">
        <w:rPr>
          <w:rFonts w:cs="Calibri"/>
        </w:rPr>
        <w:t>015]</w:t>
      </w:r>
    </w:p>
    <w:p w14:paraId="7116A11C" w14:textId="77777777" w:rsidR="00B70DDB" w:rsidRPr="00591BFC" w:rsidRDefault="00B70DDB" w:rsidP="00E867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p>
    <w:p w14:paraId="0C2FA15E" w14:textId="77777777" w:rsidR="00B70DDB" w:rsidRPr="00591BFC" w:rsidRDefault="00B70DDB" w:rsidP="00E86771">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r w:rsidRPr="00591BFC">
        <w:rPr>
          <w:rFonts w:cs="Calibri"/>
          <w:i/>
        </w:rPr>
        <w:t xml:space="preserve">It has kind of lost the quality of care a little bit… quality doesn’t pay the bills unfortunately </w:t>
      </w:r>
      <w:r w:rsidRPr="00591BFC">
        <w:rPr>
          <w:rFonts w:cs="Calibri"/>
        </w:rPr>
        <w:t>[</w:t>
      </w:r>
      <w:r w:rsidRPr="00591BFC">
        <w:rPr>
          <w:rFonts w:cs="Calibri"/>
          <w:color w:val="000000"/>
        </w:rPr>
        <w:t xml:space="preserve">Participant ID: </w:t>
      </w:r>
      <w:r w:rsidRPr="00591BFC">
        <w:rPr>
          <w:rFonts w:cs="Calibri"/>
        </w:rPr>
        <w:t>023]</w:t>
      </w:r>
    </w:p>
    <w:p w14:paraId="1A4E3FBC" w14:textId="77777777" w:rsidR="00B70DDB" w:rsidRPr="00591BFC" w:rsidRDefault="00B70DDB" w:rsidP="00E86771">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i/>
        </w:rPr>
      </w:pPr>
    </w:p>
    <w:p w14:paraId="46EFC5B2" w14:textId="77777777" w:rsidR="00B70DDB" w:rsidRPr="00591BFC" w:rsidRDefault="00B70DDB" w:rsidP="00E86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r w:rsidRPr="00591BFC">
        <w:rPr>
          <w:rFonts w:cs="Calibri"/>
          <w:i/>
        </w:rPr>
        <w:t xml:space="preserve">What tends to happen in healthcare is that you get certain things that become a certain flavour of the month. So lets look at this, this and this disease. Right what are we going to do in hospitals, whose doing that, right we think this is a priority would you like to do something in this area. </w:t>
      </w:r>
      <w:r w:rsidRPr="00591BFC">
        <w:rPr>
          <w:rFonts w:cs="Calibri"/>
        </w:rPr>
        <w:t>[</w:t>
      </w:r>
      <w:r w:rsidRPr="00591BFC">
        <w:rPr>
          <w:color w:val="000000"/>
        </w:rPr>
        <w:t xml:space="preserve">Participant ID: </w:t>
      </w:r>
      <w:r w:rsidRPr="00591BFC">
        <w:rPr>
          <w:rFonts w:cs="Calibri"/>
        </w:rPr>
        <w:t xml:space="preserve">026] </w:t>
      </w:r>
    </w:p>
    <w:p w14:paraId="7780128E" w14:textId="77777777" w:rsidR="00B70DDB" w:rsidRPr="00591BFC" w:rsidRDefault="00B70DDB" w:rsidP="00E86771">
      <w:pPr>
        <w:widowControl w:val="0"/>
        <w:autoSpaceDE w:val="0"/>
        <w:autoSpaceDN w:val="0"/>
        <w:adjustRightInd w:val="0"/>
        <w:spacing w:after="0" w:line="360" w:lineRule="auto"/>
        <w:rPr>
          <w:rFonts w:cs="Calibri"/>
        </w:rPr>
      </w:pPr>
    </w:p>
    <w:p w14:paraId="0754CA13" w14:textId="77777777" w:rsidR="00B70DDB" w:rsidRPr="00591BFC" w:rsidRDefault="00B70DDB" w:rsidP="00E8677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r w:rsidRPr="00591BFC">
        <w:rPr>
          <w:rFonts w:cs="Calibri"/>
          <w:i/>
        </w:rPr>
        <w:t>I think it often comes down to the individual people who are doing it… you’ve got [a local champion in another hospital] sort of waving his little flag and everybody listens. Well if you hadn’t have had a him you may not have had that service.</w:t>
      </w:r>
      <w:r w:rsidRPr="00591BFC">
        <w:rPr>
          <w:rFonts w:cs="Calibri"/>
        </w:rPr>
        <w:t xml:space="preserve"> [</w:t>
      </w:r>
      <w:r w:rsidRPr="00591BFC">
        <w:rPr>
          <w:rFonts w:cs="Calibri"/>
          <w:color w:val="000000"/>
        </w:rPr>
        <w:t xml:space="preserve">Participant ID: </w:t>
      </w:r>
      <w:r w:rsidRPr="00591BFC">
        <w:rPr>
          <w:rFonts w:cs="Calibri"/>
        </w:rPr>
        <w:t>023]</w:t>
      </w:r>
    </w:p>
    <w:p w14:paraId="5AD8F160" w14:textId="77777777" w:rsidR="00B70DDB" w:rsidRPr="00591BFC" w:rsidRDefault="00B70DDB" w:rsidP="00E867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720" w:hanging="720"/>
        <w:rPr>
          <w:rFonts w:cs="Calibri"/>
        </w:rPr>
      </w:pPr>
    </w:p>
    <w:p w14:paraId="4FB0CBBD" w14:textId="77777777" w:rsidR="00B70DDB" w:rsidRPr="00591BFC" w:rsidRDefault="00B70DDB" w:rsidP="00E86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r w:rsidRPr="00591BFC">
        <w:rPr>
          <w:rFonts w:cs="Calibri"/>
          <w:i/>
        </w:rPr>
        <w:t xml:space="preserve">He who shouts loudest gets most </w:t>
      </w:r>
      <w:r w:rsidRPr="00591BFC">
        <w:rPr>
          <w:rFonts w:cs="Calibri"/>
        </w:rPr>
        <w:t>[</w:t>
      </w:r>
      <w:r w:rsidRPr="00591BFC">
        <w:rPr>
          <w:color w:val="000000"/>
        </w:rPr>
        <w:t xml:space="preserve">Participant ID: </w:t>
      </w:r>
      <w:r w:rsidRPr="00591BFC">
        <w:t>001</w:t>
      </w:r>
      <w:r w:rsidRPr="00591BFC">
        <w:rPr>
          <w:rFonts w:cs="Calibri"/>
        </w:rPr>
        <w:t xml:space="preserve">] </w:t>
      </w:r>
    </w:p>
    <w:p w14:paraId="4C84DFA9" w14:textId="77777777" w:rsidR="00B70DDB" w:rsidRPr="00591BFC" w:rsidRDefault="00B70DDB" w:rsidP="00E86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b/>
        </w:rPr>
      </w:pPr>
    </w:p>
    <w:p w14:paraId="2085339C" w14:textId="77777777" w:rsidR="00B70DDB" w:rsidRPr="00591BFC" w:rsidRDefault="00B70DDB" w:rsidP="00E86771">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r w:rsidRPr="00591BFC">
        <w:rPr>
          <w:rFonts w:cs="Calibri"/>
          <w:i/>
        </w:rPr>
        <w:t xml:space="preserve">We have this problem with commissioning the local General Practitioners, if you have a clinical lead who has a strong interest in dementia services then there will be lots of money put into dementia services. </w:t>
      </w:r>
      <w:r w:rsidRPr="00591BFC">
        <w:rPr>
          <w:rFonts w:cs="Calibri"/>
        </w:rPr>
        <w:t>[</w:t>
      </w:r>
      <w:r w:rsidRPr="00591BFC">
        <w:rPr>
          <w:rFonts w:cs="Calibri"/>
          <w:color w:val="000000"/>
        </w:rPr>
        <w:t xml:space="preserve">Participant ID: </w:t>
      </w:r>
      <w:r w:rsidRPr="00591BFC">
        <w:rPr>
          <w:rFonts w:cs="Calibri"/>
        </w:rPr>
        <w:t>001]</w:t>
      </w:r>
    </w:p>
    <w:p w14:paraId="311999A6" w14:textId="77777777" w:rsidR="00B70DDB" w:rsidRPr="00591BFC" w:rsidRDefault="00B70DDB" w:rsidP="00E867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720" w:hanging="720"/>
        <w:rPr>
          <w:rFonts w:cs="Calibri"/>
          <w:i/>
        </w:rPr>
      </w:pPr>
    </w:p>
    <w:p w14:paraId="3E285510" w14:textId="77777777" w:rsidR="00B70DDB" w:rsidRPr="00591BFC" w:rsidRDefault="00B70DDB" w:rsidP="00E86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b/>
        </w:rPr>
      </w:pPr>
      <w:r w:rsidRPr="00591BFC">
        <w:rPr>
          <w:rFonts w:cs="Calibri"/>
          <w:i/>
        </w:rPr>
        <w:t>If the chairman of a CCG had had a mother with a hip fracture (laughs) that CCG, I can tell you, someone would push it through.</w:t>
      </w:r>
      <w:r w:rsidRPr="00591BFC">
        <w:rPr>
          <w:color w:val="000000"/>
        </w:rPr>
        <w:t xml:space="preserve"> [Participant ID: 008]</w:t>
      </w:r>
    </w:p>
    <w:p w14:paraId="2C5425E6" w14:textId="77777777" w:rsidR="00B70DDB" w:rsidRPr="00591BFC" w:rsidRDefault="00B70DDB" w:rsidP="00E86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b/>
        </w:rPr>
      </w:pPr>
    </w:p>
    <w:p w14:paraId="333EAF4A" w14:textId="77777777" w:rsidR="00B70DDB" w:rsidRPr="00591BFC" w:rsidRDefault="00B70DDB" w:rsidP="00E86771">
      <w:pPr>
        <w:pStyle w:val="Heading4"/>
        <w:spacing w:line="360" w:lineRule="auto"/>
        <w:rPr>
          <w:rFonts w:ascii="Calibri" w:hAnsi="Calibri"/>
        </w:rPr>
      </w:pPr>
      <w:r w:rsidRPr="00591BFC">
        <w:rPr>
          <w:rFonts w:ascii="Calibri" w:hAnsi="Calibri"/>
        </w:rPr>
        <w:t xml:space="preserve">Best ways of making a business case for an FLS </w:t>
      </w:r>
    </w:p>
    <w:p w14:paraId="06D76F58" w14:textId="77777777" w:rsidR="00B70DDB" w:rsidRPr="00591BFC" w:rsidRDefault="00B70DDB" w:rsidP="00E86771">
      <w:pPr>
        <w:widowControl w:val="0"/>
        <w:autoSpaceDE w:val="0"/>
        <w:autoSpaceDN w:val="0"/>
        <w:adjustRightInd w:val="0"/>
        <w:spacing w:after="0" w:line="360" w:lineRule="auto"/>
        <w:rPr>
          <w:rFonts w:cs="Calibri"/>
          <w:b/>
        </w:rPr>
      </w:pPr>
    </w:p>
    <w:p w14:paraId="11D7450F" w14:textId="77777777" w:rsidR="00B70DDB" w:rsidRPr="00591BFC" w:rsidRDefault="00B70DDB" w:rsidP="00E86771">
      <w:pPr>
        <w:widowControl w:val="0"/>
        <w:autoSpaceDE w:val="0"/>
        <w:autoSpaceDN w:val="0"/>
        <w:adjustRightInd w:val="0"/>
        <w:spacing w:after="0" w:line="360" w:lineRule="auto"/>
        <w:rPr>
          <w:rFonts w:cs="Calibri"/>
        </w:rPr>
      </w:pPr>
      <w:r w:rsidRPr="00591BFC">
        <w:rPr>
          <w:rFonts w:cs="Calibri"/>
        </w:rPr>
        <w:lastRenderedPageBreak/>
        <w:t>Participants identified a number of strategies for developing effective business cases. To help develop the skills of clinicians in making business cases, participants thought it was important that training courses, templates and toolkits were made more widely available. They also felt that capitalising on the skills and knowledge of clinicians and service managers in other hospitals would be useful and advocated the introduction of mentorship schemes or support networks.</w:t>
      </w:r>
    </w:p>
    <w:p w14:paraId="0A810BDF" w14:textId="77777777" w:rsidR="00B70DDB" w:rsidRPr="00591BFC" w:rsidRDefault="00B70DDB" w:rsidP="00E86771">
      <w:pPr>
        <w:widowControl w:val="0"/>
        <w:autoSpaceDE w:val="0"/>
        <w:autoSpaceDN w:val="0"/>
        <w:adjustRightInd w:val="0"/>
        <w:spacing w:after="0" w:line="360" w:lineRule="auto"/>
        <w:rPr>
          <w:rFonts w:cs="Calibri"/>
          <w:b/>
        </w:rPr>
      </w:pPr>
    </w:p>
    <w:p w14:paraId="13B11F10" w14:textId="5B4015B0" w:rsidR="00B70DDB" w:rsidRPr="00591BFC" w:rsidRDefault="00B70DDB" w:rsidP="00E86771">
      <w:pPr>
        <w:widowControl w:val="0"/>
        <w:autoSpaceDE w:val="0"/>
        <w:autoSpaceDN w:val="0"/>
        <w:adjustRightInd w:val="0"/>
        <w:spacing w:after="0" w:line="360" w:lineRule="auto"/>
        <w:rPr>
          <w:rFonts w:cs="Calibri"/>
        </w:rPr>
      </w:pPr>
      <w:r w:rsidRPr="00591BFC">
        <w:rPr>
          <w:rFonts w:cs="Calibri"/>
        </w:rPr>
        <w:t>The importance of using a range of different types of evidence was highlighted. Empirical sources of evidence included clinical guidelines and academic research. A number of participants referred here to research conducted on the Glasgow FLS that showed the service contributed to a significant reduction in hip fractures within the city compared to substantial rise across England</w:t>
      </w:r>
      <w:hyperlink w:anchor="_ENREF_19" w:tooltip="Mitchell, 2011 #46" w:history="1">
        <w:r w:rsidR="00B24FEE">
          <w:rPr>
            <w:rFonts w:cs="Calibri"/>
          </w:rPr>
          <w:fldChar w:fldCharType="begin"/>
        </w:r>
        <w:r w:rsidR="00B24FEE">
          <w:rPr>
            <w:rFonts w:cs="Calibri"/>
          </w:rPr>
          <w:instrText xml:space="preserve"> ADDIN EN.CITE &lt;EndNote&gt;&lt;Cite&gt;&lt;Author&gt;Mitchell&lt;/Author&gt;&lt;Year&gt;2011&lt;/Year&gt;&lt;RecNum&gt;46&lt;/RecNum&gt;&lt;DisplayText&gt;&lt;style face="superscript"&gt;19&lt;/style&gt;&lt;/DisplayText&gt;&lt;record&gt;&lt;rec-number&gt;46&lt;/rec-number&gt;&lt;foreign-keys&gt;&lt;key app="EN" db-id="sxpszd2ti9dx04ewefrvfp5bpf5faazszr9p" timestamp="0"&gt;46&lt;/key&gt;&lt;/foreign-keys&gt;&lt;ref-type name="Journal Article"&gt;17&lt;/ref-type&gt;&lt;contributors&gt;&lt;authors&gt;&lt;author&gt;Mitchell, P.&lt;/author&gt;&lt;/authors&gt;&lt;/contributors&gt;&lt;titles&gt;&lt;title&gt;Fracture Liaison Services: the UK experience&lt;/title&gt;&lt;secondary-title&gt;Osteoporosis International&lt;/secondary-title&gt;&lt;/titles&gt;&lt;pages&gt;487-494&lt;/pages&gt;&lt;volume&gt;22&lt;/volume&gt;&lt;number&gt;0&lt;/number&gt;&lt;keywords&gt;&lt;keyword&gt;Medicine&lt;/keyword&gt;&lt;/keywords&gt;&lt;dates&gt;&lt;year&gt;2011&lt;/year&gt;&lt;/dates&gt;&lt;publisher&gt;Springer London&lt;/publisher&gt;&lt;isbn&gt;0937-941X&lt;/isbn&gt;&lt;urls&gt;&lt;related-urls&gt;&lt;url&gt;http://dx.doi.org/10.1007/s00198-011-1702-2&lt;/url&gt;&lt;/related-urls&gt;&lt;/urls&gt;&lt;electronic-resource-num&gt;10.1007/s00198-011-1702-2&lt;/electronic-resource-num&gt;&lt;/record&gt;&lt;/Cite&gt;&lt;/EndNote&gt;</w:instrText>
        </w:r>
        <w:r w:rsidR="00B24FEE">
          <w:rPr>
            <w:rFonts w:cs="Calibri"/>
          </w:rPr>
          <w:fldChar w:fldCharType="separate"/>
        </w:r>
        <w:r w:rsidR="00B24FEE" w:rsidRPr="00B24FEE">
          <w:rPr>
            <w:rFonts w:cs="Calibri"/>
            <w:noProof/>
            <w:vertAlign w:val="superscript"/>
          </w:rPr>
          <w:t>19</w:t>
        </w:r>
        <w:r w:rsidR="00B24FEE">
          <w:rPr>
            <w:rFonts w:cs="Calibri"/>
          </w:rPr>
          <w:fldChar w:fldCharType="end"/>
        </w:r>
      </w:hyperlink>
      <w:r w:rsidRPr="00591BFC">
        <w:rPr>
          <w:rFonts w:cs="Calibri"/>
        </w:rPr>
        <w:t>. To address the perception of osteoporosis as a low national priority, two clinicians thought it would be useful to try to align the aims of the service with national priorities such as dementia</w:t>
      </w:r>
      <w:hyperlink w:anchor="_ENREF_53" w:tooltip=",  #940" w:history="1">
        <w:r w:rsidR="00B24FEE">
          <w:fldChar w:fldCharType="begin"/>
        </w:r>
        <w:r w:rsidR="00B24FEE">
          <w:instrText xml:space="preserve"> ADDIN EN.CITE &lt;EndNote&gt;&lt;Cite ExcludeAuth="1" ExcludeYear="1"&gt;&lt;RecNum&gt;940&lt;/RecNum&gt;&lt;DisplayText&gt;&lt;style face="superscript"&gt;53&lt;/style&gt;&lt;/DisplayText&gt;&lt;record&gt;&lt;rec-number&gt;940&lt;/rec-number&gt;&lt;foreign-keys&gt;&lt;key app="EN" db-id="sxpszd2ti9dx04ewefrvfp5bpf5faazszr9p" timestamp="0"&gt;940&lt;/key&gt;&lt;/foreign-keys&gt;&lt;ref-type name="Report"&gt;27&lt;/ref-type&gt;&lt;contributors&gt;&lt;/contributors&gt;&lt;titles&gt;&lt;title&gt;Putting patients first: The NHS England business plan for 2013/14 - 2015/16&lt;/title&gt;&lt;/titles&gt;&lt;dates&gt;&lt;/dates&gt;&lt;publisher&gt;NHS England&lt;/publisher&gt;&lt;urls&gt;&lt;/urls&gt;&lt;/record&gt;&lt;/Cite&gt;&lt;/EndNote&gt;</w:instrText>
        </w:r>
        <w:r w:rsidR="00B24FEE">
          <w:fldChar w:fldCharType="separate"/>
        </w:r>
        <w:r w:rsidR="00B24FEE" w:rsidRPr="00B24FEE">
          <w:rPr>
            <w:noProof/>
            <w:vertAlign w:val="superscript"/>
          </w:rPr>
          <w:t>53</w:t>
        </w:r>
        <w:r w:rsidR="00B24FEE">
          <w:fldChar w:fldCharType="end"/>
        </w:r>
      </w:hyperlink>
      <w:r w:rsidR="00F17DB7" w:rsidRPr="00591BFC">
        <w:rPr>
          <w:rFonts w:cs="Calibri"/>
        </w:rPr>
        <w:t>. Quotes on the b</w:t>
      </w:r>
      <w:r w:rsidRPr="00591BFC">
        <w:rPr>
          <w:rFonts w:cs="Calibri"/>
        </w:rPr>
        <w:t>est ways of making a business case for a FLS</w:t>
      </w:r>
      <w:r w:rsidR="00F17DB7" w:rsidRPr="00591BFC">
        <w:rPr>
          <w:rFonts w:cs="Calibri"/>
        </w:rPr>
        <w:t xml:space="preserve"> are given below. </w:t>
      </w:r>
    </w:p>
    <w:p w14:paraId="0D01735F" w14:textId="77777777" w:rsidR="00B70DDB" w:rsidRPr="00591BFC" w:rsidRDefault="00B70DDB" w:rsidP="00E8677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b/>
        </w:rPr>
      </w:pPr>
    </w:p>
    <w:p w14:paraId="0BB3ACBA" w14:textId="77777777" w:rsidR="00B70DDB" w:rsidRPr="00591BFC" w:rsidRDefault="00B70DDB" w:rsidP="00E8677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i/>
        </w:rPr>
      </w:pPr>
      <w:r w:rsidRPr="00591BFC">
        <w:rPr>
          <w:rFonts w:cs="Calibri"/>
          <w:i/>
        </w:rPr>
        <w:t xml:space="preserve">You can use other [services as] comparators and the USA seems to be quite a good thing to beat doctors with at the moment so if you look at outcome in the best centres compared to the average centres, which is quite a good… we do this but [another Trust] do this, what’s the difference? Well they’ve got 15 Fracture Liaison Nurses and everyone doing this…  [the Trust] tend to benchmark things across local groups but if you’ve got national comparators those are quite good. </w:t>
      </w:r>
      <w:r w:rsidRPr="00591BFC">
        <w:rPr>
          <w:rFonts w:cs="Calibri"/>
          <w:color w:val="000000"/>
        </w:rPr>
        <w:t>[Participant ID: 021]</w:t>
      </w:r>
    </w:p>
    <w:p w14:paraId="06F60B4E" w14:textId="77777777" w:rsidR="00B70DDB" w:rsidRPr="00591BFC" w:rsidRDefault="00B70DDB" w:rsidP="00E8677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i/>
        </w:rPr>
      </w:pPr>
    </w:p>
    <w:p w14:paraId="281C5780" w14:textId="77777777" w:rsidR="00B70DDB" w:rsidRPr="00591BFC" w:rsidRDefault="00B70DDB" w:rsidP="00E86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r w:rsidRPr="00591BFC">
        <w:rPr>
          <w:rFonts w:cs="Calibri"/>
          <w:i/>
        </w:rPr>
        <w:t xml:space="preserve">I think patients’ voice can have more power, especially if we are looking at situations where we feel that patients may be at risk and I think that obviously helps to drive the changes as well. </w:t>
      </w:r>
      <w:r w:rsidRPr="00591BFC">
        <w:rPr>
          <w:color w:val="000000"/>
        </w:rPr>
        <w:t>[Participant ID: 012]</w:t>
      </w:r>
    </w:p>
    <w:p w14:paraId="62558AC3" w14:textId="77777777" w:rsidR="00B70DDB" w:rsidRPr="00591BFC" w:rsidRDefault="00B70DDB" w:rsidP="00E8677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i/>
        </w:rPr>
      </w:pPr>
    </w:p>
    <w:p w14:paraId="06B93CB3" w14:textId="77777777" w:rsidR="00B70DDB" w:rsidRPr="00591BFC" w:rsidRDefault="00B70DDB" w:rsidP="00E86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Calibri"/>
        </w:rPr>
      </w:pPr>
      <w:r w:rsidRPr="00591BFC">
        <w:rPr>
          <w:rFonts w:cs="Calibri"/>
          <w:i/>
        </w:rPr>
        <w:t>You also need to get allies on side who will help you and support you… people who are key, for example, [a GP], she wasn’t involved in commissioning or anything but she is very well respected in her field</w:t>
      </w:r>
      <w:r w:rsidRPr="00591BFC">
        <w:rPr>
          <w:rFonts w:cs="Calibri"/>
        </w:rPr>
        <w:t xml:space="preserve"> </w:t>
      </w:r>
      <w:r w:rsidRPr="00591BFC">
        <w:rPr>
          <w:color w:val="000000"/>
        </w:rPr>
        <w:t>[Participant ID: 004]</w:t>
      </w:r>
    </w:p>
    <w:p w14:paraId="0B5A5B0C" w14:textId="77777777" w:rsidR="00B70DDB" w:rsidRPr="00591BFC" w:rsidRDefault="00B70DDB" w:rsidP="00E8677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i/>
        </w:rPr>
      </w:pPr>
    </w:p>
    <w:p w14:paraId="2463A1CB" w14:textId="77777777" w:rsidR="00B70DDB" w:rsidRPr="00591BFC" w:rsidRDefault="00B70DDB" w:rsidP="00E8677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Calibri"/>
        </w:rPr>
      </w:pPr>
      <w:r w:rsidRPr="00591BFC">
        <w:rPr>
          <w:i/>
        </w:rPr>
        <w:t>I think the managers are too separate and it should be more embedded and integrated so that we work together and we come up with clinical designs and models, they tell us we’re stupid and spending too much money, and then we work it out and come up with a compromise for it.</w:t>
      </w:r>
      <w:r w:rsidRPr="00591BFC">
        <w:rPr>
          <w:rFonts w:cs="Calibri"/>
        </w:rPr>
        <w:t xml:space="preserve"> </w:t>
      </w:r>
      <w:r w:rsidRPr="00591BFC">
        <w:rPr>
          <w:rFonts w:cs="Calibri"/>
          <w:color w:val="000000"/>
        </w:rPr>
        <w:t>[Participant ID: 009]</w:t>
      </w:r>
    </w:p>
    <w:p w14:paraId="1D42B8B2" w14:textId="77777777" w:rsidR="00B70DDB" w:rsidRPr="00591BFC" w:rsidRDefault="00B70DDB" w:rsidP="00E867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b/>
        </w:rPr>
      </w:pPr>
    </w:p>
    <w:p w14:paraId="23B4573D" w14:textId="77777777" w:rsidR="00B70DDB" w:rsidRPr="00591BFC" w:rsidRDefault="00B70DDB" w:rsidP="00E8677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360" w:lineRule="auto"/>
        <w:rPr>
          <w:rFonts w:cs="Calibri"/>
        </w:rPr>
      </w:pPr>
      <w:r w:rsidRPr="00591BFC">
        <w:rPr>
          <w:rFonts w:cs="Calibri"/>
          <w:i/>
        </w:rPr>
        <w:lastRenderedPageBreak/>
        <w:t xml:space="preserve">It’s through no fault of anyone’s but these are human organisations and you’ve got to engage with these things on a human level… It’s much easier to say no to someone who you’ve been saying no repeatedly to for the last five years and where you’re not regularly seeing them. </w:t>
      </w:r>
      <w:r w:rsidRPr="00591BFC">
        <w:rPr>
          <w:rFonts w:cs="Calibri"/>
          <w:color w:val="000000"/>
        </w:rPr>
        <w:t>[Participant ID: 024]</w:t>
      </w:r>
    </w:p>
    <w:p w14:paraId="58837914" w14:textId="77777777" w:rsidR="00B70DDB" w:rsidRPr="00591BFC" w:rsidRDefault="00B70DDB" w:rsidP="00E8677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b/>
        </w:rPr>
      </w:pPr>
    </w:p>
    <w:p w14:paraId="46C8DDC4" w14:textId="1B6E9AF2" w:rsidR="003021BC" w:rsidRPr="00591BFC" w:rsidRDefault="003021BC" w:rsidP="00E86771">
      <w:pPr>
        <w:widowControl w:val="0"/>
        <w:autoSpaceDE w:val="0"/>
        <w:autoSpaceDN w:val="0"/>
        <w:adjustRightInd w:val="0"/>
        <w:spacing w:after="0" w:line="360" w:lineRule="auto"/>
        <w:rPr>
          <w:rFonts w:cs="Calibri"/>
        </w:rPr>
      </w:pPr>
      <w:r w:rsidRPr="00591BFC">
        <w:rPr>
          <w:rFonts w:cs="Calibri"/>
        </w:rPr>
        <w:t>Other more practical sources of data included the use of outcomes data, such as Hospital Episode Statistics</w:t>
      </w:r>
      <w:hyperlink w:anchor="_ENREF_83" w:tooltip="Health and Social Care Information Centre,  #736" w:history="1">
        <w:r w:rsidR="00B24FEE">
          <w:rPr>
            <w:rFonts w:cs="Calibri"/>
          </w:rPr>
          <w:fldChar w:fldCharType="begin"/>
        </w:r>
        <w:r w:rsidR="00B24FEE">
          <w:rPr>
            <w:rFonts w:cs="Calibri"/>
          </w:rPr>
          <w:instrText xml:space="preserve"> ADDIN EN.CITE &lt;EndNote&gt;&lt;Cite ExcludeYear="1"&gt;&lt;Author&gt;Health and Social Care Information Centre&lt;/Author&gt;&lt;RecNum&gt;736&lt;/RecNum&gt;&lt;DisplayText&gt;&lt;style face="superscript"&gt;83&lt;/style&gt;&lt;/DisplayText&gt;&lt;record&gt;&lt;rec-number&gt;736&lt;/rec-number&gt;&lt;foreign-keys&gt;&lt;key app="EN" db-id="sxpszd2ti9dx04ewefrvfp5bpf5faazszr9p" timestamp="0"&gt;736&lt;/key&gt;&lt;/foreign-keys&gt;&lt;ref-type name="Web Page"&gt;12&lt;/ref-type&gt;&lt;contributors&gt;&lt;authors&gt;&lt;author&gt;Health and Social Care Information Centre,&lt;/author&gt;&lt;/authors&gt;&lt;/contributors&gt;&lt;titles&gt;&lt;title&gt;Hospital Episode Statistics&lt;/title&gt;&lt;/titles&gt;&lt;number&gt;3 October 2015&lt;/number&gt;&lt;dates&gt;&lt;/dates&gt;&lt;urls&gt;&lt;related-urls&gt;&lt;url&gt;http://www.hscic.gov.uk/hes&lt;/url&gt;&lt;/related-urls&gt;&lt;/urls&gt;&lt;/record&gt;&lt;/Cite&gt;&lt;/EndNote&gt;</w:instrText>
        </w:r>
        <w:r w:rsidR="00B24FEE">
          <w:rPr>
            <w:rFonts w:cs="Calibri"/>
          </w:rPr>
          <w:fldChar w:fldCharType="separate"/>
        </w:r>
        <w:r w:rsidR="00B24FEE" w:rsidRPr="00B24FEE">
          <w:rPr>
            <w:rFonts w:cs="Calibri"/>
            <w:noProof/>
            <w:vertAlign w:val="superscript"/>
          </w:rPr>
          <w:t>83</w:t>
        </w:r>
        <w:r w:rsidR="00B24FEE">
          <w:rPr>
            <w:rFonts w:cs="Calibri"/>
          </w:rPr>
          <w:fldChar w:fldCharType="end"/>
        </w:r>
      </w:hyperlink>
      <w:r w:rsidRPr="00591BFC">
        <w:rPr>
          <w:rFonts w:cs="Calibri"/>
        </w:rPr>
        <w:t>, to make cost effectiveness calculations. Using outcomes data to benchmark the service against local and national comparators was seen as a means of demonstrating the need for service improvement. Involving patient representatives or using feedback questionnaires was viewed as a way of responding to the increasing need to involve patients in service design</w:t>
      </w:r>
      <w:hyperlink w:anchor="_ENREF_84" w:tooltip="Health, 2012 #921" w:history="1">
        <w:r w:rsidR="00B24FEE">
          <w:rPr>
            <w:rFonts w:cs="Calibri"/>
          </w:rPr>
          <w:fldChar w:fldCharType="begin"/>
        </w:r>
        <w:r w:rsidR="00B24FEE">
          <w:rPr>
            <w:rFonts w:cs="Calibri"/>
          </w:rPr>
          <w:instrText xml:space="preserve"> ADDIN EN.CITE &lt;EndNote&gt;&lt;Cite&gt;&lt;Author&gt;Health&lt;/Author&gt;&lt;Year&gt;2012&lt;/Year&gt;&lt;RecNum&gt;921&lt;/RecNum&gt;&lt;DisplayText&gt;&lt;style face="superscript"&gt;84&lt;/style&gt;&lt;/DisplayText&gt;&lt;record&gt;&lt;rec-number&gt;921&lt;/rec-number&gt;&lt;foreign-keys&gt;&lt;key app="EN" db-id="sxpszd2ti9dx04ewefrvfp5bpf5faazszr9p" timestamp="0"&gt;921&lt;/key&gt;&lt;/foreign-keys&gt;&lt;ref-type name="Report"&gt;27&lt;/ref-type&gt;&lt;contributors&gt;&lt;authors&gt;&lt;author&gt;Department of Health&lt;/author&gt;&lt;/authors&gt;&lt;/contributors&gt;&lt;titles&gt;&lt;title&gt;NHS Patient experience framework&lt;/title&gt;&lt;/titles&gt;&lt;dates&gt;&lt;year&gt;2012&lt;/year&gt;&lt;/dates&gt;&lt;urls&gt;&lt;/urls&gt;&lt;/record&gt;&lt;/Cite&gt;&lt;/EndNote&gt;</w:instrText>
        </w:r>
        <w:r w:rsidR="00B24FEE">
          <w:rPr>
            <w:rFonts w:cs="Calibri"/>
          </w:rPr>
          <w:fldChar w:fldCharType="separate"/>
        </w:r>
        <w:r w:rsidR="00B24FEE" w:rsidRPr="00B24FEE">
          <w:rPr>
            <w:rFonts w:cs="Calibri"/>
            <w:noProof/>
            <w:vertAlign w:val="superscript"/>
          </w:rPr>
          <w:t>84</w:t>
        </w:r>
        <w:r w:rsidR="00B24FEE">
          <w:rPr>
            <w:rFonts w:cs="Calibri"/>
          </w:rPr>
          <w:fldChar w:fldCharType="end"/>
        </w:r>
      </w:hyperlink>
      <w:r w:rsidRPr="00591BFC">
        <w:rPr>
          <w:rFonts w:cs="Calibri"/>
        </w:rPr>
        <w:t xml:space="preserve">.  </w:t>
      </w:r>
    </w:p>
    <w:p w14:paraId="22F07874" w14:textId="77777777" w:rsidR="003021BC" w:rsidRPr="00591BFC" w:rsidRDefault="003021BC" w:rsidP="00E86771">
      <w:pPr>
        <w:widowControl w:val="0"/>
        <w:autoSpaceDE w:val="0"/>
        <w:autoSpaceDN w:val="0"/>
        <w:adjustRightInd w:val="0"/>
        <w:spacing w:after="0" w:line="360" w:lineRule="auto"/>
        <w:rPr>
          <w:rFonts w:cs="Calibri"/>
        </w:rPr>
      </w:pPr>
    </w:p>
    <w:p w14:paraId="7E49C238" w14:textId="0C992E64" w:rsidR="003021BC" w:rsidRPr="00591BFC" w:rsidRDefault="003021BC" w:rsidP="00E86771">
      <w:pPr>
        <w:widowControl w:val="0"/>
        <w:autoSpaceDE w:val="0"/>
        <w:autoSpaceDN w:val="0"/>
        <w:adjustRightInd w:val="0"/>
        <w:spacing w:after="0" w:line="360" w:lineRule="auto"/>
        <w:rPr>
          <w:rFonts w:cs="Calibri"/>
        </w:rPr>
      </w:pPr>
      <w:r w:rsidRPr="00591BFC">
        <w:rPr>
          <w:rFonts w:cs="Calibri"/>
        </w:rPr>
        <w:t>Promoting effective communication and cooperation between stakeholders was perceived to be a priority. Within the hospital, participants thought it was important to canvass the support of service providers early on in the process as a way of galvanising support, anticipating and mitigating objections and ensuring that input was received from a range of stakeholders. Service managers thought that the ‘local champions’ leading the case</w:t>
      </w:r>
      <w:hyperlink w:anchor="_ENREF_54" w:tooltip="Mitchell, 2010 #650" w:history="1">
        <w:r w:rsidR="00B24FEE">
          <w:rPr>
            <w:rFonts w:cs="Calibri"/>
          </w:rPr>
          <w:fldChar w:fldCharType="begin"/>
        </w:r>
        <w:r w:rsidR="00B24FEE">
          <w:rPr>
            <w:rFonts w:cs="Calibri"/>
          </w:rPr>
          <w:instrText xml:space="preserve"> ADDIN EN.CITE &lt;EndNote&gt;&lt;Cite&gt;&lt;Author&gt;Mitchell&lt;/Author&gt;&lt;Year&gt;2010&lt;/Year&gt;&lt;RecNum&gt;650&lt;/RecNum&gt;&lt;DisplayText&gt;&lt;style face="superscript"&gt;54&lt;/style&gt;&lt;/DisplayText&gt;&lt;record&gt;&lt;rec-number&gt;650&lt;/rec-number&gt;&lt;foreign-keys&gt;&lt;key app="EN" db-id="sxpszd2ti9dx04ewefrvfp5bpf5faazszr9p" timestamp="0"&gt;650&lt;/key&gt;&lt;/foreign-keys&gt;&lt;ref-type name="Report"&gt;27&lt;/ref-type&gt;&lt;contributors&gt;&lt;authors&gt;&lt;author&gt;Mitchell, P.&lt;/author&gt;&lt;/authors&gt;&lt;/contributors&gt;&lt;titles&gt;&lt;title&gt;Fracture Liaison Services: resource pack&lt;/title&gt;&lt;/titles&gt;&lt;dates&gt;&lt;year&gt;2010&lt;/year&gt;&lt;/dates&gt;&lt;publisher&gt;Novartis&lt;/publisher&gt;&lt;urls&gt;&lt;/urls&gt;&lt;/record&gt;&lt;/Cite&gt;&lt;/EndNote&gt;</w:instrText>
        </w:r>
        <w:r w:rsidR="00B24FEE">
          <w:rPr>
            <w:rFonts w:cs="Calibri"/>
          </w:rPr>
          <w:fldChar w:fldCharType="separate"/>
        </w:r>
        <w:r w:rsidR="00B24FEE" w:rsidRPr="00B24FEE">
          <w:rPr>
            <w:rFonts w:cs="Calibri"/>
            <w:noProof/>
            <w:vertAlign w:val="superscript"/>
          </w:rPr>
          <w:t>54</w:t>
        </w:r>
        <w:r w:rsidR="00B24FEE">
          <w:rPr>
            <w:rFonts w:cs="Calibri"/>
          </w:rPr>
          <w:fldChar w:fldCharType="end"/>
        </w:r>
      </w:hyperlink>
      <w:r w:rsidRPr="00591BFC">
        <w:rPr>
          <w:rFonts w:cs="Calibri"/>
        </w:rPr>
        <w:t xml:space="preserve"> had an important role in securing the support of their colleagues. Obtaining support from ‘prominent clinicians’ was seen as a way of gaining the ‘respect’ of commissioners. </w:t>
      </w:r>
    </w:p>
    <w:p w14:paraId="6EACD481" w14:textId="77777777" w:rsidR="003021BC" w:rsidRPr="00591BFC" w:rsidRDefault="003021BC" w:rsidP="00E86771">
      <w:pPr>
        <w:widowControl w:val="0"/>
        <w:autoSpaceDE w:val="0"/>
        <w:autoSpaceDN w:val="0"/>
        <w:adjustRightInd w:val="0"/>
        <w:spacing w:after="0" w:line="360" w:lineRule="auto"/>
        <w:rPr>
          <w:rFonts w:cs="Calibri"/>
        </w:rPr>
      </w:pPr>
    </w:p>
    <w:p w14:paraId="776143EF" w14:textId="77777777" w:rsidR="003021BC" w:rsidRPr="00591BFC" w:rsidRDefault="003021BC" w:rsidP="00E86771">
      <w:pPr>
        <w:spacing w:after="0" w:line="360" w:lineRule="auto"/>
        <w:rPr>
          <w:rFonts w:cs="Calibri"/>
        </w:rPr>
      </w:pPr>
      <w:r w:rsidRPr="00591BFC">
        <w:rPr>
          <w:rFonts w:cs="Calibri"/>
        </w:rPr>
        <w:t>Participants felt that working more closely with purchasers would facilitate the process of making business cases. Strategies to achieve this were approaching commissioners early on in the process so they could provide feedback and liaising with them informally.</w:t>
      </w:r>
    </w:p>
    <w:p w14:paraId="69781764" w14:textId="77777777" w:rsidR="003021BC" w:rsidRPr="00591BFC" w:rsidRDefault="003021BC" w:rsidP="00E8677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b/>
        </w:rPr>
      </w:pPr>
    </w:p>
    <w:p w14:paraId="3F264300" w14:textId="77777777" w:rsidR="00B70DDB" w:rsidRPr="00591BFC" w:rsidRDefault="00B70DDB" w:rsidP="00E86771">
      <w:pPr>
        <w:pStyle w:val="Heading4"/>
        <w:spacing w:line="360" w:lineRule="auto"/>
        <w:rPr>
          <w:rFonts w:ascii="Calibri" w:hAnsi="Calibri" w:cs="Calibri"/>
        </w:rPr>
      </w:pPr>
      <w:r w:rsidRPr="00591BFC">
        <w:rPr>
          <w:rFonts w:ascii="Calibri" w:hAnsi="Calibri"/>
        </w:rPr>
        <w:t xml:space="preserve">Discussion </w:t>
      </w:r>
    </w:p>
    <w:p w14:paraId="39E53184" w14:textId="77777777" w:rsidR="00B70DDB" w:rsidRPr="00591BFC" w:rsidRDefault="00B70DDB" w:rsidP="00E86771">
      <w:pPr>
        <w:autoSpaceDE w:val="0"/>
        <w:autoSpaceDN w:val="0"/>
        <w:adjustRightInd w:val="0"/>
        <w:spacing w:after="0" w:line="360" w:lineRule="auto"/>
      </w:pPr>
    </w:p>
    <w:p w14:paraId="28A9589D" w14:textId="77777777" w:rsidR="00B70DDB" w:rsidRPr="00591BFC" w:rsidRDefault="00B70DDB" w:rsidP="00E86771">
      <w:pPr>
        <w:autoSpaceDE w:val="0"/>
        <w:autoSpaceDN w:val="0"/>
        <w:adjustRightInd w:val="0"/>
        <w:spacing w:after="0" w:line="360" w:lineRule="auto"/>
      </w:pPr>
      <w:r w:rsidRPr="00591BFC">
        <w:t xml:space="preserve">This component of the study has explored the experiences of clinicians of making a business case for an FLS; identified factors that are seen to inform the decisions of managerial bodies to approve the service; and identified what they consider to be the best ways of making a business case for a FLS. Participants felt that constructing business cases was challenging. Frustrations included the longevity of the process, a perceived lack of time and skills amongst clinicians for making the cases and a lack of available evidence for demonstrating potential improvements in quality of care. In addition, the compartmentalisation of hospital budgets meant it was sometimes unclear which department was responsible for funding the service. The relationship between stakeholders involved in making the cases was seen to be variable and the levels of cooperation between purchasers and providers generally low. </w:t>
      </w:r>
    </w:p>
    <w:p w14:paraId="03B959B4" w14:textId="77777777" w:rsidR="00B70DDB" w:rsidRPr="00591BFC" w:rsidRDefault="00B70DDB" w:rsidP="00E86771">
      <w:pPr>
        <w:autoSpaceDE w:val="0"/>
        <w:autoSpaceDN w:val="0"/>
        <w:adjustRightInd w:val="0"/>
        <w:spacing w:after="0" w:line="360" w:lineRule="auto"/>
      </w:pPr>
    </w:p>
    <w:p w14:paraId="78B2F99F" w14:textId="77777777" w:rsidR="00B70DDB" w:rsidRPr="00591BFC" w:rsidRDefault="00B70DDB" w:rsidP="00E86771">
      <w:pPr>
        <w:autoSpaceDE w:val="0"/>
        <w:autoSpaceDN w:val="0"/>
        <w:adjustRightInd w:val="0"/>
        <w:spacing w:after="0" w:line="360" w:lineRule="auto"/>
      </w:pPr>
      <w:r w:rsidRPr="00591BFC">
        <w:t xml:space="preserve">Participants identified a number of factors they felt impacted on the decisions of managers to approve the service. Financial considerations were perceived to be the most important factor and clinicians felt that quality of care was afforded a low priority, a view not shared by service managers. Approval was seen to be hindered by the perception of osteoporosis as a low national priority. Participants thought that the personality and persistence of the clinical champion leading the case was important, along with the clinical interests of commissioners. Both of these factors suggest participants did not think that commissioners consistently adhered to the principle of evidence-based healthcare. Strategies for making effective cases included the provision of training courses, templates, toolkits and mentorship schemes for stakeholders. Using different types of evidence to demonstrate the potential for care improvements was advocated and included national guidelines, academic research, outcomes data to demonstrate the cost effectiveness of the proposed service and audit data. Strategies were suggested for developing effective working relationships between stakeholders when making business cases and improving the relationship between commissioners and providers. </w:t>
      </w:r>
    </w:p>
    <w:p w14:paraId="051F418D" w14:textId="77777777" w:rsidR="00B70DDB" w:rsidRPr="00591BFC" w:rsidRDefault="00B70DDB" w:rsidP="00E86771">
      <w:pPr>
        <w:autoSpaceDE w:val="0"/>
        <w:autoSpaceDN w:val="0"/>
        <w:adjustRightInd w:val="0"/>
        <w:spacing w:after="0" w:line="360" w:lineRule="auto"/>
      </w:pPr>
    </w:p>
    <w:p w14:paraId="1B226A35" w14:textId="4C0D01C0" w:rsidR="00B70DDB" w:rsidRPr="00591BFC" w:rsidRDefault="00B70DDB" w:rsidP="00E86771">
      <w:pPr>
        <w:autoSpaceDE w:val="0"/>
        <w:autoSpaceDN w:val="0"/>
        <w:adjustRightInd w:val="0"/>
        <w:spacing w:after="0" w:line="360" w:lineRule="auto"/>
      </w:pPr>
      <w:r w:rsidRPr="00591BFC">
        <w:t>Findings in this study support those from previous work that have explored providers’ experiences of commissioning. These studies showed that clinicians found the processes to be time consuming</w:t>
      </w:r>
      <w:hyperlink w:anchor="_ENREF_67" w:tooltip="Shaw, 2013 #703" w:history="1">
        <w:r w:rsidR="00B24FEE">
          <w:fldChar w:fldCharType="begin"/>
        </w:r>
        <w:r w:rsidR="00B24FEE">
          <w:instrText xml:space="preserve"> ADDIN EN.CITE &lt;EndNote&gt;&lt;Cite&gt;&lt;Author&gt;Shaw&lt;/Author&gt;&lt;Year&gt;2013&lt;/Year&gt;&lt;RecNum&gt;703&lt;/RecNum&gt;&lt;DisplayText&gt;&lt;style face="superscript"&gt;67&lt;/style&gt;&lt;/DisplayText&gt;&lt;record&gt;&lt;rec-number&gt;703&lt;/rec-number&gt;&lt;foreign-keys&gt;&lt;key app="EN" db-id="sxpszd2ti9dx04ewefrvfp5bpf5faazszr9p" timestamp="0"&gt;703&lt;/key&gt;&lt;/foreign-keys&gt;&lt;ref-type name="Journal Article"&gt;17&lt;/ref-type&gt;&lt;contributors&gt;&lt;authors&gt;&lt;author&gt;Shaw, Sara E.&lt;/author&gt;&lt;author&gt;Smith, Judith A.&lt;/author&gt;&lt;author&gt;Porter, Alison&lt;/author&gt;&lt;author&gt;Rosen, Rebecca&lt;/author&gt;&lt;author&gt;Mays, Nicholas&lt;/author&gt;&lt;/authors&gt;&lt;/contributors&gt;&lt;auth-address&gt;Queen Mary University of London, London, UK.&lt;/auth-address&gt;&lt;titles&gt;&lt;title&gt;The work of commissioning: a multisite case study of healthcare commissioning in England&amp;apos;s NHS&lt;/title&gt;&lt;secondary-title&gt;BMJ Open&lt;/secondary-title&gt;&lt;/titles&gt;&lt;periodical&gt;&lt;full-title&gt;BMJ Open&lt;/full-title&gt;&lt;/periodical&gt;&lt;pages&gt;e003341-e003341&lt;/pages&gt;&lt;volume&gt;3&lt;/volume&gt;&lt;number&gt;9&lt;/number&gt;&lt;keywords&gt;&lt;keyword&gt;Health Services Administration &amp;amp; Management&lt;/keyword&gt;&lt;keyword&gt;Qualitative Research&lt;/keyword&gt;&lt;/keywords&gt;&lt;dates&gt;&lt;year&gt;2013&lt;/year&gt;&lt;/dates&gt;&lt;pub-location&gt;England&lt;/pub-location&gt;&lt;publisher&gt;BMJ Publishing Group Ltd&lt;/publisher&gt;&lt;isbn&gt;2044-6055&lt;/isbn&gt;&lt;accession-num&gt;24014483&lt;/accession-num&gt;&lt;urls&gt;&lt;related-urls&gt;&lt;url&gt;http://search.ebscohost.com/login.aspx?direct=true&amp;amp;db=cmedm&amp;amp;AN=24014483&amp;amp;site=ehost-live&lt;/url&gt;&lt;/related-urls&gt;&lt;/urls&gt;&lt;electronic-resource-num&gt;10.1136/bmjopen-2013-003341&lt;/electronic-resource-num&gt;&lt;remote-database-name&gt;cmedm&lt;/remote-database-name&gt;&lt;remote-database-provider&gt;EBSCOhost&lt;/remote-database-provider&gt;&lt;/record&gt;&lt;/Cite&gt;&lt;/EndNote&gt;</w:instrText>
        </w:r>
        <w:r w:rsidR="00B24FEE">
          <w:fldChar w:fldCharType="separate"/>
        </w:r>
        <w:r w:rsidR="00B24FEE" w:rsidRPr="00B24FEE">
          <w:rPr>
            <w:noProof/>
            <w:vertAlign w:val="superscript"/>
          </w:rPr>
          <w:t>67</w:t>
        </w:r>
        <w:r w:rsidR="00B24FEE">
          <w:fldChar w:fldCharType="end"/>
        </w:r>
      </w:hyperlink>
      <w:r w:rsidRPr="00591BFC">
        <w:t xml:space="preserve"> and the collection of data challenging on account of the often low quality of data available</w:t>
      </w:r>
      <w:r w:rsidR="00B24FEE">
        <w:fldChar w:fldCharType="begin">
          <w:fldData xml:space="preserve">PEVuZE5vdGU+PENpdGU+PEF1dGhvcj5TaGF3PC9BdXRob3I+PFllYXI+MjAxMzwvWWVhcj48UmVj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</w:fldData>
        </w:fldChar>
      </w:r>
      <w:r w:rsidR="00B24FEE">
        <w:instrText xml:space="preserve"> ADDIN EN.CITE </w:instrText>
      </w:r>
      <w:r w:rsidR="00B24FEE">
        <w:fldChar w:fldCharType="begin">
          <w:fldData xml:space="preserve">PEVuZE5vdGU+PENpdGU+PEF1dGhvcj5TaGF3PC9BdXRob3I+PFllYXI+MjAxMzwvWWVhcj48UmVj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</w:fldData>
        </w:fldChar>
      </w:r>
      <w:r w:rsidR="00B24FEE">
        <w:instrText xml:space="preserve"> ADDIN EN.CITE.DATA </w:instrText>
      </w:r>
      <w:r w:rsidR="00B24FEE">
        <w:fldChar w:fldCharType="end"/>
      </w:r>
      <w:r w:rsidR="00B24FEE">
        <w:fldChar w:fldCharType="separate"/>
      </w:r>
      <w:hyperlink w:anchor="_ENREF_67" w:tooltip="Shaw, 2013 #703" w:history="1">
        <w:r w:rsidR="00B24FEE" w:rsidRPr="00B24FEE">
          <w:rPr>
            <w:noProof/>
            <w:vertAlign w:val="superscript"/>
          </w:rPr>
          <w:t>67</w:t>
        </w:r>
      </w:hyperlink>
      <w:r w:rsidR="00B24FEE" w:rsidRPr="00B24FEE">
        <w:rPr>
          <w:noProof/>
          <w:vertAlign w:val="superscript"/>
        </w:rPr>
        <w:t xml:space="preserve"> </w:t>
      </w:r>
      <w:hyperlink w:anchor="_ENREF_85" w:tooltip="Sinclair, 2014 #1223" w:history="1">
        <w:r w:rsidR="00B24FEE" w:rsidRPr="00B24FEE">
          <w:rPr>
            <w:noProof/>
            <w:vertAlign w:val="superscript"/>
          </w:rPr>
          <w:t>85</w:t>
        </w:r>
      </w:hyperlink>
      <w:r w:rsidR="00B24FEE">
        <w:fldChar w:fldCharType="end"/>
      </w:r>
      <w:r w:rsidRPr="00591BFC">
        <w:t>. Challenges of managing the relational aspects of commissioning have also been highlighted</w:t>
      </w:r>
      <w:r w:rsidR="00B24FEE">
        <w:fldChar w:fldCharType="begin">
          <w:fldData xml:space="preserve">PEVuZE5vdGU+PENpdGU+PEF1dGhvcj5TaGF3PC9BdXRob3I+PFllYXI+MjAxMzwvWWVhcj48UmVj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==
</w:fldData>
        </w:fldChar>
      </w:r>
      <w:r w:rsidR="00B24FEE">
        <w:instrText xml:space="preserve"> ADDIN EN.CITE </w:instrText>
      </w:r>
      <w:r w:rsidR="00B24FEE">
        <w:fldChar w:fldCharType="begin">
          <w:fldData xml:space="preserve">PEVuZE5vdGU+PENpdGU+PEF1dGhvcj5TaGF3PC9BdXRob3I+PFllYXI+MjAxMzwvWWVhcj48UmVj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==
</w:fldData>
        </w:fldChar>
      </w:r>
      <w:r w:rsidR="00B24FEE">
        <w:instrText xml:space="preserve"> ADDIN EN.CITE.DATA </w:instrText>
      </w:r>
      <w:r w:rsidR="00B24FEE">
        <w:fldChar w:fldCharType="end"/>
      </w:r>
      <w:r w:rsidR="00B24FEE">
        <w:fldChar w:fldCharType="separate"/>
      </w:r>
      <w:hyperlink w:anchor="_ENREF_62" w:tooltip="Sampson, 2012 #1222" w:history="1">
        <w:r w:rsidR="00B24FEE" w:rsidRPr="00B24FEE">
          <w:rPr>
            <w:noProof/>
            <w:vertAlign w:val="superscript"/>
          </w:rPr>
          <w:t>62</w:t>
        </w:r>
      </w:hyperlink>
      <w:r w:rsidR="00B24FEE" w:rsidRPr="00B24FEE">
        <w:rPr>
          <w:noProof/>
          <w:vertAlign w:val="superscript"/>
        </w:rPr>
        <w:t xml:space="preserve"> </w:t>
      </w:r>
      <w:hyperlink w:anchor="_ENREF_63" w:tooltip="Zachariadis, 2013 #748" w:history="1">
        <w:r w:rsidR="00B24FEE" w:rsidRPr="00B24FEE">
          <w:rPr>
            <w:noProof/>
            <w:vertAlign w:val="superscript"/>
          </w:rPr>
          <w:t>63</w:t>
        </w:r>
      </w:hyperlink>
      <w:r w:rsidR="00B24FEE" w:rsidRPr="00B24FEE">
        <w:rPr>
          <w:noProof/>
          <w:vertAlign w:val="superscript"/>
        </w:rPr>
        <w:t xml:space="preserve"> </w:t>
      </w:r>
      <w:hyperlink w:anchor="_ENREF_67" w:tooltip="Shaw, 2013 #703" w:history="1">
        <w:r w:rsidR="00B24FEE" w:rsidRPr="00B24FEE">
          <w:rPr>
            <w:noProof/>
            <w:vertAlign w:val="superscript"/>
          </w:rPr>
          <w:t>67</w:t>
        </w:r>
      </w:hyperlink>
      <w:r w:rsidR="00B24FEE">
        <w:fldChar w:fldCharType="end"/>
      </w:r>
      <w:r w:rsidRPr="00591BFC">
        <w:t>. Research has found varying level of communication and cooperation between purchasers and providers. Whilst one study found that the roles of purchasers and providers were well integrated</w:t>
      </w:r>
      <w:hyperlink w:anchor="_ENREF_67" w:tooltip="Shaw, 2013 #703" w:history="1">
        <w:r w:rsidR="00B24FEE">
          <w:fldChar w:fldCharType="begin"/>
        </w:r>
        <w:r w:rsidR="00B24FEE">
          <w:instrText xml:space="preserve"> ADDIN EN.CITE &lt;EndNote&gt;&lt;Cite&gt;&lt;Author&gt;Shaw&lt;/Author&gt;&lt;Year&gt;2013&lt;/Year&gt;&lt;RecNum&gt;703&lt;/RecNum&gt;&lt;DisplayText&gt;&lt;style face="superscript"&gt;67&lt;/style&gt;&lt;/DisplayText&gt;&lt;record&gt;&lt;rec-number&gt;703&lt;/rec-number&gt;&lt;foreign-keys&gt;&lt;key app="EN" db-id="sxpszd2ti9dx04ewefrvfp5bpf5faazszr9p" timestamp="0"&gt;703&lt;/key&gt;&lt;/foreign-keys&gt;&lt;ref-type name="Journal Article"&gt;17&lt;/ref-type&gt;&lt;contributors&gt;&lt;authors&gt;&lt;author&gt;Shaw, Sara E.&lt;/author&gt;&lt;author&gt;Smith, Judith A.&lt;/author&gt;&lt;author&gt;Porter, Alison&lt;/author&gt;&lt;author&gt;Rosen, Rebecca&lt;/author&gt;&lt;author&gt;Mays, Nicholas&lt;/author&gt;&lt;/authors&gt;&lt;/contributors&gt;&lt;auth-address&gt;Queen Mary University of London, London, UK.&lt;/auth-address&gt;&lt;titles&gt;&lt;title&gt;The work of commissioning: a multisite case study of healthcare commissioning in England&amp;apos;s NHS&lt;/title&gt;&lt;secondary-title&gt;BMJ Open&lt;/secondary-title&gt;&lt;/titles&gt;&lt;periodical&gt;&lt;full-title&gt;BMJ Open&lt;/full-title&gt;&lt;/periodical&gt;&lt;pages&gt;e003341-e003341&lt;/pages&gt;&lt;volume&gt;3&lt;/volume&gt;&lt;number&gt;9&lt;/number&gt;&lt;keywords&gt;&lt;keyword&gt;Health Services Administration &amp;amp; Management&lt;/keyword&gt;&lt;keyword&gt;Qualitative Research&lt;/keyword&gt;&lt;/keywords&gt;&lt;dates&gt;&lt;year&gt;2013&lt;/year&gt;&lt;/dates&gt;&lt;pub-location&gt;England&lt;/pub-location&gt;&lt;publisher&gt;BMJ Publishing Group Ltd&lt;/publisher&gt;&lt;isbn&gt;2044-6055&lt;/isbn&gt;&lt;accession-num&gt;24014483&lt;/accession-num&gt;&lt;urls&gt;&lt;related-urls&gt;&lt;url&gt;http://search.ebscohost.com/login.aspx?direct=true&amp;amp;db=cmedm&amp;amp;AN=24014483&amp;amp;site=ehost-live&lt;/url&gt;&lt;/related-urls&gt;&lt;/urls&gt;&lt;electronic-resource-num&gt;10.1136/bmjopen-2013-003341&lt;/electronic-resource-num&gt;&lt;remote-database-name&gt;cmedm&lt;/remote-database-name&gt;&lt;remote-database-provider&gt;EBSCOhost&lt;/remote-database-provider&gt;&lt;/record&gt;&lt;/Cite&gt;&lt;/EndNote&gt;</w:instrText>
        </w:r>
        <w:r w:rsidR="00B24FEE">
          <w:fldChar w:fldCharType="separate"/>
        </w:r>
        <w:r w:rsidR="00B24FEE" w:rsidRPr="00B24FEE">
          <w:rPr>
            <w:noProof/>
            <w:vertAlign w:val="superscript"/>
          </w:rPr>
          <w:t>67</w:t>
        </w:r>
        <w:r w:rsidR="00B24FEE">
          <w:fldChar w:fldCharType="end"/>
        </w:r>
      </w:hyperlink>
      <w:r w:rsidRPr="00591BFC">
        <w:t>, others including ours suggest that this is not the case</w:t>
      </w:r>
      <w:r w:rsidR="00B24FEE">
        <w:fldChar w:fldCharType="begin">
          <w:fldData xml:space="preserve">PEVuZE5vdGU+PENpdGU+PEF1dGhvcj5aYWNoYXJpYWRpczwvQXV0aG9yPjxZZWFyPjIwMTM8L1ll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</w:fldData>
        </w:fldChar>
      </w:r>
      <w:r w:rsidR="00B24FEE">
        <w:instrText xml:space="preserve"> ADDIN EN.CITE </w:instrText>
      </w:r>
      <w:r w:rsidR="00B24FEE">
        <w:fldChar w:fldCharType="begin">
          <w:fldData xml:space="preserve">PEVuZE5vdGU+PENpdGU+PEF1dGhvcj5aYWNoYXJpYWRpczwvQXV0aG9yPjxZZWFyPjIwMTM8L1ll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</w:fldData>
        </w:fldChar>
      </w:r>
      <w:r w:rsidR="00B24FEE">
        <w:instrText xml:space="preserve"> ADDIN EN.CITE.DATA </w:instrText>
      </w:r>
      <w:r w:rsidR="00B24FEE">
        <w:fldChar w:fldCharType="end"/>
      </w:r>
      <w:r w:rsidR="00B24FEE">
        <w:fldChar w:fldCharType="separate"/>
      </w:r>
      <w:hyperlink w:anchor="_ENREF_62" w:tooltip="Sampson, 2012 #1222" w:history="1">
        <w:r w:rsidR="00B24FEE" w:rsidRPr="00B24FEE">
          <w:rPr>
            <w:noProof/>
            <w:vertAlign w:val="superscript"/>
          </w:rPr>
          <w:t>62</w:t>
        </w:r>
      </w:hyperlink>
      <w:r w:rsidR="00B24FEE" w:rsidRPr="00B24FEE">
        <w:rPr>
          <w:noProof/>
          <w:vertAlign w:val="superscript"/>
        </w:rPr>
        <w:t xml:space="preserve"> </w:t>
      </w:r>
      <w:hyperlink w:anchor="_ENREF_63" w:tooltip="Zachariadis, 2013 #748" w:history="1">
        <w:r w:rsidR="00B24FEE" w:rsidRPr="00B24FEE">
          <w:rPr>
            <w:noProof/>
            <w:vertAlign w:val="superscript"/>
          </w:rPr>
          <w:t>63</w:t>
        </w:r>
      </w:hyperlink>
      <w:r w:rsidR="00B24FEE">
        <w:fldChar w:fldCharType="end"/>
      </w:r>
      <w:r w:rsidRPr="00591BFC">
        <w:t xml:space="preserve">. Previous work exploring the processes of commissioning has been largely focussed on the experiences of providers working under the old </w:t>
      </w:r>
      <w:r w:rsidR="00B3555E" w:rsidRPr="00591BFC">
        <w:t>Primary Care Trusts (</w:t>
      </w:r>
      <w:r w:rsidRPr="00591BFC">
        <w:t>PCTs</w:t>
      </w:r>
      <w:r w:rsidR="00B3555E" w:rsidRPr="00591BFC">
        <w:t>)</w:t>
      </w:r>
      <w:r w:rsidRPr="00591BFC">
        <w:t>. Ours succeeds in demonstrating that these challenges remain under the new commissioning bodies. It also highlights additional problems such as the lack of confidence clinicians feel in developing business cases and the difficulty of navigating the funding structures in the NHS.</w:t>
      </w:r>
    </w:p>
    <w:p w14:paraId="12513EA3" w14:textId="77777777" w:rsidR="00B70DDB" w:rsidRPr="00591BFC" w:rsidRDefault="00B70DDB" w:rsidP="00E86771">
      <w:pPr>
        <w:autoSpaceDE w:val="0"/>
        <w:autoSpaceDN w:val="0"/>
        <w:adjustRightInd w:val="0"/>
        <w:spacing w:after="0" w:line="360" w:lineRule="auto"/>
      </w:pPr>
    </w:p>
    <w:p w14:paraId="51DC9C5A" w14:textId="34FD6E2A" w:rsidR="00B70DDB" w:rsidRPr="00591BFC" w:rsidRDefault="00B70DDB" w:rsidP="00E86771">
      <w:pPr>
        <w:autoSpaceDE w:val="0"/>
        <w:autoSpaceDN w:val="0"/>
        <w:adjustRightInd w:val="0"/>
        <w:spacing w:after="0" w:line="360" w:lineRule="auto"/>
      </w:pPr>
      <w:r w:rsidRPr="00591BFC">
        <w:t>A number of the factors participants felt impacted on funding decisions were in accordance with guidelines issues by the NHS Commissioning Board</w:t>
      </w:r>
      <w:hyperlink w:anchor="_ENREF_53" w:tooltip=",  #940" w:history="1">
        <w:r w:rsidR="00B24FEE">
          <w:fldChar w:fldCharType="begin"/>
        </w:r>
        <w:r w:rsidR="00B24FEE">
          <w:instrText xml:space="preserve"> ADDIN EN.CITE &lt;EndNote&gt;&lt;Cite ExcludeAuth="1" ExcludeYear="1"&gt;&lt;RecNum&gt;940&lt;/RecNum&gt;&lt;DisplayText&gt;&lt;style face="superscript"&gt;53&lt;/style&gt;&lt;/DisplayText&gt;&lt;record&gt;&lt;rec-number&gt;940&lt;/rec-number&gt;&lt;foreign-keys&gt;&lt;key app="EN" db-id="sxpszd2ti9dx04ewefrvfp5bpf5faazszr9p" timestamp="0"&gt;940&lt;/key&gt;&lt;/foreign-keys&gt;&lt;ref-type name="Report"&gt;27&lt;/ref-type&gt;&lt;contributors&gt;&lt;/contributors&gt;&lt;titles&gt;&lt;title&gt;Putting patients first: The NHS England business plan for 2013/14 - 2015/16&lt;/title&gt;&lt;/titles&gt;&lt;dates&gt;&lt;/dates&gt;&lt;publisher&gt;NHS England&lt;/publisher&gt;&lt;urls&gt;&lt;/urls&gt;&lt;/record&gt;&lt;/Cite&gt;&lt;/EndNote&gt;</w:instrText>
        </w:r>
        <w:r w:rsidR="00B24FEE">
          <w:fldChar w:fldCharType="separate"/>
        </w:r>
        <w:r w:rsidR="00B24FEE" w:rsidRPr="00B24FEE">
          <w:rPr>
            <w:noProof/>
            <w:vertAlign w:val="superscript"/>
          </w:rPr>
          <w:t>53</w:t>
        </w:r>
        <w:r w:rsidR="00B24FEE">
          <w:fldChar w:fldCharType="end"/>
        </w:r>
      </w:hyperlink>
      <w:r w:rsidRPr="00591BFC">
        <w:t>. These included quality of care, cost-effectiveness and the use of national guidelines. However, clinicians felt commissioners placed a greater emphasis on financial considerations than these other factors. A belief that the clinical interests of GP commissioners impacted on decision-making reflects findings of previous studies</w:t>
      </w:r>
      <w:r w:rsidR="00B24FEE">
        <w:fldChar w:fldCharType="begin">
          <w:fldData xml:space="preserve">PEVuZE5vdGU+PENpdGU+PEF1dGhvcj5HcmlkbGV5PC9BdXRob3I+PFllYXI+MjAxMjwvWWVhcj48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</w:fldData>
        </w:fldChar>
      </w:r>
      <w:r w:rsidR="00B24FEE">
        <w:instrText xml:space="preserve"> ADDIN EN.CITE </w:instrText>
      </w:r>
      <w:r w:rsidR="00B24FEE">
        <w:fldChar w:fldCharType="begin">
          <w:fldData xml:space="preserve">PEVuZE5vdGU+PENpdGU+PEF1dGhvcj5HcmlkbGV5PC9BdXRob3I+PFllYXI+MjAxMjwvWWVhcj48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</w:fldData>
        </w:fldChar>
      </w:r>
      <w:r w:rsidR="00B24FEE">
        <w:instrText xml:space="preserve"> ADDIN EN.CITE.DATA </w:instrText>
      </w:r>
      <w:r w:rsidR="00B24FEE">
        <w:fldChar w:fldCharType="end"/>
      </w:r>
      <w:r w:rsidR="00B24FEE">
        <w:fldChar w:fldCharType="separate"/>
      </w:r>
      <w:hyperlink w:anchor="_ENREF_85" w:tooltip="Sinclair, 2014 #1223" w:history="1">
        <w:r w:rsidR="00B24FEE" w:rsidRPr="00B24FEE">
          <w:rPr>
            <w:noProof/>
            <w:vertAlign w:val="superscript"/>
          </w:rPr>
          <w:t>85</w:t>
        </w:r>
      </w:hyperlink>
      <w:r w:rsidR="00B24FEE" w:rsidRPr="00B24FEE">
        <w:rPr>
          <w:noProof/>
          <w:vertAlign w:val="superscript"/>
        </w:rPr>
        <w:t xml:space="preserve"> </w:t>
      </w:r>
      <w:hyperlink w:anchor="_ENREF_86" w:tooltip="Gridley, 2012 #777" w:history="1">
        <w:r w:rsidR="00B24FEE" w:rsidRPr="00B24FEE">
          <w:rPr>
            <w:noProof/>
            <w:vertAlign w:val="superscript"/>
          </w:rPr>
          <w:t>86</w:t>
        </w:r>
      </w:hyperlink>
      <w:r w:rsidR="00B24FEE">
        <w:fldChar w:fldCharType="end"/>
      </w:r>
      <w:r w:rsidRPr="00591BFC">
        <w:t xml:space="preserve">. </w:t>
      </w:r>
      <w:r w:rsidRPr="00591BFC">
        <w:lastRenderedPageBreak/>
        <w:t>Although the objective of introducing the CCGs was to ensure that the views of clinicians were represented in commissioning decisions</w:t>
      </w:r>
      <w:hyperlink w:anchor="_ENREF_52" w:tooltip="Board, 2013 #935" w:history="1">
        <w:r w:rsidR="00B24FEE">
          <w:fldChar w:fldCharType="begin"/>
        </w:r>
        <w:r w:rsidR="00B24FEE">
          <w:instrText xml:space="preserve"> ADDIN EN.CITE &lt;EndNote&gt;&lt;Cite&gt;&lt;Author&gt;Board&lt;/Author&gt;&lt;Year&gt;2013&lt;/Year&gt;&lt;RecNum&gt;935&lt;/RecNum&gt;&lt;DisplayText&gt;&lt;style face="superscript"&gt;52&lt;/style&gt;&lt;/DisplayText&gt;&lt;record&gt;&lt;rec-number&gt;935&lt;/rec-number&gt;&lt;foreign-keys&gt;&lt;key app="EN" db-id="sxpszd2ti9dx04ewefrvfp5bpf5faazszr9p" timestamp="0"&gt;935&lt;/key&gt;&lt;/foreign-keys&gt;&lt;ref-type name="Report"&gt;27&lt;/ref-type&gt;&lt;contributors&gt;&lt;authors&gt;&lt;author&gt;NHS Commissioning Board&lt;/author&gt;&lt;/authors&gt;&lt;/contributors&gt;&lt;titles&gt;&lt;title&gt;Commissioning Policy: Ethical framework for priority setting and resource allocation&lt;/title&gt;&lt;/titles&gt;&lt;dates&gt;&lt;year&gt;2013&lt;/year&gt;&lt;/dates&gt;&lt;publisher&gt;NHS England&lt;/publisher&gt;&lt;urls&gt;&lt;/urls&gt;&lt;/record&gt;&lt;/Cite&gt;&lt;/EndNote&gt;</w:instrText>
        </w:r>
        <w:r w:rsidR="00B24FEE">
          <w:fldChar w:fldCharType="separate"/>
        </w:r>
        <w:r w:rsidR="00B24FEE" w:rsidRPr="00B24FEE">
          <w:rPr>
            <w:noProof/>
            <w:vertAlign w:val="superscript"/>
          </w:rPr>
          <w:t>52</w:t>
        </w:r>
        <w:r w:rsidR="00B24FEE">
          <w:fldChar w:fldCharType="end"/>
        </w:r>
      </w:hyperlink>
      <w:r w:rsidRPr="00591BFC">
        <w:t xml:space="preserve">, this suggests that the views of commissioners and providers may not always be in accord. </w:t>
      </w:r>
    </w:p>
    <w:p w14:paraId="1766F7D3" w14:textId="77777777" w:rsidR="00B70DDB" w:rsidRPr="00591BFC" w:rsidRDefault="00B70DDB" w:rsidP="00E86771">
      <w:pPr>
        <w:autoSpaceDE w:val="0"/>
        <w:autoSpaceDN w:val="0"/>
        <w:adjustRightInd w:val="0"/>
        <w:spacing w:after="0" w:line="360" w:lineRule="auto"/>
      </w:pPr>
    </w:p>
    <w:p w14:paraId="643E05EF" w14:textId="79300E5E" w:rsidR="00B70DDB" w:rsidRPr="00591BFC" w:rsidRDefault="00B70DDB" w:rsidP="00E86771">
      <w:pPr>
        <w:autoSpaceDE w:val="0"/>
        <w:autoSpaceDN w:val="0"/>
        <w:adjustRightInd w:val="0"/>
        <w:spacing w:after="0" w:line="360" w:lineRule="auto"/>
      </w:pPr>
      <w:r w:rsidRPr="00591BFC">
        <w:t>This study identified strategies to develop effective business cases that support existing recommendations. Guidance recommends using multiple sources of evidence to construct cases including outcomes data to demonstrate potential cost savings, academic research and national guidelines</w:t>
      </w:r>
      <w:hyperlink w:anchor="_ENREF_54" w:tooltip="Mitchell, 2010 #650" w:history="1">
        <w:r w:rsidR="00B24FEE">
          <w:fldChar w:fldCharType="begin"/>
        </w:r>
        <w:r w:rsidR="00B24FEE">
          <w:instrText xml:space="preserve"> ADDIN EN.CITE &lt;EndNote&gt;&lt;Cite&gt;&lt;Author&gt;Mitchell&lt;/Author&gt;&lt;Year&gt;2010&lt;/Year&gt;&lt;RecNum&gt;650&lt;/RecNum&gt;&lt;DisplayText&gt;&lt;style face="superscript"&gt;54&lt;/style&gt;&lt;/DisplayText&gt;&lt;record&gt;&lt;rec-number&gt;650&lt;/rec-number&gt;&lt;foreign-keys&gt;&lt;key app="EN" db-id="sxpszd2ti9dx04ewefrvfp5bpf5faazszr9p" timestamp="0"&gt;650&lt;/key&gt;&lt;/foreign-keys&gt;&lt;ref-type name="Report"&gt;27&lt;/ref-type&gt;&lt;contributors&gt;&lt;authors&gt;&lt;author&gt;Mitchell, P.&lt;/author&gt;&lt;/authors&gt;&lt;/contributors&gt;&lt;titles&gt;&lt;title&gt;Fracture Liaison Services: resource pack&lt;/title&gt;&lt;/titles&gt;&lt;dates&gt;&lt;year&gt;2010&lt;/year&gt;&lt;/dates&gt;&lt;publisher&gt;Novartis&lt;/publisher&gt;&lt;urls&gt;&lt;/urls&gt;&lt;/record&gt;&lt;/Cite&gt;&lt;/EndNote&gt;</w:instrText>
        </w:r>
        <w:r w:rsidR="00B24FEE">
          <w:fldChar w:fldCharType="separate"/>
        </w:r>
        <w:r w:rsidR="00B24FEE" w:rsidRPr="00B24FEE">
          <w:rPr>
            <w:noProof/>
            <w:vertAlign w:val="superscript"/>
          </w:rPr>
          <w:t>54</w:t>
        </w:r>
        <w:r w:rsidR="00B24FEE">
          <w:fldChar w:fldCharType="end"/>
        </w:r>
      </w:hyperlink>
      <w:r w:rsidRPr="00591BFC">
        <w:t xml:space="preserve"> </w:t>
      </w:r>
      <w:r w:rsidR="00B24FEE">
        <w:fldChar w:fldCharType="begin">
          <w:fldData xml:space="preserve">PEVuZE5vdGU+PENpdGU+PEF1dGhvcj5TaGF3PC9BdXRob3I+PFllYXI+MjAxMzwvWWVhcj48UmVj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</w:fldData>
        </w:fldChar>
      </w:r>
      <w:r w:rsidR="00B24FEE">
        <w:instrText xml:space="preserve"> ADDIN EN.CITE </w:instrText>
      </w:r>
      <w:r w:rsidR="00B24FEE">
        <w:fldChar w:fldCharType="begin">
          <w:fldData xml:space="preserve">PEVuZE5vdGU+PENpdGU+PEF1dGhvcj5TaGF3PC9BdXRob3I+PFllYXI+MjAxMzwvWWVhcj48UmVj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</w:fldData>
        </w:fldChar>
      </w:r>
      <w:r w:rsidR="00B24FEE">
        <w:instrText xml:space="preserve"> ADDIN EN.CITE.DATA </w:instrText>
      </w:r>
      <w:r w:rsidR="00B24FEE">
        <w:fldChar w:fldCharType="end"/>
      </w:r>
      <w:r w:rsidR="00B24FEE">
        <w:fldChar w:fldCharType="separate"/>
      </w:r>
      <w:hyperlink w:anchor="_ENREF_67" w:tooltip="Shaw, 2013 #703" w:history="1">
        <w:r w:rsidR="00B24FEE" w:rsidRPr="00B24FEE">
          <w:rPr>
            <w:noProof/>
            <w:vertAlign w:val="superscript"/>
          </w:rPr>
          <w:t>67</w:t>
        </w:r>
      </w:hyperlink>
      <w:r w:rsidR="00B24FEE" w:rsidRPr="00B24FEE">
        <w:rPr>
          <w:noProof/>
          <w:vertAlign w:val="superscript"/>
        </w:rPr>
        <w:t xml:space="preserve"> </w:t>
      </w:r>
      <w:hyperlink w:anchor="_ENREF_87" w:tooltip="Taylor-Phillips, 2014 #1224" w:history="1">
        <w:r w:rsidR="00B24FEE" w:rsidRPr="00B24FEE">
          <w:rPr>
            <w:noProof/>
            <w:vertAlign w:val="superscript"/>
          </w:rPr>
          <w:t>87</w:t>
        </w:r>
      </w:hyperlink>
      <w:r w:rsidR="00B24FEE">
        <w:fldChar w:fldCharType="end"/>
      </w:r>
      <w:r w:rsidRPr="00591BFC">
        <w:t>. Existing recommendations have also highlighted the importance of developing effective cooperation and communication between the stakeholders involved. Developing a multi-disciplinary working group led by a Clinical Lead has been advocated as a means of achieving this</w:t>
      </w:r>
      <w:r w:rsidR="00B24FEE">
        <w:fldChar w:fldCharType="begin"/>
      </w:r>
      <w:r w:rsidR="00B24FEE">
        <w:instrText xml:space="preserve"> ADDIN EN.CITE &lt;EndNote&gt;&lt;Cite&gt;&lt;Author&gt;Mitchell&lt;/Author&gt;&lt;Year&gt;2010&lt;/Year&gt;&lt;RecNum&gt;650&lt;/RecNum&gt;&lt;DisplayText&gt;&lt;style face="superscript"&gt;54 55&lt;/style&gt;&lt;/DisplayText&gt;&lt;record&gt;&lt;rec-number&gt;650&lt;/rec-number&gt;&lt;foreign-keys&gt;&lt;key app="EN" db-id="sxpszd2ti9dx04ewefrvfp5bpf5faazszr9p" timestamp="0"&gt;650&lt;/key&gt;&lt;/foreign-keys&gt;&lt;ref-type name="Report"&gt;27&lt;/ref-type&gt;&lt;contributors&gt;&lt;authors&gt;&lt;author&gt;Mitchell, P.&lt;/author&gt;&lt;/authors&gt;&lt;/contributors&gt;&lt;titles&gt;&lt;title&gt;Fracture Liaison Services: resource pack&lt;/title&gt;&lt;/titles&gt;&lt;dates&gt;&lt;year&gt;2010&lt;/year&gt;&lt;/dates&gt;&lt;publisher&gt;Novartis&lt;/publisher&gt;&lt;urls&gt;&lt;/urls&gt;&lt;/record&gt;&lt;/Cite&gt;&lt;Cite&gt;&lt;Author&gt;Society&lt;/Author&gt;&lt;Year&gt;2010&lt;/Year&gt;&lt;RecNum&gt;649&lt;/RecNum&gt;&lt;record&gt;&lt;rec-number&gt;649&lt;/rec-number&gt;&lt;foreign-keys&gt;&lt;key app="EN" db-id="sxpszd2ti9dx04ewefrvfp5bpf5faazszr9p" timestamp="0"&gt;649&lt;/key&gt;&lt;/foreign-keys&gt;&lt;ref-type name="Report"&gt;27&lt;/ref-type&gt;&lt;contributors&gt;&lt;authors&gt;&lt;author&gt;National Osteoporosis Society&lt;/author&gt;&lt;/authors&gt;&lt;/contributors&gt;&lt;titles&gt;&lt;title&gt;From zero to FLS: Implementation and beyond &lt;/title&gt;&lt;/titles&gt;&lt;dates&gt;&lt;year&gt;2010&lt;/year&gt;&lt;/dates&gt;&lt;publisher&gt;National Osteoporosis Society&lt;/publisher&gt;&lt;urls&gt;&lt;/urls&gt;&lt;/record&gt;&lt;/Cite&gt;&lt;/EndNote&gt;</w:instrText>
      </w:r>
      <w:r w:rsidR="00B24FEE">
        <w:fldChar w:fldCharType="separate"/>
      </w:r>
      <w:hyperlink w:anchor="_ENREF_54" w:tooltip="Mitchell, 2010 #650" w:history="1">
        <w:r w:rsidR="00B24FEE" w:rsidRPr="00B24FEE">
          <w:rPr>
            <w:noProof/>
            <w:vertAlign w:val="superscript"/>
          </w:rPr>
          <w:t>54</w:t>
        </w:r>
      </w:hyperlink>
      <w:r w:rsidR="00B24FEE" w:rsidRPr="00B24FEE">
        <w:rPr>
          <w:noProof/>
          <w:vertAlign w:val="superscript"/>
        </w:rPr>
        <w:t xml:space="preserve"> </w:t>
      </w:r>
      <w:hyperlink w:anchor="_ENREF_55" w:tooltip="Society, 2010 #649" w:history="1">
        <w:r w:rsidR="00B24FEE" w:rsidRPr="00B24FEE">
          <w:rPr>
            <w:noProof/>
            <w:vertAlign w:val="superscript"/>
          </w:rPr>
          <w:t>55</w:t>
        </w:r>
      </w:hyperlink>
      <w:r w:rsidR="00B24FEE">
        <w:fldChar w:fldCharType="end"/>
      </w:r>
      <w:r w:rsidRPr="00591BFC">
        <w:t xml:space="preserve">.  </w:t>
      </w:r>
    </w:p>
    <w:p w14:paraId="3A768913" w14:textId="77777777" w:rsidR="00B70DDB" w:rsidRPr="00591BFC" w:rsidRDefault="00B70DDB" w:rsidP="00E86771">
      <w:pPr>
        <w:autoSpaceDE w:val="0"/>
        <w:autoSpaceDN w:val="0"/>
        <w:adjustRightInd w:val="0"/>
        <w:spacing w:after="0" w:line="360" w:lineRule="auto"/>
      </w:pPr>
    </w:p>
    <w:p w14:paraId="70758347" w14:textId="0346B730" w:rsidR="00B70DDB" w:rsidRPr="00591BFC" w:rsidRDefault="00B70DDB" w:rsidP="00E86771">
      <w:pPr>
        <w:autoSpaceDE w:val="0"/>
        <w:autoSpaceDN w:val="0"/>
        <w:adjustRightInd w:val="0"/>
        <w:spacing w:after="0" w:line="360" w:lineRule="auto"/>
      </w:pPr>
      <w:r w:rsidRPr="00591BFC">
        <w:t>Findings echo previous research that has suggested clinicians support more integrated working between healthcare purchasers and providers</w:t>
      </w:r>
      <w:hyperlink w:anchor="_ENREF_67" w:tooltip="Shaw, 2013 #703" w:history="1">
        <w:r w:rsidR="00B24FEE">
          <w:fldChar w:fldCharType="begin"/>
        </w:r>
        <w:r w:rsidR="00B24FEE">
          <w:instrText xml:space="preserve"> ADDIN EN.CITE &lt;EndNote&gt;&lt;Cite&gt;&lt;Author&gt;Shaw&lt;/Author&gt;&lt;Year&gt;2013&lt;/Year&gt;&lt;RecNum&gt;703&lt;/RecNum&gt;&lt;DisplayText&gt;&lt;style face="superscript"&gt;67&lt;/style&gt;&lt;/DisplayText&gt;&lt;record&gt;&lt;rec-number&gt;703&lt;/rec-number&gt;&lt;foreign-keys&gt;&lt;key app="EN" db-id="sxpszd2ti9dx04ewefrvfp5bpf5faazszr9p" timestamp="0"&gt;703&lt;/key&gt;&lt;/foreign-keys&gt;&lt;ref-type name="Journal Article"&gt;17&lt;/ref-type&gt;&lt;contributors&gt;&lt;authors&gt;&lt;author&gt;Shaw, Sara E.&lt;/author&gt;&lt;author&gt;Smith, Judith A.&lt;/author&gt;&lt;author&gt;Porter, Alison&lt;/author&gt;&lt;author&gt;Rosen, Rebecca&lt;/author&gt;&lt;author&gt;Mays, Nicholas&lt;/author&gt;&lt;/authors&gt;&lt;/contributors&gt;&lt;auth-address&gt;Queen Mary University of London, London, UK.&lt;/auth-address&gt;&lt;titles&gt;&lt;title&gt;The work of commissioning: a multisite case study of healthcare commissioning in England&amp;apos;s NHS&lt;/title&gt;&lt;secondary-title&gt;BMJ Open&lt;/secondary-title&gt;&lt;/titles&gt;&lt;periodical&gt;&lt;full-title&gt;BMJ Open&lt;/full-title&gt;&lt;/periodical&gt;&lt;pages&gt;e003341-e003341&lt;/pages&gt;&lt;volume&gt;3&lt;/volume&gt;&lt;number&gt;9&lt;/number&gt;&lt;keywords&gt;&lt;keyword&gt;Health Services Administration &amp;amp; Management&lt;/keyword&gt;&lt;keyword&gt;Qualitative Research&lt;/keyword&gt;&lt;/keywords&gt;&lt;dates&gt;&lt;year&gt;2013&lt;/year&gt;&lt;/dates&gt;&lt;pub-location&gt;England&lt;/pub-location&gt;&lt;publisher&gt;BMJ Publishing Group Ltd&lt;/publisher&gt;&lt;isbn&gt;2044-6055&lt;/isbn&gt;&lt;accession-num&gt;24014483&lt;/accession-num&gt;&lt;urls&gt;&lt;related-urls&gt;&lt;url&gt;http://search.ebscohost.com/login.aspx?direct=true&amp;amp;db=cmedm&amp;amp;AN=24014483&amp;amp;site=ehost-live&lt;/url&gt;&lt;/related-urls&gt;&lt;/urls&gt;&lt;electronic-resource-num&gt;10.1136/bmjopen-2013-003341&lt;/electronic-resource-num&gt;&lt;remote-database-name&gt;cmedm&lt;/remote-database-name&gt;&lt;remote-database-provider&gt;EBSCOhost&lt;/remote-database-provider&gt;&lt;/record&gt;&lt;/Cite&gt;&lt;/EndNote&gt;</w:instrText>
        </w:r>
        <w:r w:rsidR="00B24FEE">
          <w:fldChar w:fldCharType="separate"/>
        </w:r>
        <w:r w:rsidR="00B24FEE" w:rsidRPr="00B24FEE">
          <w:rPr>
            <w:noProof/>
            <w:vertAlign w:val="superscript"/>
          </w:rPr>
          <w:t>67</w:t>
        </w:r>
        <w:r w:rsidR="00B24FEE">
          <w:fldChar w:fldCharType="end"/>
        </w:r>
      </w:hyperlink>
      <w:r w:rsidRPr="00591BFC">
        <w:t>. As with this research, existing guidance suggests contacting commissioners early in the process to establish a funding remit for the service</w:t>
      </w:r>
      <w:hyperlink w:anchor="_ENREF_55" w:tooltip="Society, 2010 #649" w:history="1">
        <w:r w:rsidR="00B24FEE">
          <w:fldChar w:fldCharType="begin"/>
        </w:r>
        <w:r w:rsidR="00B24FEE">
          <w:instrText xml:space="preserve"> ADDIN EN.CITE &lt;EndNote&gt;&lt;Cite&gt;&lt;Author&gt;Society&lt;/Author&gt;&lt;Year&gt;2010&lt;/Year&gt;&lt;RecNum&gt;649&lt;/RecNum&gt;&lt;DisplayText&gt;&lt;style face="superscript"&gt;55&lt;/style&gt;&lt;/DisplayText&gt;&lt;record&gt;&lt;rec-number&gt;649&lt;/rec-number&gt;&lt;foreign-keys&gt;&lt;key app="EN" db-id="sxpszd2ti9dx04ewefrvfp5bpf5faazszr9p" timestamp="0"&gt;649&lt;/key&gt;&lt;/foreign-keys&gt;&lt;ref-type name="Report"&gt;27&lt;/ref-type&gt;&lt;contributors&gt;&lt;authors&gt;&lt;author&gt;National Osteoporosis Society&lt;/author&gt;&lt;/authors&gt;&lt;/contributors&gt;&lt;titles&gt;&lt;title&gt;From zero to FLS: Implementation and beyond &lt;/title&gt;&lt;/titles&gt;&lt;dates&gt;&lt;year&gt;2010&lt;/year&gt;&lt;/dates&gt;&lt;publisher&gt;National Osteoporosis Society&lt;/publisher&gt;&lt;urls&gt;&lt;/urls&gt;&lt;/record&gt;&lt;/Cite&gt;&lt;/EndNote&gt;</w:instrText>
        </w:r>
        <w:r w:rsidR="00B24FEE">
          <w:fldChar w:fldCharType="separate"/>
        </w:r>
        <w:r w:rsidR="00B24FEE" w:rsidRPr="00B24FEE">
          <w:rPr>
            <w:noProof/>
            <w:vertAlign w:val="superscript"/>
          </w:rPr>
          <w:t>55</w:t>
        </w:r>
        <w:r w:rsidR="00B24FEE">
          <w:fldChar w:fldCharType="end"/>
        </w:r>
      </w:hyperlink>
      <w:r w:rsidRPr="00591BFC">
        <w:t>. Another suggested strategy has been the introduction of commissioners into the multi-disciplinary working group tasked with developing the case</w:t>
      </w:r>
      <w:hyperlink w:anchor="_ENREF_54" w:tooltip="Mitchell, 2010 #650" w:history="1">
        <w:r w:rsidR="00B24FEE">
          <w:fldChar w:fldCharType="begin"/>
        </w:r>
        <w:r w:rsidR="00B24FEE">
          <w:instrText xml:space="preserve"> ADDIN EN.CITE &lt;EndNote&gt;&lt;Cite&gt;&lt;Author&gt;Mitchell&lt;/Author&gt;&lt;Year&gt;2010&lt;/Year&gt;&lt;RecNum&gt;650&lt;/RecNum&gt;&lt;DisplayText&gt;&lt;style face="superscript"&gt;54&lt;/style&gt;&lt;/DisplayText&gt;&lt;record&gt;&lt;rec-number&gt;650&lt;/rec-number&gt;&lt;foreign-keys&gt;&lt;key app="EN" db-id="sxpszd2ti9dx04ewefrvfp5bpf5faazszr9p" timestamp="0"&gt;650&lt;/key&gt;&lt;/foreign-keys&gt;&lt;ref-type name="Report"&gt;27&lt;/ref-type&gt;&lt;contributors&gt;&lt;authors&gt;&lt;author&gt;Mitchell, P.&lt;/author&gt;&lt;/authors&gt;&lt;/contributors&gt;&lt;titles&gt;&lt;title&gt;Fracture Liaison Services: resource pack&lt;/title&gt;&lt;/titles&gt;&lt;dates&gt;&lt;year&gt;2010&lt;/year&gt;&lt;/dates&gt;&lt;publisher&gt;Novartis&lt;/publisher&gt;&lt;urls&gt;&lt;/urls&gt;&lt;/record&gt;&lt;/Cite&gt;&lt;/EndNote&gt;</w:instrText>
        </w:r>
        <w:r w:rsidR="00B24FEE">
          <w:fldChar w:fldCharType="separate"/>
        </w:r>
        <w:r w:rsidR="00B24FEE" w:rsidRPr="00B24FEE">
          <w:rPr>
            <w:noProof/>
            <w:vertAlign w:val="superscript"/>
          </w:rPr>
          <w:t>54</w:t>
        </w:r>
        <w:r w:rsidR="00B24FEE">
          <w:fldChar w:fldCharType="end"/>
        </w:r>
      </w:hyperlink>
      <w:r w:rsidRPr="00591BFC">
        <w:t>. To enable the clinical lead to work effectively, guidance also recommends introducing protected time for the Clinical Lead and operational service manager to work on the case</w:t>
      </w:r>
      <w:hyperlink w:anchor="_ENREF_54" w:tooltip="Mitchell, 2010 #650" w:history="1">
        <w:r w:rsidR="00B24FEE">
          <w:fldChar w:fldCharType="begin"/>
        </w:r>
        <w:r w:rsidR="00B24FEE">
          <w:instrText xml:space="preserve"> ADDIN EN.CITE &lt;EndNote&gt;&lt;Cite&gt;&lt;Author&gt;Mitchell&lt;/Author&gt;&lt;Year&gt;2010&lt;/Year&gt;&lt;RecNum&gt;650&lt;/RecNum&gt;&lt;DisplayText&gt;&lt;style face="superscript"&gt;54&lt;/style&gt;&lt;/DisplayText&gt;&lt;record&gt;&lt;rec-number&gt;650&lt;/rec-number&gt;&lt;foreign-keys&gt;&lt;key app="EN" db-id="sxpszd2ti9dx04ewefrvfp5bpf5faazszr9p" timestamp="0"&gt;650&lt;/key&gt;&lt;/foreign-keys&gt;&lt;ref-type name="Report"&gt;27&lt;/ref-type&gt;&lt;contributors&gt;&lt;authors&gt;&lt;author&gt;Mitchell, P.&lt;/author&gt;&lt;/authors&gt;&lt;/contributors&gt;&lt;titles&gt;&lt;title&gt;Fracture Liaison Services: resource pack&lt;/title&gt;&lt;/titles&gt;&lt;dates&gt;&lt;year&gt;2010&lt;/year&gt;&lt;/dates&gt;&lt;publisher&gt;Novartis&lt;/publisher&gt;&lt;urls&gt;&lt;/urls&gt;&lt;/record&gt;&lt;/Cite&gt;&lt;/EndNote&gt;</w:instrText>
        </w:r>
        <w:r w:rsidR="00B24FEE">
          <w:fldChar w:fldCharType="separate"/>
        </w:r>
        <w:r w:rsidR="00B24FEE" w:rsidRPr="00B24FEE">
          <w:rPr>
            <w:noProof/>
            <w:vertAlign w:val="superscript"/>
          </w:rPr>
          <w:t>54</w:t>
        </w:r>
        <w:r w:rsidR="00B24FEE">
          <w:fldChar w:fldCharType="end"/>
        </w:r>
      </w:hyperlink>
      <w:r w:rsidRPr="00591BFC">
        <w:t xml:space="preserve">. Doing so would address the lack of time participants identified as a barrier to developing the service. </w:t>
      </w:r>
    </w:p>
    <w:p w14:paraId="673A31C7" w14:textId="77777777" w:rsidR="00B70DDB" w:rsidRPr="00591BFC" w:rsidRDefault="00B70DDB" w:rsidP="00E86771">
      <w:pPr>
        <w:autoSpaceDE w:val="0"/>
        <w:autoSpaceDN w:val="0"/>
        <w:adjustRightInd w:val="0"/>
        <w:spacing w:after="0" w:line="360" w:lineRule="auto"/>
      </w:pPr>
    </w:p>
    <w:p w14:paraId="3E948A37" w14:textId="77777777" w:rsidR="00B70DDB" w:rsidRPr="00591BFC" w:rsidRDefault="00B70DDB" w:rsidP="00E86771">
      <w:pPr>
        <w:pStyle w:val="Heading2"/>
        <w:spacing w:line="360" w:lineRule="auto"/>
        <w:rPr>
          <w:rFonts w:ascii="Calibri" w:hAnsi="Calibri"/>
          <w:lang w:val="en-GB"/>
        </w:rPr>
      </w:pPr>
      <w:bookmarkStart w:id="146" w:name="_Toc308300739"/>
      <w:bookmarkStart w:id="147" w:name="_Toc311366546"/>
      <w:r w:rsidRPr="00591BFC">
        <w:rPr>
          <w:rFonts w:ascii="Calibri" w:hAnsi="Calibri"/>
          <w:lang w:val="en-GB"/>
        </w:rPr>
        <w:t>Strength and limitations for the complete qualitative study</w:t>
      </w:r>
      <w:bookmarkEnd w:id="146"/>
      <w:bookmarkEnd w:id="147"/>
    </w:p>
    <w:p w14:paraId="63874189" w14:textId="77777777" w:rsidR="00B70DDB" w:rsidRPr="00591BFC" w:rsidRDefault="00B70DDB" w:rsidP="00E86771">
      <w:pPr>
        <w:pStyle w:val="NoSpacing"/>
        <w:spacing w:line="360" w:lineRule="auto"/>
      </w:pPr>
    </w:p>
    <w:p w14:paraId="56EA11A4" w14:textId="6B060B38" w:rsidR="00B70DDB" w:rsidRPr="00591BFC" w:rsidRDefault="00B70DDB" w:rsidP="00E86771">
      <w:pPr>
        <w:pStyle w:val="NoSpacing"/>
        <w:spacing w:line="360" w:lineRule="auto"/>
      </w:pPr>
      <w:r w:rsidRPr="00591BFC">
        <w:t>Qualitative research methods were an appropriate means of exploring the views of healthcare professionals and managers on implementing fracture prevention service, identifying effective models of care and making business cases for FLS. Using robust strategies to analyse the data, such as independent double-coding by two researchers, provide confidence that the analysis presented here reflects these views. As stated, the study did not aim to achieve data saturation but used criterion sampling</w:t>
      </w:r>
      <w:hyperlink w:anchor="_ENREF_71" w:tooltip="Baker, 2012 #644" w:history="1">
        <w:r w:rsidR="00B24FEE">
          <w:fldChar w:fldCharType="begin"/>
        </w:r>
        <w:r w:rsidR="00B24FEE">
          <w:instrText xml:space="preserve"> ADDIN EN.CITE &lt;EndNote&gt;&lt;Cite&gt;&lt;Author&gt;Baker&lt;/Author&gt;&lt;Year&gt;2012&lt;/Year&gt;&lt;RecNum&gt;644&lt;/RecNum&gt;&lt;DisplayText&gt;&lt;style face="superscript"&gt;71&lt;/style&gt;&lt;/DisplayText&gt;&lt;record&gt;&lt;rec-number&gt;644&lt;/rec-number&gt;&lt;foreign-keys&gt;&lt;key app="EN" db-id="sxpszd2ti9dx04ewefrvfp5bpf5faazszr9p" timestamp="0"&gt;644&lt;/key&gt;&lt;/foreign-keys&gt;&lt;ref-type name="Report"&gt;27&lt;/ref-type&gt;&lt;contributors&gt;&lt;authors&gt;&lt;author&gt;Baker, S. E., Edwards, R.&lt;/author&gt;&lt;/authors&gt;&lt;/contributors&gt;&lt;titles&gt;&lt;title&gt;How many qualitative interviews is enough?&lt;/title&gt;&lt;/titles&gt;&lt;dates&gt;&lt;year&gt;2012&lt;/year&gt;&lt;/dates&gt;&lt;publisher&gt;National Centre for Research Methods&lt;/publisher&gt;&lt;urls&gt;&lt;/urls&gt;&lt;/record&gt;&lt;/Cite&gt;&lt;Cite&gt;&lt;Author&gt;Baker&lt;/Author&gt;&lt;Year&gt;2012&lt;/Year&gt;&lt;RecNum&gt;644&lt;/RecNum&gt;&lt;record&gt;&lt;rec-number&gt;644&lt;/rec-number&gt;&lt;foreign-keys&gt;&lt;key app="EN" db-id="sxpszd2ti9dx04ewefrvfp5bpf5faazszr9p" timestamp="0"&gt;644&lt;/key&gt;&lt;/foreign-keys&gt;&lt;ref-type name="Report"&gt;27&lt;/ref-type&gt;&lt;contributors&gt;&lt;authors&gt;&lt;author&gt;Baker, S. E., Edwards, R.&lt;/author&gt;&lt;/authors&gt;&lt;/contributors&gt;&lt;titles&gt;&lt;title&gt;How many qualitative interviews is enough?&lt;/title&gt;&lt;/titles&gt;&lt;dates&gt;&lt;year&gt;2012&lt;/year&gt;&lt;/dates&gt;&lt;publisher&gt;National Centre for Research Methods&lt;/publisher&gt;&lt;urls&gt;&lt;/urls&gt;&lt;/record&gt;&lt;/Cite&gt;&lt;/EndNote&gt;</w:instrText>
        </w:r>
        <w:r w:rsidR="00B24FEE">
          <w:fldChar w:fldCharType="separate"/>
        </w:r>
        <w:r w:rsidR="00B24FEE" w:rsidRPr="00B24FEE">
          <w:rPr>
            <w:noProof/>
            <w:vertAlign w:val="superscript"/>
          </w:rPr>
          <w:t>71</w:t>
        </w:r>
        <w:r w:rsidR="00B24FEE">
          <w:fldChar w:fldCharType="end"/>
        </w:r>
      </w:hyperlink>
      <w:r w:rsidRPr="00591BFC">
        <w:t xml:space="preserve"> to explore a diverse range of views and this was successfully achieved. However, the time constraints of service managers meant that we were only able to recruit five participants from this group. Their lack of representation made it difficult to fully examine how their opinions on making business cases differed from other participants. In exploring the implementation of fracture prevention services and experiences of making business cases, participants were asked to recall their experiences and this may have resulted in bias. In addition</w:t>
      </w:r>
      <w:r w:rsidR="00617823" w:rsidRPr="00591BFC">
        <w:t>, the study was limited to one r</w:t>
      </w:r>
      <w:r w:rsidRPr="00591BFC">
        <w:t>egion in England and this could limit the transferability of findings to other areas</w:t>
      </w:r>
      <w:hyperlink w:anchor="_ENREF_88" w:tooltip=",  #950" w:history="1">
        <w:r w:rsidR="00B24FEE">
          <w:fldChar w:fldCharType="begin"/>
        </w:r>
        <w:r w:rsidR="00B24FEE">
          <w:instrText xml:space="preserve"> ADDIN EN.CITE &lt;EndNote&gt;&lt;Cite ExcludeAuth="1" ExcludeYear="1"&gt;&lt;RecNum&gt;950&lt;/RecNum&gt;&lt;DisplayText&gt;&lt;style face="superscript"&gt;88&lt;/style&gt;&lt;/DisplayText&gt;&lt;record&gt;&lt;rec-number&gt;950&lt;/rec-number&gt;&lt;foreign-keys&gt;&lt;key app="EN" db-id="sxpszd2ti9dx04ewefrvfp5bpf5faazszr9p" timestamp="0"&gt;950&lt;/key&gt;&lt;/foreign-keys&gt;&lt;ref-type name="Book"&gt;6&lt;/ref-type&gt;&lt;contributors&gt;&lt;/contributors&gt;&lt;titles&gt;&lt;title&gt;The SAGE Encyclopedia of Qualitative Research Methods. The SAGE Encyclopedia of Qualitative Research Methods. SAGE Publications, Inc&lt;/title&gt;&lt;short-title&gt;The SAGE Encyclopedia of Qualitative Research Methods. The SAGE Encyclopedia of Qualitative Research Methods. SAGE Publications, Inc.&lt;/short-title&gt;&lt;/titles&gt;&lt;dates&gt;&lt;/dates&gt;&lt;pub-location&gt;Thousand Oaks, CA&lt;/pub-location&gt;&lt;publisher&gt;SAGE Publications, Inc.&lt;/publisher&gt;&lt;urls&gt;&lt;related-urls&gt;&lt;url&gt;http://dx.doi.org/10.4135/9781412963909&lt;/url&gt;&lt;/related-urls&gt;&lt;/urls&gt;&lt;electronic-resource-num&gt;doi: http://dx.doi.org/10.4135/9781412963909&lt;/electronic-resource-num&gt;&lt;remote-database-name&gt;SAGE Research Methods&lt;/remote-database-name&gt;&lt;remote-database-provider&gt;SAGE Publications, Inc.&lt;/remote-database-provider&gt;&lt;language&gt;English&lt;/language&gt;&lt;/record&gt;&lt;/Cite&gt;&lt;/EndNote&gt;</w:instrText>
        </w:r>
        <w:r w:rsidR="00B24FEE">
          <w:fldChar w:fldCharType="separate"/>
        </w:r>
        <w:r w:rsidR="00B24FEE" w:rsidRPr="00B24FEE">
          <w:rPr>
            <w:noProof/>
            <w:vertAlign w:val="superscript"/>
          </w:rPr>
          <w:t>88</w:t>
        </w:r>
        <w:r w:rsidR="00B24FEE">
          <w:fldChar w:fldCharType="end"/>
        </w:r>
      </w:hyperlink>
      <w:r w:rsidRPr="00591BFC">
        <w:t>. However, the variat</w:t>
      </w:r>
      <w:r w:rsidR="00617823" w:rsidRPr="00591BFC">
        <w:t xml:space="preserve">ion in </w:t>
      </w:r>
      <w:r w:rsidR="00617823" w:rsidRPr="00591BFC">
        <w:lastRenderedPageBreak/>
        <w:t>service delivery in the r</w:t>
      </w:r>
      <w:r w:rsidRPr="00591BFC">
        <w:t>egion and the homogeneity of views suggest that it is unlikely that this presents a limitation.</w:t>
      </w:r>
    </w:p>
    <w:p w14:paraId="6CB3977E" w14:textId="77777777" w:rsidR="00B70DDB" w:rsidRPr="00591BFC" w:rsidRDefault="00B70DDB" w:rsidP="00E86771">
      <w:pPr>
        <w:autoSpaceDE w:val="0"/>
        <w:autoSpaceDN w:val="0"/>
        <w:adjustRightInd w:val="0"/>
        <w:spacing w:after="0" w:line="360" w:lineRule="auto"/>
        <w:rPr>
          <w:b/>
        </w:rPr>
      </w:pPr>
    </w:p>
    <w:p w14:paraId="40C7B196" w14:textId="21561DE8" w:rsidR="00B70DDB" w:rsidRPr="00591BFC" w:rsidRDefault="00B70DDB" w:rsidP="00E86771">
      <w:pPr>
        <w:autoSpaceDE w:val="0"/>
        <w:autoSpaceDN w:val="0"/>
        <w:adjustRightInd w:val="0"/>
        <w:spacing w:after="0" w:line="360" w:lineRule="auto"/>
      </w:pPr>
      <w:r w:rsidRPr="00591BFC">
        <w:t>Undertaking an abductive analysis</w:t>
      </w:r>
      <w:hyperlink w:anchor="_ENREF_73" w:tooltip="Shank,  #1097" w:history="1">
        <w:r w:rsidR="00B24FEE">
          <w:fldChar w:fldCharType="begin"/>
        </w:r>
        <w:r w:rsidR="00B24FEE">
          <w:instrText xml:space="preserve"> ADDIN EN.CITE &lt;EndNote&gt;&lt;Cite ExcludeYear="1"&gt;&lt;Author&gt;Shank&lt;/Author&gt;&lt;RecNum&gt;1097&lt;/RecNum&gt;&lt;DisplayText&gt;&lt;style face="superscript"&gt;73&lt;/style&gt;&lt;/DisplayText&gt;&lt;record&gt;&lt;rec-number&gt;1097&lt;/rec-number&gt;&lt;foreign-keys&gt;&lt;key app="EN" db-id="sxpszd2ti9dx04ewefrvfp5bpf5faazszr9p" timestamp="0"&gt;1097&lt;/key&gt;&lt;/foreign-keys&gt;&lt;ref-type name="Book"&gt;6&lt;/ref-type&gt;&lt;contributors&gt;&lt;authors&gt;&lt;author&gt;Gary Shank&lt;/author&gt;&lt;/authors&gt;&lt;/contributors&gt;&lt;titles&gt;&lt;title&gt;Abduction. The SAGE Encyclopedia of Qualitative Research Methods. SAGE Publications, Inc&lt;/title&gt;&lt;short-title&gt;Abduction. The SAGE Encyclopedia of Qualitative Research Methods. SAGE Publications, Inc.&lt;/short-title&gt;&lt;/titles&gt;&lt;pages&gt;2-3&lt;/pages&gt;&lt;dates&gt;&lt;/dates&gt;&lt;pub-location&gt;Thousand Oaks, CA&lt;/pub-location&gt;&lt;publisher&gt;SAGE Publications, Inc.&lt;/publisher&gt;&lt;urls&gt;&lt;related-urls&gt;&lt;url&gt;http://dx.doi.org/10.4135/9781412963909&lt;/url&gt;&lt;/related-urls&gt;&lt;/urls&gt;&lt;electronic-resource-num&gt;doi: http://dx.doi.org/10.4135/9781412963909&lt;/electronic-resource-num&gt;&lt;remote-database-name&gt;SAGE Research Methods&lt;/remote-database-name&gt;&lt;remote-database-provider&gt;SAGE Publications, Inc.&lt;/remote-database-provider&gt;&lt;language&gt;English&lt;/language&gt;&lt;/record&gt;&lt;/Cite&gt;&lt;/EndNote&gt;</w:instrText>
        </w:r>
        <w:r w:rsidR="00B24FEE">
          <w:fldChar w:fldCharType="separate"/>
        </w:r>
        <w:r w:rsidR="00B24FEE" w:rsidRPr="00B24FEE">
          <w:rPr>
            <w:noProof/>
            <w:vertAlign w:val="superscript"/>
          </w:rPr>
          <w:t>73</w:t>
        </w:r>
        <w:r w:rsidR="00B24FEE">
          <w:fldChar w:fldCharType="end"/>
        </w:r>
      </w:hyperlink>
      <w:r w:rsidRPr="00591BFC">
        <w:t xml:space="preserve"> to enable us to use extended </w:t>
      </w:r>
      <w:r w:rsidR="006B566C" w:rsidRPr="00591BFC">
        <w:t>NPT</w:t>
      </w:r>
      <w:hyperlink w:anchor="_ENREF_43" w:tooltip="May, 2013 #81" w:history="1">
        <w:r w:rsidR="00B24FEE">
          <w:rPr>
            <w:rFonts w:cs="Tms Rmn"/>
          </w:rPr>
          <w:fldChar w:fldCharType="begin"/>
        </w:r>
        <w:r w:rsidR="00B24FEE">
          <w:rPr>
            <w:rFonts w:cs="Tms Rmn"/>
          </w:rPr>
          <w:instrText xml:space="preserve"> ADDIN EN.CITE &lt;EndNote&gt;&lt;Cite&gt;&lt;Author&gt;May&lt;/Author&gt;&lt;Year&gt;2013&lt;/Year&gt;&lt;RecNum&gt;81&lt;/RecNum&gt;&lt;DisplayText&gt;&lt;style face="superscript"&gt;43&lt;/style&gt;&lt;/DisplayText&gt;&lt;record&gt;&lt;rec-number&gt;81&lt;/rec-number&gt;&lt;foreign-keys&gt;&lt;key app="EN" db-id="sxpszd2ti9dx04ewefrvfp5bpf5faazszr9p" timestamp="0"&gt;81&lt;/key&gt;&lt;/foreign-keys&gt;&lt;ref-type name="Journal Article"&gt;17&lt;/ref-type&gt;&lt;contributors&gt;&lt;authors&gt;&lt;author&gt;May, C.&lt;/author&gt;&lt;/authors&gt;&lt;/contributors&gt;&lt;auth-address&gt;Faculty of Health Sciences, University of Southampton, Building 67 (Nightingale), University Road, Highfield, Southampton SO17 1BJ, UK. c.r.may@soton.ac.uk&lt;/auth-address&gt;&lt;titles&gt;&lt;title&gt;Towards a general theory of implementation&lt;/title&gt;&lt;secondary-title&gt;Implement Sci&lt;/secondary-title&gt;&lt;alt-title&gt;Implementation science : IS&lt;/alt-title&gt;&lt;/titles&gt;&lt;pages&gt;18&lt;/pages&gt;&lt;volume&gt;8&lt;/volume&gt;&lt;edition&gt;2013/02/15&lt;/edition&gt;&lt;keywords&gt;&lt;keyword&gt;Delivery of Health Care/*organization &amp;amp; administration&lt;/keyword&gt;&lt;keyword&gt;*Diffusion of Innovation&lt;/keyword&gt;&lt;keyword&gt;Great Britain&lt;/keyword&gt;&lt;keyword&gt;Health Policy&lt;/keyword&gt;&lt;keyword&gt;Humans&lt;/keyword&gt;&lt;keyword&gt;Organizational Innovation&lt;/keyword&gt;&lt;keyword&gt;Process Assessment (Health Care)/organization &amp;amp; administration&lt;/keyword&gt;&lt;keyword&gt;Qualitative Research&lt;/keyword&gt;&lt;keyword&gt;State Medicine/*organization &amp;amp; administration&lt;/keyword&gt;&lt;/keywords&gt;&lt;dates&gt;&lt;year&gt;2013&lt;/year&gt;&lt;/dates&gt;&lt;isbn&gt;1748-5908&lt;/isbn&gt;&lt;accession-num&gt;23406398&lt;/accession-num&gt;&lt;urls&gt;&lt;/urls&gt;&lt;custom2&gt;Pmc3602092&lt;/custom2&gt;&lt;electronic-resource-num&gt;10.1186/1748-5908-8-18&lt;/electronic-resource-num&gt;&lt;remote-database-provider&gt;Nlm&lt;/remote-database-provider&gt;&lt;language&gt;eng&lt;/language&gt;&lt;/record&gt;&lt;/Cite&gt;&lt;/EndNote&gt;</w:instrText>
        </w:r>
        <w:r w:rsidR="00B24FEE">
          <w:rPr>
            <w:rFonts w:cs="Tms Rmn"/>
          </w:rPr>
          <w:fldChar w:fldCharType="separate"/>
        </w:r>
        <w:r w:rsidR="00B24FEE" w:rsidRPr="00B24FEE">
          <w:rPr>
            <w:rFonts w:cs="Tms Rmn"/>
            <w:noProof/>
            <w:vertAlign w:val="superscript"/>
          </w:rPr>
          <w:t>43</w:t>
        </w:r>
        <w:r w:rsidR="00B24FEE">
          <w:rPr>
            <w:rFonts w:cs="Tms Rmn"/>
          </w:rPr>
          <w:fldChar w:fldCharType="end"/>
        </w:r>
      </w:hyperlink>
      <w:r w:rsidRPr="00591BFC">
        <w:t xml:space="preserve"> is potentially challenging as data must be coded into constructs whilst ensuring that they are not ‘forced’ into pre-defined categories. We avoided this problem by performing an initial inductive analysis</w:t>
      </w:r>
      <w:hyperlink w:anchor="_ENREF_74" w:tooltip="Braun, 2006 #626" w:history="1">
        <w:r w:rsidR="00B24FEE">
          <w:fldChar w:fldCharType="begin"/>
        </w:r>
        <w:r w:rsidR="00B24FEE">
          <w:instrText xml:space="preserve"> ADDIN EN.CITE &lt;EndNote&gt;&lt;Cite&gt;&lt;Author&gt;Braun&lt;/Author&gt;&lt;Year&gt;2006&lt;/Year&gt;&lt;RecNum&gt;626&lt;/RecNum&gt;&lt;DisplayText&gt;&lt;style face="superscript"&gt;74&lt;/style&gt;&lt;/DisplayText&gt;&lt;record&gt;&lt;rec-number&gt;626&lt;/rec-number&gt;&lt;foreign-keys&gt;&lt;key app="EN" db-id="sxpszd2ti9dx04ewefrvfp5bpf5faazszr9p" timestamp="0"&gt;626&lt;/key&gt;&lt;/foreign-keys&gt;&lt;ref-type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ages&gt;77-101&lt;/pages&gt;&lt;volume&gt;3&lt;/volume&gt;&lt;number&gt;2&lt;/number&gt;&lt;dates&gt;&lt;year&gt;2006&lt;/year&gt;&lt;pub-dates&gt;&lt;date&gt;2006/01/01&lt;/date&gt;&lt;/pub-dates&gt;&lt;/dates&gt;&lt;publisher&gt;Routledge&lt;/publisher&gt;&lt;isbn&gt;1478-0887&lt;/isbn&gt;&lt;urls&gt;&lt;related-urls&gt;&lt;url&gt;http://www.tandfonline.com/doi/abs/10.1191/1478088706qp063oa&lt;/url&gt;&lt;/related-urls&gt;&lt;/urls&gt;&lt;electronic-resource-num&gt;10.1191/1478088706qp063oa&lt;/electronic-resource-num&gt;&lt;access-date&gt;2014/05/06&lt;/access-date&gt;&lt;/record&gt;&lt;/Cite&gt;&lt;/EndNote&gt;</w:instrText>
        </w:r>
        <w:r w:rsidR="00B24FEE">
          <w:fldChar w:fldCharType="separate"/>
        </w:r>
        <w:r w:rsidR="00B24FEE" w:rsidRPr="00B24FEE">
          <w:rPr>
            <w:noProof/>
            <w:vertAlign w:val="superscript"/>
          </w:rPr>
          <w:t>74</w:t>
        </w:r>
        <w:r w:rsidR="00B24FEE">
          <w:fldChar w:fldCharType="end"/>
        </w:r>
      </w:hyperlink>
      <w:r w:rsidRPr="00591BFC">
        <w:t xml:space="preserve"> to identify factors that may impact on the implementation of services and then transposing them onto the theory. Doing so meant that any factors that did not ‘fit’ within the theory would have been identified. However, we found that the theory was able to account for all the issues relating to service implementation.</w:t>
      </w:r>
    </w:p>
    <w:p w14:paraId="47F4A839" w14:textId="77777777" w:rsidR="00B70DDB" w:rsidRPr="00591BFC" w:rsidRDefault="00B70DDB" w:rsidP="00E86771">
      <w:pPr>
        <w:autoSpaceDE w:val="0"/>
        <w:autoSpaceDN w:val="0"/>
        <w:adjustRightInd w:val="0"/>
        <w:spacing w:after="0" w:line="360" w:lineRule="auto"/>
      </w:pPr>
    </w:p>
    <w:p w14:paraId="0FE67FA8" w14:textId="77777777" w:rsidR="00B70DDB" w:rsidRPr="00591BFC" w:rsidRDefault="00B70DDB" w:rsidP="00E86771">
      <w:pPr>
        <w:pStyle w:val="Heading2"/>
        <w:spacing w:line="360" w:lineRule="auto"/>
        <w:rPr>
          <w:rFonts w:ascii="Calibri" w:hAnsi="Calibri"/>
          <w:lang w:val="en-GB"/>
        </w:rPr>
      </w:pPr>
      <w:bookmarkStart w:id="148" w:name="_Toc308300740"/>
      <w:bookmarkStart w:id="149" w:name="_Toc311366547"/>
      <w:r w:rsidRPr="00591BFC">
        <w:rPr>
          <w:rFonts w:ascii="Calibri" w:hAnsi="Calibri"/>
          <w:lang w:val="en-GB"/>
        </w:rPr>
        <w:t>Conclusions</w:t>
      </w:r>
      <w:bookmarkEnd w:id="148"/>
      <w:bookmarkEnd w:id="149"/>
    </w:p>
    <w:p w14:paraId="18BC078E" w14:textId="77777777" w:rsidR="00B70DDB" w:rsidRPr="00591BFC" w:rsidRDefault="00B70DDB" w:rsidP="00E86771">
      <w:pPr>
        <w:autoSpaceDE w:val="0"/>
        <w:autoSpaceDN w:val="0"/>
        <w:adjustRightInd w:val="0"/>
        <w:spacing w:after="0" w:line="360" w:lineRule="auto"/>
        <w:rPr>
          <w:b/>
        </w:rPr>
      </w:pPr>
    </w:p>
    <w:p w14:paraId="01A77564" w14:textId="32BE1C0D" w:rsidR="00B70DDB" w:rsidRPr="00591BFC" w:rsidRDefault="00617823" w:rsidP="00E86771">
      <w:pPr>
        <w:autoSpaceDE w:val="0"/>
        <w:autoSpaceDN w:val="0"/>
        <w:adjustRightInd w:val="0"/>
        <w:spacing w:after="0" w:line="360" w:lineRule="auto"/>
      </w:pPr>
      <w:r w:rsidRPr="00591BFC">
        <w:rPr>
          <w:rFonts w:cs="Tms Rmn"/>
        </w:rPr>
        <w:t xml:space="preserve">The study has successfully used extended </w:t>
      </w:r>
      <w:r w:rsidR="006B566C" w:rsidRPr="00591BFC">
        <w:rPr>
          <w:rFonts w:cs="Tms Rmn"/>
        </w:rPr>
        <w:t>NPT</w:t>
      </w:r>
      <w:hyperlink w:anchor="_ENREF_43" w:tooltip="May, 2013 #81" w:history="1">
        <w:r w:rsidR="00B24FEE">
          <w:rPr>
            <w:rFonts w:cs="Tms Rmn"/>
          </w:rPr>
          <w:fldChar w:fldCharType="begin"/>
        </w:r>
        <w:r w:rsidR="00B24FEE">
          <w:rPr>
            <w:rFonts w:cs="Tms Rmn"/>
          </w:rPr>
          <w:instrText xml:space="preserve"> ADDIN EN.CITE &lt;EndNote&gt;&lt;Cite&gt;&lt;Author&gt;May&lt;/Author&gt;&lt;Year&gt;2013&lt;/Year&gt;&lt;RecNum&gt;81&lt;/RecNum&gt;&lt;DisplayText&gt;&lt;style face="superscript"&gt;43&lt;/style&gt;&lt;/DisplayText&gt;&lt;record&gt;&lt;rec-number&gt;81&lt;/rec-number&gt;&lt;foreign-keys&gt;&lt;key app="EN" db-id="sxpszd2ti9dx04ewefrvfp5bpf5faazszr9p" timestamp="0"&gt;81&lt;/key&gt;&lt;/foreign-keys&gt;&lt;ref-type name="Journal Article"&gt;17&lt;/ref-type&gt;&lt;contributors&gt;&lt;authors&gt;&lt;author&gt;May, C.&lt;/author&gt;&lt;/authors&gt;&lt;/contributors&gt;&lt;auth-address&gt;Faculty of Health Sciences, University of Southampton, Building 67 (Nightingale), University Road, Highfield, Southampton SO17 1BJ, UK. c.r.may@soton.ac.uk&lt;/auth-address&gt;&lt;titles&gt;&lt;title&gt;Towards a general theory of implementation&lt;/title&gt;&lt;secondary-title&gt;Implement Sci&lt;/secondary-title&gt;&lt;alt-title&gt;Implementation science : IS&lt;/alt-title&gt;&lt;/titles&gt;&lt;pages&gt;18&lt;/pages&gt;&lt;volume&gt;8&lt;/volume&gt;&lt;edition&gt;2013/02/15&lt;/edition&gt;&lt;keywords&gt;&lt;keyword&gt;Delivery of Health Care/*organization &amp;amp; administration&lt;/keyword&gt;&lt;keyword&gt;*Diffusion of Innovation&lt;/keyword&gt;&lt;keyword&gt;Great Britain&lt;/keyword&gt;&lt;keyword&gt;Health Policy&lt;/keyword&gt;&lt;keyword&gt;Humans&lt;/keyword&gt;&lt;keyword&gt;Organizational Innovation&lt;/keyword&gt;&lt;keyword&gt;Process Assessment (Health Care)/organization &amp;amp; administration&lt;/keyword&gt;&lt;keyword&gt;Qualitative Research&lt;/keyword&gt;&lt;keyword&gt;State Medicine/*organization &amp;amp; administration&lt;/keyword&gt;&lt;/keywords&gt;&lt;dates&gt;&lt;year&gt;2013&lt;/year&gt;&lt;/dates&gt;&lt;isbn&gt;1748-5908&lt;/isbn&gt;&lt;accession-num&gt;23406398&lt;/accession-num&gt;&lt;urls&gt;&lt;/urls&gt;&lt;custom2&gt;Pmc3602092&lt;/custom2&gt;&lt;electronic-resource-num&gt;10.1186/1748-5908-8-18&lt;/electronic-resource-num&gt;&lt;remote-database-provider&gt;Nlm&lt;/remote-database-provider&gt;&lt;language&gt;eng&lt;/language&gt;&lt;/record&gt;&lt;/Cite&gt;&lt;/EndNote&gt;</w:instrText>
        </w:r>
        <w:r w:rsidR="00B24FEE">
          <w:rPr>
            <w:rFonts w:cs="Tms Rmn"/>
          </w:rPr>
          <w:fldChar w:fldCharType="separate"/>
        </w:r>
        <w:r w:rsidR="00B24FEE" w:rsidRPr="00B24FEE">
          <w:rPr>
            <w:rFonts w:cs="Tms Rmn"/>
            <w:noProof/>
            <w:vertAlign w:val="superscript"/>
          </w:rPr>
          <w:t>43</w:t>
        </w:r>
        <w:r w:rsidR="00B24FEE">
          <w:rPr>
            <w:rFonts w:cs="Tms Rmn"/>
          </w:rPr>
          <w:fldChar w:fldCharType="end"/>
        </w:r>
      </w:hyperlink>
      <w:r w:rsidR="00334C58" w:rsidRPr="00591BFC">
        <w:rPr>
          <w:rFonts w:cs="Tms Rmn"/>
        </w:rPr>
        <w:t xml:space="preserve"> </w:t>
      </w:r>
      <w:r w:rsidRPr="00591BFC">
        <w:rPr>
          <w:rFonts w:cs="Tms Rmn"/>
        </w:rPr>
        <w:t>to understand implementation of services for secondary fractures after hip fracture, with a focus on barriers and enablers. Clinicians and service managers described these in some detail, and saw good provision as central to effective care. Drawing on their own experiences, participants identified enthusiasm, leadership, communication and the presence of co-ordinators as key to the introduction and delivery of effective services. Furthermore, given the importance of business case construction for provision of services, we also explored and have described views and experiences of making business cases for FLS. We have highlighted the challenges of business case development and some ways in which these can be addressed. It is hoped that these findings may be used by clinicians and service managers to develop effective fracture prevention services in the future and to make successful business cases for funding of services.</w:t>
      </w:r>
    </w:p>
    <w:p w14:paraId="104F3B72" w14:textId="77777777" w:rsidR="009B1A50" w:rsidRPr="00591BFC" w:rsidRDefault="00617823" w:rsidP="00E86771">
      <w:pPr>
        <w:pStyle w:val="NoSpacing"/>
        <w:spacing w:line="360" w:lineRule="auto"/>
      </w:pPr>
      <w:r w:rsidRPr="00591BFC">
        <w:t xml:space="preserve"> </w:t>
      </w:r>
    </w:p>
    <w:p w14:paraId="4AA84E25" w14:textId="77777777" w:rsidR="00B70DDB" w:rsidRPr="00591BFC" w:rsidRDefault="00F65B93" w:rsidP="00E86771">
      <w:pPr>
        <w:pStyle w:val="Heading1"/>
        <w:spacing w:line="360" w:lineRule="auto"/>
        <w:rPr>
          <w:rFonts w:ascii="Calibri" w:hAnsi="Calibri"/>
          <w:lang w:val="en-GB"/>
        </w:rPr>
      </w:pPr>
      <w:r w:rsidRPr="00591BFC">
        <w:rPr>
          <w:rFonts w:ascii="Calibri" w:hAnsi="Calibri"/>
          <w:lang w:val="en-GB"/>
        </w:rPr>
        <w:br w:type="page"/>
      </w:r>
      <w:bookmarkStart w:id="150" w:name="_Toc308300741"/>
      <w:bookmarkStart w:id="151" w:name="_Toc311366548"/>
      <w:r w:rsidR="00B70DDB" w:rsidRPr="00591BFC">
        <w:rPr>
          <w:rFonts w:ascii="Calibri" w:hAnsi="Calibri"/>
          <w:lang w:val="en-GB"/>
        </w:rPr>
        <w:lastRenderedPageBreak/>
        <w:t>Chapter 4: Data sources</w:t>
      </w:r>
      <w:bookmarkEnd w:id="150"/>
      <w:bookmarkEnd w:id="151"/>
    </w:p>
    <w:p w14:paraId="35CABC98" w14:textId="77777777" w:rsidR="00B70DDB" w:rsidRPr="00591BFC" w:rsidRDefault="00B70DDB" w:rsidP="00E86771">
      <w:pPr>
        <w:pStyle w:val="Heading2"/>
        <w:spacing w:line="360" w:lineRule="auto"/>
        <w:rPr>
          <w:rFonts w:ascii="Calibri" w:hAnsi="Calibri"/>
          <w:lang w:val="en-GB"/>
        </w:rPr>
      </w:pPr>
      <w:bookmarkStart w:id="152" w:name="_Toc308300742"/>
      <w:bookmarkStart w:id="153" w:name="_Toc311366549"/>
      <w:r w:rsidRPr="00591BFC">
        <w:rPr>
          <w:rFonts w:ascii="Calibri" w:hAnsi="Calibri"/>
          <w:lang w:val="en-GB"/>
        </w:rPr>
        <w:t>Introduction: the use of routinely collected data for research</w:t>
      </w:r>
      <w:bookmarkEnd w:id="152"/>
      <w:bookmarkEnd w:id="153"/>
    </w:p>
    <w:p w14:paraId="3DB1D89A" w14:textId="77777777" w:rsidR="00B70DDB" w:rsidRPr="00591BFC" w:rsidRDefault="00B70DDB" w:rsidP="00E86771">
      <w:pPr>
        <w:spacing w:line="360" w:lineRule="auto"/>
      </w:pPr>
      <w:r w:rsidRPr="00591BFC">
        <w:t>Routinely collected health data is widely used by regulators (</w:t>
      </w:r>
      <w:r w:rsidR="00B26452" w:rsidRPr="00591BFC">
        <w:t>Medicines and Healthcare products Regulatory Agency (</w:t>
      </w:r>
      <w:r w:rsidRPr="00591BFC">
        <w:t>MHRA</w:t>
      </w:r>
      <w:r w:rsidR="00B26452" w:rsidRPr="00591BFC">
        <w:t>)</w:t>
      </w:r>
      <w:r w:rsidRPr="00591BFC">
        <w:t xml:space="preserve">, </w:t>
      </w:r>
      <w:r w:rsidR="00935DD3" w:rsidRPr="00591BFC">
        <w:t>European Medicines Agency (</w:t>
      </w:r>
      <w:r w:rsidRPr="00591BFC">
        <w:t>EMA)</w:t>
      </w:r>
      <w:r w:rsidR="00935DD3" w:rsidRPr="00591BFC">
        <w:t>)</w:t>
      </w:r>
      <w:r w:rsidRPr="00591BFC">
        <w:t xml:space="preserve"> and policy makers (such as NICE) to inform disease epidemiology/burden, healthcare resource use, drug or device safety, and real-world use of existing technologies in actual NHS settings.</w:t>
      </w:r>
    </w:p>
    <w:p w14:paraId="6ACF6D6D" w14:textId="77777777" w:rsidR="0068523F" w:rsidRPr="00591BFC" w:rsidRDefault="00B70DDB" w:rsidP="00E86771">
      <w:pPr>
        <w:spacing w:line="360" w:lineRule="auto"/>
      </w:pPr>
      <w:r w:rsidRPr="00591BFC">
        <w:t>There is a breadth of computerised health records data available for research, both in the UK and Europe-wide. Potential sources of such information include drug utilisation databases, primary care records, secondary care outpatient data, hospital admission/s episodes, drug registries (</w:t>
      </w:r>
      <w:r w:rsidRPr="00591BFC">
        <w:rPr>
          <w:i/>
        </w:rPr>
        <w:t>e</w:t>
      </w:r>
      <w:r w:rsidR="00935DD3" w:rsidRPr="00591BFC">
        <w:rPr>
          <w:i/>
        </w:rPr>
        <w:t>.</w:t>
      </w:r>
      <w:r w:rsidRPr="00591BFC">
        <w:rPr>
          <w:i/>
        </w:rPr>
        <w:t>g</w:t>
      </w:r>
      <w:r w:rsidR="00935DD3" w:rsidRPr="00591BFC">
        <w:rPr>
          <w:i/>
        </w:rPr>
        <w:t>.</w:t>
      </w:r>
      <w:r w:rsidRPr="00591BFC">
        <w:t xml:space="preserve"> the </w:t>
      </w:r>
      <w:r w:rsidR="00935DD3" w:rsidRPr="00591BFC">
        <w:t>British Society for Rheumatology Biologics Register)</w:t>
      </w:r>
      <w:r w:rsidRPr="00591BFC">
        <w:t xml:space="preserve"> registry of anti-rheumatic biologic therapies), device registries (</w:t>
      </w:r>
      <w:r w:rsidRPr="00591BFC">
        <w:rPr>
          <w:i/>
        </w:rPr>
        <w:t>e</w:t>
      </w:r>
      <w:r w:rsidR="00935DD3" w:rsidRPr="00591BFC">
        <w:rPr>
          <w:i/>
        </w:rPr>
        <w:t>.</w:t>
      </w:r>
      <w:r w:rsidRPr="00591BFC">
        <w:rPr>
          <w:i/>
        </w:rPr>
        <w:t>g</w:t>
      </w:r>
      <w:r w:rsidR="00935DD3" w:rsidRPr="00591BFC">
        <w:rPr>
          <w:i/>
        </w:rPr>
        <w:t>.</w:t>
      </w:r>
      <w:r w:rsidRPr="00591BFC">
        <w:t xml:space="preserve"> the National Joint Registry), and even patient-centered outcomes as collected during routine clinical practice (the Patient Reported Outcomes database) </w:t>
      </w:r>
      <w:r w:rsidR="00334C58" w:rsidRPr="00591BFC">
        <w:t>(</w:t>
      </w:r>
      <w:r w:rsidRPr="00591BFC">
        <w:t xml:space="preserve">see </w:t>
      </w:r>
      <w:r w:rsidR="00905A57" w:rsidRPr="00591BFC">
        <w:fldChar w:fldCharType="begin"/>
      </w:r>
      <w:r w:rsidR="00905A57" w:rsidRPr="00591BFC">
        <w:instrText xml:space="preserve"> REF _Ref423005459 \h </w:instrText>
      </w:r>
      <w:r w:rsidR="00E814C1" w:rsidRPr="00591BFC">
        <w:instrText xml:space="preserve"> \* MERGEFORMAT </w:instrText>
      </w:r>
      <w:r w:rsidR="00905A57" w:rsidRPr="00591BFC">
        <w:fldChar w:fldCharType="separate"/>
      </w:r>
      <w:r w:rsidR="007B18C0" w:rsidRPr="00591BFC">
        <w:t xml:space="preserve">Figure </w:t>
      </w:r>
      <w:r w:rsidR="007B18C0" w:rsidRPr="00591BFC">
        <w:rPr>
          <w:noProof/>
        </w:rPr>
        <w:t>2</w:t>
      </w:r>
      <w:r w:rsidR="00905A57" w:rsidRPr="00591BFC">
        <w:fldChar w:fldCharType="end"/>
      </w:r>
      <w:r w:rsidR="00334C58" w:rsidRPr="00591BFC">
        <w:t>)</w:t>
      </w:r>
      <w:r w:rsidRPr="00591BFC">
        <w:t>.</w:t>
      </w:r>
    </w:p>
    <w:p w14:paraId="32A5D480" w14:textId="77777777" w:rsidR="00905A57" w:rsidRPr="00591BFC" w:rsidRDefault="002149AD" w:rsidP="00E86771">
      <w:pPr>
        <w:keepNext/>
        <w:spacing w:line="360" w:lineRule="auto"/>
      </w:pPr>
      <w:r>
        <w:rPr>
          <w:noProof/>
          <w:lang w:eastAsia="en-GB"/>
        </w:rPr>
        <w:pict w14:anchorId="71497E01">
          <v:shape id="Picture 11" o:spid="_x0000_i1026" type="#_x0000_t75" style="width:414.25pt;height:311.85pt;visibility:visible">
            <v:imagedata r:id="rId13" o:title=""/>
          </v:shape>
        </w:pict>
      </w:r>
    </w:p>
    <w:p w14:paraId="1ED60D8A" w14:textId="77777777" w:rsidR="00B70DDB" w:rsidRPr="00591BFC" w:rsidRDefault="00905A57" w:rsidP="00E86771">
      <w:pPr>
        <w:pStyle w:val="Caption"/>
        <w:spacing w:line="360" w:lineRule="auto"/>
      </w:pPr>
      <w:bookmarkStart w:id="154" w:name="_Ref423005459"/>
      <w:bookmarkStart w:id="155" w:name="_Toc424650315"/>
      <w:bookmarkStart w:id="156" w:name="_Toc311366704"/>
      <w:r w:rsidRPr="00591BFC">
        <w:t xml:space="preserve">Figure </w:t>
      </w:r>
      <w:r w:rsidR="002149AD">
        <w:fldChar w:fldCharType="begin"/>
      </w:r>
      <w:r w:rsidR="002149AD">
        <w:instrText xml:space="preserve"> SEQ Figure \* ARABIC </w:instrText>
      </w:r>
      <w:r w:rsidR="002149AD">
        <w:fldChar w:fldCharType="separate"/>
      </w:r>
      <w:r w:rsidR="003B2986">
        <w:rPr>
          <w:noProof/>
        </w:rPr>
        <w:t>2</w:t>
      </w:r>
      <w:r w:rsidR="002149AD">
        <w:rPr>
          <w:noProof/>
        </w:rPr>
        <w:fldChar w:fldCharType="end"/>
      </w:r>
      <w:bookmarkEnd w:id="154"/>
      <w:r w:rsidRPr="00591BFC">
        <w:t xml:space="preserve"> Examples of existing sources of routinely collected data in the UK and Europe-wide.</w:t>
      </w:r>
      <w:bookmarkEnd w:id="155"/>
      <w:bookmarkEnd w:id="156"/>
    </w:p>
    <w:p w14:paraId="14D23536" w14:textId="77777777" w:rsidR="00B70DDB" w:rsidRPr="00591BFC" w:rsidRDefault="00B70DDB" w:rsidP="00E86771">
      <w:pPr>
        <w:pStyle w:val="Heading2"/>
        <w:spacing w:line="360" w:lineRule="auto"/>
        <w:rPr>
          <w:rFonts w:ascii="Calibri" w:hAnsi="Calibri"/>
          <w:lang w:val="en-GB"/>
        </w:rPr>
      </w:pPr>
      <w:bookmarkStart w:id="157" w:name="_Toc308300743"/>
      <w:bookmarkStart w:id="158" w:name="_Toc311366550"/>
      <w:r w:rsidRPr="00591BFC">
        <w:rPr>
          <w:rFonts w:ascii="Calibri" w:hAnsi="Calibri"/>
          <w:lang w:val="en-GB"/>
        </w:rPr>
        <w:lastRenderedPageBreak/>
        <w:t>The Clinical Practice Research Datalink (CPRD)</w:t>
      </w:r>
      <w:bookmarkEnd w:id="157"/>
      <w:bookmarkEnd w:id="158"/>
    </w:p>
    <w:p w14:paraId="5F50166E" w14:textId="77777777" w:rsidR="00B70DDB" w:rsidRPr="00591BFC" w:rsidRDefault="00B70DDB" w:rsidP="00E86771">
      <w:pPr>
        <w:pStyle w:val="Heading3"/>
        <w:spacing w:line="360" w:lineRule="auto"/>
        <w:rPr>
          <w:rFonts w:ascii="Calibri" w:hAnsi="Calibri"/>
          <w:lang w:val="en-GB"/>
        </w:rPr>
      </w:pPr>
      <w:bookmarkStart w:id="159" w:name="_Toc308300744"/>
      <w:bookmarkStart w:id="160" w:name="_Toc311366551"/>
      <w:r w:rsidRPr="00591BFC">
        <w:rPr>
          <w:rFonts w:ascii="Calibri" w:hAnsi="Calibri"/>
          <w:lang w:val="en-GB"/>
        </w:rPr>
        <w:t>General practitioners and the NHS: why is CPRD a valuable source of data?</w:t>
      </w:r>
      <w:bookmarkEnd w:id="159"/>
      <w:bookmarkEnd w:id="160"/>
    </w:p>
    <w:p w14:paraId="1E79748C" w14:textId="77777777" w:rsidR="00B70DDB" w:rsidRPr="00591BFC" w:rsidRDefault="00B70DDB" w:rsidP="00E86771">
      <w:pPr>
        <w:spacing w:line="360" w:lineRule="auto"/>
      </w:pPr>
      <w:r w:rsidRPr="00591BFC">
        <w:t xml:space="preserve">Primary care health services play an essential role in the UK </w:t>
      </w:r>
      <w:r w:rsidR="00B26452" w:rsidRPr="00591BFC">
        <w:t>NHS. GPs</w:t>
      </w:r>
      <w:r w:rsidRPr="00591BFC">
        <w:t xml:space="preserve"> working in NHS primary care play the role of gatekeepers to the system: access to secondary care is only possible after referral from a GP practice, with the exception of urgent attention in hospital </w:t>
      </w:r>
      <w:r w:rsidR="003021BC" w:rsidRPr="00591BFC">
        <w:t>Emergency Departments</w:t>
      </w:r>
      <w:r w:rsidRPr="00591BFC">
        <w:t>.</w:t>
      </w:r>
    </w:p>
    <w:p w14:paraId="3478D8A1" w14:textId="77777777" w:rsidR="00B70DDB" w:rsidRPr="00591BFC" w:rsidRDefault="00B70DDB" w:rsidP="00E86771">
      <w:pPr>
        <w:spacing w:line="360" w:lineRule="auto"/>
      </w:pPr>
      <w:r w:rsidRPr="00591BFC">
        <w:t xml:space="preserve">In addition, GPs are a key part of NHS healthcare continuity: they receive clinical letters from secondary care (consultants and other health professionals) to inform or suggest shared therapeutic plans, and they are responsible for most repeat prescriptions for long-term conditions. As part of this, they also receive hospital discharge letters regarding all patients registered with them; the information contained –including inpatient treatments and diagnoses amongst others is then used by GPs to coordinate outpatient care </w:t>
      </w:r>
      <w:r w:rsidR="00334C58" w:rsidRPr="00591BFC">
        <w:t>(</w:t>
      </w:r>
      <w:r w:rsidR="00905A57" w:rsidRPr="00591BFC">
        <w:fldChar w:fldCharType="begin"/>
      </w:r>
      <w:r w:rsidR="00905A57" w:rsidRPr="00591BFC">
        <w:instrText xml:space="preserve"> REF _Ref423005551 \h </w:instrText>
      </w:r>
      <w:r w:rsidR="00E814C1" w:rsidRPr="00591BFC">
        <w:instrText xml:space="preserve"> \* MERGEFORMAT </w:instrText>
      </w:r>
      <w:r w:rsidR="00905A57" w:rsidRPr="00591BFC">
        <w:fldChar w:fldCharType="separate"/>
      </w:r>
      <w:r w:rsidR="00A77A6F" w:rsidRPr="00591BFC">
        <w:t xml:space="preserve">Figure </w:t>
      </w:r>
      <w:r w:rsidR="00A77A6F">
        <w:rPr>
          <w:noProof/>
        </w:rPr>
        <w:t>3</w:t>
      </w:r>
      <w:r w:rsidR="00905A57" w:rsidRPr="00591BFC">
        <w:fldChar w:fldCharType="end"/>
      </w:r>
      <w:r w:rsidR="00334C58" w:rsidRPr="00591BFC">
        <w:t>)</w:t>
      </w:r>
      <w:r w:rsidRPr="00591BFC">
        <w:t xml:space="preserve">. All this adds value to the information gathered in primary care medical records. </w:t>
      </w:r>
    </w:p>
    <w:p w14:paraId="1B1B740E" w14:textId="77777777" w:rsidR="00B70DDB" w:rsidRPr="00591BFC" w:rsidRDefault="00B70DDB" w:rsidP="00E86771">
      <w:pPr>
        <w:spacing w:line="360" w:lineRule="auto"/>
      </w:pPr>
      <w:r w:rsidRPr="00591BFC">
        <w:t>The</w:t>
      </w:r>
      <w:r w:rsidR="00B26452" w:rsidRPr="00591BFC">
        <w:t xml:space="preserve"> CPRD </w:t>
      </w:r>
      <w:r w:rsidRPr="00591BFC">
        <w:t xml:space="preserve">gathers information from computerised primary care records, </w:t>
      </w:r>
      <w:r w:rsidR="00C748C7" w:rsidRPr="00591BFC">
        <w:t xml:space="preserve">which can be </w:t>
      </w:r>
      <w:r w:rsidRPr="00591BFC">
        <w:t xml:space="preserve">enriched with </w:t>
      </w:r>
      <w:r w:rsidR="00FD0AB1" w:rsidRPr="00591BFC">
        <w:t xml:space="preserve">other digital </w:t>
      </w:r>
      <w:r w:rsidRPr="00591BFC">
        <w:t xml:space="preserve">linked </w:t>
      </w:r>
      <w:r w:rsidR="00FD0AB1" w:rsidRPr="00591BFC">
        <w:t>data</w:t>
      </w:r>
      <w:r w:rsidRPr="00591BFC">
        <w:t xml:space="preserve"> from a number of </w:t>
      </w:r>
      <w:r w:rsidR="00FD0AB1" w:rsidRPr="00591BFC">
        <w:t>datasets</w:t>
      </w:r>
      <w:r w:rsidRPr="00591BFC">
        <w:t>, providing a unique source of information for epidemiological research.</w:t>
      </w:r>
    </w:p>
    <w:p w14:paraId="073FEF37" w14:textId="77777777" w:rsidR="00905A57" w:rsidRPr="00591BFC" w:rsidRDefault="002149AD" w:rsidP="00E86771">
      <w:pPr>
        <w:keepNext/>
        <w:spacing w:line="360" w:lineRule="auto"/>
      </w:pPr>
      <w:r>
        <w:rPr>
          <w:noProof/>
          <w:lang w:eastAsia="en-GB"/>
        </w:rPr>
        <w:pict w14:anchorId="2B73D09E">
          <v:shape id="Picture 12" o:spid="_x0000_i1027" type="#_x0000_t75" style="width:422.35pt;height:255.05pt;visibility:visible">
            <v:imagedata r:id="rId14" o:title=""/>
          </v:shape>
        </w:pict>
      </w:r>
    </w:p>
    <w:p w14:paraId="3AC8D850" w14:textId="77777777" w:rsidR="00905A57" w:rsidRPr="00591BFC" w:rsidRDefault="00905A57" w:rsidP="00E86771">
      <w:pPr>
        <w:pStyle w:val="Caption"/>
        <w:spacing w:line="360" w:lineRule="auto"/>
      </w:pPr>
      <w:bookmarkStart w:id="161" w:name="_Ref423005551"/>
      <w:bookmarkStart w:id="162" w:name="_Toc424650316"/>
      <w:bookmarkStart w:id="163" w:name="_Toc311366705"/>
      <w:r w:rsidRPr="00591BFC">
        <w:t xml:space="preserve">Figure </w:t>
      </w:r>
      <w:r w:rsidR="002149AD">
        <w:fldChar w:fldCharType="begin"/>
      </w:r>
      <w:r w:rsidR="002149AD">
        <w:instrText xml:space="preserve"> SEQ Figure \* ARABIC </w:instrText>
      </w:r>
      <w:r w:rsidR="002149AD">
        <w:fldChar w:fldCharType="separate"/>
      </w:r>
      <w:r w:rsidR="003B2986">
        <w:rPr>
          <w:noProof/>
        </w:rPr>
        <w:t>3</w:t>
      </w:r>
      <w:r w:rsidR="002149AD">
        <w:rPr>
          <w:noProof/>
        </w:rPr>
        <w:fldChar w:fldCharType="end"/>
      </w:r>
      <w:bookmarkEnd w:id="161"/>
      <w:r w:rsidRPr="00591BFC">
        <w:t xml:space="preserve"> The role of General Practitioners (GPs) in the NHS, and the flow of information into primary care GP records.</w:t>
      </w:r>
      <w:bookmarkEnd w:id="162"/>
      <w:bookmarkEnd w:id="163"/>
    </w:p>
    <w:p w14:paraId="461F4BE8" w14:textId="77777777" w:rsidR="00B70DDB" w:rsidRPr="00591BFC" w:rsidRDefault="00B70DDB" w:rsidP="00E86771">
      <w:pPr>
        <w:pStyle w:val="Heading3"/>
        <w:spacing w:line="360" w:lineRule="auto"/>
        <w:rPr>
          <w:rFonts w:ascii="Calibri" w:hAnsi="Calibri"/>
          <w:lang w:val="en-GB"/>
        </w:rPr>
      </w:pPr>
      <w:bookmarkStart w:id="164" w:name="_Toc308300745"/>
      <w:bookmarkStart w:id="165" w:name="_Toc311366552"/>
      <w:r w:rsidRPr="00591BFC">
        <w:rPr>
          <w:rFonts w:ascii="Calibri" w:hAnsi="Calibri"/>
          <w:lang w:val="en-GB"/>
        </w:rPr>
        <w:t>The Clinical Practice Research Datalink (CPRD)</w:t>
      </w:r>
      <w:bookmarkEnd w:id="164"/>
      <w:bookmarkEnd w:id="165"/>
    </w:p>
    <w:p w14:paraId="39AFCAC3" w14:textId="77777777" w:rsidR="00B70DDB" w:rsidRPr="00591BFC" w:rsidRDefault="00B70DDB" w:rsidP="00E86771">
      <w:pPr>
        <w:spacing w:line="360" w:lineRule="auto"/>
      </w:pPr>
      <w:r w:rsidRPr="00591BFC">
        <w:t xml:space="preserve">Jointly funded by the National Institute for Health Research (NIHR) and the </w:t>
      </w:r>
      <w:r w:rsidR="00B26452" w:rsidRPr="00591BFC">
        <w:t>MHRA</w:t>
      </w:r>
      <w:r w:rsidRPr="00591BFC">
        <w:t xml:space="preserve">, the CPRD (formerly General Practice Research Datalink, GPRD) is a unique data source, used extensively by </w:t>
      </w:r>
      <w:r w:rsidRPr="00591BFC">
        <w:lastRenderedPageBreak/>
        <w:t>researchers worldwide for observational and interventional research. Such studies have resulted in &gt;900 published articles, and a huge number of conference presentations.</w:t>
      </w:r>
    </w:p>
    <w:p w14:paraId="28027F9F" w14:textId="77777777" w:rsidR="00B70DDB" w:rsidRPr="00591BFC" w:rsidRDefault="00B70DDB" w:rsidP="00E86771">
      <w:pPr>
        <w:spacing w:line="360" w:lineRule="auto"/>
      </w:pPr>
      <w:r w:rsidRPr="00591BFC">
        <w:t>The core CPRD GOLD version of the database was used as the source from which patient-level bespoke datasets were extracted. It comprises anonymised clinical records for a representative &gt;10 million people living in the UK. For this sample, the dataset contains information on any diagnoses (primary and secondary care based) recorded by GPs in primary care records using READ/OXMIS codes, clinical measurements taken in primary care (including body mass index, smoking, alcohol drinking, and others), routine laboratory results, referrals, GP prescriptions (identified using British National Formulary codes), and administrative information (date of registration in the primary care practice, date of death, etc). Encoding of patient identifiers ensures anonymisation of the data.</w:t>
      </w:r>
      <w:r w:rsidR="0068523F" w:rsidRPr="00591BFC">
        <w:t xml:space="preserve"> A full list of </w:t>
      </w:r>
      <w:r w:rsidR="00BB67BB" w:rsidRPr="00591BFC">
        <w:t xml:space="preserve">medical </w:t>
      </w:r>
      <w:r w:rsidR="0068523F" w:rsidRPr="00591BFC">
        <w:t xml:space="preserve">codes </w:t>
      </w:r>
      <w:r w:rsidR="00BB67BB" w:rsidRPr="00591BFC">
        <w:t>used to identify hip fractures</w:t>
      </w:r>
      <w:r w:rsidR="0068523F" w:rsidRPr="00591BFC">
        <w:t xml:space="preserve"> can be found in </w:t>
      </w:r>
      <w:r w:rsidR="00B36F9D" w:rsidRPr="00A77A6F">
        <w:t>A</w:t>
      </w:r>
      <w:r w:rsidR="0068523F" w:rsidRPr="00A77A6F">
        <w:t xml:space="preserve">ppendix </w:t>
      </w:r>
      <w:r w:rsidR="00B36F9D" w:rsidRPr="00A77A6F">
        <w:t>3</w:t>
      </w:r>
      <w:r w:rsidR="0068523F" w:rsidRPr="00A77A6F">
        <w:t>.</w:t>
      </w:r>
      <w:r w:rsidR="0068523F" w:rsidRPr="00591BFC">
        <w:t xml:space="preserve"> </w:t>
      </w:r>
    </w:p>
    <w:p w14:paraId="02E6B601" w14:textId="77777777" w:rsidR="00FD0AB1" w:rsidRPr="00591BFC" w:rsidRDefault="00FD0AB1" w:rsidP="00591278">
      <w:pPr>
        <w:spacing w:line="360" w:lineRule="auto"/>
      </w:pPr>
      <w:r w:rsidRPr="00591BFC">
        <w:t>This variety of data was provided in a number of text files, which have been checked, imported and linked in a database management system (MySQL) using programming (Pytho</w:t>
      </w:r>
      <w:r w:rsidR="00A77A6F">
        <w:t xml:space="preserve">n). The required </w:t>
      </w:r>
      <w:r w:rsidRPr="00591BFC">
        <w:t>variables have then been extracted from the database in the right format to be analysed using conventional statistical packages.</w:t>
      </w:r>
    </w:p>
    <w:p w14:paraId="67E10387" w14:textId="77777777" w:rsidR="00B70DDB" w:rsidRPr="00591BFC" w:rsidRDefault="00B70DDB" w:rsidP="00E86771">
      <w:pPr>
        <w:pStyle w:val="Heading3"/>
        <w:spacing w:line="360" w:lineRule="auto"/>
        <w:rPr>
          <w:rFonts w:ascii="Calibri" w:hAnsi="Calibri"/>
          <w:lang w:val="en-GB"/>
        </w:rPr>
      </w:pPr>
      <w:bookmarkStart w:id="166" w:name="_Toc308300746"/>
      <w:bookmarkStart w:id="167" w:name="_Toc311366553"/>
      <w:r w:rsidRPr="00591BFC">
        <w:rPr>
          <w:rFonts w:ascii="Calibri" w:hAnsi="Calibri"/>
          <w:lang w:val="en-GB"/>
        </w:rPr>
        <w:t>Linked hospital and mortality data</w:t>
      </w:r>
      <w:bookmarkEnd w:id="166"/>
      <w:bookmarkEnd w:id="167"/>
    </w:p>
    <w:p w14:paraId="3E51309B" w14:textId="77777777" w:rsidR="00B70DDB" w:rsidRPr="00591BFC" w:rsidRDefault="00B70DDB" w:rsidP="00E86771">
      <w:pPr>
        <w:spacing w:line="360" w:lineRule="auto"/>
      </w:pPr>
      <w:r w:rsidRPr="00591BFC">
        <w:t>About 60% of the primary care practices contributing to CPRD have agreed to linkage to the Hospital Episode Statistics (HES) and Office of National Statistics (ONS) data. These data sources provide information on hospital admission episodes in NHS hospitals and mortality (date and cause of death) respectively.</w:t>
      </w:r>
    </w:p>
    <w:p w14:paraId="4BC27DA1" w14:textId="77777777" w:rsidR="00B70DDB" w:rsidRPr="00591BFC" w:rsidRDefault="00B70DDB" w:rsidP="00E86771">
      <w:pPr>
        <w:spacing w:line="360" w:lineRule="auto"/>
      </w:pPr>
      <w:r w:rsidRPr="00591BFC">
        <w:t>HES and ONS information was also combined with the core CPRD GOLD dataset to improve the completeness</w:t>
      </w:r>
      <w:r w:rsidR="00FD0AB1" w:rsidRPr="00591BFC">
        <w:t xml:space="preserve"> and accuracy</w:t>
      </w:r>
      <w:r w:rsidRPr="00591BFC">
        <w:t xml:space="preserve"> (of diagnoses, inpatient procedures, and mortality) of the data analysed.</w:t>
      </w:r>
    </w:p>
    <w:p w14:paraId="7F5A62B9" w14:textId="77777777" w:rsidR="00B70DDB" w:rsidRPr="00591BFC" w:rsidRDefault="00B70DDB" w:rsidP="00E86771">
      <w:pPr>
        <w:spacing w:line="360" w:lineRule="auto"/>
      </w:pPr>
    </w:p>
    <w:p w14:paraId="498A6039" w14:textId="77777777" w:rsidR="00B70DDB" w:rsidRPr="00591BFC" w:rsidRDefault="00B70DDB" w:rsidP="00E86771">
      <w:pPr>
        <w:pStyle w:val="Heading2"/>
        <w:spacing w:line="360" w:lineRule="auto"/>
        <w:rPr>
          <w:rFonts w:ascii="Calibri" w:hAnsi="Calibri"/>
          <w:lang w:val="en-GB"/>
        </w:rPr>
      </w:pPr>
      <w:bookmarkStart w:id="168" w:name="_Toc308300747"/>
      <w:bookmarkStart w:id="169" w:name="_Toc311366554"/>
      <w:r w:rsidRPr="00591BFC">
        <w:rPr>
          <w:rFonts w:ascii="Calibri" w:hAnsi="Calibri"/>
          <w:lang w:val="en-GB"/>
        </w:rPr>
        <w:t>Hospital Episode Statistics (HES)</w:t>
      </w:r>
      <w:bookmarkEnd w:id="168"/>
      <w:bookmarkEnd w:id="169"/>
    </w:p>
    <w:p w14:paraId="5C9A3EDA" w14:textId="77777777" w:rsidR="00B70DDB" w:rsidRPr="00591BFC" w:rsidRDefault="00B70DDB" w:rsidP="00E86771">
      <w:pPr>
        <w:pStyle w:val="Heading3"/>
        <w:spacing w:line="360" w:lineRule="auto"/>
        <w:rPr>
          <w:rFonts w:ascii="Calibri" w:hAnsi="Calibri"/>
          <w:lang w:val="en-GB"/>
        </w:rPr>
      </w:pPr>
      <w:bookmarkStart w:id="170" w:name="_Toc308300748"/>
      <w:bookmarkStart w:id="171" w:name="_Toc311366555"/>
      <w:r w:rsidRPr="00591BFC">
        <w:rPr>
          <w:rFonts w:ascii="Calibri" w:hAnsi="Calibri"/>
          <w:lang w:val="en-GB"/>
        </w:rPr>
        <w:t>Introduction</w:t>
      </w:r>
      <w:bookmarkEnd w:id="170"/>
      <w:bookmarkEnd w:id="171"/>
    </w:p>
    <w:p w14:paraId="246A0A5D" w14:textId="77777777" w:rsidR="00B70DDB" w:rsidRPr="00591BFC" w:rsidRDefault="00B70DDB" w:rsidP="00E86771">
      <w:pPr>
        <w:spacing w:line="360" w:lineRule="auto"/>
        <w:rPr>
          <w:bCs/>
        </w:rPr>
      </w:pPr>
      <w:r w:rsidRPr="00591BFC">
        <w:rPr>
          <w:bCs/>
        </w:rPr>
        <w:t>The HES database gathers clinical information on the records for hospital admission episodes in England, including both NHS hospitals and those in the independent sector that are commissioned by the NHS. Data on such episodes ha</w:t>
      </w:r>
      <w:r w:rsidR="00FD0AB1" w:rsidRPr="00591BFC">
        <w:rPr>
          <w:bCs/>
        </w:rPr>
        <w:t>ve</w:t>
      </w:r>
      <w:r w:rsidRPr="00591BFC">
        <w:rPr>
          <w:bCs/>
        </w:rPr>
        <w:t xml:space="preserve"> been recorded from 1987, </w:t>
      </w:r>
      <w:r w:rsidR="00A77A6F">
        <w:rPr>
          <w:bCs/>
        </w:rPr>
        <w:t xml:space="preserve">and only a sample (around 10%) </w:t>
      </w:r>
      <w:r w:rsidRPr="00591BFC">
        <w:rPr>
          <w:bCs/>
        </w:rPr>
        <w:t xml:space="preserve">of the episodes were included before that time. </w:t>
      </w:r>
    </w:p>
    <w:p w14:paraId="131C4B1C" w14:textId="77777777" w:rsidR="00B70DDB" w:rsidRPr="00591BFC" w:rsidRDefault="00B70DDB" w:rsidP="00E86771">
      <w:pPr>
        <w:spacing w:line="360" w:lineRule="auto"/>
        <w:rPr>
          <w:b/>
          <w:bCs/>
        </w:rPr>
      </w:pPr>
      <w:r w:rsidRPr="00591BFC">
        <w:rPr>
          <w:bCs/>
        </w:rPr>
        <w:t xml:space="preserve">Inpatient data </w:t>
      </w:r>
      <w:r w:rsidR="00FD0AB1" w:rsidRPr="00591BFC">
        <w:rPr>
          <w:bCs/>
        </w:rPr>
        <w:t>are</w:t>
      </w:r>
      <w:r w:rsidRPr="00591BFC">
        <w:rPr>
          <w:bCs/>
        </w:rPr>
        <w:t xml:space="preserve"> available from 1989-90 onwards, and</w:t>
      </w:r>
      <w:r w:rsidR="00FD0AB1" w:rsidRPr="00591BFC">
        <w:rPr>
          <w:bCs/>
        </w:rPr>
        <w:t xml:space="preserve"> have been</w:t>
      </w:r>
      <w:r w:rsidRPr="00591BFC">
        <w:rPr>
          <w:bCs/>
        </w:rPr>
        <w:t xml:space="preserve"> delivered initially every financial year, but more recently on a monthly basis. From 2006 data collection and preparation </w:t>
      </w:r>
      <w:r w:rsidR="00FD0AB1" w:rsidRPr="00591BFC">
        <w:rPr>
          <w:bCs/>
        </w:rPr>
        <w:t xml:space="preserve">have been </w:t>
      </w:r>
      <w:r w:rsidRPr="00591BFC">
        <w:rPr>
          <w:bCs/>
        </w:rPr>
        <w:lastRenderedPageBreak/>
        <w:t>undertaken by the Secondary Uses Service, which is part of the Health and Social Care Information Centre (HSCIC).</w:t>
      </w:r>
    </w:p>
    <w:p w14:paraId="3F7A22ED" w14:textId="77777777" w:rsidR="00B70DDB" w:rsidRPr="00591BFC" w:rsidRDefault="00B70DDB" w:rsidP="00E86771">
      <w:pPr>
        <w:spacing w:line="360" w:lineRule="auto"/>
      </w:pPr>
      <w:r w:rsidRPr="00591BFC">
        <w:t xml:space="preserve">The data collected in HES </w:t>
      </w:r>
      <w:r w:rsidR="00FD0AB1" w:rsidRPr="00591BFC">
        <w:t>are</w:t>
      </w:r>
      <w:r w:rsidRPr="00591BFC">
        <w:t xml:space="preserve"> submitted by participating hospitals in all NHS trusts in England for reimbursement purposes. Although it is primarily an administrative database, HES is designed to allow also for secondary use for research.</w:t>
      </w:r>
    </w:p>
    <w:p w14:paraId="4B9AA8F3" w14:textId="77777777" w:rsidR="00B70DDB" w:rsidRPr="00591BFC" w:rsidRDefault="00B70DDB" w:rsidP="00E86771">
      <w:pPr>
        <w:pStyle w:val="Heading3"/>
        <w:spacing w:line="360" w:lineRule="auto"/>
        <w:rPr>
          <w:rFonts w:ascii="Calibri" w:hAnsi="Calibri"/>
          <w:lang w:val="en-GB"/>
        </w:rPr>
      </w:pPr>
      <w:bookmarkStart w:id="172" w:name="_Toc308300749"/>
      <w:bookmarkStart w:id="173" w:name="_Toc311366556"/>
      <w:r w:rsidRPr="00591BFC">
        <w:rPr>
          <w:rFonts w:ascii="Calibri" w:hAnsi="Calibri"/>
          <w:lang w:val="en-GB"/>
        </w:rPr>
        <w:t>Data available in HES</w:t>
      </w:r>
      <w:bookmarkEnd w:id="172"/>
      <w:bookmarkEnd w:id="173"/>
    </w:p>
    <w:p w14:paraId="07505DBA" w14:textId="77777777" w:rsidR="00B70DDB" w:rsidRPr="00591BFC" w:rsidRDefault="00B70DDB" w:rsidP="00E86771">
      <w:pPr>
        <w:spacing w:line="360" w:lineRule="auto"/>
      </w:pPr>
      <w:r w:rsidRPr="00591BFC">
        <w:t xml:space="preserve">For all NHS hospital admission episodes, outpatient and </w:t>
      </w:r>
      <w:r w:rsidR="00FA7660" w:rsidRPr="00591BFC">
        <w:t>Accident and Emergency (</w:t>
      </w:r>
      <w:r w:rsidRPr="00591BFC">
        <w:t>A&amp;E</w:t>
      </w:r>
      <w:r w:rsidR="00FA7660" w:rsidRPr="00591BFC">
        <w:t>)</w:t>
      </w:r>
      <w:r w:rsidRPr="00591BFC">
        <w:t xml:space="preserve"> appointments in England, each HES record contains the following information: </w:t>
      </w:r>
    </w:p>
    <w:p w14:paraId="31286E2E" w14:textId="77777777" w:rsidR="00B70DDB" w:rsidRPr="00591BFC" w:rsidRDefault="00B70DDB" w:rsidP="00E86771">
      <w:pPr>
        <w:pStyle w:val="ListParagraph"/>
        <w:numPr>
          <w:ilvl w:val="0"/>
          <w:numId w:val="18"/>
        </w:numPr>
        <w:spacing w:before="120" w:after="120" w:line="360" w:lineRule="auto"/>
      </w:pPr>
      <w:r w:rsidRPr="00591BFC">
        <w:t>Hospital diagnoses and procedures</w:t>
      </w:r>
    </w:p>
    <w:p w14:paraId="7717AABB" w14:textId="77777777" w:rsidR="00B70DDB" w:rsidRPr="00591BFC" w:rsidRDefault="00B70DDB" w:rsidP="00E86771">
      <w:pPr>
        <w:numPr>
          <w:ilvl w:val="0"/>
          <w:numId w:val="17"/>
        </w:numPr>
        <w:spacing w:before="120" w:after="120" w:line="360" w:lineRule="auto"/>
      </w:pPr>
      <w:r w:rsidRPr="00591BFC">
        <w:t xml:space="preserve">Administrative data: date of admission/discharge, </w:t>
      </w:r>
      <w:r w:rsidR="00A77A6F" w:rsidRPr="00591BFC">
        <w:t>etc.</w:t>
      </w:r>
    </w:p>
    <w:p w14:paraId="61FDC7D6" w14:textId="77777777" w:rsidR="00B70DDB" w:rsidRPr="00591BFC" w:rsidRDefault="00B70DDB" w:rsidP="00E86771">
      <w:pPr>
        <w:spacing w:line="360" w:lineRule="auto"/>
      </w:pPr>
      <w:r w:rsidRPr="00591BFC">
        <w:t xml:space="preserve">Hospital inpatient data </w:t>
      </w:r>
      <w:r w:rsidR="00FD0AB1" w:rsidRPr="00591BFC">
        <w:t>are</w:t>
      </w:r>
      <w:r w:rsidRPr="00591BFC">
        <w:t xml:space="preserve"> available from 1989 onwards, outpatient appointments from 2003, and A&amp;E information is recorded since 2007.</w:t>
      </w:r>
    </w:p>
    <w:p w14:paraId="5FE838FA" w14:textId="77777777" w:rsidR="00B70DDB" w:rsidRPr="00591BFC" w:rsidRDefault="00B70DDB" w:rsidP="00E86771">
      <w:pPr>
        <w:spacing w:line="360" w:lineRule="auto"/>
      </w:pPr>
      <w:r w:rsidRPr="00591BFC">
        <w:t>A bespoke anonymous patient ID (called</w:t>
      </w:r>
      <w:r w:rsidR="00FD0AB1" w:rsidRPr="00591BFC">
        <w:t xml:space="preserve"> gen HESid</w:t>
      </w:r>
      <w:r w:rsidRPr="00591BFC">
        <w:t>) is created for each individual, and used to track patients through the data</w:t>
      </w:r>
      <w:r w:rsidR="00FD0AB1" w:rsidRPr="00591BFC">
        <w:t>set</w:t>
      </w:r>
      <w:r w:rsidRPr="00591BFC">
        <w:t xml:space="preserve"> whilst p</w:t>
      </w:r>
      <w:r w:rsidR="00FD0AB1" w:rsidRPr="00591BFC">
        <w:t>reserving confidentiality. The patid (allocated to each patient from his/her practice)</w:t>
      </w:r>
      <w:r w:rsidRPr="00591BFC">
        <w:t xml:space="preserve"> is used to enable linkage of HES data to other relevant datasets, such as ONS </w:t>
      </w:r>
      <w:r w:rsidR="00B26452" w:rsidRPr="00591BFC">
        <w:t xml:space="preserve">(Office for National Statistics) </w:t>
      </w:r>
      <w:r w:rsidRPr="00591BFC">
        <w:t xml:space="preserve">mortality </w:t>
      </w:r>
      <w:r w:rsidR="00FD0AB1" w:rsidRPr="00591BFC">
        <w:t xml:space="preserve">and </w:t>
      </w:r>
      <w:r w:rsidRPr="00591BFC">
        <w:t>CPRD data.</w:t>
      </w:r>
    </w:p>
    <w:p w14:paraId="6ADEBFA9" w14:textId="77777777" w:rsidR="00B70DDB" w:rsidRPr="00591BFC" w:rsidRDefault="00B70DDB" w:rsidP="00E86771">
      <w:pPr>
        <w:pStyle w:val="Heading3"/>
        <w:spacing w:line="360" w:lineRule="auto"/>
        <w:rPr>
          <w:rFonts w:ascii="Calibri" w:hAnsi="Calibri"/>
          <w:lang w:val="en-GB"/>
        </w:rPr>
      </w:pPr>
      <w:bookmarkStart w:id="174" w:name="_Toc308300750"/>
      <w:bookmarkStart w:id="175" w:name="_Toc311366557"/>
      <w:r w:rsidRPr="00591BFC">
        <w:rPr>
          <w:rFonts w:ascii="Calibri" w:hAnsi="Calibri"/>
          <w:lang w:val="en-GB"/>
        </w:rPr>
        <w:t>Hospital admissions in HES</w:t>
      </w:r>
      <w:bookmarkEnd w:id="174"/>
      <w:bookmarkEnd w:id="175"/>
    </w:p>
    <w:p w14:paraId="7E6BA55C" w14:textId="77777777" w:rsidR="00B70DDB" w:rsidRPr="00591BFC" w:rsidRDefault="00B70DDB" w:rsidP="00E86771">
      <w:pPr>
        <w:spacing w:line="360" w:lineRule="auto"/>
      </w:pPr>
      <w:r w:rsidRPr="00591BFC">
        <w:t xml:space="preserve">Of the different types of information available within the HES database, </w:t>
      </w:r>
      <w:r w:rsidR="00935DD3" w:rsidRPr="00591BFC">
        <w:t>this</w:t>
      </w:r>
      <w:r w:rsidRPr="00591BFC">
        <w:t xml:space="preserve"> study used a dataset including hospital admission episodes. Such records contain information on a primary hospital diagnosis (reason for admission), a number of secondary/concomitant diagnoses (co-morbidity), and a number of in-hospital procedures. </w:t>
      </w:r>
    </w:p>
    <w:p w14:paraId="02B3BB14" w14:textId="77777777" w:rsidR="00B36F9D" w:rsidRPr="00591BFC" w:rsidRDefault="00B70DDB" w:rsidP="00E86771">
      <w:pPr>
        <w:spacing w:line="360" w:lineRule="auto"/>
      </w:pPr>
      <w:r w:rsidRPr="00591BFC">
        <w:t xml:space="preserve">In addition, information on patient complexity used for reimbursement is also available in the form of </w:t>
      </w:r>
      <w:r w:rsidR="00B26452" w:rsidRPr="00591BFC">
        <w:t>Healthcare Resource Group (</w:t>
      </w:r>
      <w:r w:rsidRPr="00591BFC">
        <w:t>HRGs</w:t>
      </w:r>
      <w:r w:rsidR="00B26452" w:rsidRPr="00591BFC">
        <w:t>)</w:t>
      </w:r>
      <w:r w:rsidRPr="00591BFC">
        <w:t>, which can be used to calculate the cost of each hospital admission episode to the NHS.</w:t>
      </w:r>
      <w:r w:rsidR="0068523F" w:rsidRPr="00591BFC">
        <w:t xml:space="preserve"> </w:t>
      </w:r>
    </w:p>
    <w:p w14:paraId="441C9D19" w14:textId="77777777" w:rsidR="00CF2E21" w:rsidRPr="00591BFC" w:rsidRDefault="00F65B93" w:rsidP="00E86771">
      <w:pPr>
        <w:pStyle w:val="Heading1"/>
        <w:spacing w:line="360" w:lineRule="auto"/>
        <w:rPr>
          <w:rFonts w:ascii="Calibri" w:hAnsi="Calibri"/>
          <w:lang w:val="en-GB"/>
        </w:rPr>
      </w:pPr>
      <w:r w:rsidRPr="00591BFC">
        <w:rPr>
          <w:rFonts w:ascii="Calibri" w:hAnsi="Calibri"/>
          <w:b w:val="0"/>
          <w:lang w:val="en-GB"/>
        </w:rPr>
        <w:br w:type="page"/>
      </w:r>
      <w:r w:rsidR="009B1A50" w:rsidRPr="00591BFC">
        <w:rPr>
          <w:rFonts w:ascii="Calibri" w:hAnsi="Calibri"/>
          <w:lang w:val="en-GB"/>
        </w:rPr>
        <w:lastRenderedPageBreak/>
        <w:t xml:space="preserve"> </w:t>
      </w:r>
      <w:bookmarkStart w:id="176" w:name="_Toc308300751"/>
      <w:bookmarkStart w:id="177" w:name="_Toc311366558"/>
      <w:r w:rsidR="00CF2E21" w:rsidRPr="00591BFC">
        <w:rPr>
          <w:rFonts w:ascii="Calibri" w:hAnsi="Calibri"/>
          <w:lang w:val="en-GB"/>
        </w:rPr>
        <w:t xml:space="preserve">Chapter </w:t>
      </w:r>
      <w:r w:rsidR="00BB67BB" w:rsidRPr="00591BFC">
        <w:rPr>
          <w:rFonts w:ascii="Calibri" w:hAnsi="Calibri"/>
          <w:lang w:val="en-GB"/>
        </w:rPr>
        <w:t>5</w:t>
      </w:r>
      <w:r w:rsidR="00CF2E21" w:rsidRPr="00591BFC">
        <w:rPr>
          <w:rFonts w:ascii="Calibri" w:hAnsi="Calibri"/>
          <w:lang w:val="en-GB"/>
        </w:rPr>
        <w:t xml:space="preserve"> Clinical effectiveness of service models of care following hip fracture: natural experimental study</w:t>
      </w:r>
      <w:bookmarkEnd w:id="176"/>
      <w:bookmarkEnd w:id="177"/>
    </w:p>
    <w:p w14:paraId="18C38FB8" w14:textId="77777777" w:rsidR="00CF2E21" w:rsidRPr="00A77A6F" w:rsidRDefault="00CF2E21" w:rsidP="00A77A6F">
      <w:pPr>
        <w:pStyle w:val="Heading2"/>
        <w:spacing w:line="360" w:lineRule="auto"/>
        <w:rPr>
          <w:rFonts w:ascii="Calibri" w:hAnsi="Calibri"/>
          <w:lang w:val="en-GB"/>
        </w:rPr>
      </w:pPr>
      <w:bookmarkStart w:id="178" w:name="_Toc308300752"/>
      <w:bookmarkStart w:id="179" w:name="_Toc311366559"/>
      <w:r w:rsidRPr="00591BFC">
        <w:rPr>
          <w:rFonts w:ascii="Calibri" w:hAnsi="Calibri"/>
          <w:lang w:val="en-GB"/>
        </w:rPr>
        <w:t>Introduction:</w:t>
      </w:r>
      <w:bookmarkEnd w:id="178"/>
      <w:bookmarkEnd w:id="179"/>
      <w:r w:rsidRPr="00591BFC">
        <w:rPr>
          <w:rFonts w:ascii="Calibri" w:hAnsi="Calibri"/>
          <w:lang w:val="en-GB"/>
        </w:rPr>
        <w:t xml:space="preserve"> </w:t>
      </w:r>
    </w:p>
    <w:p w14:paraId="216D42D6" w14:textId="70B36BA0" w:rsidR="00CF2E21" w:rsidRPr="00591BFC" w:rsidRDefault="00CF2E21" w:rsidP="00E86771">
      <w:pPr>
        <w:spacing w:line="360" w:lineRule="auto"/>
        <w:rPr>
          <w:rFonts w:cs="Arial"/>
        </w:rPr>
      </w:pPr>
      <w:r w:rsidRPr="00591BFC">
        <w:rPr>
          <w:rFonts w:cs="Arial"/>
        </w:rPr>
        <w:t>The clinical effectiveness of orthogeriatric and FLS have been previous</w:t>
      </w:r>
      <w:r w:rsidR="00FE067E">
        <w:rPr>
          <w:rFonts w:cs="Arial"/>
        </w:rPr>
        <w:t>ly</w:t>
      </w:r>
      <w:r w:rsidRPr="00591BFC">
        <w:rPr>
          <w:rFonts w:cs="Arial"/>
        </w:rPr>
        <w:t xml:space="preserve"> demonstrated with varying study designs. Two trials from Scotland randomi</w:t>
      </w:r>
      <w:r w:rsidR="001F0197">
        <w:rPr>
          <w:rFonts w:cs="Arial"/>
        </w:rPr>
        <w:t>s</w:t>
      </w:r>
      <w:r w:rsidRPr="00591BFC">
        <w:rPr>
          <w:rFonts w:cs="Arial"/>
        </w:rPr>
        <w:t>ed patients admitted with a hip fracture to either stay on the orthopaedic ward or be transferred to a rehabilitation ward. The rehabilitation ward was characteri</w:t>
      </w:r>
      <w:r w:rsidR="00311CE4" w:rsidRPr="00591BFC">
        <w:rPr>
          <w:rFonts w:cs="Arial"/>
        </w:rPr>
        <w:t>s</w:t>
      </w:r>
      <w:r w:rsidRPr="00591BFC">
        <w:rPr>
          <w:rFonts w:cs="Arial"/>
        </w:rPr>
        <w:t>ed by a weekly case conference and ward round</w:t>
      </w:r>
      <w:r w:rsidR="00311CE4" w:rsidRPr="00591BFC">
        <w:rPr>
          <w:rFonts w:cs="Arial"/>
        </w:rPr>
        <w:t>s</w:t>
      </w:r>
      <w:r w:rsidRPr="00591BFC">
        <w:rPr>
          <w:rFonts w:cs="Arial"/>
        </w:rPr>
        <w:t xml:space="preserve"> by both geriatric and orthopaedic staff, the orthogeriatric mode</w:t>
      </w:r>
      <w:r w:rsidR="00C177BD" w:rsidRPr="00591BFC">
        <w:rPr>
          <w:rFonts w:cs="Arial"/>
        </w:rPr>
        <w:t>l</w:t>
      </w:r>
      <w:r w:rsidR="00B24FEE">
        <w:rPr>
          <w:rFonts w:cs="Arial"/>
        </w:rPr>
        <w:fldChar w:fldCharType="begin">
          <w:fldData xml:space="preserve">PEVuZE5vdGU+PENpdGU+PEF1dGhvcj5LZW5uaWU8L0F1dGhvcj48WWVhcj4xOTg4PC9ZZWFyPjxS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</w:fldData>
        </w:fldChar>
      </w:r>
      <w:r w:rsidR="00B24FEE">
        <w:rPr>
          <w:rFonts w:cs="Arial"/>
        </w:rPr>
        <w:instrText xml:space="preserve"> ADDIN EN.CITE </w:instrText>
      </w:r>
      <w:r w:rsidR="00B24FEE">
        <w:rPr>
          <w:rFonts w:cs="Arial"/>
        </w:rPr>
        <w:fldChar w:fldCharType="begin">
          <w:fldData xml:space="preserve">PEVuZE5vdGU+PENpdGU+PEF1dGhvcj5LZW5uaWU8L0F1dGhvcj48WWVhcj4xOTg4PC9ZZWFyPjxS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</w:fldData>
        </w:fldChar>
      </w:r>
      <w:r w:rsidR="00B24FEE">
        <w:rPr>
          <w:rFonts w:cs="Arial"/>
        </w:rPr>
        <w:instrText xml:space="preserve"> ADDIN EN.CITE.DATA </w:instrText>
      </w:r>
      <w:r w:rsidR="00B24FEE">
        <w:rPr>
          <w:rFonts w:cs="Arial"/>
        </w:rPr>
      </w:r>
      <w:r w:rsidR="00B24FEE">
        <w:rPr>
          <w:rFonts w:cs="Arial"/>
        </w:rPr>
        <w:fldChar w:fldCharType="end"/>
      </w:r>
      <w:r w:rsidR="00B24FEE">
        <w:rPr>
          <w:rFonts w:cs="Arial"/>
        </w:rPr>
      </w:r>
      <w:r w:rsidR="00B24FEE">
        <w:rPr>
          <w:rFonts w:cs="Arial"/>
        </w:rPr>
        <w:fldChar w:fldCharType="separate"/>
      </w:r>
      <w:hyperlink w:anchor="_ENREF_89" w:tooltip="Kennie, 1988 #1144" w:history="1">
        <w:r w:rsidR="00B24FEE" w:rsidRPr="00B24FEE">
          <w:rPr>
            <w:rFonts w:cs="Arial"/>
            <w:noProof/>
            <w:vertAlign w:val="superscript"/>
          </w:rPr>
          <w:t>89</w:t>
        </w:r>
      </w:hyperlink>
      <w:r w:rsidR="00B24FEE" w:rsidRPr="00B24FEE">
        <w:rPr>
          <w:rFonts w:cs="Arial"/>
          <w:noProof/>
          <w:vertAlign w:val="superscript"/>
        </w:rPr>
        <w:t xml:space="preserve"> </w:t>
      </w:r>
      <w:hyperlink w:anchor="_ENREF_90" w:tooltip="Gilchrist, 1988 #1146" w:history="1">
        <w:r w:rsidR="00B24FEE" w:rsidRPr="00B24FEE">
          <w:rPr>
            <w:rFonts w:cs="Arial"/>
            <w:noProof/>
            <w:vertAlign w:val="superscript"/>
          </w:rPr>
          <w:t>90</w:t>
        </w:r>
      </w:hyperlink>
      <w:r w:rsidR="00B24FEE">
        <w:rPr>
          <w:rFonts w:cs="Arial"/>
        </w:rPr>
        <w:fldChar w:fldCharType="end"/>
      </w:r>
      <w:r w:rsidRPr="00591BFC">
        <w:rPr>
          <w:rFonts w:cs="Arial"/>
        </w:rPr>
        <w:t>. One trial demonstrated a significant reduction in discharge to institutional care and length of stay</w:t>
      </w:r>
      <w:hyperlink w:anchor="_ENREF_89" w:tooltip="Kennie, 1988 #1144" w:history="1">
        <w:r w:rsidR="00B24FEE">
          <w:rPr>
            <w:rFonts w:cs="Arial"/>
          </w:rPr>
          <w:fldChar w:fldCharType="begin"/>
        </w:r>
        <w:r w:rsidR="00B24FEE">
          <w:rPr>
            <w:rFonts w:cs="Arial"/>
          </w:rPr>
          <w:instrText xml:space="preserve"> ADDIN EN.CITE &lt;EndNote&gt;&lt;Cite&gt;&lt;Author&gt;Kennie&lt;/Author&gt;&lt;Year&gt;1988&lt;/Year&gt;&lt;RecNum&gt;1144&lt;/RecNum&gt;&lt;DisplayText&gt;&lt;style face="superscript"&gt;89&lt;/style&gt;&lt;/DisplayText&gt;&lt;record&gt;&lt;rec-number&gt;1144&lt;/rec-number&gt;&lt;foreign-keys&gt;&lt;key app="EN" db-id="sxpszd2ti9dx04ewefrvfp5bpf5faazszr9p" timestamp="1435665130"&gt;1144&lt;/key&gt;&lt;/foreign-keys&gt;&lt;ref-type name="Journal Article"&gt;17&lt;/ref-type&gt;&lt;contributors&gt;&lt;authors&gt;&lt;author&gt;Kennie, D. C.&lt;/author&gt;&lt;author&gt;Reid, J.&lt;/author&gt;&lt;author&gt;Richardson, I. R.&lt;/author&gt;&lt;author&gt;Kiamari, A. A.&lt;/author&gt;&lt;author&gt;Kelt, C.&lt;/author&gt;&lt;/authors&gt;&lt;/contributors&gt;&lt;auth-address&gt;Department of Geriatric Medicine, Royal Infirmary, Stirling.&lt;/auth-address&gt;&lt;titles&gt;&lt;title&gt;Effectiveness of geriatric rehabilitative care after fractures of the proximal femur in elderly women: a randomised clinical trial&lt;/title&gt;&lt;secondary-title&gt;BMJ&lt;/secondary-title&gt;&lt;/titles&gt;&lt;periodical&gt;&lt;full-title&gt;BMJ&lt;/full-title&gt;&lt;/periodical&gt;&lt;pages&gt;1083-6&lt;/pages&gt;&lt;volume&gt;297&lt;/volume&gt;&lt;number&gt;6656&lt;/number&gt;&lt;edition&gt;1988/10/29&lt;/edition&gt;&lt;keywords&gt;&lt;keyword&gt;Activities of Daily Living&lt;/keyword&gt;&lt;keyword&gt;Aged&lt;/keyword&gt;&lt;keyword&gt;Aged, 80 and over&lt;/keyword&gt;&lt;keyword&gt;Clinical Trials as Topic&lt;/keyword&gt;&lt;keyword&gt;Female&lt;/keyword&gt;&lt;keyword&gt;Femoral Fractures/*rehabilitation/surgery&lt;/keyword&gt;&lt;keyword&gt;Femur/surgery&lt;/keyword&gt;&lt;keyword&gt;Hospitalization&lt;/keyword&gt;&lt;keyword&gt;Humans&lt;/keyword&gt;&lt;keyword&gt;Length of Stay&lt;/keyword&gt;&lt;keyword&gt;Postoperative Period&lt;/keyword&gt;&lt;keyword&gt;Quality of Health Care&lt;/keyword&gt;&lt;keyword&gt;Random Allocation&lt;/keyword&gt;&lt;/keywords&gt;&lt;dates&gt;&lt;year&gt;1988&lt;/year&gt;&lt;pub-dates&gt;&lt;date&gt;Oct 29&lt;/date&gt;&lt;/pub-dates&gt;&lt;/dates&gt;&lt;isbn&gt;0959-8138 (Print)&amp;#xD;0959-535X (Linking)&lt;/isbn&gt;&lt;accession-num&gt;3143436&lt;/accession-num&gt;&lt;urls&gt;&lt;related-urls&gt;&lt;url&gt;http://www.ncbi.nlm.nih.gov/pubmed/3143436&lt;/url&gt;&lt;/related-urls&gt;&lt;/urls&gt;&lt;custom2&gt;1834847&lt;/custom2&gt;&lt;language&gt;eng&lt;/language&gt;&lt;/record&gt;&lt;/Cite&gt;&lt;/EndNote&gt;</w:instrText>
        </w:r>
        <w:r w:rsidR="00B24FEE">
          <w:rPr>
            <w:rFonts w:cs="Arial"/>
          </w:rPr>
          <w:fldChar w:fldCharType="separate"/>
        </w:r>
        <w:r w:rsidR="00B24FEE" w:rsidRPr="00B24FEE">
          <w:rPr>
            <w:rFonts w:cs="Arial"/>
            <w:noProof/>
            <w:vertAlign w:val="superscript"/>
          </w:rPr>
          <w:t>89</w:t>
        </w:r>
        <w:r w:rsidR="00B24FEE">
          <w:rPr>
            <w:rFonts w:cs="Arial"/>
          </w:rPr>
          <w:fldChar w:fldCharType="end"/>
        </w:r>
      </w:hyperlink>
      <w:r w:rsidRPr="00591BFC">
        <w:rPr>
          <w:rFonts w:cs="Arial"/>
        </w:rPr>
        <w:t>, while the other demonstrated an increased number of co-morbidities diagnosed and treated</w:t>
      </w:r>
      <w:hyperlink w:anchor="_ENREF_90" w:tooltip="Gilchrist, 1988 #1146" w:history="1">
        <w:r w:rsidR="00B24FEE">
          <w:rPr>
            <w:rFonts w:cs="Arial"/>
          </w:rPr>
          <w:fldChar w:fldCharType="begin"/>
        </w:r>
        <w:r w:rsidR="00B24FEE">
          <w:rPr>
            <w:rFonts w:cs="Arial"/>
          </w:rPr>
          <w:instrText xml:space="preserve"> ADDIN EN.CITE &lt;EndNote&gt;&lt;Cite&gt;&lt;Author&gt;Gilchrist&lt;/Author&gt;&lt;Year&gt;1988&lt;/Year&gt;&lt;RecNum&gt;1146&lt;/RecNum&gt;&lt;DisplayText&gt;&lt;style face="superscript"&gt;90&lt;/style&gt;&lt;/DisplayText&gt;&lt;record&gt;&lt;rec-number&gt;1146&lt;/rec-number&gt;&lt;foreign-keys&gt;&lt;key app="EN" db-id="sxpszd2ti9dx04ewefrvfp5bpf5faazszr9p" timestamp="1435665656"&gt;1146&lt;/key&gt;&lt;/foreign-keys&gt;&lt;ref-type name="Journal Article"&gt;17&lt;/ref-type&gt;&lt;contributors&gt;&lt;authors&gt;&lt;author&gt;Gilchrist, W. J.&lt;/author&gt;&lt;author&gt;Newman, R. J.&lt;/author&gt;&lt;author&gt;Hamblen, D. L.&lt;/author&gt;&lt;author&gt;Williams, B. O.&lt;/author&gt;&lt;/authors&gt;&lt;/contributors&gt;&lt;auth-address&gt;Department of Geriatric Medicine, Gartnavel General Hospital, Glasgow.&lt;/auth-address&gt;&lt;titles&gt;&lt;title&gt;Prospective randomised study of an orthopaedic geriatric inpatient service&lt;/title&gt;&lt;secondary-title&gt;BMJ&lt;/secondary-title&gt;&lt;/titles&gt;&lt;periodical&gt;&lt;full-title&gt;BMJ&lt;/full-title&gt;&lt;/periodical&gt;&lt;pages&gt;1116-8&lt;/pages&gt;&lt;volume&gt;297&lt;/volume&gt;&lt;number&gt;6656&lt;/number&gt;&lt;edition&gt;1988/10/29&lt;/edition&gt;&lt;keywords&gt;&lt;keyword&gt;Activities of Daily Living&lt;/keyword&gt;&lt;keyword&gt;Aged&lt;/keyword&gt;&lt;keyword&gt;Clinical Trials as Topic&lt;/keyword&gt;&lt;keyword&gt;Female&lt;/keyword&gt;&lt;keyword&gt;Femoral Fractures/mortality/rehabilitation/*therapy&lt;/keyword&gt;&lt;keyword&gt;Femoral Neck Fractures/mortality/rehabilitation/*therapy&lt;/keyword&gt;&lt;keyword&gt;*Health Services for the Aged/economics&lt;/keyword&gt;&lt;keyword&gt;Hospitalization&lt;/keyword&gt;&lt;keyword&gt;Humans&lt;/keyword&gt;&lt;keyword&gt;Length of Stay&lt;/keyword&gt;&lt;keyword&gt;Patient Transfer&lt;/keyword&gt;&lt;keyword&gt;Quality of Health Care&lt;/keyword&gt;&lt;keyword&gt;Random Allocation&lt;/keyword&gt;&lt;keyword&gt;Scotland&lt;/keyword&gt;&lt;/keywords&gt;&lt;dates&gt;&lt;year&gt;1988&lt;/year&gt;&lt;pub-dates&gt;&lt;date&gt;Oct 29&lt;/date&gt;&lt;/pub-dates&gt;&lt;/dates&gt;&lt;isbn&gt;0959-8138 (Print)&amp;#xD;0959-535X (Linking)&lt;/isbn&gt;&lt;accession-num&gt;3143450&lt;/accession-num&gt;&lt;urls&gt;&lt;related-urls&gt;&lt;url&gt;http://www.ncbi.nlm.nih.gov/pubmed/3143450&lt;/url&gt;&lt;/related-urls&gt;&lt;/urls&gt;&lt;custom2&gt;1834849&lt;/custom2&gt;&lt;language&gt;eng&lt;/language&gt;&lt;/record&gt;&lt;/Cite&gt;&lt;/EndNote&gt;</w:instrText>
        </w:r>
        <w:r w:rsidR="00B24FEE">
          <w:rPr>
            <w:rFonts w:cs="Arial"/>
          </w:rPr>
          <w:fldChar w:fldCharType="separate"/>
        </w:r>
        <w:r w:rsidR="00B24FEE" w:rsidRPr="00B24FEE">
          <w:rPr>
            <w:rFonts w:cs="Arial"/>
            <w:noProof/>
            <w:vertAlign w:val="superscript"/>
          </w:rPr>
          <w:t>90</w:t>
        </w:r>
        <w:r w:rsidR="00B24FEE">
          <w:rPr>
            <w:rFonts w:cs="Arial"/>
          </w:rPr>
          <w:fldChar w:fldCharType="end"/>
        </w:r>
      </w:hyperlink>
      <w:r w:rsidR="00C177BD" w:rsidRPr="00591BFC">
        <w:rPr>
          <w:rFonts w:cs="Arial"/>
        </w:rPr>
        <w:t xml:space="preserve">. </w:t>
      </w:r>
      <w:r w:rsidRPr="00591BFC">
        <w:rPr>
          <w:rFonts w:cs="Arial"/>
        </w:rPr>
        <w:t xml:space="preserve">A retrospective obesrvational study comparing 30 day mortality between 37 Australian centres with and without any type of orthogeriatric service demonstrated that 30 day </w:t>
      </w:r>
      <w:r w:rsidRPr="00591BFC">
        <w:t>mortality was lower in those sites with an orthogeriatric service</w:t>
      </w:r>
      <w:hyperlink w:anchor="_ENREF_91" w:tooltip="Zeltzer, 2014 #1147" w:history="1">
        <w:r w:rsidR="00B24FEE">
          <w:fldChar w:fldCharType="begin">
            <w:fldData xml:space="preserve">PEVuZE5vdGU+PENpdGU+PEF1dGhvcj5aZWx0emVyPC9BdXRob3I+PFllYXI+MjAxNDwvWWVhcj48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</w:fldData>
          </w:fldChar>
        </w:r>
        <w:r w:rsidR="00B24FEE">
          <w:instrText xml:space="preserve"> ADDIN EN.CITE </w:instrText>
        </w:r>
        <w:r w:rsidR="00B24FEE">
          <w:fldChar w:fldCharType="begin">
            <w:fldData xml:space="preserve">PEVuZE5vdGU+PENpdGU+PEF1dGhvcj5aZWx0emVyPC9BdXRob3I+PFllYXI+MjAxNDwvWWVhcj48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</w:fldData>
          </w:fldChar>
        </w:r>
        <w:r w:rsidR="00B24FEE">
          <w:instrText xml:space="preserve"> ADDIN EN.CITE.DATA </w:instrText>
        </w:r>
        <w:r w:rsidR="00B24FEE">
          <w:fldChar w:fldCharType="end"/>
        </w:r>
        <w:r w:rsidR="00B24FEE">
          <w:fldChar w:fldCharType="separate"/>
        </w:r>
        <w:r w:rsidR="00B24FEE" w:rsidRPr="00B24FEE">
          <w:rPr>
            <w:noProof/>
            <w:vertAlign w:val="superscript"/>
          </w:rPr>
          <w:t>91</w:t>
        </w:r>
        <w:r w:rsidR="00B24FEE">
          <w:fldChar w:fldCharType="end"/>
        </w:r>
      </w:hyperlink>
      <w:r w:rsidRPr="00591BFC">
        <w:t xml:space="preserve">. While Charlson co-morbidities were recorded a number of key potential confounders such as pre-fracture health status and deprivation were not recorded in addition the presence/ absence of an orthogeriatric service did not affect mortality in major trauma centres. </w:t>
      </w:r>
    </w:p>
    <w:p w14:paraId="77A9E009" w14:textId="62C65B71" w:rsidR="00CF2E21" w:rsidRPr="00591BFC" w:rsidRDefault="00CF2E21" w:rsidP="00E86771">
      <w:pPr>
        <w:spacing w:line="360" w:lineRule="auto"/>
        <w:rPr>
          <w:rFonts w:cs="Arial"/>
        </w:rPr>
      </w:pPr>
      <w:r w:rsidRPr="00591BFC">
        <w:rPr>
          <w:rFonts w:cs="Arial"/>
        </w:rPr>
        <w:t>In terms of secondary fracture prevention, the current literature has confirmed that well-meaning patient and/or physician education strategies are ineffective</w:t>
      </w:r>
      <w:hyperlink w:anchor="_ENREF_92" w:tooltip="Sale, 2011 #554" w:history="1">
        <w:r w:rsidR="00B24FEE">
          <w:rPr>
            <w:rFonts w:cs="Arial"/>
          </w:rPr>
          <w:fldChar w:fldCharType="begin">
            <w:fldData xml:space="preserve">PEVuZE5vdGU+PENpdGU+PEF1dGhvcj5TYWxlPC9BdXRob3I+PFllYXI+MjAxMTwvWWVhcj48UmVj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=
</w:fldData>
          </w:fldChar>
        </w:r>
        <w:r w:rsidR="00B24FEE">
          <w:rPr>
            <w:rFonts w:cs="Arial"/>
          </w:rPr>
          <w:instrText xml:space="preserve"> ADDIN EN.CITE </w:instrText>
        </w:r>
        <w:r w:rsidR="00B24FEE">
          <w:rPr>
            <w:rFonts w:cs="Arial"/>
          </w:rPr>
          <w:fldChar w:fldCharType="begin">
            <w:fldData xml:space="preserve">PEVuZE5vdGU+PENpdGU+PEF1dGhvcj5TYWxlPC9BdXRob3I+PFllYXI+MjAxMTwvWWVhcj48UmVj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=
</w:fldData>
          </w:fldChar>
        </w:r>
        <w:r w:rsidR="00B24FEE">
          <w:rPr>
            <w:rFonts w:cs="Arial"/>
          </w:rPr>
          <w:instrText xml:space="preserve"> ADDIN EN.CITE.DATA </w:instrText>
        </w:r>
        <w:r w:rsidR="00B24FEE">
          <w:rPr>
            <w:rFonts w:cs="Arial"/>
          </w:rPr>
        </w:r>
        <w:r w:rsidR="00B24FEE">
          <w:rPr>
            <w:rFonts w:cs="Arial"/>
          </w:rPr>
          <w:fldChar w:fldCharType="end"/>
        </w:r>
        <w:r w:rsidR="00B24FEE">
          <w:rPr>
            <w:rFonts w:cs="Arial"/>
          </w:rPr>
        </w:r>
        <w:r w:rsidR="00B24FEE">
          <w:rPr>
            <w:rFonts w:cs="Arial"/>
          </w:rPr>
          <w:fldChar w:fldCharType="separate"/>
        </w:r>
        <w:r w:rsidR="00B24FEE" w:rsidRPr="00B24FEE">
          <w:rPr>
            <w:rFonts w:cs="Arial"/>
            <w:noProof/>
            <w:vertAlign w:val="superscript"/>
          </w:rPr>
          <w:t>92</w:t>
        </w:r>
        <w:r w:rsidR="00B24FEE">
          <w:rPr>
            <w:rFonts w:cs="Arial"/>
          </w:rPr>
          <w:fldChar w:fldCharType="end"/>
        </w:r>
      </w:hyperlink>
      <w:r w:rsidRPr="00591BFC">
        <w:rPr>
          <w:rFonts w:cs="Arial"/>
        </w:rPr>
        <w:t>. The current consensus supports more intensive service models of specialist nurse led services</w:t>
      </w:r>
      <w:r w:rsidR="00B24FEE">
        <w:rPr>
          <w:rFonts w:cs="Arial"/>
        </w:rPr>
        <w:fldChar w:fldCharType="begin"/>
      </w:r>
      <w:r w:rsidR="00B24FEE">
        <w:rPr>
          <w:rFonts w:cs="Arial"/>
        </w:rPr>
        <w:instrText xml:space="preserve"> ADDIN EN.CITE &lt;EndNote&gt;&lt;Cite&gt;&lt;Author&gt;Eisman&lt;/Author&gt;&lt;Year&gt;2012&lt;/Year&gt;&lt;RecNum&gt;1083&lt;/RecNum&gt;&lt;DisplayText&gt;&lt;style face="superscript"&gt;10 32&lt;/style&gt;&lt;/DisplayText&gt;&lt;record&gt;&lt;rec-number&gt;1083&lt;/rec-number&gt;&lt;foreign-keys&gt;&lt;key app="EN" db-id="sxpszd2ti9dx04ewefrvfp5bpf5faazszr9p" timestamp="0"&gt;1083&lt;/key&gt;&lt;/foreign-keys&gt;&lt;ref-type name="Journal Article"&gt;17&lt;/ref-type&gt;&lt;contributors&gt;&lt;authors&gt;&lt;author&gt;Eisman, J. A. et al.&lt;/author&gt;&lt;/authors&gt;&lt;/contributors&gt;&lt;titles&gt;&lt;title&gt;Supporting Appendix A: Making the first fracture the last fracture: ASBMR task force report on secondary fracture prevention&lt;/title&gt;&lt;secondary-title&gt;Journal of Bone and Mineral Research&lt;/secondary-title&gt;&lt;/titles&gt;&lt;pages&gt;2039 - 2046&lt;/pages&gt;&lt;volume&gt;27&lt;/volume&gt;&lt;number&gt;10&lt;/number&gt;&lt;dates&gt;&lt;year&gt;2012&lt;/year&gt;&lt;/dates&gt;&lt;urls&gt;&lt;/urls&gt;&lt;/record&gt;&lt;/Cite&gt;&lt;Cite&gt;&lt;Author&gt;Marsh&lt;/Author&gt;&lt;Year&gt;2011&lt;/Year&gt;&lt;RecNum&gt;18&lt;/RecNum&gt;&lt;record&gt;&lt;rec-number&gt;18&lt;/rec-number&gt;&lt;foreign-keys&gt;&lt;key app="EN" db-id="sxpszd2ti9dx04ewefrvfp5bpf5faazszr9p" timestamp="0"&gt;18&lt;/key&gt;&lt;/foreign-keys&gt;&lt;ref-type name="Journal Article"&gt;17&lt;/ref-type&gt;&lt;contributors&gt;&lt;authors&gt;&lt;author&gt;Marsh, D.&lt;/author&gt;&lt;author&gt;Åkesson, K.&lt;/author&gt;&lt;author&gt;Beaton, D.&lt;/author&gt;&lt;author&gt;Bogoch, E.&lt;/author&gt;&lt;author&gt;Boonen, S.&lt;/author&gt;&lt;author&gt;Brandi, M. L.&lt;/author&gt;&lt;author&gt;McLellan, A.&lt;/author&gt;&lt;author&gt;Mitchell, P.&lt;/author&gt;&lt;author&gt;Sale, J.&lt;/author&gt;&lt;author&gt;Wahl, D.&lt;/author&gt;&lt;/authors&gt;&lt;/contributors&gt;&lt;titles&gt;&lt;title&gt;Coordinator-based systems for secondary prevention in fragility fracture patients&lt;/title&gt;&lt;secondary-title&gt;Osteoporosis International&lt;/secondary-title&gt;&lt;/titles&gt;&lt;pages&gt;2051-2065&lt;/pages&gt;&lt;volume&gt;22&lt;/volume&gt;&lt;number&gt;7&lt;/number&gt;&lt;keywords&gt;&lt;keyword&gt;Medicine&lt;/keyword&gt;&lt;/keywords&gt;&lt;dates&gt;&lt;year&gt;2011&lt;/year&gt;&lt;/dates&gt;&lt;publisher&gt;Springer London&lt;/publisher&gt;&lt;isbn&gt;0937-941X&lt;/isbn&gt;&lt;urls&gt;&lt;related-urls&gt;&lt;url&gt;http://dx.doi.org/10.1007/s00198-011-1642-x&lt;/url&gt;&lt;/related-urls&gt;&lt;/urls&gt;&lt;electronic-resource-num&gt;10.1007/s00198-011-1642-x&lt;/electronic-resource-num&gt;&lt;/record&gt;&lt;/Cite&gt;&lt;/EndNote&gt;</w:instrText>
      </w:r>
      <w:r w:rsidR="00B24FEE">
        <w:rPr>
          <w:rFonts w:cs="Arial"/>
        </w:rPr>
        <w:fldChar w:fldCharType="separate"/>
      </w:r>
      <w:hyperlink w:anchor="_ENREF_10" w:tooltip="Marsh, 2011 #18" w:history="1">
        <w:r w:rsidR="00B24FEE" w:rsidRPr="00B24FEE">
          <w:rPr>
            <w:rFonts w:cs="Arial"/>
            <w:noProof/>
            <w:vertAlign w:val="superscript"/>
          </w:rPr>
          <w:t>10</w:t>
        </w:r>
      </w:hyperlink>
      <w:r w:rsidR="00B24FEE" w:rsidRPr="00B24FEE">
        <w:rPr>
          <w:rFonts w:cs="Arial"/>
          <w:noProof/>
          <w:vertAlign w:val="superscript"/>
        </w:rPr>
        <w:t xml:space="preserve"> </w:t>
      </w:r>
      <w:hyperlink w:anchor="_ENREF_32" w:tooltip="Eisman, 2012 #1083" w:history="1">
        <w:r w:rsidR="00B24FEE" w:rsidRPr="00B24FEE">
          <w:rPr>
            <w:rFonts w:cs="Arial"/>
            <w:noProof/>
            <w:vertAlign w:val="superscript"/>
          </w:rPr>
          <w:t>32</w:t>
        </w:r>
      </w:hyperlink>
      <w:r w:rsidR="00B24FEE">
        <w:rPr>
          <w:rFonts w:cs="Arial"/>
        </w:rPr>
        <w:fldChar w:fldCharType="end"/>
      </w:r>
      <w:r w:rsidR="00C177BD" w:rsidRPr="00591BFC">
        <w:rPr>
          <w:rFonts w:cs="Arial"/>
        </w:rPr>
        <w:t>:</w:t>
      </w:r>
      <w:r w:rsidRPr="00591BFC">
        <w:rPr>
          <w:rFonts w:cs="Arial"/>
        </w:rPr>
        <w:t xml:space="preserve"> </w:t>
      </w:r>
    </w:p>
    <w:p w14:paraId="4B04A05F" w14:textId="69DE279D" w:rsidR="00CF2E21" w:rsidRPr="00591BFC" w:rsidRDefault="00CF2E21" w:rsidP="00E86771">
      <w:pPr>
        <w:numPr>
          <w:ilvl w:val="0"/>
          <w:numId w:val="20"/>
        </w:numPr>
        <w:spacing w:line="360" w:lineRule="auto"/>
        <w:rPr>
          <w:rFonts w:cs="Arial"/>
        </w:rPr>
      </w:pPr>
      <w:r w:rsidRPr="00591BFC">
        <w:rPr>
          <w:rFonts w:cs="Arial"/>
        </w:rPr>
        <w:t>Observed differences in hip fracture rates before and after introduction of a fracture prevention service: South California S Permanente, USA, has demonstrated a 37% reduction in hip fracture rates with an associated x2-6 increase in DXA rates and prescribing rates</w:t>
      </w:r>
      <w:hyperlink w:anchor="_ENREF_93" w:tooltip="Dell, 2008 #39" w:history="1">
        <w:r w:rsidR="00B24FEE">
          <w:rPr>
            <w:rFonts w:cs="Arial"/>
          </w:rPr>
          <w:fldChar w:fldCharType="begin"/>
        </w:r>
        <w:r w:rsidR="00B24FEE">
          <w:rPr>
            <w:rFonts w:cs="Arial"/>
          </w:rPr>
          <w:instrText xml:space="preserve"> ADDIN EN.CITE &lt;EndNote&gt;&lt;Cite&gt;&lt;Author&gt;Dell&lt;/Author&gt;&lt;Year&gt;2008&lt;/Year&gt;&lt;RecNum&gt;39&lt;/RecNum&gt;&lt;DisplayText&gt;&lt;style face="superscript"&gt;93&lt;/style&gt;&lt;/DisplayText&gt;&lt;record&gt;&lt;rec-number&gt;39&lt;/rec-number&gt;&lt;foreign-keys&gt;&lt;key app="EN" db-id="sxpszd2ti9dx04ewefrvfp5bpf5faazszr9p" timestamp="0"&gt;39&lt;/key&gt;&lt;/foreign-keys&gt;&lt;ref-type name="Journal Article"&gt;17&lt;/ref-type&gt;&lt;contributors&gt;&lt;authors&gt;&lt;author&gt;Dell, R. Greene, D. Schelkun, S. R. Williams, K.&lt;/author&gt;&lt;/authors&gt;&lt;/contributors&gt;&lt;titles&gt;&lt;title&gt;Osteoporosis disease management: the role of the orthopaedic surgeon&lt;/title&gt;&lt;secondary-title&gt;J Bone Joint Surg Am&lt;/secondary-title&gt;&lt;short-title&gt;MEDLINE&lt;/short-title&gt;&lt;/titles&gt;&lt;periodical&gt;&lt;full-title&gt;J Bone Joint Surg Am&lt;/full-title&gt;&lt;/periodical&gt;&lt;pages&gt;188-94&lt;/pages&gt;&lt;volume&gt;90&lt;/volume&gt;&lt;number&gt;Suppl 4&lt;/number&gt;&lt;dates&gt;&lt;year&gt;2008&lt;/year&gt;&lt;/dates&gt;&lt;urls&gt;&lt;pdf-urls&gt;&lt;url&gt;Dell, Richard&lt;/url&gt;&lt;url&gt;Greene, Denise&lt;/url&gt;&lt;url&gt;Schelkun, Steven R&lt;/url&gt;&lt;url&gt;Williams, Kathy&lt;/url&gt;&lt;/pdf-urls&gt;&lt;/urls&gt;&lt;remote-database-name&gt;Ovid MEDLINE(R)&lt;/remote-database-name&gt;&lt;remote-database-provider&gt;2008 Nov&lt;/remote-database-provider&gt;&lt;/record&gt;&lt;/Cite&gt;&lt;/EndNote&gt;</w:instrText>
        </w:r>
        <w:r w:rsidR="00B24FEE">
          <w:rPr>
            <w:rFonts w:cs="Arial"/>
          </w:rPr>
          <w:fldChar w:fldCharType="separate"/>
        </w:r>
        <w:r w:rsidR="00B24FEE" w:rsidRPr="00B24FEE">
          <w:rPr>
            <w:rFonts w:cs="Arial"/>
            <w:noProof/>
            <w:vertAlign w:val="superscript"/>
          </w:rPr>
          <w:t>93</w:t>
        </w:r>
        <w:r w:rsidR="00B24FEE">
          <w:rPr>
            <w:rFonts w:cs="Arial"/>
          </w:rPr>
          <w:fldChar w:fldCharType="end"/>
        </w:r>
      </w:hyperlink>
      <w:r w:rsidR="00110CE2" w:rsidRPr="00591BFC">
        <w:rPr>
          <w:rFonts w:cs="Arial"/>
        </w:rPr>
        <w:t xml:space="preserve">. </w:t>
      </w:r>
      <w:r w:rsidRPr="00591BFC">
        <w:rPr>
          <w:rFonts w:cs="Arial"/>
        </w:rPr>
        <w:t>However, there was no contemporary control arm and only 3 pre-intervention data points to accurately model an exponential fracture rate trajectory. Importantly, the Kaiser secondary fracture prevention model requires an integrated information system linking hospital admissions, primary care physician visits, bone density scanning and pharmacy dispensing to case find, assess, initiate and detect discontinuation, which, while an aspiration, is not available within the NHS at present.</w:t>
      </w:r>
    </w:p>
    <w:p w14:paraId="0B8933F5" w14:textId="77777777" w:rsidR="00CF2E21" w:rsidRPr="00591BFC" w:rsidRDefault="00CF2E21" w:rsidP="00E86771">
      <w:pPr>
        <w:spacing w:line="360" w:lineRule="auto"/>
        <w:rPr>
          <w:rFonts w:cs="Arial"/>
        </w:rPr>
      </w:pPr>
    </w:p>
    <w:p w14:paraId="299AF082" w14:textId="77777777" w:rsidR="00CF2E21" w:rsidRPr="00591BFC" w:rsidRDefault="00CF2E21" w:rsidP="00E86771">
      <w:pPr>
        <w:numPr>
          <w:ilvl w:val="0"/>
          <w:numId w:val="20"/>
        </w:numPr>
        <w:spacing w:line="360" w:lineRule="auto"/>
        <w:rPr>
          <w:rFonts w:cs="Arial"/>
        </w:rPr>
      </w:pPr>
      <w:r w:rsidRPr="00591BFC">
        <w:rPr>
          <w:rFonts w:cs="Arial"/>
        </w:rPr>
        <w:t xml:space="preserve">Using osteoporosis drug therapy rates: </w:t>
      </w:r>
    </w:p>
    <w:p w14:paraId="38096F0A" w14:textId="32BD3FAD" w:rsidR="00CF2E21" w:rsidRPr="00591BFC" w:rsidRDefault="00CF2E21" w:rsidP="00E86771">
      <w:pPr>
        <w:numPr>
          <w:ilvl w:val="2"/>
          <w:numId w:val="20"/>
        </w:numPr>
        <w:spacing w:line="360" w:lineRule="auto"/>
        <w:rPr>
          <w:rFonts w:cs="Arial"/>
        </w:rPr>
      </w:pPr>
      <w:r w:rsidRPr="00591BFC">
        <w:rPr>
          <w:rFonts w:cs="Arial"/>
        </w:rPr>
        <w:lastRenderedPageBreak/>
        <w:t>The Glasgow Fracture Liaison Service, UK, used 8 year audit data to inform an Markov model of secondary fracture prevention</w:t>
      </w:r>
      <w:hyperlink w:anchor="_ENREF_20" w:tooltip="McLellan, 2011 #45" w:history="1">
        <w:r w:rsidR="00B24FEE">
          <w:rPr>
            <w:rFonts w:cs="Arial"/>
          </w:rPr>
          <w:fldChar w:fldCharType="begin"/>
        </w:r>
        <w:r w:rsidR="00B24FEE">
          <w:rPr>
            <w:rFonts w:cs="Arial"/>
          </w:rPr>
          <w:instrText xml:space="preserve"> ADDIN EN.CITE &lt;EndNote&gt;&lt;Cite&gt;&lt;Author&gt;McLellan&lt;/Author&gt;&lt;Year&gt;2011&lt;/Year&gt;&lt;RecNum&gt;45&lt;/RecNum&gt;&lt;DisplayText&gt;&lt;style face="superscript"&gt;20&lt;/style&gt;&lt;/DisplayText&gt;&lt;record&gt;&lt;rec-number&gt;45&lt;/rec-number&gt;&lt;foreign-keys&gt;&lt;key app="EN" db-id="sxpszd2ti9dx04ewefrvfp5bpf5faazszr9p" timestamp="0"&gt;45&lt;/key&gt;&lt;/foreign-keys&gt;&lt;ref-type name="Journal Article"&gt;17&lt;/ref-type&gt;&lt;contributors&gt;&lt;authors&gt;&lt;author&gt;McLellan, A.&lt;/author&gt;&lt;author&gt;Wolowacz, S.&lt;/author&gt;&lt;author&gt;Zimovetz, E.&lt;/author&gt;&lt;author&gt;Beard, S.&lt;/author&gt;&lt;author&gt;Lock, S.&lt;/author&gt;&lt;author&gt;McCrink, L.&lt;/author&gt;&lt;author&gt;Adekunle, F.&lt;/author&gt;&lt;author&gt;Roberts, D.&lt;/author&gt;&lt;/authors&gt;&lt;/contributors&gt;&lt;titles&gt;&lt;title&gt;Fracture liaison services for the evaluation and management of patients with osteoporotic fracture: a cost-effectiveness evaluation based on data collected over 8 years of service provision&lt;/title&gt;&lt;secondary-title&gt;Osteoporosis International&lt;/secondary-title&gt;&lt;/titles&gt;&lt;pages&gt;2083-2098&lt;/pages&gt;&lt;volume&gt;22&lt;/volume&gt;&lt;number&gt;7&lt;/number&gt;&lt;keywords&gt;&lt;keyword&gt;Medicine&lt;/keyword&gt;&lt;/keywords&gt;&lt;dates&gt;&lt;year&gt;2011&lt;/year&gt;&lt;/dates&gt;&lt;publisher&gt;Springer London&lt;/publisher&gt;&lt;isbn&gt;0937-941X&lt;/isbn&gt;&lt;urls&gt;&lt;related-urls&gt;&lt;url&gt;http://dx.doi.org/10.1007/s00198-011-1534-0&lt;/url&gt;&lt;/related-urls&gt;&lt;/urls&gt;&lt;electronic-resource-num&gt;10.1007/s00198-011-1534-0&lt;/electronic-resource-num&gt;&lt;/record&gt;&lt;/Cite&gt;&lt;/EndNote&gt;</w:instrText>
        </w:r>
        <w:r w:rsidR="00B24FEE">
          <w:rPr>
            <w:rFonts w:cs="Arial"/>
          </w:rPr>
          <w:fldChar w:fldCharType="separate"/>
        </w:r>
        <w:r w:rsidR="00B24FEE" w:rsidRPr="00B24FEE">
          <w:rPr>
            <w:rFonts w:cs="Arial"/>
            <w:noProof/>
            <w:vertAlign w:val="superscript"/>
          </w:rPr>
          <w:t>20</w:t>
        </w:r>
        <w:r w:rsidR="00B24FEE">
          <w:rPr>
            <w:rFonts w:cs="Arial"/>
          </w:rPr>
          <w:fldChar w:fldCharType="end"/>
        </w:r>
      </w:hyperlink>
      <w:r w:rsidRPr="00591BFC">
        <w:rPr>
          <w:rFonts w:cs="Arial"/>
        </w:rPr>
        <w:t xml:space="preserve">. Using this model they were able to demonstrate only a 7% reduction in fractures at 5 years. However, the prescribing rate in the control group was estimated from national audit data; all patients were assumed to remain on treatment for 5 years despite no active monitoring programme; the effect of treatment on fracture rate reductions was estimated using published trials; the benefit for 5 more years as an off-treatment effect was assumed but remains unproven in clinical studies. In addition those unable to take oral bisphosphonates were not switched to injectable therapies that are now available but kept on oral calcium and vitamin D </w:t>
      </w:r>
      <w:r w:rsidR="00A77A6F" w:rsidRPr="00591BFC">
        <w:rPr>
          <w:rFonts w:cs="Arial"/>
        </w:rPr>
        <w:t>supplements;</w:t>
      </w:r>
      <w:r w:rsidRPr="00591BFC">
        <w:rPr>
          <w:rFonts w:cs="Arial"/>
        </w:rPr>
        <w:t xml:space="preserve"> this resulted in a disappointing 54% initiation rate. </w:t>
      </w:r>
    </w:p>
    <w:p w14:paraId="5CF594DE" w14:textId="3FA7C1BF" w:rsidR="00CF2E21" w:rsidRPr="00591BFC" w:rsidRDefault="00CF2E21" w:rsidP="00E86771">
      <w:pPr>
        <w:numPr>
          <w:ilvl w:val="2"/>
          <w:numId w:val="20"/>
        </w:numPr>
        <w:spacing w:line="360" w:lineRule="auto"/>
        <w:rPr>
          <w:rFonts w:cs="Arial"/>
        </w:rPr>
      </w:pPr>
      <w:r w:rsidRPr="00591BFC">
        <w:rPr>
          <w:rFonts w:cs="Arial"/>
        </w:rPr>
        <w:t>Alberta, Canada, alternated the presence of a fracture liaison nurse between 2 emergency centres every month for patients presenting with a wrist fracture. They demonstrated significant improvements in prescribing of bone agents 34/55 [62%] vs. 8/47 [17%]. However the trial was stopped prematurely because of the clear benefit in treatment initiation before effects on bone density or fracture rates could be assessed</w:t>
      </w:r>
      <w:hyperlink w:anchor="_ENREF_94" w:tooltip="Majumdar, 2009 #1137" w:history="1">
        <w:r w:rsidR="00B24FEE">
          <w:rPr>
            <w:rFonts w:cs="Arial"/>
          </w:rPr>
          <w:fldChar w:fldCharType="begin">
            <w:fldData xml:space="preserve">PEVuZE5vdGU+PENpdGU+PEF1dGhvcj5NYWp1bWRhcjwvQXV0aG9yPjxZZWFyPjIwMDk8L1llYXI+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==
</w:fldData>
          </w:fldChar>
        </w:r>
        <w:r w:rsidR="00B24FEE">
          <w:rPr>
            <w:rFonts w:cs="Arial"/>
          </w:rPr>
          <w:instrText xml:space="preserve"> ADDIN EN.CITE </w:instrText>
        </w:r>
        <w:r w:rsidR="00B24FEE">
          <w:rPr>
            <w:rFonts w:cs="Arial"/>
          </w:rPr>
          <w:fldChar w:fldCharType="begin">
            <w:fldData xml:space="preserve">PEVuZE5vdGU+PENpdGU+PEF1dGhvcj5NYWp1bWRhcjwvQXV0aG9yPjxZZWFyPjIwMDk8L1llYXI+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==
</w:fldData>
          </w:fldChar>
        </w:r>
        <w:r w:rsidR="00B24FEE">
          <w:rPr>
            <w:rFonts w:cs="Arial"/>
          </w:rPr>
          <w:instrText xml:space="preserve"> ADDIN EN.CITE.DATA </w:instrText>
        </w:r>
        <w:r w:rsidR="00B24FEE">
          <w:rPr>
            <w:rFonts w:cs="Arial"/>
          </w:rPr>
        </w:r>
        <w:r w:rsidR="00B24FEE">
          <w:rPr>
            <w:rFonts w:cs="Arial"/>
          </w:rPr>
          <w:fldChar w:fldCharType="end"/>
        </w:r>
        <w:r w:rsidR="00B24FEE">
          <w:rPr>
            <w:rFonts w:cs="Arial"/>
          </w:rPr>
        </w:r>
        <w:r w:rsidR="00B24FEE">
          <w:rPr>
            <w:rFonts w:cs="Arial"/>
          </w:rPr>
          <w:fldChar w:fldCharType="separate"/>
        </w:r>
        <w:r w:rsidR="00B24FEE" w:rsidRPr="00B24FEE">
          <w:rPr>
            <w:rFonts w:cs="Arial"/>
            <w:noProof/>
            <w:vertAlign w:val="superscript"/>
          </w:rPr>
          <w:t>94</w:t>
        </w:r>
        <w:r w:rsidR="00B24FEE">
          <w:rPr>
            <w:rFonts w:cs="Arial"/>
          </w:rPr>
          <w:fldChar w:fldCharType="end"/>
        </w:r>
      </w:hyperlink>
      <w:r w:rsidR="00110CE2" w:rsidRPr="00591BFC">
        <w:rPr>
          <w:rFonts w:cs="Arial"/>
        </w:rPr>
        <w:t xml:space="preserve">. </w:t>
      </w:r>
      <w:r w:rsidRPr="00591BFC">
        <w:rPr>
          <w:rFonts w:cs="Arial"/>
        </w:rPr>
        <w:t xml:space="preserve">Patients with cognitive impairment or patient admitted to hospital were excluded and no health economic data were collected. </w:t>
      </w:r>
    </w:p>
    <w:p w14:paraId="545CF85E" w14:textId="6D02C34E" w:rsidR="00CF2E21" w:rsidRPr="00591BFC" w:rsidRDefault="00CF2E21" w:rsidP="00E86771">
      <w:pPr>
        <w:numPr>
          <w:ilvl w:val="2"/>
          <w:numId w:val="20"/>
        </w:numPr>
        <w:spacing w:line="360" w:lineRule="auto"/>
        <w:rPr>
          <w:rFonts w:cs="Arial"/>
        </w:rPr>
      </w:pPr>
      <w:r w:rsidRPr="00591BFC">
        <w:rPr>
          <w:rFonts w:cs="Arial"/>
        </w:rPr>
        <w:t>Toronto have published cost effectiveness results on treatment initiation and one-year adherence rates in coordinator vs. non-coordinator settings and demonstrated significant cost savings</w:t>
      </w:r>
      <w:hyperlink w:anchor="_ENREF_95" w:tooltip="Sander, 2008 #1148" w:history="1">
        <w:r w:rsidR="00B24FEE">
          <w:rPr>
            <w:rFonts w:cs="Arial"/>
          </w:rPr>
          <w:fldChar w:fldCharType="begin">
            <w:fldData xml:space="preserve">PEVuZE5vdGU+PENpdGU+PEF1dGhvcj5TYW5kZXI8L0F1dGhvcj48WWVhcj4yMDA4PC9ZZWFyPjxS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</w:fldData>
          </w:fldChar>
        </w:r>
        <w:r w:rsidR="00B24FEE">
          <w:rPr>
            <w:rFonts w:cs="Arial"/>
          </w:rPr>
          <w:instrText xml:space="preserve"> ADDIN EN.CITE </w:instrText>
        </w:r>
        <w:r w:rsidR="00B24FEE">
          <w:rPr>
            <w:rFonts w:cs="Arial"/>
          </w:rPr>
          <w:fldChar w:fldCharType="begin">
            <w:fldData xml:space="preserve">PEVuZE5vdGU+PENpdGU+PEF1dGhvcj5TYW5kZXI8L0F1dGhvcj48WWVhcj4yMDA4PC9ZZWFyPjxS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</w:fldData>
          </w:fldChar>
        </w:r>
        <w:r w:rsidR="00B24FEE">
          <w:rPr>
            <w:rFonts w:cs="Arial"/>
          </w:rPr>
          <w:instrText xml:space="preserve"> ADDIN EN.CITE.DATA </w:instrText>
        </w:r>
        <w:r w:rsidR="00B24FEE">
          <w:rPr>
            <w:rFonts w:cs="Arial"/>
          </w:rPr>
        </w:r>
        <w:r w:rsidR="00B24FEE">
          <w:rPr>
            <w:rFonts w:cs="Arial"/>
          </w:rPr>
          <w:fldChar w:fldCharType="end"/>
        </w:r>
        <w:r w:rsidR="00B24FEE">
          <w:rPr>
            <w:rFonts w:cs="Arial"/>
          </w:rPr>
        </w:r>
        <w:r w:rsidR="00B24FEE">
          <w:rPr>
            <w:rFonts w:cs="Arial"/>
          </w:rPr>
          <w:fldChar w:fldCharType="separate"/>
        </w:r>
        <w:r w:rsidR="00B24FEE" w:rsidRPr="00B24FEE">
          <w:rPr>
            <w:rFonts w:cs="Arial"/>
            <w:noProof/>
            <w:vertAlign w:val="superscript"/>
          </w:rPr>
          <w:t>95</w:t>
        </w:r>
        <w:r w:rsidR="00B24FEE">
          <w:rPr>
            <w:rFonts w:cs="Arial"/>
          </w:rPr>
          <w:fldChar w:fldCharType="end"/>
        </w:r>
      </w:hyperlink>
      <w:r w:rsidRPr="00591BFC">
        <w:rPr>
          <w:rFonts w:cs="Arial"/>
        </w:rPr>
        <w:t xml:space="preserve">. Again this study did not directly measure re-fracture rates, estimated treatment initiation and adherence in the non-coordinator setting and used fracture reduction rates based on clinical trials. </w:t>
      </w:r>
    </w:p>
    <w:p w14:paraId="0DB10152" w14:textId="77777777" w:rsidR="00CF2E21" w:rsidRPr="00591BFC" w:rsidRDefault="00CF2E21" w:rsidP="00E86771">
      <w:pPr>
        <w:spacing w:line="360" w:lineRule="auto"/>
        <w:rPr>
          <w:rFonts w:cs="Arial"/>
        </w:rPr>
      </w:pPr>
    </w:p>
    <w:p w14:paraId="5A8C7217" w14:textId="0110AED4" w:rsidR="00CF2E21" w:rsidRPr="00591BFC" w:rsidRDefault="00CF2E21" w:rsidP="00E86771">
      <w:pPr>
        <w:numPr>
          <w:ilvl w:val="0"/>
          <w:numId w:val="20"/>
        </w:numPr>
        <w:spacing w:line="360" w:lineRule="auto"/>
        <w:rPr>
          <w:rFonts w:cs="Arial"/>
        </w:rPr>
      </w:pPr>
      <w:r w:rsidRPr="00591BFC">
        <w:rPr>
          <w:rFonts w:cs="Arial"/>
        </w:rPr>
        <w:t>Using observed fracture rates from patients who did or did not attend a specialist service: the CONCORD study, Australia, demonstrated an 80% reduction in fractures over 5 years</w:t>
      </w:r>
      <w:hyperlink w:anchor="_ENREF_26" w:tooltip="Lih, 2011 #54" w:history="1">
        <w:r w:rsidR="00B24FEE">
          <w:rPr>
            <w:rFonts w:cs="Arial"/>
          </w:rPr>
          <w:fldChar w:fldCharType="begin"/>
        </w:r>
        <w:r w:rsidR="00B24FEE">
          <w:rPr>
            <w:rFonts w:cs="Arial"/>
          </w:rPr>
          <w:instrText xml:space="preserve"> ADDIN EN.CITE &lt;EndNote&gt;&lt;Cite&gt;&lt;Author&gt;Lih&lt;/Author&gt;&lt;Year&gt;2011&lt;/Year&gt;&lt;RecNum&gt;54&lt;/RecNum&gt;&lt;DisplayText&gt;&lt;style face="superscript"&gt;26&lt;/style&gt;&lt;/DisplayText&gt;&lt;record&gt;&lt;rec-number&gt;54&lt;/rec-number&gt;&lt;foreign-keys&gt;&lt;key app="EN" db-id="sxpszd2ti9dx04ewefrvfp5bpf5faazszr9p" timestamp="0"&gt;54&lt;/key&gt;&lt;/foreign-keys&gt;&lt;ref-type name="Journal Article"&gt;17&lt;/ref-type&gt;&lt;contributors&gt;&lt;authors&gt;&lt;author&gt;Lih, A.&lt;/author&gt;&lt;author&gt;Nandapalan, H.&lt;/author&gt;&lt;author&gt;Kim, M.&lt;/author&gt;&lt;author&gt;Yap, C.&lt;/author&gt;&lt;author&gt;Lee, P.&lt;/author&gt;&lt;author&gt;Ganda, K.&lt;/author&gt;&lt;author&gt;Seibel, M.&lt;/author&gt;&lt;/authors&gt;&lt;/contributors&gt;&lt;titles&gt;&lt;title&gt;Targeted intervention reduces refracture rates in patients with incident non-vertebral osteoporotic fractures: a 4-year prospective controlled study&lt;/title&gt;&lt;secondary-title&gt;Osteoporosis International&lt;/secondary-title&gt;&lt;/titles&gt;&lt;pages&gt;849-858&lt;/pages&gt;&lt;volume&gt;22&lt;/volume&gt;&lt;number&gt;3&lt;/number&gt;&lt;keywords&gt;&lt;keyword&gt;Medicine&lt;/keyword&gt;&lt;/keywords&gt;&lt;dates&gt;&lt;year&gt;2011&lt;/year&gt;&lt;/dates&gt;&lt;publisher&gt;Springer London&lt;/publisher&gt;&lt;isbn&gt;0937-941X&lt;/isbn&gt;&lt;urls&gt;&lt;related-urls&gt;&lt;url&gt;http://dx.doi.org/10.1007/s00198-010-1477-x&lt;/url&gt;&lt;/related-urls&gt;&lt;/urls&gt;&lt;electronic-resource-num&gt;10.1007/s00198-010-1477-x&lt;/electronic-resource-num&gt;&lt;/record&gt;&lt;/Cite&gt;&lt;/EndNote&gt;</w:instrText>
        </w:r>
        <w:r w:rsidR="00B24FEE">
          <w:rPr>
            <w:rFonts w:cs="Arial"/>
          </w:rPr>
          <w:fldChar w:fldCharType="separate"/>
        </w:r>
        <w:r w:rsidR="00B24FEE" w:rsidRPr="00B24FEE">
          <w:rPr>
            <w:rFonts w:cs="Arial"/>
            <w:noProof/>
            <w:vertAlign w:val="superscript"/>
          </w:rPr>
          <w:t>26</w:t>
        </w:r>
        <w:r w:rsidR="00B24FEE">
          <w:rPr>
            <w:rFonts w:cs="Arial"/>
          </w:rPr>
          <w:fldChar w:fldCharType="end"/>
        </w:r>
      </w:hyperlink>
      <w:r w:rsidRPr="00591BFC">
        <w:rPr>
          <w:rFonts w:cs="Arial"/>
        </w:rPr>
        <w:t xml:space="preserve">. However using patients who did not attend the specialist clinic as the ‘comparator’ group resulted in significant immortal time bias and selection bias in those who attended were more likely to be healthier and have fewer co-morbidities. Finally, only 20% of all fragility </w:t>
      </w:r>
      <w:r w:rsidRPr="00591BFC">
        <w:rPr>
          <w:rFonts w:cs="Arial"/>
        </w:rPr>
        <w:lastRenderedPageBreak/>
        <w:t>fracture patients attend the specialist service, as those with cognitive impairment and other serious comorbidities were excluded, this is an important limit to generali</w:t>
      </w:r>
      <w:r w:rsidR="009A6737" w:rsidRPr="00591BFC">
        <w:rPr>
          <w:rFonts w:cs="Arial"/>
        </w:rPr>
        <w:t>s</w:t>
      </w:r>
      <w:r w:rsidRPr="00591BFC">
        <w:rPr>
          <w:rFonts w:cs="Arial"/>
        </w:rPr>
        <w:t xml:space="preserve">ability of the service in terms of extension to all fragility fracture patients. </w:t>
      </w:r>
    </w:p>
    <w:p w14:paraId="5901CB40" w14:textId="77777777" w:rsidR="00CF2E21" w:rsidRPr="00591BFC" w:rsidRDefault="00CF2E21" w:rsidP="00E86771">
      <w:pPr>
        <w:spacing w:line="360" w:lineRule="auto"/>
        <w:rPr>
          <w:rFonts w:cs="Arial"/>
        </w:rPr>
      </w:pPr>
    </w:p>
    <w:p w14:paraId="34DF297F" w14:textId="3A178C6E" w:rsidR="00CF2E21" w:rsidRPr="00591BFC" w:rsidRDefault="00CF2E21" w:rsidP="00E86771">
      <w:pPr>
        <w:spacing w:line="360" w:lineRule="auto"/>
        <w:rPr>
          <w:rFonts w:cs="Arial"/>
        </w:rPr>
      </w:pPr>
      <w:r w:rsidRPr="00591BFC">
        <w:rPr>
          <w:rFonts w:cs="Arial"/>
        </w:rPr>
        <w:t>The wide variation in effect size from 7 to 80% from the published literature illustrates the magnitude of potential biases but also the lack of consistency between service models. No study has used robust outcomes such as re-fracture rates as highlight</w:t>
      </w:r>
      <w:r w:rsidR="00110CE2" w:rsidRPr="00591BFC">
        <w:rPr>
          <w:rFonts w:cs="Arial"/>
        </w:rPr>
        <w:t>ed by recent systematic reviews</w:t>
      </w:r>
      <w:r w:rsidR="00B24FEE">
        <w:rPr>
          <w:rFonts w:cs="Arial"/>
        </w:rPr>
        <w:fldChar w:fldCharType="begin">
          <w:fldData xml:space="preserve">PEVuZE5vdGU+PENpdGU+PEF1dGhvcj5TYWxlPC9BdXRob3I+PFllYXI+MjAxMTwvWWVhcj48UmVj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=
</w:fldData>
        </w:fldChar>
      </w:r>
      <w:r w:rsidR="00B24FEE">
        <w:rPr>
          <w:rFonts w:cs="Arial"/>
        </w:rPr>
        <w:instrText xml:space="preserve"> ADDIN EN.CITE </w:instrText>
      </w:r>
      <w:r w:rsidR="00B24FEE">
        <w:rPr>
          <w:rFonts w:cs="Arial"/>
        </w:rPr>
        <w:fldChar w:fldCharType="begin">
          <w:fldData xml:space="preserve">PEVuZE5vdGU+PENpdGU+PEF1dGhvcj5TYWxlPC9BdXRob3I+PFllYXI+MjAxMTwvWWVhcj48UmVj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=
</w:fldData>
        </w:fldChar>
      </w:r>
      <w:r w:rsidR="00B24FEE">
        <w:rPr>
          <w:rFonts w:cs="Arial"/>
        </w:rPr>
        <w:instrText xml:space="preserve"> ADDIN EN.CITE.DATA </w:instrText>
      </w:r>
      <w:r w:rsidR="00B24FEE">
        <w:rPr>
          <w:rFonts w:cs="Arial"/>
        </w:rPr>
      </w:r>
      <w:r w:rsidR="00B24FEE">
        <w:rPr>
          <w:rFonts w:cs="Arial"/>
        </w:rPr>
        <w:fldChar w:fldCharType="end"/>
      </w:r>
      <w:r w:rsidR="00B24FEE">
        <w:rPr>
          <w:rFonts w:cs="Arial"/>
        </w:rPr>
      </w:r>
      <w:r w:rsidR="00B24FEE">
        <w:rPr>
          <w:rFonts w:cs="Arial"/>
        </w:rPr>
        <w:fldChar w:fldCharType="separate"/>
      </w:r>
      <w:hyperlink w:anchor="_ENREF_92" w:tooltip="Sale, 2011 #554" w:history="1">
        <w:r w:rsidR="00B24FEE" w:rsidRPr="00B24FEE">
          <w:rPr>
            <w:rFonts w:cs="Arial"/>
            <w:noProof/>
            <w:vertAlign w:val="superscript"/>
          </w:rPr>
          <w:t>92</w:t>
        </w:r>
      </w:hyperlink>
      <w:r w:rsidR="00B24FEE" w:rsidRPr="00B24FEE">
        <w:rPr>
          <w:rFonts w:cs="Arial"/>
          <w:noProof/>
          <w:vertAlign w:val="superscript"/>
        </w:rPr>
        <w:t xml:space="preserve"> </w:t>
      </w:r>
      <w:hyperlink w:anchor="_ENREF_96" w:tooltip="Sale, 2011 #400" w:history="1">
        <w:r w:rsidR="00B24FEE" w:rsidRPr="00B24FEE">
          <w:rPr>
            <w:rFonts w:cs="Arial"/>
            <w:noProof/>
            <w:vertAlign w:val="superscript"/>
          </w:rPr>
          <w:t>96</w:t>
        </w:r>
      </w:hyperlink>
      <w:r w:rsidR="00B24FEE">
        <w:rPr>
          <w:rFonts w:cs="Arial"/>
        </w:rPr>
        <w:fldChar w:fldCharType="end"/>
      </w:r>
      <w:r w:rsidRPr="00591BFC">
        <w:rPr>
          <w:rFonts w:cs="Arial"/>
        </w:rPr>
        <w:t>. A recent meta-analysis, demonstrated a trend towards improved bone mineral density (BMD) testing rates and treatment initiation</w:t>
      </w:r>
      <w:r w:rsidR="00B24FEE">
        <w:rPr>
          <w:rFonts w:cs="Arial"/>
        </w:rPr>
        <w:fldChar w:fldCharType="begin">
          <w:fldData xml:space="preserve">PEVuZE5vdGU+PENpdGU+PEF1dGhvcj5HYW5kYTwvQXV0aG9yPjxZZWFyPjIwMTM8L1llYXI+PFJl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</w:fldData>
        </w:fldChar>
      </w:r>
      <w:r w:rsidR="00B24FEE">
        <w:rPr>
          <w:rFonts w:cs="Arial"/>
        </w:rPr>
        <w:instrText xml:space="preserve"> ADDIN EN.CITE </w:instrText>
      </w:r>
      <w:r w:rsidR="00B24FEE">
        <w:rPr>
          <w:rFonts w:cs="Arial"/>
        </w:rPr>
        <w:fldChar w:fldCharType="begin">
          <w:fldData xml:space="preserve">PEVuZE5vdGU+PENpdGU+PEF1dGhvcj5HYW5kYTwvQXV0aG9yPjxZZWFyPjIwMTM8L1llYXI+PFJl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</w:fldData>
        </w:fldChar>
      </w:r>
      <w:r w:rsidR="00B24FEE">
        <w:rPr>
          <w:rFonts w:cs="Arial"/>
        </w:rPr>
        <w:instrText xml:space="preserve"> ADDIN EN.CITE.DATA </w:instrText>
      </w:r>
      <w:r w:rsidR="00B24FEE">
        <w:rPr>
          <w:rFonts w:cs="Arial"/>
        </w:rPr>
      </w:r>
      <w:r w:rsidR="00B24FEE">
        <w:rPr>
          <w:rFonts w:cs="Arial"/>
        </w:rPr>
        <w:fldChar w:fldCharType="end"/>
      </w:r>
      <w:r w:rsidR="00B24FEE">
        <w:rPr>
          <w:rFonts w:cs="Arial"/>
        </w:rPr>
      </w:r>
      <w:r w:rsidR="00B24FEE">
        <w:rPr>
          <w:rFonts w:cs="Arial"/>
        </w:rPr>
        <w:fldChar w:fldCharType="separate"/>
      </w:r>
      <w:hyperlink w:anchor="_ENREF_10" w:tooltip="Marsh, 2011 #18" w:history="1">
        <w:r w:rsidR="00B24FEE" w:rsidRPr="00B24FEE">
          <w:rPr>
            <w:rFonts w:cs="Arial"/>
            <w:noProof/>
            <w:vertAlign w:val="superscript"/>
          </w:rPr>
          <w:t>10</w:t>
        </w:r>
      </w:hyperlink>
      <w:r w:rsidR="00B24FEE" w:rsidRPr="00B24FEE">
        <w:rPr>
          <w:rFonts w:cs="Arial"/>
          <w:noProof/>
          <w:vertAlign w:val="superscript"/>
        </w:rPr>
        <w:t xml:space="preserve"> </w:t>
      </w:r>
      <w:hyperlink w:anchor="_ENREF_36" w:tooltip="Ganda, 2013 #551" w:history="1">
        <w:r w:rsidR="00B24FEE" w:rsidRPr="00B24FEE">
          <w:rPr>
            <w:rFonts w:cs="Arial"/>
            <w:noProof/>
            <w:vertAlign w:val="superscript"/>
          </w:rPr>
          <w:t>36</w:t>
        </w:r>
      </w:hyperlink>
      <w:r w:rsidR="00B24FEE">
        <w:rPr>
          <w:rFonts w:cs="Arial"/>
        </w:rPr>
        <w:fldChar w:fldCharType="end"/>
      </w:r>
      <w:r w:rsidR="00110CE2" w:rsidRPr="00591BFC">
        <w:rPr>
          <w:rFonts w:cs="Arial"/>
        </w:rPr>
        <w:t>.</w:t>
      </w:r>
    </w:p>
    <w:p w14:paraId="7047BF68" w14:textId="7156D8EC" w:rsidR="00CF2E21" w:rsidRPr="00591BFC" w:rsidRDefault="00CF2E21" w:rsidP="00E86771">
      <w:pPr>
        <w:spacing w:line="360" w:lineRule="auto"/>
        <w:rPr>
          <w:rFonts w:cs="Arial"/>
        </w:rPr>
      </w:pPr>
      <w:r w:rsidRPr="00591BFC">
        <w:rPr>
          <w:rFonts w:cs="Arial"/>
        </w:rPr>
        <w:t>However, data on key clinical outcomes are scarce</w:t>
      </w:r>
      <w:hyperlink w:anchor="_ENREF_97" w:tooltip="Sale, 2014 #1149" w:history="1">
        <w:r w:rsidR="00B24FEE">
          <w:rPr>
            <w:rFonts w:cs="Arial"/>
          </w:rPr>
          <w:fldChar w:fldCharType="begin"/>
        </w:r>
        <w:r w:rsidR="00B24FEE">
          <w:rPr>
            <w:rFonts w:cs="Arial"/>
          </w:rPr>
          <w:instrText xml:space="preserve"> ADDIN EN.CITE &lt;EndNote&gt;&lt;Cite&gt;&lt;Author&gt;Sale&lt;/Author&gt;&lt;Year&gt;2014&lt;/Year&gt;&lt;RecNum&gt;1149&lt;/RecNum&gt;&lt;DisplayText&gt;&lt;style face="superscript"&gt;97&lt;/style&gt;&lt;/DisplayText&gt;&lt;record&gt;&lt;rec-number&gt;1149&lt;/rec-number&gt;&lt;foreign-keys&gt;&lt;key app="EN" db-id="sxpszd2ti9dx04ewefrvfp5bpf5faazszr9p" timestamp="1435665828"&gt;1149&lt;/key&gt;&lt;/foreign-keys&gt;&lt;ref-type name="Journal Article"&gt;17&lt;/ref-type&gt;&lt;contributors&gt;&lt;authors&gt;&lt;author&gt;Sale, J. E.&lt;/author&gt;&lt;author&gt;Beaton, D.&lt;/author&gt;&lt;author&gt;Posen, J.&lt;/author&gt;&lt;author&gt;Elliot-Gibson, V.&lt;/author&gt;&lt;author&gt;Bogoch, E.&lt;/author&gt;&lt;/authors&gt;&lt;/contributors&gt;&lt;auth-address&gt;Mobility Program Clinical Research Unit, Li Ka Shing Knowledge Institute, St. Michael&amp;apos;s Hospital, 30 Bond Street, Toronto, ON, M5B 1W8, Canada, salej@smh.ca.&lt;/auth-address&gt;&lt;titles&gt;&lt;title&gt;Key outcomes are usually not reported in published fracture secondary prevention programs: results of a systematic review&lt;/title&gt;&lt;secondary-title&gt;Arch Orthop Trauma Surg&lt;/secondary-title&gt;&lt;/titles&gt;&lt;periodical&gt;&lt;full-title&gt;Arch Orthop Trauma Surg&lt;/full-title&gt;&lt;/periodical&gt;&lt;pages&gt;283-9&lt;/pages&gt;&lt;volume&gt;134&lt;/volume&gt;&lt;number&gt;2&lt;/number&gt;&lt;edition&gt;2011/12/14&lt;/edition&gt;&lt;keywords&gt;&lt;keyword&gt;Bone Density Conservation Agents/administration &amp;amp; dosage/economics/*therapeutic&lt;/keyword&gt;&lt;keyword&gt;use/*urine&lt;/keyword&gt;&lt;keyword&gt;Cost-Benefit Analysis&lt;/keyword&gt;&lt;keyword&gt;Humans&lt;/keyword&gt;&lt;keyword&gt;Intention to Treat Analysis&lt;/keyword&gt;&lt;keyword&gt;Orthopedics&lt;/keyword&gt;&lt;keyword&gt;Osteoporotic Fractures/economics/*prevention &amp;amp; control&lt;/keyword&gt;&lt;keyword&gt;Outcome Assessment (Health Care)&lt;/keyword&gt;&lt;keyword&gt;Patient Compliance&lt;/keyword&gt;&lt;keyword&gt;Publishing&lt;/keyword&gt;&lt;keyword&gt;Secondary Prevention&lt;/keyword&gt;&lt;/keywords&gt;&lt;dates&gt;&lt;year&gt;2014&lt;/year&gt;&lt;pub-dates&gt;&lt;date&gt;Feb&lt;/date&gt;&lt;/pub-dates&gt;&lt;/dates&gt;&lt;isbn&gt;1434-3916 (Electronic)&amp;#xD;0936-8051 (Linking)&lt;/isbn&gt;&lt;accession-num&gt;22160462&lt;/accession-num&gt;&lt;urls&gt;&lt;related-urls&gt;&lt;url&gt;http://www.ncbi.nlm.nih.gov/pubmed/22160462&lt;/url&gt;&lt;/related-urls&gt;&lt;/urls&gt;&lt;electronic-resource-num&gt;10.1007/s00402-011-1442-y&lt;/electronic-resource-num&gt;&lt;language&gt;eng&lt;/language&gt;&lt;/record&gt;&lt;/Cite&gt;&lt;/EndNote&gt;</w:instrText>
        </w:r>
        <w:r w:rsidR="00B24FEE">
          <w:rPr>
            <w:rFonts w:cs="Arial"/>
          </w:rPr>
          <w:fldChar w:fldCharType="separate"/>
        </w:r>
        <w:r w:rsidR="00B24FEE" w:rsidRPr="00B24FEE">
          <w:rPr>
            <w:rFonts w:cs="Arial"/>
            <w:noProof/>
            <w:vertAlign w:val="superscript"/>
          </w:rPr>
          <w:t>97</w:t>
        </w:r>
        <w:r w:rsidR="00B24FEE">
          <w:rPr>
            <w:rFonts w:cs="Arial"/>
          </w:rPr>
          <w:fldChar w:fldCharType="end"/>
        </w:r>
      </w:hyperlink>
      <w:r w:rsidR="00366650" w:rsidRPr="00591BFC">
        <w:rPr>
          <w:rFonts w:cs="Arial"/>
        </w:rPr>
        <w:t xml:space="preserve">, </w:t>
      </w:r>
      <w:r w:rsidRPr="00591BFC">
        <w:rPr>
          <w:rFonts w:cs="Arial"/>
        </w:rPr>
        <w:t>especially in the context of actual practice conditions in an NHS setting. It has been demonstrated elsewhere that lower mortality is associated with both an orthogeriatric service</w:t>
      </w:r>
      <w:hyperlink w:anchor="_ENREF_91" w:tooltip="Zeltzer, 2014 #1147" w:history="1">
        <w:r w:rsidR="00B24FEE">
          <w:rPr>
            <w:rFonts w:cs="Arial"/>
          </w:rPr>
          <w:fldChar w:fldCharType="begin">
            <w:fldData xml:space="preserve">PEVuZE5vdGU+PENpdGU+PEF1dGhvcj5aZWx0emVyPC9BdXRob3I+PFllYXI+MjAxNDwvWWVhcj48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</w:fldData>
          </w:fldChar>
        </w:r>
        <w:r w:rsidR="00B24FEE">
          <w:rPr>
            <w:rFonts w:cs="Arial"/>
          </w:rPr>
          <w:instrText xml:space="preserve"> ADDIN EN.CITE </w:instrText>
        </w:r>
        <w:r w:rsidR="00B24FEE">
          <w:rPr>
            <w:rFonts w:cs="Arial"/>
          </w:rPr>
          <w:fldChar w:fldCharType="begin">
            <w:fldData xml:space="preserve">PEVuZE5vdGU+PENpdGU+PEF1dGhvcj5aZWx0emVyPC9BdXRob3I+PFllYXI+MjAxNDwvWWVhcj48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</w:fldData>
          </w:fldChar>
        </w:r>
        <w:r w:rsidR="00B24FEE">
          <w:rPr>
            <w:rFonts w:cs="Arial"/>
          </w:rPr>
          <w:instrText xml:space="preserve"> ADDIN EN.CITE.DATA </w:instrText>
        </w:r>
        <w:r w:rsidR="00B24FEE">
          <w:rPr>
            <w:rFonts w:cs="Arial"/>
          </w:rPr>
        </w:r>
        <w:r w:rsidR="00B24FEE">
          <w:rPr>
            <w:rFonts w:cs="Arial"/>
          </w:rPr>
          <w:fldChar w:fldCharType="end"/>
        </w:r>
        <w:r w:rsidR="00B24FEE">
          <w:rPr>
            <w:rFonts w:cs="Arial"/>
          </w:rPr>
        </w:r>
        <w:r w:rsidR="00B24FEE">
          <w:rPr>
            <w:rFonts w:cs="Arial"/>
          </w:rPr>
          <w:fldChar w:fldCharType="separate"/>
        </w:r>
        <w:r w:rsidR="00B24FEE" w:rsidRPr="00B24FEE">
          <w:rPr>
            <w:rFonts w:cs="Arial"/>
            <w:noProof/>
            <w:vertAlign w:val="superscript"/>
          </w:rPr>
          <w:t>91</w:t>
        </w:r>
        <w:r w:rsidR="00B24FEE">
          <w:rPr>
            <w:rFonts w:cs="Arial"/>
          </w:rPr>
          <w:fldChar w:fldCharType="end"/>
        </w:r>
      </w:hyperlink>
      <w:r w:rsidRPr="00591BFC">
        <w:rPr>
          <w:rFonts w:cs="Arial"/>
        </w:rPr>
        <w:t xml:space="preserve"> and the introductio</w:t>
      </w:r>
      <w:r w:rsidR="00A35954" w:rsidRPr="00591BFC">
        <w:rPr>
          <w:rFonts w:cs="Arial"/>
        </w:rPr>
        <w:t>n of a dedicated fracture nurse</w:t>
      </w:r>
      <w:hyperlink w:anchor="_ENREF_98" w:tooltip="Huntjens, 2011 #1151" w:history="1">
        <w:r w:rsidR="00B24FEE">
          <w:rPr>
            <w:rFonts w:cs="Arial"/>
          </w:rPr>
          <w:fldChar w:fldCharType="begin">
            <w:fldData xml:space="preserve">PEVuZE5vdGU+PENpdGU+PEF1dGhvcj5IdW50amVuczwvQXV0aG9yPjxZZWFyPjIwMTE8L1llYXI+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</w:fldData>
          </w:fldChar>
        </w:r>
        <w:r w:rsidR="00B24FEE">
          <w:rPr>
            <w:rFonts w:cs="Arial"/>
          </w:rPr>
          <w:instrText xml:space="preserve"> ADDIN EN.CITE </w:instrText>
        </w:r>
        <w:r w:rsidR="00B24FEE">
          <w:rPr>
            <w:rFonts w:cs="Arial"/>
          </w:rPr>
          <w:fldChar w:fldCharType="begin">
            <w:fldData xml:space="preserve">PEVuZE5vdGU+PENpdGU+PEF1dGhvcj5IdW50amVuczwvQXV0aG9yPjxZZWFyPjIwMTE8L1llYXI+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</w:fldData>
          </w:fldChar>
        </w:r>
        <w:r w:rsidR="00B24FEE">
          <w:rPr>
            <w:rFonts w:cs="Arial"/>
          </w:rPr>
          <w:instrText xml:space="preserve"> ADDIN EN.CITE.DATA </w:instrText>
        </w:r>
        <w:r w:rsidR="00B24FEE">
          <w:rPr>
            <w:rFonts w:cs="Arial"/>
          </w:rPr>
        </w:r>
        <w:r w:rsidR="00B24FEE">
          <w:rPr>
            <w:rFonts w:cs="Arial"/>
          </w:rPr>
          <w:fldChar w:fldCharType="end"/>
        </w:r>
        <w:r w:rsidR="00B24FEE">
          <w:rPr>
            <w:rFonts w:cs="Arial"/>
          </w:rPr>
        </w:r>
        <w:r w:rsidR="00B24FEE">
          <w:rPr>
            <w:rFonts w:cs="Arial"/>
          </w:rPr>
          <w:fldChar w:fldCharType="separate"/>
        </w:r>
        <w:r w:rsidR="00B24FEE" w:rsidRPr="00B24FEE">
          <w:rPr>
            <w:rFonts w:cs="Arial"/>
            <w:noProof/>
            <w:vertAlign w:val="superscript"/>
          </w:rPr>
          <w:t>98</w:t>
        </w:r>
        <w:r w:rsidR="00B24FEE">
          <w:rPr>
            <w:rFonts w:cs="Arial"/>
          </w:rPr>
          <w:fldChar w:fldCharType="end"/>
        </w:r>
      </w:hyperlink>
      <w:r w:rsidR="00366650" w:rsidRPr="00591BFC">
        <w:rPr>
          <w:rFonts w:cs="Arial"/>
        </w:rPr>
        <w:t>.</w:t>
      </w:r>
      <w:r w:rsidR="00A77A6F">
        <w:rPr>
          <w:rFonts w:cs="Arial"/>
        </w:rPr>
        <w:t xml:space="preserve"> </w:t>
      </w:r>
      <w:r w:rsidRPr="00591BFC">
        <w:rPr>
          <w:rFonts w:cs="Arial"/>
        </w:rPr>
        <w:t xml:space="preserve">Recent studies have also reported co-ordinator-based programmes can significantly reduce the rate of total hip fracture admissions </w:t>
      </w:r>
      <w:hyperlink w:anchor="_ENREF_93" w:tooltip="Dell, 2008 #39" w:history="1">
        <w:r w:rsidR="00B24FEE">
          <w:rPr>
            <w:rFonts w:cs="Arial"/>
          </w:rPr>
          <w:fldChar w:fldCharType="begin"/>
        </w:r>
        <w:r w:rsidR="00B24FEE">
          <w:rPr>
            <w:rFonts w:cs="Arial"/>
          </w:rPr>
          <w:instrText xml:space="preserve"> ADDIN EN.CITE &lt;EndNote&gt;&lt;Cite&gt;&lt;Author&gt;Dell&lt;/Author&gt;&lt;Year&gt;2008&lt;/Year&gt;&lt;RecNum&gt;39&lt;/RecNum&gt;&lt;DisplayText&gt;&lt;style face="superscript"&gt;93&lt;/style&gt;&lt;/DisplayText&gt;&lt;record&gt;&lt;rec-number&gt;39&lt;/rec-number&gt;&lt;foreign-keys&gt;&lt;key app="EN" db-id="sxpszd2ti9dx04ewefrvfp5bpf5faazszr9p" timestamp="0"&gt;39&lt;/key&gt;&lt;/foreign-keys&gt;&lt;ref-type name="Journal Article"&gt;17&lt;/ref-type&gt;&lt;contributors&gt;&lt;authors&gt;&lt;author&gt;Dell, R. Greene, D. Schelkun, S. R. Williams, K.&lt;/author&gt;&lt;/authors&gt;&lt;/contributors&gt;&lt;titles&gt;&lt;title&gt;Osteoporosis disease management: the role of the orthopaedic surgeon&lt;/title&gt;&lt;secondary-title&gt;J Bone Joint Surg Am&lt;/secondary-title&gt;&lt;short-title&gt;MEDLINE&lt;/short-title&gt;&lt;/titles&gt;&lt;periodical&gt;&lt;full-title&gt;J Bone Joint Surg Am&lt;/full-title&gt;&lt;/periodical&gt;&lt;pages&gt;188-94&lt;/pages&gt;&lt;volume&gt;90&lt;/volume&gt;&lt;number&gt;Suppl 4&lt;/number&gt;&lt;dates&gt;&lt;year&gt;2008&lt;/year&gt;&lt;/dates&gt;&lt;urls&gt;&lt;pdf-urls&gt;&lt;url&gt;Dell, Richard&lt;/url&gt;&lt;url&gt;Greene, Denise&lt;/url&gt;&lt;url&gt;Schelkun, Steven R&lt;/url&gt;&lt;url&gt;Williams, Kathy&lt;/url&gt;&lt;/pdf-urls&gt;&lt;/urls&gt;&lt;remote-database-name&gt;Ovid MEDLINE(R)&lt;/remote-database-name&gt;&lt;remote-database-provider&gt;2008 Nov&lt;/remote-database-provider&gt;&lt;/record&gt;&lt;/Cite&gt;&lt;/EndNote&gt;</w:instrText>
        </w:r>
        <w:r w:rsidR="00B24FEE">
          <w:rPr>
            <w:rFonts w:cs="Arial"/>
          </w:rPr>
          <w:fldChar w:fldCharType="separate"/>
        </w:r>
        <w:r w:rsidR="00B24FEE" w:rsidRPr="00B24FEE">
          <w:rPr>
            <w:rFonts w:cs="Arial"/>
            <w:noProof/>
            <w:vertAlign w:val="superscript"/>
          </w:rPr>
          <w:t>93</w:t>
        </w:r>
        <w:r w:rsidR="00B24FEE">
          <w:rPr>
            <w:rFonts w:cs="Arial"/>
          </w:rPr>
          <w:fldChar w:fldCharType="end"/>
        </w:r>
      </w:hyperlink>
      <w:r w:rsidRPr="00591BFC">
        <w:rPr>
          <w:rFonts w:cs="Arial"/>
        </w:rPr>
        <w:t xml:space="preserve"> and re-fracture rate</w:t>
      </w:r>
      <w:r w:rsidR="00A35954" w:rsidRPr="00591BFC">
        <w:rPr>
          <w:rFonts w:cs="Arial"/>
        </w:rPr>
        <w:t xml:space="preserve"> after a non-vertebral fracture</w:t>
      </w:r>
      <w:r w:rsidR="00B24FEE">
        <w:rPr>
          <w:rFonts w:cs="Arial"/>
        </w:rPr>
        <w:fldChar w:fldCharType="begin">
          <w:fldData xml:space="preserve">PEVuZE5vdGU+PENpdGU+PEF1dGhvcj5IdW50amVuczwvQXV0aG9yPjxZZWFyPjIwMTE8L1llYXI+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</w:fldData>
        </w:fldChar>
      </w:r>
      <w:r w:rsidR="00B24FEE">
        <w:rPr>
          <w:rFonts w:cs="Arial"/>
        </w:rPr>
        <w:instrText xml:space="preserve"> ADDIN EN.CITE </w:instrText>
      </w:r>
      <w:r w:rsidR="00B24FEE">
        <w:rPr>
          <w:rFonts w:cs="Arial"/>
        </w:rPr>
        <w:fldChar w:fldCharType="begin">
          <w:fldData xml:space="preserve">PEVuZE5vdGU+PENpdGU+PEF1dGhvcj5IdW50amVuczwvQXV0aG9yPjxZZWFyPjIwMTE8L1llYXI+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</w:fldData>
        </w:fldChar>
      </w:r>
      <w:r w:rsidR="00B24FEE">
        <w:rPr>
          <w:rFonts w:cs="Arial"/>
        </w:rPr>
        <w:instrText xml:space="preserve"> ADDIN EN.CITE.DATA </w:instrText>
      </w:r>
      <w:r w:rsidR="00B24FEE">
        <w:rPr>
          <w:rFonts w:cs="Arial"/>
        </w:rPr>
      </w:r>
      <w:r w:rsidR="00B24FEE">
        <w:rPr>
          <w:rFonts w:cs="Arial"/>
        </w:rPr>
        <w:fldChar w:fldCharType="end"/>
      </w:r>
      <w:r w:rsidR="00B24FEE">
        <w:rPr>
          <w:rFonts w:cs="Arial"/>
        </w:rPr>
      </w:r>
      <w:r w:rsidR="00B24FEE">
        <w:rPr>
          <w:rFonts w:cs="Arial"/>
        </w:rPr>
        <w:fldChar w:fldCharType="separate"/>
      </w:r>
      <w:hyperlink w:anchor="_ENREF_26" w:tooltip="Lih, 2011 #54" w:history="1">
        <w:r w:rsidR="00B24FEE" w:rsidRPr="00B24FEE">
          <w:rPr>
            <w:rFonts w:cs="Arial"/>
            <w:noProof/>
            <w:vertAlign w:val="superscript"/>
          </w:rPr>
          <w:t>26</w:t>
        </w:r>
      </w:hyperlink>
      <w:r w:rsidR="00B24FEE" w:rsidRPr="00B24FEE">
        <w:rPr>
          <w:rFonts w:cs="Arial"/>
          <w:noProof/>
          <w:vertAlign w:val="superscript"/>
        </w:rPr>
        <w:t xml:space="preserve"> </w:t>
      </w:r>
      <w:hyperlink w:anchor="_ENREF_98" w:tooltip="Huntjens, 2011 #1151" w:history="1">
        <w:r w:rsidR="00B24FEE" w:rsidRPr="00B24FEE">
          <w:rPr>
            <w:rFonts w:cs="Arial"/>
            <w:noProof/>
            <w:vertAlign w:val="superscript"/>
          </w:rPr>
          <w:t>98</w:t>
        </w:r>
      </w:hyperlink>
      <w:r w:rsidR="00B24FEE">
        <w:rPr>
          <w:rFonts w:cs="Arial"/>
        </w:rPr>
        <w:fldChar w:fldCharType="end"/>
      </w:r>
      <w:r w:rsidR="00A35954" w:rsidRPr="00591BFC">
        <w:rPr>
          <w:rFonts w:cs="Arial"/>
        </w:rPr>
        <w:t xml:space="preserve">. </w:t>
      </w:r>
      <w:r w:rsidRPr="00591BFC">
        <w:rPr>
          <w:rFonts w:cs="Arial"/>
        </w:rPr>
        <w:t>Despite these data, a recent audit in the UK found only 37% of local health s</w:t>
      </w:r>
      <w:r w:rsidR="00A35954" w:rsidRPr="00591BFC">
        <w:rPr>
          <w:rFonts w:cs="Arial"/>
        </w:rPr>
        <w:t>ervices provide any kind of FLS</w:t>
      </w:r>
      <w:hyperlink w:anchor="_ENREF_41" w:tooltip="Royal College of Physicians, 2011 #41" w:history="1">
        <w:r w:rsidR="00B24FEE">
          <w:rPr>
            <w:rFonts w:cs="Arial"/>
          </w:rPr>
          <w:fldChar w:fldCharType="begin"/>
        </w:r>
        <w:r w:rsidR="00B24FEE">
          <w:rPr>
            <w:rFonts w:cs="Arial"/>
          </w:rPr>
          <w:instrText xml:space="preserve"> ADDIN EN.CITE &lt;EndNote&gt;&lt;Cite&gt;&lt;Author&gt;Royal College of Physicians&lt;/Author&gt;&lt;Year&gt;2011&lt;/Year&gt;&lt;RecNum&gt;41&lt;/RecNum&gt;&lt;DisplayText&gt;&lt;style face="superscript"&gt;41&lt;/style&gt;&lt;/DisplayText&gt;&lt;record&gt;&lt;rec-number&gt;41&lt;/rec-number&gt;&lt;foreign-keys&gt;&lt;key app="EN" db-id="sxpszd2ti9dx04ewefrvfp5bpf5faazszr9p" timestamp="0"&gt;41&lt;/key&gt;&lt;/foreign-keys&gt;&lt;ref-type name="Report"&gt;27&lt;/ref-type&gt;&lt;contributors&gt;&lt;authors&gt;&lt;author&gt;Royal College of Physicians,&lt;/author&gt;&lt;/authors&gt;&lt;/contributors&gt;&lt;titles&gt;&lt;title&gt;Falling standards, broken promises.  Report of the national audit of falls and bone health in older people 2010&lt;/title&gt;&lt;/titles&gt;&lt;dates&gt;&lt;year&gt;2011&lt;/year&gt;&lt;/dates&gt;&lt;urls&gt;&lt;/urls&gt;&lt;/record&gt;&lt;/Cite&gt;&lt;/EndNote&gt;</w:instrText>
        </w:r>
        <w:r w:rsidR="00B24FEE">
          <w:rPr>
            <w:rFonts w:cs="Arial"/>
          </w:rPr>
          <w:fldChar w:fldCharType="separate"/>
        </w:r>
        <w:r w:rsidR="00B24FEE" w:rsidRPr="00B24FEE">
          <w:rPr>
            <w:rFonts w:cs="Arial"/>
            <w:noProof/>
            <w:vertAlign w:val="superscript"/>
          </w:rPr>
          <w:t>41</w:t>
        </w:r>
        <w:r w:rsidR="00B24FEE">
          <w:rPr>
            <w:rFonts w:cs="Arial"/>
          </w:rPr>
          <w:fldChar w:fldCharType="end"/>
        </w:r>
      </w:hyperlink>
      <w:r w:rsidR="00A35954" w:rsidRPr="00591BFC">
        <w:rPr>
          <w:rFonts w:cs="Arial"/>
        </w:rPr>
        <w:t xml:space="preserve">. </w:t>
      </w:r>
      <w:r w:rsidRPr="00591BFC">
        <w:rPr>
          <w:rFonts w:cs="Arial"/>
        </w:rPr>
        <w:t>Importantly for both orthogeriatric and FLS services, significant variation exists in how such services are structured</w:t>
      </w:r>
      <w:r w:rsidR="00B24FEE">
        <w:rPr>
          <w:rFonts w:cs="Arial"/>
        </w:rPr>
        <w:fldChar w:fldCharType="begin">
          <w:fldData xml:space="preserve">PEVuZE5vdGU+PENpdGU+PEF1dGhvcj5EcmV3PC9BdXRob3I+PFllYXI+MjAxNDwvWWVhcj48UmVj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ZT48L3BlcmlvZGljYWw+PGVkaXRpb24+MjAxNC8wNi8yNzwvZWRpdGlvbj48ZGF0ZXM+PHllYXI+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=
</w:fldData>
        </w:fldChar>
      </w:r>
      <w:r w:rsidR="00B24FEE">
        <w:rPr>
          <w:rFonts w:cs="Arial"/>
        </w:rPr>
        <w:instrText xml:space="preserve"> ADDIN EN.CITE </w:instrText>
      </w:r>
      <w:r w:rsidR="00B24FEE">
        <w:rPr>
          <w:rFonts w:cs="Arial"/>
        </w:rPr>
        <w:fldChar w:fldCharType="begin">
          <w:fldData xml:space="preserve">PEVuZE5vdGU+PENpdGU+PEF1dGhvcj5EcmV3PC9BdXRob3I+PFllYXI+MjAxNDwvWWVhcj48UmVj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ZT48L3BlcmlvZGljYWw+PGVkaXRpb24+MjAxNC8wNi8yNzwvZWRpdGlvbj48ZGF0ZXM+PHllYXI+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=
</w:fldData>
        </w:fldChar>
      </w:r>
      <w:r w:rsidR="00B24FEE">
        <w:rPr>
          <w:rFonts w:cs="Arial"/>
        </w:rPr>
        <w:instrText xml:space="preserve"> ADDIN EN.CITE.DATA </w:instrText>
      </w:r>
      <w:r w:rsidR="00B24FEE">
        <w:rPr>
          <w:rFonts w:cs="Arial"/>
        </w:rPr>
      </w:r>
      <w:r w:rsidR="00B24FEE">
        <w:rPr>
          <w:rFonts w:cs="Arial"/>
        </w:rPr>
        <w:fldChar w:fldCharType="end"/>
      </w:r>
      <w:r w:rsidR="00B24FEE">
        <w:rPr>
          <w:rFonts w:cs="Arial"/>
        </w:rPr>
      </w:r>
      <w:r w:rsidR="00B24FEE">
        <w:rPr>
          <w:rFonts w:cs="Arial"/>
        </w:rPr>
        <w:fldChar w:fldCharType="separate"/>
      </w:r>
      <w:hyperlink w:anchor="_ENREF_3" w:tooltip="Chesser, 2011 #1" w:history="1">
        <w:r w:rsidR="00B24FEE" w:rsidRPr="00B24FEE">
          <w:rPr>
            <w:rFonts w:cs="Arial"/>
            <w:noProof/>
            <w:vertAlign w:val="superscript"/>
          </w:rPr>
          <w:t>3</w:t>
        </w:r>
      </w:hyperlink>
      <w:r w:rsidR="00B24FEE" w:rsidRPr="00B24FEE">
        <w:rPr>
          <w:rFonts w:cs="Arial"/>
          <w:noProof/>
          <w:vertAlign w:val="superscript"/>
        </w:rPr>
        <w:t xml:space="preserve"> </w:t>
      </w:r>
      <w:hyperlink w:anchor="_ENREF_40" w:tooltip="Drew, 2014 #942" w:history="1">
        <w:r w:rsidR="00B24FEE" w:rsidRPr="00B24FEE">
          <w:rPr>
            <w:rFonts w:cs="Arial"/>
            <w:noProof/>
            <w:vertAlign w:val="superscript"/>
          </w:rPr>
          <w:t>40</w:t>
        </w:r>
      </w:hyperlink>
      <w:r w:rsidR="00B24FEE">
        <w:rPr>
          <w:rFonts w:cs="Arial"/>
        </w:rPr>
        <w:fldChar w:fldCharType="end"/>
      </w:r>
      <w:r w:rsidRPr="00591BFC">
        <w:rPr>
          <w:rFonts w:cs="Arial"/>
        </w:rPr>
        <w:t xml:space="preserve"> </w:t>
      </w:r>
      <w:r w:rsidR="00A35954" w:rsidRPr="00591BFC">
        <w:rPr>
          <w:rFonts w:cs="Arial"/>
        </w:rPr>
        <w:t>.</w:t>
      </w:r>
    </w:p>
    <w:p w14:paraId="0B86E38F" w14:textId="0864920F" w:rsidR="00CF2E21" w:rsidRPr="00591BFC" w:rsidRDefault="00CF2E21" w:rsidP="00E86771">
      <w:pPr>
        <w:spacing w:line="360" w:lineRule="auto"/>
        <w:rPr>
          <w:rFonts w:cs="Arial"/>
        </w:rPr>
      </w:pPr>
      <w:r w:rsidRPr="00591BFC">
        <w:rPr>
          <w:rFonts w:cs="Arial"/>
        </w:rPr>
        <w:t>Two recent systematic reviews have confirmed that patient/physician education strategies are ineffective</w:t>
      </w:r>
      <w:r w:rsidR="00B24FEE">
        <w:rPr>
          <w:rFonts w:cs="Arial"/>
        </w:rPr>
        <w:fldChar w:fldCharType="begin">
          <w:fldData xml:space="preserve">PEVuZE5vdGU+PENpdGU+PEF1dGhvcj5TYWxlPC9BdXRob3I+PFllYXI+MjAxMTwvWWVhcj48UmVj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</w:fldData>
        </w:fldChar>
      </w:r>
      <w:r w:rsidR="00B24FEE">
        <w:rPr>
          <w:rFonts w:cs="Arial"/>
        </w:rPr>
        <w:instrText xml:space="preserve"> ADDIN EN.CITE </w:instrText>
      </w:r>
      <w:r w:rsidR="00B24FEE">
        <w:rPr>
          <w:rFonts w:cs="Arial"/>
        </w:rPr>
        <w:fldChar w:fldCharType="begin">
          <w:fldData xml:space="preserve">PEVuZE5vdGU+PENpdGU+PEF1dGhvcj5TYWxlPC9BdXRob3I+PFllYXI+MjAxMTwvWWVhcj48UmVj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</w:fldData>
        </w:fldChar>
      </w:r>
      <w:r w:rsidR="00B24FEE">
        <w:rPr>
          <w:rFonts w:cs="Arial"/>
        </w:rPr>
        <w:instrText xml:space="preserve"> ADDIN EN.CITE.DATA </w:instrText>
      </w:r>
      <w:r w:rsidR="00B24FEE">
        <w:rPr>
          <w:rFonts w:cs="Arial"/>
        </w:rPr>
      </w:r>
      <w:r w:rsidR="00B24FEE">
        <w:rPr>
          <w:rFonts w:cs="Arial"/>
        </w:rPr>
        <w:fldChar w:fldCharType="end"/>
      </w:r>
      <w:r w:rsidR="00B24FEE">
        <w:rPr>
          <w:rFonts w:cs="Arial"/>
        </w:rPr>
      </w:r>
      <w:r w:rsidR="00B24FEE">
        <w:rPr>
          <w:rFonts w:cs="Arial"/>
        </w:rPr>
        <w:fldChar w:fldCharType="separate"/>
      </w:r>
      <w:hyperlink w:anchor="_ENREF_26" w:tooltip="Lih, 2011 #54" w:history="1">
        <w:r w:rsidR="00B24FEE" w:rsidRPr="00B24FEE">
          <w:rPr>
            <w:rFonts w:cs="Arial"/>
            <w:noProof/>
            <w:vertAlign w:val="superscript"/>
          </w:rPr>
          <w:t>26</w:t>
        </w:r>
      </w:hyperlink>
      <w:r w:rsidR="00B24FEE" w:rsidRPr="00B24FEE">
        <w:rPr>
          <w:rFonts w:cs="Arial"/>
          <w:noProof/>
          <w:vertAlign w:val="superscript"/>
        </w:rPr>
        <w:t xml:space="preserve"> </w:t>
      </w:r>
      <w:hyperlink w:anchor="_ENREF_36" w:tooltip="Ganda, 2013 #551" w:history="1">
        <w:r w:rsidR="00B24FEE" w:rsidRPr="00B24FEE">
          <w:rPr>
            <w:rFonts w:cs="Arial"/>
            <w:noProof/>
            <w:vertAlign w:val="superscript"/>
          </w:rPr>
          <w:t>36</w:t>
        </w:r>
      </w:hyperlink>
      <w:r w:rsidR="00B24FEE" w:rsidRPr="00B24FEE">
        <w:rPr>
          <w:rFonts w:cs="Arial"/>
          <w:noProof/>
          <w:vertAlign w:val="superscript"/>
        </w:rPr>
        <w:t xml:space="preserve"> </w:t>
      </w:r>
      <w:hyperlink w:anchor="_ENREF_92" w:tooltip="Sale, 2011 #554" w:history="1">
        <w:r w:rsidR="00B24FEE" w:rsidRPr="00B24FEE">
          <w:rPr>
            <w:rFonts w:cs="Arial"/>
            <w:noProof/>
            <w:vertAlign w:val="superscript"/>
          </w:rPr>
          <w:t>92</w:t>
        </w:r>
      </w:hyperlink>
      <w:r w:rsidR="00B24FEE">
        <w:rPr>
          <w:rFonts w:cs="Arial"/>
        </w:rPr>
        <w:fldChar w:fldCharType="end"/>
      </w:r>
      <w:r w:rsidRPr="00591BFC">
        <w:rPr>
          <w:rFonts w:cs="Arial"/>
        </w:rPr>
        <w:t xml:space="preserve"> and identified major deficiencies in current literature: using treatment initiation as the primary outcome</w:t>
      </w:r>
      <w:hyperlink w:anchor="_ENREF_94" w:tooltip="Majumdar, 2009 #1137" w:history="1">
        <w:r w:rsidR="00B24FEE">
          <w:rPr>
            <w:rFonts w:cs="Arial"/>
          </w:rPr>
          <w:fldChar w:fldCharType="begin">
            <w:fldData xml:space="preserve">PEVuZE5vdGU+PENpdGU+PEF1dGhvcj5NYWp1bWRhcjwvQXV0aG9yPjxZZWFyPjIwMDk8L1llYXI+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==
</w:fldData>
          </w:fldChar>
        </w:r>
        <w:r w:rsidR="00B24FEE">
          <w:rPr>
            <w:rFonts w:cs="Arial"/>
          </w:rPr>
          <w:instrText xml:space="preserve"> ADDIN EN.CITE </w:instrText>
        </w:r>
        <w:r w:rsidR="00B24FEE">
          <w:rPr>
            <w:rFonts w:cs="Arial"/>
          </w:rPr>
          <w:fldChar w:fldCharType="begin">
            <w:fldData xml:space="preserve">PEVuZE5vdGU+PENpdGU+PEF1dGhvcj5NYWp1bWRhcjwvQXV0aG9yPjxZZWFyPjIwMDk8L1llYXI+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==
</w:fldData>
          </w:fldChar>
        </w:r>
        <w:r w:rsidR="00B24FEE">
          <w:rPr>
            <w:rFonts w:cs="Arial"/>
          </w:rPr>
          <w:instrText xml:space="preserve"> ADDIN EN.CITE.DATA </w:instrText>
        </w:r>
        <w:r w:rsidR="00B24FEE">
          <w:rPr>
            <w:rFonts w:cs="Arial"/>
          </w:rPr>
        </w:r>
        <w:r w:rsidR="00B24FEE">
          <w:rPr>
            <w:rFonts w:cs="Arial"/>
          </w:rPr>
          <w:fldChar w:fldCharType="end"/>
        </w:r>
        <w:r w:rsidR="00B24FEE">
          <w:rPr>
            <w:rFonts w:cs="Arial"/>
          </w:rPr>
        </w:r>
        <w:r w:rsidR="00B24FEE">
          <w:rPr>
            <w:rFonts w:cs="Arial"/>
          </w:rPr>
          <w:fldChar w:fldCharType="separate"/>
        </w:r>
        <w:r w:rsidR="00B24FEE" w:rsidRPr="00B24FEE">
          <w:rPr>
            <w:rFonts w:cs="Arial"/>
            <w:noProof/>
            <w:vertAlign w:val="superscript"/>
          </w:rPr>
          <w:t>94</w:t>
        </w:r>
        <w:r w:rsidR="00B24FEE">
          <w:rPr>
            <w:rFonts w:cs="Arial"/>
          </w:rPr>
          <w:fldChar w:fldCharType="end"/>
        </w:r>
      </w:hyperlink>
      <w:r w:rsidR="00A35954" w:rsidRPr="00591BFC">
        <w:rPr>
          <w:rFonts w:cs="Arial"/>
        </w:rPr>
        <w:t>,</w:t>
      </w:r>
      <w:r w:rsidR="00DB142C" w:rsidRPr="00591BFC">
        <w:rPr>
          <w:rFonts w:cs="Arial"/>
        </w:rPr>
        <w:t xml:space="preserve"> </w:t>
      </w:r>
      <w:r w:rsidRPr="00591BFC">
        <w:rPr>
          <w:rFonts w:cs="Arial"/>
        </w:rPr>
        <w:t>a poor surrogate given the low adherence to therapy; non-contemporary or estimated control data</w:t>
      </w:r>
      <w:r w:rsidR="00B24FEE">
        <w:rPr>
          <w:rFonts w:cs="Arial"/>
        </w:rPr>
        <w:fldChar w:fldCharType="begin">
          <w:fldData xml:space="preserve">PEVuZE5vdGU+PENpdGU+PEF1dGhvcj5EZWxsPC9BdXRob3I+PFllYXI+MjAxMTwvWWVhcj48UmVj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ZW9wb3JvcyBJbnQ8L2Z1bGwtdGl0bGU+PC9wZXJpb2RpY2FsPjxwYWdlcz40NTctNjA8L3BhZ2Vz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</w:fldData>
        </w:fldChar>
      </w:r>
      <w:r w:rsidR="00B24FEE">
        <w:rPr>
          <w:rFonts w:cs="Arial"/>
        </w:rPr>
        <w:instrText xml:space="preserve"> ADDIN EN.CITE </w:instrText>
      </w:r>
      <w:r w:rsidR="00B24FEE">
        <w:rPr>
          <w:rFonts w:cs="Arial"/>
        </w:rPr>
        <w:fldChar w:fldCharType="begin">
          <w:fldData xml:space="preserve">PEVuZE5vdGU+PENpdGU+PEF1dGhvcj5EZWxsPC9BdXRob3I+PFllYXI+MjAxMTwvWWVhcj48UmVj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ZW9wb3JvcyBJbnQ8L2Z1bGwtdGl0bGU+PC9wZXJpb2RpY2FsPjxwYWdlcz40NTctNjA8L3BhZ2Vz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</w:fldData>
        </w:fldChar>
      </w:r>
      <w:r w:rsidR="00B24FEE">
        <w:rPr>
          <w:rFonts w:cs="Arial"/>
        </w:rPr>
        <w:instrText xml:space="preserve"> ADDIN EN.CITE.DATA </w:instrText>
      </w:r>
      <w:r w:rsidR="00B24FEE">
        <w:rPr>
          <w:rFonts w:cs="Arial"/>
        </w:rPr>
      </w:r>
      <w:r w:rsidR="00B24FEE">
        <w:rPr>
          <w:rFonts w:cs="Arial"/>
        </w:rPr>
        <w:fldChar w:fldCharType="end"/>
      </w:r>
      <w:r w:rsidR="00B24FEE">
        <w:rPr>
          <w:rFonts w:cs="Arial"/>
        </w:rPr>
      </w:r>
      <w:r w:rsidR="00B24FEE">
        <w:rPr>
          <w:rFonts w:cs="Arial"/>
        </w:rPr>
        <w:fldChar w:fldCharType="separate"/>
      </w:r>
      <w:hyperlink w:anchor="_ENREF_20" w:tooltip="McLellan, 2011 #45" w:history="1">
        <w:r w:rsidR="00B24FEE" w:rsidRPr="00B24FEE">
          <w:rPr>
            <w:rFonts w:cs="Arial"/>
            <w:noProof/>
            <w:vertAlign w:val="superscript"/>
          </w:rPr>
          <w:t>20</w:t>
        </w:r>
      </w:hyperlink>
      <w:r w:rsidR="00B24FEE" w:rsidRPr="00B24FEE">
        <w:rPr>
          <w:rFonts w:cs="Arial"/>
          <w:noProof/>
          <w:vertAlign w:val="superscript"/>
        </w:rPr>
        <w:t xml:space="preserve"> </w:t>
      </w:r>
      <w:hyperlink w:anchor="_ENREF_25" w:tooltip="Dell, 2011 #148" w:history="1">
        <w:r w:rsidR="00B24FEE" w:rsidRPr="00B24FEE">
          <w:rPr>
            <w:rFonts w:cs="Arial"/>
            <w:noProof/>
            <w:vertAlign w:val="superscript"/>
          </w:rPr>
          <w:t>25</w:t>
        </w:r>
      </w:hyperlink>
      <w:r w:rsidR="00B24FEE">
        <w:rPr>
          <w:rFonts w:cs="Arial"/>
        </w:rPr>
        <w:fldChar w:fldCharType="end"/>
      </w:r>
      <w:r w:rsidRPr="00591BFC">
        <w:rPr>
          <w:rFonts w:cs="Arial"/>
        </w:rPr>
        <w:t>; effect sizes based on randomi</w:t>
      </w:r>
      <w:r w:rsidR="001F0197">
        <w:rPr>
          <w:rFonts w:cs="Arial"/>
        </w:rPr>
        <w:t>s</w:t>
      </w:r>
      <w:r w:rsidRPr="00591BFC">
        <w:rPr>
          <w:rFonts w:cs="Arial"/>
        </w:rPr>
        <w:t>ed controlled trials for the drug</w:t>
      </w:r>
      <w:r w:rsidR="00B24FEE">
        <w:rPr>
          <w:rFonts w:cs="Arial"/>
        </w:rPr>
        <w:fldChar w:fldCharType="begin">
          <w:fldData xml:space="preserve">PEVuZE5vdGU+PENpdGU+PEF1dGhvcj5NY0xlbGxhbjwvQXV0aG9yPjxZZWFyPjIwMTE8L1llYXI+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</w:fldData>
        </w:fldChar>
      </w:r>
      <w:r w:rsidR="00B24FEE">
        <w:rPr>
          <w:rFonts w:cs="Arial"/>
        </w:rPr>
        <w:instrText xml:space="preserve"> ADDIN EN.CITE </w:instrText>
      </w:r>
      <w:r w:rsidR="00B24FEE">
        <w:rPr>
          <w:rFonts w:cs="Arial"/>
        </w:rPr>
        <w:fldChar w:fldCharType="begin">
          <w:fldData xml:space="preserve">PEVuZE5vdGU+PENpdGU+PEF1dGhvcj5NY0xlbGxhbjwvQXV0aG9yPjxZZWFyPjIwMTE8L1llYXI+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</w:fldData>
        </w:fldChar>
      </w:r>
      <w:r w:rsidR="00B24FEE">
        <w:rPr>
          <w:rFonts w:cs="Arial"/>
        </w:rPr>
        <w:instrText xml:space="preserve"> ADDIN EN.CITE.DATA </w:instrText>
      </w:r>
      <w:r w:rsidR="00B24FEE">
        <w:rPr>
          <w:rFonts w:cs="Arial"/>
        </w:rPr>
      </w:r>
      <w:r w:rsidR="00B24FEE">
        <w:rPr>
          <w:rFonts w:cs="Arial"/>
        </w:rPr>
        <w:fldChar w:fldCharType="end"/>
      </w:r>
      <w:r w:rsidR="00B24FEE">
        <w:rPr>
          <w:rFonts w:cs="Arial"/>
        </w:rPr>
      </w:r>
      <w:r w:rsidR="00B24FEE">
        <w:rPr>
          <w:rFonts w:cs="Arial"/>
        </w:rPr>
        <w:fldChar w:fldCharType="separate"/>
      </w:r>
      <w:hyperlink w:anchor="_ENREF_20" w:tooltip="McLellan, 2011 #45" w:history="1">
        <w:r w:rsidR="00B24FEE" w:rsidRPr="00B24FEE">
          <w:rPr>
            <w:rFonts w:cs="Arial"/>
            <w:noProof/>
            <w:vertAlign w:val="superscript"/>
          </w:rPr>
          <w:t>20</w:t>
        </w:r>
      </w:hyperlink>
      <w:r w:rsidR="00B24FEE" w:rsidRPr="00B24FEE">
        <w:rPr>
          <w:rFonts w:cs="Arial"/>
          <w:noProof/>
          <w:vertAlign w:val="superscript"/>
        </w:rPr>
        <w:t xml:space="preserve"> </w:t>
      </w:r>
      <w:hyperlink w:anchor="_ENREF_95" w:tooltip="Sander, 2008 #1148" w:history="1">
        <w:r w:rsidR="00B24FEE" w:rsidRPr="00B24FEE">
          <w:rPr>
            <w:rFonts w:cs="Arial"/>
            <w:noProof/>
            <w:vertAlign w:val="superscript"/>
          </w:rPr>
          <w:t>95</w:t>
        </w:r>
      </w:hyperlink>
      <w:r w:rsidR="00B24FEE">
        <w:rPr>
          <w:rFonts w:cs="Arial"/>
        </w:rPr>
        <w:fldChar w:fldCharType="end"/>
      </w:r>
      <w:r w:rsidRPr="00591BFC">
        <w:rPr>
          <w:rFonts w:cs="Arial"/>
        </w:rPr>
        <w:t xml:space="preserve">; attendee vs. non-attendee designs -subject to significant selection bias, left censoring </w:t>
      </w:r>
      <w:r w:rsidR="00B24FEE">
        <w:rPr>
          <w:rFonts w:cs="Arial"/>
        </w:rPr>
        <w:fldChar w:fldCharType="begin">
          <w:fldData xml:space="preserve">PEVuZE5vdGU+PENpdGU+PEF1dGhvcj5MaWg8L0F1dGhvcj48WWVhcj4yMDExPC9ZZWFyPjxSZWNO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</w:fldData>
        </w:fldChar>
      </w:r>
      <w:r w:rsidR="00B24FEE">
        <w:rPr>
          <w:rFonts w:cs="Arial"/>
        </w:rPr>
        <w:instrText xml:space="preserve"> ADDIN EN.CITE </w:instrText>
      </w:r>
      <w:r w:rsidR="00B24FEE">
        <w:rPr>
          <w:rFonts w:cs="Arial"/>
        </w:rPr>
        <w:fldChar w:fldCharType="begin">
          <w:fldData xml:space="preserve">PEVuZE5vdGU+PENpdGU+PEF1dGhvcj5MaWg8L0F1dGhvcj48WWVhcj4yMDExPC9ZZWFyPjxSZWNO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</w:fldData>
        </w:fldChar>
      </w:r>
      <w:r w:rsidR="00B24FEE">
        <w:rPr>
          <w:rFonts w:cs="Arial"/>
        </w:rPr>
        <w:instrText xml:space="preserve"> ADDIN EN.CITE.DATA </w:instrText>
      </w:r>
      <w:r w:rsidR="00B24FEE">
        <w:rPr>
          <w:rFonts w:cs="Arial"/>
        </w:rPr>
      </w:r>
      <w:r w:rsidR="00B24FEE">
        <w:rPr>
          <w:rFonts w:cs="Arial"/>
        </w:rPr>
        <w:fldChar w:fldCharType="end"/>
      </w:r>
      <w:r w:rsidR="00B24FEE">
        <w:rPr>
          <w:rFonts w:cs="Arial"/>
        </w:rPr>
      </w:r>
      <w:r w:rsidR="00B24FEE">
        <w:rPr>
          <w:rFonts w:cs="Arial"/>
        </w:rPr>
        <w:fldChar w:fldCharType="separate"/>
      </w:r>
      <w:hyperlink w:anchor="_ENREF_26" w:tooltip="Lih, 2011 #54" w:history="1">
        <w:r w:rsidR="00B24FEE" w:rsidRPr="00B24FEE">
          <w:rPr>
            <w:rFonts w:cs="Arial"/>
            <w:noProof/>
            <w:vertAlign w:val="superscript"/>
          </w:rPr>
          <w:t>26</w:t>
        </w:r>
      </w:hyperlink>
      <w:r w:rsidR="00B24FEE" w:rsidRPr="00B24FEE">
        <w:rPr>
          <w:rFonts w:cs="Arial"/>
          <w:noProof/>
          <w:vertAlign w:val="superscript"/>
        </w:rPr>
        <w:t xml:space="preserve"> </w:t>
      </w:r>
      <w:hyperlink w:anchor="_ENREF_99" w:tooltip="Van der Kallen, 2014 #1152" w:history="1">
        <w:r w:rsidR="00B24FEE" w:rsidRPr="00B24FEE">
          <w:rPr>
            <w:rFonts w:cs="Arial"/>
            <w:noProof/>
            <w:vertAlign w:val="superscript"/>
          </w:rPr>
          <w:t>99</w:t>
        </w:r>
      </w:hyperlink>
      <w:r w:rsidR="00B24FEE">
        <w:rPr>
          <w:rFonts w:cs="Arial"/>
        </w:rPr>
        <w:fldChar w:fldCharType="end"/>
      </w:r>
      <w:r w:rsidR="00A35954" w:rsidRPr="00591BFC">
        <w:rPr>
          <w:rFonts w:cs="Arial"/>
        </w:rPr>
        <w:t xml:space="preserve">. </w:t>
      </w:r>
      <w:r w:rsidRPr="00591BFC">
        <w:rPr>
          <w:rFonts w:cs="Arial"/>
        </w:rPr>
        <w:t>The reported range of fracture reduction from an FLS from 7% to 80% evidences the magnitude of effect of these biases. This is unhelpful when using the potential benefits to guide prioriti</w:t>
      </w:r>
      <w:r w:rsidR="009A6737" w:rsidRPr="00591BFC">
        <w:rPr>
          <w:rFonts w:cs="Arial"/>
        </w:rPr>
        <w:t>s</w:t>
      </w:r>
      <w:r w:rsidRPr="00591BFC">
        <w:rPr>
          <w:rFonts w:cs="Arial"/>
        </w:rPr>
        <w:t>ation for commissioners and policy makers. In this chapter we will summari</w:t>
      </w:r>
      <w:r w:rsidR="001F0197">
        <w:rPr>
          <w:rFonts w:cs="Arial"/>
        </w:rPr>
        <w:t>s</w:t>
      </w:r>
      <w:r w:rsidRPr="00591BFC">
        <w:rPr>
          <w:rFonts w:cs="Arial"/>
        </w:rPr>
        <w:t xml:space="preserve">e the key findings from using the variability of timing of orthogeriatric and FLS services to infer estimates of effectiveness. </w:t>
      </w:r>
    </w:p>
    <w:p w14:paraId="50D49248" w14:textId="77777777" w:rsidR="005E43F5" w:rsidRPr="00591BFC" w:rsidRDefault="005E43F5" w:rsidP="00E86771">
      <w:pPr>
        <w:pStyle w:val="Heading3"/>
        <w:spacing w:line="360" w:lineRule="auto"/>
        <w:rPr>
          <w:rFonts w:ascii="Calibri" w:hAnsi="Calibri"/>
          <w:lang w:val="en-GB"/>
        </w:rPr>
      </w:pPr>
      <w:bookmarkStart w:id="180" w:name="_Toc308300753"/>
      <w:bookmarkStart w:id="181" w:name="_Toc311366560"/>
      <w:r w:rsidRPr="00591BFC">
        <w:rPr>
          <w:rFonts w:ascii="Calibri" w:hAnsi="Calibri"/>
          <w:lang w:val="en-GB"/>
        </w:rPr>
        <w:t>Aims</w:t>
      </w:r>
      <w:bookmarkEnd w:id="180"/>
      <w:bookmarkEnd w:id="181"/>
    </w:p>
    <w:p w14:paraId="05FCA9E1" w14:textId="77777777" w:rsidR="00CF2E21" w:rsidRPr="00591BFC" w:rsidRDefault="005E43F5" w:rsidP="00E86771">
      <w:pPr>
        <w:spacing w:line="360" w:lineRule="auto"/>
        <w:rPr>
          <w:rFonts w:cs="Arial"/>
        </w:rPr>
      </w:pPr>
      <w:r w:rsidRPr="00591BFC">
        <w:rPr>
          <w:rFonts w:cs="Arial"/>
        </w:rPr>
        <w:t>To e</w:t>
      </w:r>
      <w:r w:rsidR="00CF2E21" w:rsidRPr="00591BFC">
        <w:rPr>
          <w:rFonts w:cs="Arial"/>
        </w:rPr>
        <w:t xml:space="preserve">valuate the impact that changes to the delivery of secondary fracture prevention have had on health outcomes by altering trends in: </w:t>
      </w:r>
    </w:p>
    <w:p w14:paraId="490DC86C" w14:textId="77777777" w:rsidR="00311CE4" w:rsidRPr="00591BFC" w:rsidRDefault="00CF2E21" w:rsidP="00E86771">
      <w:pPr>
        <w:pStyle w:val="ListParagraph"/>
        <w:numPr>
          <w:ilvl w:val="0"/>
          <w:numId w:val="19"/>
        </w:numPr>
        <w:spacing w:after="0" w:line="360" w:lineRule="auto"/>
        <w:rPr>
          <w:rFonts w:cs="Arial"/>
        </w:rPr>
      </w:pPr>
      <w:r w:rsidRPr="00591BFC">
        <w:rPr>
          <w:rFonts w:cs="Arial"/>
        </w:rPr>
        <w:t xml:space="preserve">hip re-fracture rates, </w:t>
      </w:r>
    </w:p>
    <w:p w14:paraId="30CEAD1A" w14:textId="77777777" w:rsidR="00CF2E21" w:rsidRPr="00591BFC" w:rsidRDefault="00CF2E21" w:rsidP="00E86771">
      <w:pPr>
        <w:pStyle w:val="ListParagraph"/>
        <w:numPr>
          <w:ilvl w:val="0"/>
          <w:numId w:val="19"/>
        </w:numPr>
        <w:spacing w:after="0" w:line="360" w:lineRule="auto"/>
        <w:rPr>
          <w:rFonts w:cs="Arial"/>
        </w:rPr>
      </w:pPr>
      <w:r w:rsidRPr="00591BFC">
        <w:rPr>
          <w:rFonts w:cs="Arial"/>
        </w:rPr>
        <w:t>life expectancy – 30 day and 1 year</w:t>
      </w:r>
    </w:p>
    <w:p w14:paraId="03D39E6F" w14:textId="77777777" w:rsidR="00CF2E21" w:rsidRPr="00591BFC" w:rsidRDefault="00CF2E21" w:rsidP="00E86771">
      <w:pPr>
        <w:pStyle w:val="Heading2"/>
        <w:spacing w:line="360" w:lineRule="auto"/>
        <w:rPr>
          <w:rFonts w:ascii="Calibri" w:hAnsi="Calibri"/>
          <w:lang w:val="en-GB"/>
        </w:rPr>
      </w:pPr>
      <w:bookmarkStart w:id="182" w:name="_Toc308300754"/>
      <w:bookmarkStart w:id="183" w:name="_Toc311366561"/>
      <w:r w:rsidRPr="00591BFC">
        <w:rPr>
          <w:rFonts w:ascii="Calibri" w:hAnsi="Calibri"/>
          <w:lang w:val="en-GB"/>
        </w:rPr>
        <w:lastRenderedPageBreak/>
        <w:t>Methods</w:t>
      </w:r>
      <w:bookmarkEnd w:id="182"/>
      <w:bookmarkEnd w:id="183"/>
    </w:p>
    <w:p w14:paraId="6871AF96" w14:textId="77777777" w:rsidR="00CF2E21" w:rsidRPr="00591BFC" w:rsidRDefault="00CF2E21" w:rsidP="00E86771">
      <w:pPr>
        <w:pStyle w:val="Heading3"/>
        <w:spacing w:line="360" w:lineRule="auto"/>
        <w:rPr>
          <w:rFonts w:ascii="Calibri" w:hAnsi="Calibri"/>
          <w:lang w:val="en-GB"/>
        </w:rPr>
      </w:pPr>
      <w:bookmarkStart w:id="184" w:name="_Toc308300755"/>
      <w:bookmarkStart w:id="185" w:name="_Toc311366562"/>
      <w:r w:rsidRPr="00591BFC">
        <w:rPr>
          <w:rFonts w:ascii="Calibri" w:hAnsi="Calibri"/>
          <w:lang w:val="en-GB"/>
        </w:rPr>
        <w:t>Data sources</w:t>
      </w:r>
      <w:bookmarkEnd w:id="184"/>
      <w:bookmarkEnd w:id="185"/>
    </w:p>
    <w:p w14:paraId="6C69EE39" w14:textId="77777777" w:rsidR="00CF2E21" w:rsidRPr="00591BFC" w:rsidRDefault="00CF2E21" w:rsidP="00E86771">
      <w:pPr>
        <w:spacing w:line="360" w:lineRule="auto"/>
      </w:pPr>
      <w:r w:rsidRPr="00591BFC">
        <w:t xml:space="preserve">A cohort of hip fracture patients treated at hospitals in the South Central region using English National </w:t>
      </w:r>
      <w:r w:rsidR="00B26452" w:rsidRPr="00591BFC">
        <w:t>HES</w:t>
      </w:r>
      <w:r w:rsidRPr="00591BFC">
        <w:t xml:space="preserve"> data was linked to the national mortality data from 1999 to 2011. The data c</w:t>
      </w:r>
      <w:r w:rsidR="009A6737" w:rsidRPr="00591BFC">
        <w:t>a</w:t>
      </w:r>
      <w:r w:rsidRPr="00591BFC">
        <w:t xml:space="preserve">me from a linked dataset of English national hospital episode statistics and data from death certification built by the team that developed and manages the Oxford record linkage study. The HES dataset includes records of all inpatient episodes undertaken in </w:t>
      </w:r>
      <w:r w:rsidR="00B26452" w:rsidRPr="00591BFC">
        <w:t>NHS</w:t>
      </w:r>
      <w:r w:rsidRPr="00591BFC">
        <w:t xml:space="preserve"> trusts in England, including acute hospitals. Information about deaths comes from death certificates held by </w:t>
      </w:r>
      <w:r w:rsidR="00B26452" w:rsidRPr="00591BFC">
        <w:t>ONS</w:t>
      </w:r>
      <w:r w:rsidRPr="00591BFC">
        <w:t>, which includes information on the date of death. A cohort of hip fracture patients (4260 patients per year in South Central) was identified through OPCS4 operation codes and ICD diagnostic codes. The hospital provider code allowed identification of the 11 hospitals in the region.</w:t>
      </w:r>
    </w:p>
    <w:p w14:paraId="36E4EDA7" w14:textId="77777777" w:rsidR="00CF2E21" w:rsidRPr="00591BFC" w:rsidRDefault="00CF2E21" w:rsidP="00E86771">
      <w:pPr>
        <w:spacing w:line="360" w:lineRule="auto"/>
      </w:pPr>
      <w:r w:rsidRPr="00591BFC">
        <w:t xml:space="preserve">Information on hip fracture hospital admissions was obtained from the hospital episode statistics (HES) database. Each record relates to a ‘finished consultant episode’ - the period of time an individual spends under the care of one NHS consultant. Private procedures are excluded from HES as there is no requirement for private hospitals to provide routine data. Mortality data from the office for national statistics (ONS) was linked and extracted using an encrypted patient identifier. </w:t>
      </w:r>
    </w:p>
    <w:p w14:paraId="077DFDB5" w14:textId="77777777" w:rsidR="00CF2E21" w:rsidRPr="00591BFC" w:rsidRDefault="00CF2E21" w:rsidP="00E86771">
      <w:pPr>
        <w:spacing w:line="360" w:lineRule="auto"/>
      </w:pPr>
    </w:p>
    <w:p w14:paraId="077ABAA9" w14:textId="77777777" w:rsidR="00CF2E21" w:rsidRPr="00591BFC" w:rsidRDefault="00CF2E21" w:rsidP="00E86771">
      <w:pPr>
        <w:pStyle w:val="Heading3"/>
        <w:spacing w:line="360" w:lineRule="auto"/>
        <w:rPr>
          <w:rFonts w:ascii="Calibri" w:hAnsi="Calibri"/>
          <w:lang w:val="en-GB"/>
        </w:rPr>
      </w:pPr>
      <w:bookmarkStart w:id="186" w:name="_Toc308300756"/>
      <w:bookmarkStart w:id="187" w:name="_Toc311366563"/>
      <w:r w:rsidRPr="00591BFC">
        <w:rPr>
          <w:rFonts w:ascii="Calibri" w:hAnsi="Calibri"/>
          <w:lang w:val="en-GB"/>
        </w:rPr>
        <w:t>Patients</w:t>
      </w:r>
      <w:bookmarkEnd w:id="186"/>
      <w:bookmarkEnd w:id="187"/>
    </w:p>
    <w:p w14:paraId="0A5797D3" w14:textId="77777777" w:rsidR="00CF2E21" w:rsidRPr="00591BFC" w:rsidRDefault="00CF2E21" w:rsidP="00E86771">
      <w:pPr>
        <w:spacing w:line="360" w:lineRule="auto"/>
      </w:pPr>
      <w:r w:rsidRPr="00591BFC">
        <w:t>All patient episodes containing an ICD10-code indicating hip fracture (S72.0, S72.1, S72.2, S72.9) as the primary diagnosis and with a start date occurring within the study period (1</w:t>
      </w:r>
      <w:r w:rsidRPr="00591BFC">
        <w:rPr>
          <w:vertAlign w:val="superscript"/>
        </w:rPr>
        <w:t>st</w:t>
      </w:r>
      <w:r w:rsidRPr="00591BFC">
        <w:t xml:space="preserve"> April 2003 – 31</w:t>
      </w:r>
      <w:r w:rsidRPr="00591BFC">
        <w:rPr>
          <w:vertAlign w:val="superscript"/>
        </w:rPr>
        <w:t>st</w:t>
      </w:r>
      <w:r w:rsidRPr="00591BFC">
        <w:t xml:space="preserve"> March 2013) were identified (</w:t>
      </w:r>
      <w:r w:rsidR="00A75A5C" w:rsidRPr="00591BFC">
        <w:fldChar w:fldCharType="begin"/>
      </w:r>
      <w:r w:rsidR="00A75A5C" w:rsidRPr="00591BFC">
        <w:instrText xml:space="preserve"> REF _Ref423010145 \h </w:instrText>
      </w:r>
      <w:r w:rsidR="00E814C1" w:rsidRPr="00591BFC">
        <w:instrText xml:space="preserve"> \* MERGEFORMAT </w:instrText>
      </w:r>
      <w:r w:rsidR="00A75A5C" w:rsidRPr="00591BFC">
        <w:fldChar w:fldCharType="separate"/>
      </w:r>
      <w:r w:rsidR="007B18C0" w:rsidRPr="00591BFC">
        <w:t xml:space="preserve">Figure </w:t>
      </w:r>
      <w:r w:rsidR="007B18C0" w:rsidRPr="00591BFC">
        <w:rPr>
          <w:noProof/>
        </w:rPr>
        <w:t>4</w:t>
      </w:r>
      <w:r w:rsidR="00A75A5C" w:rsidRPr="00591BFC">
        <w:fldChar w:fldCharType="end"/>
      </w:r>
      <w:r w:rsidRPr="00591BFC">
        <w:t>). Hip fracture episodes were excluded if they indicated the patient was under 60 years of age, admitted as a day-case, admitted as a non-emergency or admitted due to trauma such as a transport accident (external cause ICD-10 codes: V01-V99). Hip fracture episodes were excluded if it was indicated the patient had been admitted for any previous hip fracture (regardless of eligibility criteria) anytime between 1</w:t>
      </w:r>
      <w:r w:rsidRPr="00591BFC">
        <w:rPr>
          <w:vertAlign w:val="superscript"/>
        </w:rPr>
        <w:t>st</w:t>
      </w:r>
      <w:r w:rsidRPr="00591BFC">
        <w:t xml:space="preserve"> April 1999 and 31</w:t>
      </w:r>
      <w:r w:rsidRPr="00591BFC">
        <w:rPr>
          <w:vertAlign w:val="superscript"/>
        </w:rPr>
        <w:t>st</w:t>
      </w:r>
      <w:r w:rsidRPr="00591BFC">
        <w:t xml:space="preserve"> March 2013. Provider codes and treatment site codes were used to identify episodes occurring within the 11 hospitals in the region of interest. </w:t>
      </w:r>
    </w:p>
    <w:p w14:paraId="5D68367E" w14:textId="77777777" w:rsidR="00A75A5C" w:rsidRPr="00591BFC" w:rsidRDefault="002149AD" w:rsidP="00E86771">
      <w:pPr>
        <w:keepNext/>
        <w:spacing w:line="360" w:lineRule="auto"/>
        <w:jc w:val="center"/>
      </w:pPr>
      <w:r>
        <w:lastRenderedPageBreak/>
        <w:pict w14:anchorId="151718BD">
          <v:shape id="_x0000_i1028" type="#_x0000_t75" style="width:258.1pt;height:287.5pt">
            <v:imagedata r:id="rId15" o:title="figure_1" cropbottom="7950f"/>
          </v:shape>
        </w:pict>
      </w:r>
    </w:p>
    <w:p w14:paraId="01FF6C80" w14:textId="77777777" w:rsidR="00081F44" w:rsidRPr="00591BFC" w:rsidRDefault="00A75A5C" w:rsidP="00E86771">
      <w:pPr>
        <w:pStyle w:val="Caption"/>
        <w:spacing w:line="360" w:lineRule="auto"/>
      </w:pPr>
      <w:bookmarkStart w:id="188" w:name="_Ref423010145"/>
      <w:bookmarkStart w:id="189" w:name="_Toc424650317"/>
      <w:bookmarkStart w:id="190" w:name="_Toc311366706"/>
      <w:r w:rsidRPr="00591BFC">
        <w:t xml:space="preserve">Figure </w:t>
      </w:r>
      <w:r w:rsidR="002149AD">
        <w:fldChar w:fldCharType="begin"/>
      </w:r>
      <w:r w:rsidR="002149AD">
        <w:instrText xml:space="preserve"> SEQ Figure \* ARABIC </w:instrText>
      </w:r>
      <w:r w:rsidR="002149AD">
        <w:fldChar w:fldCharType="separate"/>
      </w:r>
      <w:r w:rsidR="003B2986">
        <w:rPr>
          <w:noProof/>
        </w:rPr>
        <w:t>4</w:t>
      </w:r>
      <w:r w:rsidR="002149AD">
        <w:rPr>
          <w:noProof/>
        </w:rPr>
        <w:fldChar w:fldCharType="end"/>
      </w:r>
      <w:bookmarkEnd w:id="188"/>
      <w:r w:rsidRPr="00591BFC">
        <w:t xml:space="preserve"> Population flow diagram</w:t>
      </w:r>
      <w:bookmarkEnd w:id="189"/>
      <w:bookmarkEnd w:id="190"/>
    </w:p>
    <w:p w14:paraId="3EF20D1E" w14:textId="6129986A" w:rsidR="00CF2E21" w:rsidRPr="00591BFC" w:rsidRDefault="00CF2E21" w:rsidP="00E86771">
      <w:pPr>
        <w:spacing w:line="360" w:lineRule="auto"/>
      </w:pPr>
      <w:r w:rsidRPr="00591BFC">
        <w:t>It is important to establish the laterality of the second vs index hip fracture to avoid double counting the index fracture. Given the ICD-10 codes do not indicate laterality, we used the OPCS Codes from NICE CMG46 2012</w:t>
      </w:r>
      <w:hyperlink w:anchor="_ENREF_57" w:tooltip="Group, 2012 #653" w:history="1">
        <w:r w:rsidR="00B24FEE">
          <w:fldChar w:fldCharType="begin"/>
        </w:r>
        <w:r w:rsidR="00B24FEE">
          <w:instrText xml:space="preserve"> ADDIN EN.CITE &lt;EndNote&gt;&lt;Cite&gt;&lt;Author&gt;Group&lt;/Author&gt;&lt;Year&gt;2012&lt;/Year&gt;&lt;RecNum&gt;653&lt;/RecNum&gt;&lt;DisplayText&gt;&lt;style face="superscript"&gt;57&lt;/style&gt;&lt;/DisplayText&gt;&lt;record&gt;&lt;rec-number&gt;653&lt;/rec-number&gt;&lt;foreign-keys&gt;&lt;key app="EN" db-id="sxpszd2ti9dx04ewefrvfp5bpf5faazszr9p" timestamp="0"&gt;653&lt;/key&gt;&lt;/foreign-keys&gt;&lt;ref-type name="Report"&gt;27&lt;/ref-type&gt;&lt;contributors&gt;&lt;authors&gt;&lt;author&gt;Milton Keynes Clinical Commissioning Group&lt;/author&gt;&lt;/authors&gt;&lt;/contributors&gt;&lt;titles&gt;&lt;title&gt;CDG template for approval in principle for service change or new service&lt;/title&gt;&lt;/titles&gt;&lt;dates&gt;&lt;year&gt;2012&lt;/year&gt;&lt;/dates&gt;&lt;urls&gt;&lt;/urls&gt;&lt;/record&gt;&lt;/Cite&gt;&lt;/EndNote&gt;</w:instrText>
        </w:r>
        <w:r w:rsidR="00B24FEE">
          <w:fldChar w:fldCharType="separate"/>
        </w:r>
        <w:r w:rsidR="00B24FEE" w:rsidRPr="00B24FEE">
          <w:rPr>
            <w:noProof/>
            <w:vertAlign w:val="superscript"/>
          </w:rPr>
          <w:t>57</w:t>
        </w:r>
        <w:r w:rsidR="00B24FEE">
          <w:fldChar w:fldCharType="end"/>
        </w:r>
      </w:hyperlink>
      <w:r w:rsidR="00A35954" w:rsidRPr="00591BFC">
        <w:t xml:space="preserve">: </w:t>
      </w:r>
      <w:r w:rsidRPr="00591BFC">
        <w:t>W191, W241, Z762+W192, Z762+W193, Z762+W242, Z763+W192, Z763+W193, Z763+W242, W371, W381, W391, W461, W462, W482, W471, W472, W481, W931, W941, W951. Eighty six percent of primary fractures and 79% of second hip fracture</w:t>
      </w:r>
      <w:r w:rsidR="00A35954" w:rsidRPr="00591BFC">
        <w:t>s had relevant procedure codes.</w:t>
      </w:r>
    </w:p>
    <w:p w14:paraId="66EE0E97" w14:textId="77777777" w:rsidR="00CF2E21" w:rsidRPr="00591BFC" w:rsidRDefault="00CF2E21" w:rsidP="00E86771">
      <w:pPr>
        <w:pStyle w:val="Heading3"/>
        <w:spacing w:line="360" w:lineRule="auto"/>
        <w:rPr>
          <w:rFonts w:ascii="Calibri" w:hAnsi="Calibri"/>
          <w:lang w:val="en-GB"/>
        </w:rPr>
      </w:pPr>
      <w:bookmarkStart w:id="191" w:name="_Toc308300757"/>
      <w:bookmarkStart w:id="192" w:name="_Toc311366564"/>
      <w:r w:rsidRPr="00591BFC">
        <w:rPr>
          <w:rFonts w:ascii="Calibri" w:hAnsi="Calibri"/>
          <w:lang w:val="en-GB"/>
        </w:rPr>
        <w:t>Outcomes</w:t>
      </w:r>
      <w:bookmarkEnd w:id="191"/>
      <w:bookmarkEnd w:id="192"/>
    </w:p>
    <w:p w14:paraId="55B2ADC4" w14:textId="77777777" w:rsidR="00CF2E21" w:rsidRPr="00591BFC" w:rsidRDefault="00CF2E21" w:rsidP="00E86771">
      <w:pPr>
        <w:spacing w:line="360" w:lineRule="auto"/>
      </w:pPr>
      <w:r w:rsidRPr="00591BFC">
        <w:t xml:space="preserve">The primary outcome of interest was time to second hip fracture within 2 years of a primary hip fracture. To ensure this was a separate fracture and not the first fracture recoded we counted second hip fractures only if admitted in a separate ‘continuous inpatient spell’ (CIPS) and at least 30 days after admission for the primary fracture. Secondary outcomes of interest were time to death: i) within 30-days and ii) within 1-year following a primary hip fracture admission, iii) non-hip fractures. </w:t>
      </w:r>
    </w:p>
    <w:p w14:paraId="42C11C28" w14:textId="77777777" w:rsidR="00A75A5C" w:rsidRPr="00591BFC" w:rsidRDefault="00A75A5C" w:rsidP="00E86771">
      <w:pPr>
        <w:spacing w:line="360" w:lineRule="auto"/>
        <w:sectPr w:rsidR="00A75A5C" w:rsidRPr="00591BFC" w:rsidSect="00E22489">
          <w:type w:val="continuous"/>
          <w:pgSz w:w="11906" w:h="16838"/>
          <w:pgMar w:top="1440" w:right="1440" w:bottom="1440" w:left="1440" w:header="708" w:footer="708" w:gutter="0"/>
          <w:cols w:space="708"/>
          <w:docGrid w:linePitch="360"/>
        </w:sectPr>
      </w:pPr>
    </w:p>
    <w:p w14:paraId="05621036" w14:textId="77777777" w:rsidR="00A75A5C" w:rsidRPr="00591BFC" w:rsidRDefault="00A75A5C" w:rsidP="00E86771">
      <w:pPr>
        <w:spacing w:line="360" w:lineRule="auto"/>
        <w:sectPr w:rsidR="00A75A5C" w:rsidRPr="00591BFC" w:rsidSect="00A75A5C">
          <w:type w:val="continuous"/>
          <w:pgSz w:w="11906" w:h="16838"/>
          <w:pgMar w:top="1440" w:right="1440" w:bottom="1440" w:left="1440" w:header="708" w:footer="708" w:gutter="0"/>
          <w:cols w:space="708"/>
          <w:docGrid w:linePitch="360"/>
        </w:sectPr>
      </w:pPr>
    </w:p>
    <w:p w14:paraId="1E14ADC1" w14:textId="77777777" w:rsidR="00112ED8" w:rsidRPr="00591BFC" w:rsidRDefault="00112ED8" w:rsidP="00E86771">
      <w:pPr>
        <w:pStyle w:val="Caption"/>
        <w:keepNext/>
        <w:spacing w:line="360" w:lineRule="auto"/>
      </w:pPr>
      <w:bookmarkStart w:id="193" w:name="_Ref423527271"/>
      <w:bookmarkStart w:id="194" w:name="_Toc308262406"/>
      <w:bookmarkStart w:id="195" w:name="_Toc311366672"/>
      <w:r w:rsidRPr="00591BFC">
        <w:lastRenderedPageBreak/>
        <w:t xml:space="preserve">Table </w:t>
      </w:r>
      <w:r w:rsidR="002149AD">
        <w:fldChar w:fldCharType="begin"/>
      </w:r>
      <w:r w:rsidR="002149AD">
        <w:instrText xml:space="preserve"> SEQ Table \* ARABIC </w:instrText>
      </w:r>
      <w:r w:rsidR="002149AD">
        <w:fldChar w:fldCharType="separate"/>
      </w:r>
      <w:r w:rsidR="00776C05">
        <w:rPr>
          <w:noProof/>
        </w:rPr>
        <w:t>11</w:t>
      </w:r>
      <w:r w:rsidR="002149AD">
        <w:rPr>
          <w:noProof/>
        </w:rPr>
        <w:fldChar w:fldCharType="end"/>
      </w:r>
      <w:bookmarkEnd w:id="193"/>
      <w:r w:rsidRPr="00591BFC">
        <w:t xml:space="preserve"> Regional summary of primary hip fracture admissions, clinical outcomes and time points of change to post-hip fracture care model during the study period (financial years 2003/4 to 2012/13)</w:t>
      </w:r>
      <w:bookmarkEnd w:id="194"/>
      <w:bookmarkEnd w:id="195"/>
    </w:p>
    <w:tbl>
      <w:tblPr>
        <w:tblW w:w="13943" w:type="dxa"/>
        <w:tblInd w:w="93" w:type="dxa"/>
        <w:tblLook w:val="04A0" w:firstRow="1" w:lastRow="0" w:firstColumn="1" w:lastColumn="0" w:noHBand="0" w:noVBand="1"/>
      </w:tblPr>
      <w:tblGrid>
        <w:gridCol w:w="834"/>
        <w:gridCol w:w="1314"/>
        <w:gridCol w:w="931"/>
        <w:gridCol w:w="848"/>
        <w:gridCol w:w="590"/>
        <w:gridCol w:w="1329"/>
        <w:gridCol w:w="496"/>
        <w:gridCol w:w="1329"/>
        <w:gridCol w:w="590"/>
        <w:gridCol w:w="1329"/>
        <w:gridCol w:w="590"/>
        <w:gridCol w:w="1329"/>
        <w:gridCol w:w="1264"/>
        <w:gridCol w:w="1231"/>
      </w:tblGrid>
      <w:tr w:rsidR="00112ED8" w:rsidRPr="00591BFC" w14:paraId="21804236" w14:textId="77777777" w:rsidTr="000D4504">
        <w:trPr>
          <w:trHeight w:val="271"/>
        </w:trPr>
        <w:tc>
          <w:tcPr>
            <w:tcW w:w="834" w:type="dxa"/>
            <w:vMerge w:val="restart"/>
            <w:tcBorders>
              <w:top w:val="single" w:sz="4" w:space="0" w:color="auto"/>
              <w:left w:val="single" w:sz="4" w:space="0" w:color="auto"/>
              <w:bottom w:val="single" w:sz="4" w:space="0" w:color="000000"/>
              <w:right w:val="single" w:sz="4" w:space="0" w:color="auto"/>
            </w:tcBorders>
            <w:shd w:val="clear" w:color="000000" w:fill="FFFFFF"/>
            <w:noWrap/>
            <w:hideMark/>
          </w:tcPr>
          <w:p w14:paraId="1A5A7931" w14:textId="77777777" w:rsidR="00112ED8" w:rsidRPr="00591BFC" w:rsidRDefault="00112ED8" w:rsidP="00E86771">
            <w:pPr>
              <w:spacing w:after="0" w:line="360" w:lineRule="auto"/>
              <w:jc w:val="center"/>
              <w:rPr>
                <w:rFonts w:eastAsia="Times New Roman"/>
                <w:color w:val="000000"/>
                <w:sz w:val="16"/>
                <w:szCs w:val="16"/>
                <w:u w:val="single"/>
                <w:lang w:eastAsia="en-GB"/>
              </w:rPr>
            </w:pPr>
            <w:r w:rsidRPr="00591BFC">
              <w:rPr>
                <w:rFonts w:eastAsia="Times New Roman"/>
                <w:color w:val="000000"/>
                <w:sz w:val="16"/>
                <w:szCs w:val="16"/>
                <w:u w:val="single"/>
                <w:lang w:eastAsia="en-GB"/>
              </w:rPr>
              <w:t>Hospital</w:t>
            </w:r>
          </w:p>
        </w:tc>
        <w:tc>
          <w:tcPr>
            <w:tcW w:w="1314"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1BE8097F" w14:textId="77777777" w:rsidR="00112ED8" w:rsidRPr="00591BFC" w:rsidRDefault="00112ED8" w:rsidP="00E86771">
            <w:pPr>
              <w:spacing w:after="0" w:line="360" w:lineRule="auto"/>
              <w:jc w:val="center"/>
              <w:rPr>
                <w:rFonts w:eastAsia="Times New Roman"/>
                <w:color w:val="000000"/>
                <w:sz w:val="16"/>
                <w:szCs w:val="16"/>
                <w:u w:val="single"/>
                <w:lang w:eastAsia="en-GB"/>
              </w:rPr>
            </w:pPr>
            <w:r w:rsidRPr="00591BFC">
              <w:rPr>
                <w:rFonts w:eastAsia="Times New Roman"/>
                <w:color w:val="000000"/>
                <w:sz w:val="16"/>
                <w:szCs w:val="16"/>
                <w:u w:val="single"/>
                <w:lang w:eastAsia="en-GB"/>
              </w:rPr>
              <w:t>Primary</w:t>
            </w:r>
            <w:r w:rsidRPr="00591BFC">
              <w:rPr>
                <w:rFonts w:eastAsia="Times New Roman"/>
                <w:color w:val="000000"/>
                <w:sz w:val="16"/>
                <w:szCs w:val="16"/>
                <w:u w:val="single"/>
                <w:lang w:eastAsia="en-GB"/>
              </w:rPr>
              <w:br/>
              <w:t xml:space="preserve"> Hip Fractures (N)</w:t>
            </w:r>
          </w:p>
        </w:tc>
        <w:tc>
          <w:tcPr>
            <w:tcW w:w="931"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2FC1058F" w14:textId="77777777" w:rsidR="00112ED8" w:rsidRPr="00591BFC" w:rsidRDefault="00A77A6F" w:rsidP="00E86771">
            <w:pPr>
              <w:spacing w:after="0" w:line="360" w:lineRule="auto"/>
              <w:jc w:val="center"/>
              <w:rPr>
                <w:rFonts w:eastAsia="Times New Roman"/>
                <w:color w:val="000000"/>
                <w:sz w:val="16"/>
                <w:szCs w:val="16"/>
                <w:u w:val="single"/>
                <w:lang w:eastAsia="en-GB"/>
              </w:rPr>
            </w:pPr>
            <w:r>
              <w:rPr>
                <w:rFonts w:eastAsia="Times New Roman"/>
                <w:color w:val="000000"/>
                <w:sz w:val="16"/>
                <w:szCs w:val="16"/>
                <w:u w:val="single"/>
                <w:lang w:eastAsia="en-GB"/>
              </w:rPr>
              <w:t>Age (years) (mean (SD))</w:t>
            </w:r>
          </w:p>
        </w:tc>
        <w:tc>
          <w:tcPr>
            <w:tcW w:w="848" w:type="dxa"/>
            <w:vMerge w:val="restart"/>
            <w:tcBorders>
              <w:top w:val="single" w:sz="4" w:space="0" w:color="auto"/>
              <w:left w:val="single" w:sz="4" w:space="0" w:color="auto"/>
              <w:bottom w:val="single" w:sz="4" w:space="0" w:color="000000"/>
              <w:right w:val="nil"/>
            </w:tcBorders>
            <w:shd w:val="clear" w:color="000000" w:fill="FFFFFF"/>
            <w:hideMark/>
          </w:tcPr>
          <w:p w14:paraId="1AFF102D" w14:textId="77777777" w:rsidR="00112ED8" w:rsidRPr="00591BFC" w:rsidRDefault="00112ED8" w:rsidP="00E86771">
            <w:pPr>
              <w:spacing w:after="0" w:line="360" w:lineRule="auto"/>
              <w:jc w:val="center"/>
              <w:rPr>
                <w:rFonts w:eastAsia="Times New Roman"/>
                <w:color w:val="000000"/>
                <w:sz w:val="16"/>
                <w:szCs w:val="16"/>
                <w:u w:val="single"/>
                <w:lang w:eastAsia="en-GB"/>
              </w:rPr>
            </w:pPr>
            <w:r w:rsidRPr="00591BFC">
              <w:rPr>
                <w:rFonts w:eastAsia="Times New Roman"/>
                <w:color w:val="000000"/>
                <w:sz w:val="16"/>
                <w:szCs w:val="16"/>
                <w:u w:val="single"/>
                <w:lang w:eastAsia="en-GB"/>
              </w:rPr>
              <w:t>Gender</w:t>
            </w:r>
            <w:r w:rsidRPr="00591BFC">
              <w:rPr>
                <w:rFonts w:eastAsia="Times New Roman"/>
                <w:color w:val="000000"/>
                <w:sz w:val="16"/>
                <w:szCs w:val="16"/>
                <w:u w:val="single"/>
                <w:lang w:eastAsia="en-GB"/>
              </w:rPr>
              <w:br/>
              <w:t xml:space="preserve"> (% female)</w:t>
            </w:r>
          </w:p>
        </w:tc>
        <w:tc>
          <w:tcPr>
            <w:tcW w:w="1919" w:type="dxa"/>
            <w:gridSpan w:val="2"/>
            <w:tcBorders>
              <w:top w:val="single" w:sz="4" w:space="0" w:color="auto"/>
              <w:left w:val="single" w:sz="4" w:space="0" w:color="auto"/>
              <w:bottom w:val="nil"/>
              <w:right w:val="single" w:sz="4" w:space="0" w:color="000000"/>
            </w:tcBorders>
            <w:shd w:val="clear" w:color="000000" w:fill="FFFFFF"/>
            <w:vAlign w:val="bottom"/>
            <w:hideMark/>
          </w:tcPr>
          <w:p w14:paraId="461C3DED" w14:textId="77777777" w:rsidR="00112ED8" w:rsidRPr="00591BFC" w:rsidRDefault="00112ED8" w:rsidP="00E86771">
            <w:pPr>
              <w:spacing w:after="0" w:line="360" w:lineRule="auto"/>
              <w:jc w:val="center"/>
              <w:rPr>
                <w:rFonts w:eastAsia="Times New Roman"/>
                <w:color w:val="000000"/>
                <w:sz w:val="16"/>
                <w:szCs w:val="16"/>
                <w:u w:val="single"/>
                <w:lang w:eastAsia="en-GB"/>
              </w:rPr>
            </w:pPr>
            <w:r w:rsidRPr="00591BFC">
              <w:rPr>
                <w:rFonts w:eastAsia="Times New Roman"/>
                <w:color w:val="000000"/>
                <w:sz w:val="16"/>
                <w:szCs w:val="16"/>
                <w:u w:val="single"/>
                <w:lang w:eastAsia="en-GB"/>
              </w:rPr>
              <w:t>2-year Secondary Hip Fractures</w:t>
            </w:r>
          </w:p>
        </w:tc>
        <w:tc>
          <w:tcPr>
            <w:tcW w:w="1825" w:type="dxa"/>
            <w:gridSpan w:val="2"/>
            <w:tcBorders>
              <w:top w:val="single" w:sz="4" w:space="0" w:color="auto"/>
              <w:left w:val="nil"/>
              <w:bottom w:val="nil"/>
              <w:right w:val="single" w:sz="4" w:space="0" w:color="000000"/>
            </w:tcBorders>
            <w:shd w:val="clear" w:color="000000" w:fill="FFFFFF"/>
            <w:hideMark/>
          </w:tcPr>
          <w:p w14:paraId="4480940D" w14:textId="77777777" w:rsidR="00112ED8" w:rsidRPr="00591BFC" w:rsidRDefault="00112ED8" w:rsidP="00E86771">
            <w:pPr>
              <w:spacing w:after="0" w:line="360" w:lineRule="auto"/>
              <w:jc w:val="center"/>
              <w:rPr>
                <w:rFonts w:eastAsia="Times New Roman"/>
                <w:color w:val="000000"/>
                <w:sz w:val="16"/>
                <w:szCs w:val="16"/>
                <w:u w:val="single"/>
                <w:lang w:eastAsia="en-GB"/>
              </w:rPr>
            </w:pPr>
            <w:r w:rsidRPr="00591BFC">
              <w:rPr>
                <w:rFonts w:eastAsia="Times New Roman"/>
                <w:color w:val="000000"/>
                <w:sz w:val="16"/>
                <w:szCs w:val="16"/>
                <w:u w:val="single"/>
                <w:lang w:eastAsia="en-GB"/>
              </w:rPr>
              <w:t>2-year Major Non-hip Fractures</w:t>
            </w:r>
          </w:p>
        </w:tc>
        <w:tc>
          <w:tcPr>
            <w:tcW w:w="1919" w:type="dxa"/>
            <w:gridSpan w:val="2"/>
            <w:tcBorders>
              <w:top w:val="single" w:sz="4" w:space="0" w:color="auto"/>
              <w:left w:val="nil"/>
              <w:bottom w:val="nil"/>
              <w:right w:val="single" w:sz="4" w:space="0" w:color="000000"/>
            </w:tcBorders>
            <w:shd w:val="clear" w:color="000000" w:fill="FFFFFF"/>
            <w:noWrap/>
            <w:hideMark/>
          </w:tcPr>
          <w:p w14:paraId="13BC803B" w14:textId="77777777" w:rsidR="00112ED8" w:rsidRPr="00591BFC" w:rsidRDefault="00112ED8" w:rsidP="00E86771">
            <w:pPr>
              <w:spacing w:after="0" w:line="360" w:lineRule="auto"/>
              <w:jc w:val="center"/>
              <w:rPr>
                <w:rFonts w:eastAsia="Times New Roman"/>
                <w:color w:val="000000"/>
                <w:sz w:val="16"/>
                <w:szCs w:val="16"/>
                <w:u w:val="single"/>
                <w:lang w:eastAsia="en-GB"/>
              </w:rPr>
            </w:pPr>
            <w:r w:rsidRPr="00591BFC">
              <w:rPr>
                <w:rFonts w:eastAsia="Times New Roman"/>
                <w:color w:val="000000"/>
                <w:sz w:val="16"/>
                <w:szCs w:val="16"/>
                <w:u w:val="single"/>
                <w:lang w:eastAsia="en-GB"/>
              </w:rPr>
              <w:t>30-day Mortality</w:t>
            </w:r>
          </w:p>
        </w:tc>
        <w:tc>
          <w:tcPr>
            <w:tcW w:w="1919" w:type="dxa"/>
            <w:gridSpan w:val="2"/>
            <w:tcBorders>
              <w:top w:val="single" w:sz="4" w:space="0" w:color="auto"/>
              <w:left w:val="nil"/>
              <w:bottom w:val="nil"/>
              <w:right w:val="single" w:sz="4" w:space="0" w:color="000000"/>
            </w:tcBorders>
            <w:shd w:val="clear" w:color="000000" w:fill="FFFFFF"/>
            <w:noWrap/>
            <w:hideMark/>
          </w:tcPr>
          <w:p w14:paraId="4190122D" w14:textId="77777777" w:rsidR="00112ED8" w:rsidRPr="00591BFC" w:rsidRDefault="00112ED8" w:rsidP="00E86771">
            <w:pPr>
              <w:spacing w:after="0" w:line="360" w:lineRule="auto"/>
              <w:jc w:val="center"/>
              <w:rPr>
                <w:rFonts w:eastAsia="Times New Roman"/>
                <w:color w:val="000000"/>
                <w:sz w:val="16"/>
                <w:szCs w:val="16"/>
                <w:u w:val="single"/>
                <w:lang w:eastAsia="en-GB"/>
              </w:rPr>
            </w:pPr>
            <w:r w:rsidRPr="00591BFC">
              <w:rPr>
                <w:rFonts w:eastAsia="Times New Roman"/>
                <w:color w:val="000000"/>
                <w:sz w:val="16"/>
                <w:szCs w:val="16"/>
                <w:u w:val="single"/>
                <w:lang w:eastAsia="en-GB"/>
              </w:rPr>
              <w:t>1-year Mortality</w:t>
            </w:r>
          </w:p>
        </w:tc>
        <w:tc>
          <w:tcPr>
            <w:tcW w:w="2434" w:type="dxa"/>
            <w:gridSpan w:val="2"/>
            <w:tcBorders>
              <w:top w:val="single" w:sz="4" w:space="0" w:color="auto"/>
              <w:left w:val="nil"/>
              <w:bottom w:val="nil"/>
              <w:right w:val="single" w:sz="4" w:space="0" w:color="000000"/>
            </w:tcBorders>
            <w:shd w:val="clear" w:color="000000" w:fill="FFFFFF"/>
            <w:hideMark/>
          </w:tcPr>
          <w:p w14:paraId="4F1631C5" w14:textId="77777777" w:rsidR="00112ED8" w:rsidRPr="00591BFC" w:rsidRDefault="00112ED8" w:rsidP="00E86771">
            <w:pPr>
              <w:spacing w:after="0" w:line="360" w:lineRule="auto"/>
              <w:jc w:val="center"/>
              <w:rPr>
                <w:rFonts w:eastAsia="Times New Roman"/>
                <w:color w:val="000000"/>
                <w:sz w:val="16"/>
                <w:szCs w:val="16"/>
                <w:u w:val="single"/>
                <w:lang w:eastAsia="en-GB"/>
              </w:rPr>
            </w:pPr>
            <w:r w:rsidRPr="00591BFC">
              <w:rPr>
                <w:rFonts w:eastAsia="Times New Roman"/>
                <w:color w:val="000000"/>
                <w:sz w:val="16"/>
                <w:szCs w:val="16"/>
                <w:u w:val="single"/>
                <w:lang w:eastAsia="en-GB"/>
              </w:rPr>
              <w:t>Timepoints of change to post-hip fracture model of care</w:t>
            </w:r>
          </w:p>
        </w:tc>
      </w:tr>
      <w:tr w:rsidR="00112ED8" w:rsidRPr="00591BFC" w14:paraId="323AED4A" w14:textId="77777777" w:rsidTr="000D4504">
        <w:trPr>
          <w:trHeight w:val="271"/>
        </w:trPr>
        <w:tc>
          <w:tcPr>
            <w:tcW w:w="834" w:type="dxa"/>
            <w:vMerge/>
            <w:tcBorders>
              <w:top w:val="single" w:sz="4" w:space="0" w:color="auto"/>
              <w:left w:val="single" w:sz="4" w:space="0" w:color="auto"/>
              <w:bottom w:val="single" w:sz="4" w:space="0" w:color="auto"/>
              <w:right w:val="single" w:sz="4" w:space="0" w:color="auto"/>
            </w:tcBorders>
            <w:vAlign w:val="center"/>
            <w:hideMark/>
          </w:tcPr>
          <w:p w14:paraId="5078DDD2" w14:textId="77777777" w:rsidR="00112ED8" w:rsidRPr="00591BFC" w:rsidRDefault="00112ED8" w:rsidP="00E86771">
            <w:pPr>
              <w:spacing w:after="0" w:line="360" w:lineRule="auto"/>
              <w:rPr>
                <w:rFonts w:eastAsia="Times New Roman"/>
                <w:color w:val="000000"/>
                <w:sz w:val="16"/>
                <w:szCs w:val="16"/>
                <w:u w:val="single"/>
                <w:lang w:eastAsia="en-GB"/>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14:paraId="47E290B7" w14:textId="77777777" w:rsidR="00112ED8" w:rsidRPr="00591BFC" w:rsidRDefault="00112ED8" w:rsidP="00E86771">
            <w:pPr>
              <w:spacing w:after="0" w:line="360" w:lineRule="auto"/>
              <w:rPr>
                <w:rFonts w:eastAsia="Times New Roman"/>
                <w:color w:val="000000"/>
                <w:sz w:val="16"/>
                <w:szCs w:val="16"/>
                <w:u w:val="single"/>
                <w:lang w:eastAsia="en-GB"/>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59D684A3" w14:textId="77777777" w:rsidR="00112ED8" w:rsidRPr="00591BFC" w:rsidRDefault="00112ED8" w:rsidP="00E86771">
            <w:pPr>
              <w:spacing w:after="0" w:line="360" w:lineRule="auto"/>
              <w:rPr>
                <w:rFonts w:eastAsia="Times New Roman"/>
                <w:color w:val="000000"/>
                <w:sz w:val="16"/>
                <w:szCs w:val="16"/>
                <w:u w:val="single"/>
                <w:lang w:eastAsia="en-GB"/>
              </w:rPr>
            </w:pPr>
          </w:p>
        </w:tc>
        <w:tc>
          <w:tcPr>
            <w:tcW w:w="848" w:type="dxa"/>
            <w:vMerge/>
            <w:tcBorders>
              <w:top w:val="single" w:sz="4" w:space="0" w:color="auto"/>
              <w:left w:val="single" w:sz="4" w:space="0" w:color="auto"/>
              <w:bottom w:val="single" w:sz="4" w:space="0" w:color="auto"/>
              <w:right w:val="nil"/>
            </w:tcBorders>
            <w:vAlign w:val="center"/>
            <w:hideMark/>
          </w:tcPr>
          <w:p w14:paraId="15AB37FC" w14:textId="77777777" w:rsidR="00112ED8" w:rsidRPr="00591BFC" w:rsidRDefault="00112ED8" w:rsidP="00E86771">
            <w:pPr>
              <w:spacing w:after="0" w:line="360" w:lineRule="auto"/>
              <w:rPr>
                <w:rFonts w:eastAsia="Times New Roman"/>
                <w:color w:val="000000"/>
                <w:sz w:val="16"/>
                <w:szCs w:val="16"/>
                <w:u w:val="single"/>
                <w:lang w:eastAsia="en-GB"/>
              </w:rPr>
            </w:pPr>
          </w:p>
        </w:tc>
        <w:tc>
          <w:tcPr>
            <w:tcW w:w="590" w:type="dxa"/>
            <w:tcBorders>
              <w:top w:val="nil"/>
              <w:left w:val="single" w:sz="4" w:space="0" w:color="auto"/>
              <w:bottom w:val="single" w:sz="4" w:space="0" w:color="auto"/>
              <w:right w:val="nil"/>
            </w:tcBorders>
            <w:shd w:val="clear" w:color="000000" w:fill="FFFFFF"/>
            <w:noWrap/>
            <w:vAlign w:val="bottom"/>
            <w:hideMark/>
          </w:tcPr>
          <w:p w14:paraId="648F7F0F"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N</w:t>
            </w:r>
          </w:p>
        </w:tc>
        <w:tc>
          <w:tcPr>
            <w:tcW w:w="1329" w:type="dxa"/>
            <w:tcBorders>
              <w:top w:val="nil"/>
              <w:left w:val="nil"/>
              <w:bottom w:val="single" w:sz="4" w:space="0" w:color="auto"/>
              <w:right w:val="single" w:sz="4" w:space="0" w:color="auto"/>
            </w:tcBorders>
            <w:shd w:val="clear" w:color="000000" w:fill="FFFFFF"/>
            <w:noWrap/>
            <w:vAlign w:val="bottom"/>
            <w:hideMark/>
          </w:tcPr>
          <w:p w14:paraId="700A4B59"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Proportion(%)ⱡ</w:t>
            </w:r>
          </w:p>
        </w:tc>
        <w:tc>
          <w:tcPr>
            <w:tcW w:w="496" w:type="dxa"/>
            <w:tcBorders>
              <w:top w:val="nil"/>
              <w:left w:val="nil"/>
              <w:bottom w:val="single" w:sz="4" w:space="0" w:color="auto"/>
              <w:right w:val="nil"/>
            </w:tcBorders>
            <w:shd w:val="clear" w:color="000000" w:fill="FFFFFF"/>
            <w:noWrap/>
            <w:vAlign w:val="bottom"/>
            <w:hideMark/>
          </w:tcPr>
          <w:p w14:paraId="55F97A8F"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N</w:t>
            </w:r>
          </w:p>
        </w:tc>
        <w:tc>
          <w:tcPr>
            <w:tcW w:w="1329" w:type="dxa"/>
            <w:tcBorders>
              <w:top w:val="nil"/>
              <w:left w:val="nil"/>
              <w:bottom w:val="single" w:sz="4" w:space="0" w:color="auto"/>
              <w:right w:val="nil"/>
            </w:tcBorders>
            <w:shd w:val="clear" w:color="000000" w:fill="FFFFFF"/>
            <w:noWrap/>
            <w:vAlign w:val="bottom"/>
            <w:hideMark/>
          </w:tcPr>
          <w:p w14:paraId="5EDFA912"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Proportion(%)ⱡ</w:t>
            </w:r>
          </w:p>
        </w:tc>
        <w:tc>
          <w:tcPr>
            <w:tcW w:w="590" w:type="dxa"/>
            <w:tcBorders>
              <w:top w:val="nil"/>
              <w:left w:val="single" w:sz="4" w:space="0" w:color="auto"/>
              <w:bottom w:val="single" w:sz="4" w:space="0" w:color="auto"/>
              <w:right w:val="nil"/>
            </w:tcBorders>
            <w:shd w:val="clear" w:color="000000" w:fill="FFFFFF"/>
            <w:noWrap/>
            <w:vAlign w:val="bottom"/>
            <w:hideMark/>
          </w:tcPr>
          <w:p w14:paraId="456611AC"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N</w:t>
            </w:r>
          </w:p>
        </w:tc>
        <w:tc>
          <w:tcPr>
            <w:tcW w:w="1329" w:type="dxa"/>
            <w:tcBorders>
              <w:top w:val="nil"/>
              <w:left w:val="nil"/>
              <w:bottom w:val="single" w:sz="4" w:space="0" w:color="auto"/>
              <w:right w:val="nil"/>
            </w:tcBorders>
            <w:shd w:val="clear" w:color="000000" w:fill="FFFFFF"/>
            <w:noWrap/>
            <w:vAlign w:val="bottom"/>
            <w:hideMark/>
          </w:tcPr>
          <w:p w14:paraId="77C0D02B"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Proportion(%)ⱡ</w:t>
            </w:r>
          </w:p>
        </w:tc>
        <w:tc>
          <w:tcPr>
            <w:tcW w:w="590" w:type="dxa"/>
            <w:tcBorders>
              <w:top w:val="nil"/>
              <w:left w:val="single" w:sz="4" w:space="0" w:color="auto"/>
              <w:bottom w:val="single" w:sz="4" w:space="0" w:color="auto"/>
              <w:right w:val="nil"/>
            </w:tcBorders>
            <w:shd w:val="clear" w:color="000000" w:fill="FFFFFF"/>
            <w:noWrap/>
            <w:vAlign w:val="bottom"/>
            <w:hideMark/>
          </w:tcPr>
          <w:p w14:paraId="3AFEF5E9"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N</w:t>
            </w:r>
          </w:p>
        </w:tc>
        <w:tc>
          <w:tcPr>
            <w:tcW w:w="1329" w:type="dxa"/>
            <w:tcBorders>
              <w:top w:val="nil"/>
              <w:left w:val="nil"/>
              <w:bottom w:val="single" w:sz="4" w:space="0" w:color="auto"/>
              <w:right w:val="single" w:sz="4" w:space="0" w:color="auto"/>
            </w:tcBorders>
            <w:shd w:val="clear" w:color="000000" w:fill="FFFFFF"/>
            <w:noWrap/>
            <w:vAlign w:val="bottom"/>
            <w:hideMark/>
          </w:tcPr>
          <w:p w14:paraId="622CC1E3"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Proportion(%)ⱡ</w:t>
            </w:r>
          </w:p>
        </w:tc>
        <w:tc>
          <w:tcPr>
            <w:tcW w:w="1264" w:type="dxa"/>
            <w:tcBorders>
              <w:top w:val="nil"/>
              <w:left w:val="nil"/>
              <w:bottom w:val="single" w:sz="4" w:space="0" w:color="auto"/>
              <w:right w:val="single" w:sz="4" w:space="0" w:color="auto"/>
            </w:tcBorders>
            <w:shd w:val="clear" w:color="000000" w:fill="FFFFFF"/>
            <w:noWrap/>
            <w:vAlign w:val="bottom"/>
            <w:hideMark/>
          </w:tcPr>
          <w:p w14:paraId="6A16FDED"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Nurse-led FLS</w:t>
            </w:r>
          </w:p>
        </w:tc>
        <w:tc>
          <w:tcPr>
            <w:tcW w:w="1170" w:type="dxa"/>
            <w:tcBorders>
              <w:top w:val="nil"/>
              <w:left w:val="nil"/>
              <w:bottom w:val="single" w:sz="4" w:space="0" w:color="auto"/>
              <w:right w:val="single" w:sz="4" w:space="0" w:color="auto"/>
            </w:tcBorders>
            <w:shd w:val="clear" w:color="000000" w:fill="FFFFFF"/>
            <w:noWrap/>
            <w:vAlign w:val="bottom"/>
            <w:hideMark/>
          </w:tcPr>
          <w:p w14:paraId="0F184C7C"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Orthogeriatrian</w:t>
            </w:r>
          </w:p>
        </w:tc>
      </w:tr>
      <w:tr w:rsidR="00112ED8" w:rsidRPr="00591BFC" w14:paraId="6ADA6139" w14:textId="77777777" w:rsidTr="000D4504">
        <w:trPr>
          <w:trHeight w:val="271"/>
        </w:trPr>
        <w:tc>
          <w:tcPr>
            <w:tcW w:w="8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AE0B39"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w:t>
            </w:r>
          </w:p>
        </w:tc>
        <w:tc>
          <w:tcPr>
            <w:tcW w:w="13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14D4B"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3115</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2F09F0"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82.9 (8.3)</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9D3845"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74.8</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84811E"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146</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5A0B68"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5.0</w:t>
            </w:r>
          </w:p>
        </w:tc>
        <w:tc>
          <w:tcPr>
            <w:tcW w:w="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744E6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79</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F0930C"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2.5</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45EDBB"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309</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BDE584"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10.6</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1AD6D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949</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0C06E"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31.3</w:t>
            </w:r>
          </w:p>
        </w:tc>
        <w:tc>
          <w:tcPr>
            <w:tcW w:w="12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D3435C"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CBDC9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w:t>
            </w:r>
          </w:p>
        </w:tc>
      </w:tr>
      <w:tr w:rsidR="00112ED8" w:rsidRPr="00591BFC" w14:paraId="300FFF74" w14:textId="77777777" w:rsidTr="000D4504">
        <w:trPr>
          <w:trHeight w:val="438"/>
        </w:trPr>
        <w:tc>
          <w:tcPr>
            <w:tcW w:w="8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D0B5C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w:t>
            </w:r>
          </w:p>
        </w:tc>
        <w:tc>
          <w:tcPr>
            <w:tcW w:w="13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A66B1"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3943</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A24E26"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82.9 (8.2)</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9CC3F9"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74.2</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16FBD4"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161</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C7BBB9"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4.4</w:t>
            </w:r>
          </w:p>
        </w:tc>
        <w:tc>
          <w:tcPr>
            <w:tcW w:w="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797B8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59</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84C349"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1.5</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4487CF"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378</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1AE432"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9.9</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B11D64"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1176</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C16D41"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30.3</w:t>
            </w:r>
          </w:p>
        </w:tc>
        <w:tc>
          <w:tcPr>
            <w:tcW w:w="12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892E0D"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B8A7F3"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May 2005, Aug 2007</w:t>
            </w:r>
          </w:p>
        </w:tc>
      </w:tr>
      <w:tr w:rsidR="00112ED8" w:rsidRPr="00591BFC" w14:paraId="21D0ED2A" w14:textId="77777777" w:rsidTr="000D4504">
        <w:trPr>
          <w:trHeight w:val="271"/>
        </w:trPr>
        <w:tc>
          <w:tcPr>
            <w:tcW w:w="8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C7C773"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3</w:t>
            </w:r>
          </w:p>
        </w:tc>
        <w:tc>
          <w:tcPr>
            <w:tcW w:w="13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3B7D7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1858</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490D4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82.6 (8.1)</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8F4ED6"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73.6</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D02CE6"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80</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576680"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4.2</w:t>
            </w:r>
          </w:p>
        </w:tc>
        <w:tc>
          <w:tcPr>
            <w:tcW w:w="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03E20A"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50</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03738B"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2.7</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749A81"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178</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57F5D8"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9.7</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7F350A"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586</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2284BE"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31.2</w:t>
            </w:r>
          </w:p>
        </w:tc>
        <w:tc>
          <w:tcPr>
            <w:tcW w:w="12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4B4B22"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8E3696"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w:t>
            </w:r>
          </w:p>
        </w:tc>
      </w:tr>
      <w:tr w:rsidR="00112ED8" w:rsidRPr="00591BFC" w14:paraId="6F1B5E00" w14:textId="77777777" w:rsidTr="000D4504">
        <w:trPr>
          <w:trHeight w:val="271"/>
        </w:trPr>
        <w:tc>
          <w:tcPr>
            <w:tcW w:w="8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272179"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w:t>
            </w:r>
          </w:p>
        </w:tc>
        <w:tc>
          <w:tcPr>
            <w:tcW w:w="13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3C0828"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2819</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11C146"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82.9 (8.3)</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304CA1"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75.8</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F8B126"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99</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B0F7F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4.1</w:t>
            </w:r>
          </w:p>
        </w:tc>
        <w:tc>
          <w:tcPr>
            <w:tcW w:w="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258D8F"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57</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45DB8"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2.0</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7C5395"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242</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9F38A6"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9.3</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4CF0A6"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753</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B900EB"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28.5</w:t>
            </w:r>
          </w:p>
        </w:tc>
        <w:tc>
          <w:tcPr>
            <w:tcW w:w="12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6537DF"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May 2009</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D538F"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Oct 2006</w:t>
            </w:r>
          </w:p>
        </w:tc>
      </w:tr>
      <w:tr w:rsidR="00112ED8" w:rsidRPr="00591BFC" w14:paraId="31FC74BC" w14:textId="77777777" w:rsidTr="000D4504">
        <w:trPr>
          <w:trHeight w:val="271"/>
        </w:trPr>
        <w:tc>
          <w:tcPr>
            <w:tcW w:w="8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F22A0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5</w:t>
            </w:r>
          </w:p>
        </w:tc>
        <w:tc>
          <w:tcPr>
            <w:tcW w:w="13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43041D"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1837</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01C7DE"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82.8 (8.1)</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5D68E4"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73.9</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8DB31E"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56</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1D59E5"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3.4</w:t>
            </w:r>
          </w:p>
        </w:tc>
        <w:tc>
          <w:tcPr>
            <w:tcW w:w="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0E716C"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41</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21FDCD"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2.2</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12527A"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154</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F2E439"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8.7</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2A004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528</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5965A8"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29.7</w:t>
            </w:r>
          </w:p>
        </w:tc>
        <w:tc>
          <w:tcPr>
            <w:tcW w:w="12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9DB668"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6B933D"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Sept 2009</w:t>
            </w:r>
            <w:r w:rsidRPr="00591BFC">
              <w:rPr>
                <w:rFonts w:eastAsia="Times New Roman"/>
                <w:color w:val="000000"/>
                <w:sz w:val="16"/>
                <w:szCs w:val="16"/>
                <w:vertAlign w:val="superscript"/>
                <w:lang w:eastAsia="en-GB"/>
              </w:rPr>
              <w:t>^ §</w:t>
            </w:r>
          </w:p>
        </w:tc>
      </w:tr>
      <w:tr w:rsidR="00112ED8" w:rsidRPr="00591BFC" w14:paraId="1B0556C2" w14:textId="77777777" w:rsidTr="000D4504">
        <w:trPr>
          <w:trHeight w:val="271"/>
        </w:trPr>
        <w:tc>
          <w:tcPr>
            <w:tcW w:w="8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172784"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6</w:t>
            </w:r>
          </w:p>
        </w:tc>
        <w:tc>
          <w:tcPr>
            <w:tcW w:w="13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53B6EA"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1030</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9CFF2E"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82.7 (8.1)</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F66F31"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73.8</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145870"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41</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91658E"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4.1</w:t>
            </w:r>
          </w:p>
        </w:tc>
        <w:tc>
          <w:tcPr>
            <w:tcW w:w="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F1BA26"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28</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F1B2B"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2.7</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4238E1"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60</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8CFE1B"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5.5</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FD4115"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238</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B66BFD"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22.6</w:t>
            </w:r>
          </w:p>
        </w:tc>
        <w:tc>
          <w:tcPr>
            <w:tcW w:w="12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59ACF1"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4C5FD5"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Nov 2005</w:t>
            </w:r>
            <w:r w:rsidRPr="00591BFC">
              <w:rPr>
                <w:rFonts w:eastAsia="Times New Roman"/>
                <w:color w:val="000000"/>
                <w:sz w:val="16"/>
                <w:szCs w:val="16"/>
                <w:vertAlign w:val="superscript"/>
                <w:lang w:eastAsia="en-GB"/>
              </w:rPr>
              <w:t>±</w:t>
            </w:r>
          </w:p>
        </w:tc>
      </w:tr>
      <w:tr w:rsidR="00112ED8" w:rsidRPr="00591BFC" w14:paraId="4A4545D6" w14:textId="77777777" w:rsidTr="000D4504">
        <w:trPr>
          <w:trHeight w:val="271"/>
        </w:trPr>
        <w:tc>
          <w:tcPr>
            <w:tcW w:w="8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DE04ED"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w:t>
            </w:r>
          </w:p>
        </w:tc>
        <w:tc>
          <w:tcPr>
            <w:tcW w:w="13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6FD7A1"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5895</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B02C08"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82.8 (8.2)</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96022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76.6</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DD6470"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206</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630775"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3.7</w:t>
            </w:r>
          </w:p>
        </w:tc>
        <w:tc>
          <w:tcPr>
            <w:tcW w:w="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220D90"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173</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6F2308"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2.9</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9FBBF3"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489</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FA5583"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8.8</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AF3C35"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1687</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A5B13F"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29.2</w:t>
            </w:r>
          </w:p>
        </w:tc>
        <w:tc>
          <w:tcPr>
            <w:tcW w:w="12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8D7843"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June 2007</w:t>
            </w:r>
            <w:r w:rsidRPr="00591BFC">
              <w:rPr>
                <w:rFonts w:eastAsia="Times New Roman"/>
                <w:color w:val="000000"/>
                <w:sz w:val="16"/>
                <w:szCs w:val="16"/>
                <w:vertAlign w:val="superscript"/>
                <w:lang w:eastAsia="en-GB"/>
              </w:rPr>
              <w:t>§</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4B4290"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July 2004</w:t>
            </w:r>
          </w:p>
        </w:tc>
      </w:tr>
      <w:tr w:rsidR="00112ED8" w:rsidRPr="00591BFC" w14:paraId="791C575C" w14:textId="77777777" w:rsidTr="000D4504">
        <w:trPr>
          <w:trHeight w:val="271"/>
        </w:trPr>
        <w:tc>
          <w:tcPr>
            <w:tcW w:w="8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950410"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w:t>
            </w:r>
          </w:p>
        </w:tc>
        <w:tc>
          <w:tcPr>
            <w:tcW w:w="13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C9C8DC"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4937</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2B5ABD"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83.0 (8.1)</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44F50E"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74.3</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79DF3E"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191</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64076"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4.0</w:t>
            </w:r>
          </w:p>
        </w:tc>
        <w:tc>
          <w:tcPr>
            <w:tcW w:w="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93E122"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150</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30AF44"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3.0</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C09C5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481</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3AB13C"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9.7</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AE3FE9"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1549</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D6A3E4"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31.7</w:t>
            </w:r>
          </w:p>
        </w:tc>
        <w:tc>
          <w:tcPr>
            <w:tcW w:w="12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5A17EC"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54BE7C"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March 2009</w:t>
            </w:r>
          </w:p>
        </w:tc>
      </w:tr>
      <w:tr w:rsidR="00112ED8" w:rsidRPr="00591BFC" w14:paraId="41351479" w14:textId="77777777" w:rsidTr="000D4504">
        <w:trPr>
          <w:trHeight w:val="271"/>
        </w:trPr>
        <w:tc>
          <w:tcPr>
            <w:tcW w:w="8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506D1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9</w:t>
            </w:r>
          </w:p>
        </w:tc>
        <w:tc>
          <w:tcPr>
            <w:tcW w:w="13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75F12F"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1994</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B26C25"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83.1 (8.1)</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EB99A4"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75.0</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71E606"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76</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92258F"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4.2</w:t>
            </w:r>
          </w:p>
        </w:tc>
        <w:tc>
          <w:tcPr>
            <w:tcW w:w="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7AD53"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46</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8122D8"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2.3</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227C34"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194</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03B885"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9.7</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CABA28"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562</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546354"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28.5</w:t>
            </w:r>
          </w:p>
        </w:tc>
        <w:tc>
          <w:tcPr>
            <w:tcW w:w="12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735C56"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April 2005</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AA52BE"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w:t>
            </w:r>
          </w:p>
        </w:tc>
      </w:tr>
      <w:tr w:rsidR="00112ED8" w:rsidRPr="00591BFC" w14:paraId="1FFFB06F" w14:textId="77777777" w:rsidTr="000D4504">
        <w:trPr>
          <w:trHeight w:val="438"/>
        </w:trPr>
        <w:tc>
          <w:tcPr>
            <w:tcW w:w="8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5F2A71"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10</w:t>
            </w:r>
          </w:p>
        </w:tc>
        <w:tc>
          <w:tcPr>
            <w:tcW w:w="13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EC0BA3"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4218</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75D35"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82.9 (8.3)</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0F90CD"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74.1</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32B415"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154</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33588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4.1</w:t>
            </w:r>
          </w:p>
        </w:tc>
        <w:tc>
          <w:tcPr>
            <w:tcW w:w="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D81726"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118</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FCDA0E"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2.8</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462F56"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417</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92F7CA"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9.9</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3902D6"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1213</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2E885C"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28.9</w:t>
            </w:r>
          </w:p>
        </w:tc>
        <w:tc>
          <w:tcPr>
            <w:tcW w:w="12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32093D" w14:textId="77777777" w:rsidR="00112ED8" w:rsidRPr="00591BFC" w:rsidRDefault="000D4504" w:rsidP="000D4504">
            <w:pPr>
              <w:spacing w:after="0" w:line="360" w:lineRule="auto"/>
              <w:rPr>
                <w:rFonts w:eastAsia="Times New Roman"/>
                <w:color w:val="000000"/>
                <w:sz w:val="16"/>
                <w:szCs w:val="16"/>
                <w:lang w:eastAsia="en-GB"/>
              </w:rPr>
            </w:pPr>
            <w:r>
              <w:rPr>
                <w:rFonts w:eastAsia="Times New Roman"/>
                <w:color w:val="000000"/>
                <w:sz w:val="16"/>
                <w:szCs w:val="16"/>
                <w:lang w:eastAsia="en-GB"/>
              </w:rPr>
              <w:t xml:space="preserve">May </w:t>
            </w:r>
            <w:r w:rsidR="00112ED8" w:rsidRPr="00591BFC">
              <w:rPr>
                <w:rFonts w:eastAsia="Times New Roman"/>
                <w:color w:val="000000"/>
                <w:sz w:val="16"/>
                <w:szCs w:val="16"/>
                <w:lang w:eastAsia="en-GB"/>
              </w:rPr>
              <w:t>2006,May 2008</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993E80"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Nov 2009</w:t>
            </w:r>
            <w:r w:rsidRPr="00591BFC">
              <w:rPr>
                <w:rFonts w:eastAsia="Times New Roman"/>
                <w:color w:val="000000"/>
                <w:sz w:val="16"/>
                <w:szCs w:val="16"/>
                <w:vertAlign w:val="superscript"/>
                <w:lang w:eastAsia="en-GB"/>
              </w:rPr>
              <w:t>^ §</w:t>
            </w:r>
          </w:p>
        </w:tc>
      </w:tr>
      <w:tr w:rsidR="00112ED8" w:rsidRPr="00591BFC" w14:paraId="1B42F05A" w14:textId="77777777" w:rsidTr="000D4504">
        <w:trPr>
          <w:trHeight w:val="271"/>
        </w:trPr>
        <w:tc>
          <w:tcPr>
            <w:tcW w:w="8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20566F"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11</w:t>
            </w:r>
          </w:p>
        </w:tc>
        <w:tc>
          <w:tcPr>
            <w:tcW w:w="13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A0BE70"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1506</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B6878E"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82.7 (8.2)</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7B4D9D"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73.9</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5D89FB"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78</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83251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5.2</w:t>
            </w:r>
          </w:p>
        </w:tc>
        <w:tc>
          <w:tcPr>
            <w:tcW w:w="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32EB6D"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44</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E890A"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2.9</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5C39AD"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131</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1D4AD5"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9</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CCB4EF"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421</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45E980"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29.1</w:t>
            </w:r>
          </w:p>
        </w:tc>
        <w:tc>
          <w:tcPr>
            <w:tcW w:w="12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1BA194"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126895"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w:t>
            </w:r>
          </w:p>
        </w:tc>
      </w:tr>
      <w:tr w:rsidR="00112ED8" w:rsidRPr="00591BFC" w14:paraId="3D46075F" w14:textId="77777777" w:rsidTr="000D4504">
        <w:trPr>
          <w:trHeight w:val="451"/>
        </w:trPr>
        <w:tc>
          <w:tcPr>
            <w:tcW w:w="8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0B7D7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Whole</w:t>
            </w:r>
            <w:r w:rsidRPr="00591BFC">
              <w:rPr>
                <w:rFonts w:eastAsia="Times New Roman"/>
                <w:color w:val="000000"/>
                <w:sz w:val="16"/>
                <w:szCs w:val="16"/>
                <w:lang w:eastAsia="en-GB"/>
              </w:rPr>
              <w:br/>
              <w:t xml:space="preserve"> Region</w:t>
            </w:r>
          </w:p>
        </w:tc>
        <w:tc>
          <w:tcPr>
            <w:tcW w:w="13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D93717"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33,152</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2346BF"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82.9 (8.2)</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5DDB9C"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74.8</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BEE1CA"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1288</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E8CE5C"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4.2</w:t>
            </w:r>
          </w:p>
        </w:tc>
        <w:tc>
          <w:tcPr>
            <w:tcW w:w="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41804F"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845</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E404EE"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2.6</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9DFB13"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3033</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B5CEDC"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9.5</w:t>
            </w:r>
          </w:p>
        </w:tc>
        <w:tc>
          <w:tcPr>
            <w:tcW w:w="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CDA848"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9662</w:t>
            </w: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BDD49C"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29.8</w:t>
            </w:r>
          </w:p>
        </w:tc>
        <w:tc>
          <w:tcPr>
            <w:tcW w:w="12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2214B"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 </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13EBB2" w14:textId="77777777" w:rsidR="00112ED8" w:rsidRPr="00591BFC" w:rsidRDefault="00112ED8" w:rsidP="00E86771">
            <w:pPr>
              <w:spacing w:after="0" w:line="360" w:lineRule="auto"/>
              <w:jc w:val="center"/>
              <w:rPr>
                <w:rFonts w:eastAsia="Times New Roman"/>
                <w:color w:val="000000"/>
                <w:sz w:val="16"/>
                <w:szCs w:val="16"/>
                <w:lang w:eastAsia="en-GB"/>
              </w:rPr>
            </w:pPr>
            <w:r w:rsidRPr="00591BFC">
              <w:rPr>
                <w:rFonts w:eastAsia="Times New Roman"/>
                <w:color w:val="000000"/>
                <w:sz w:val="16"/>
                <w:szCs w:val="16"/>
                <w:lang w:eastAsia="en-GB"/>
              </w:rPr>
              <w:t> </w:t>
            </w:r>
          </w:p>
        </w:tc>
      </w:tr>
    </w:tbl>
    <w:p w14:paraId="4295A88B" w14:textId="775E42A8" w:rsidR="00A77A6F" w:rsidRPr="00A77A6F" w:rsidRDefault="00962B3F" w:rsidP="00E86771">
      <w:pPr>
        <w:spacing w:after="0" w:line="360" w:lineRule="auto"/>
        <w:rPr>
          <w:sz w:val="16"/>
          <w:szCs w:val="18"/>
        </w:rPr>
      </w:pPr>
      <w:r w:rsidRPr="00A77A6F">
        <w:rPr>
          <w:sz w:val="16"/>
          <w:szCs w:val="18"/>
        </w:rPr>
        <w:t>ⱡ</w:t>
      </w:r>
      <w:r w:rsidR="00112ED8" w:rsidRPr="00A77A6F">
        <w:rPr>
          <w:sz w:val="16"/>
          <w:szCs w:val="18"/>
        </w:rPr>
        <w:t xml:space="preserve"> Average annual proportion of primary hip fracture patients identified as experiencing outcome of interest within the specified time period calculated using financial years 2003/4-2011/12 (mortality) and 2003/4-2010/11 (secondary hip fracture). Each annual proportion was directly standardised using the age and sex st</w:t>
      </w:r>
      <w:r w:rsidR="00BF4374">
        <w:rPr>
          <w:sz w:val="16"/>
          <w:szCs w:val="18"/>
        </w:rPr>
        <w:t>r</w:t>
      </w:r>
      <w:r w:rsidR="00112ED8" w:rsidRPr="00A77A6F">
        <w:rPr>
          <w:sz w:val="16"/>
          <w:szCs w:val="18"/>
        </w:rPr>
        <w:t>ucture of the total primary hip fracture population within each hospital (for hospital specific proportions) and the region as a whole (for whole region proportion).</w:t>
      </w:r>
      <w:r w:rsidR="00A77A6F" w:rsidRPr="00A77A6F">
        <w:rPr>
          <w:sz w:val="16"/>
          <w:szCs w:val="18"/>
        </w:rPr>
        <w:t xml:space="preserve"> </w:t>
      </w:r>
    </w:p>
    <w:p w14:paraId="026FBEF5" w14:textId="77777777" w:rsidR="00962B3F" w:rsidRPr="00A77A6F" w:rsidRDefault="000D4504" w:rsidP="00E86771">
      <w:pPr>
        <w:spacing w:after="0" w:line="360" w:lineRule="auto"/>
        <w:rPr>
          <w:sz w:val="16"/>
          <w:szCs w:val="18"/>
        </w:rPr>
      </w:pPr>
      <w:r>
        <w:rPr>
          <w:sz w:val="16"/>
          <w:szCs w:val="18"/>
        </w:rPr>
        <w:t>^</w:t>
      </w:r>
      <w:r w:rsidR="00112ED8" w:rsidRPr="00A77A6F">
        <w:rPr>
          <w:sz w:val="16"/>
          <w:szCs w:val="18"/>
        </w:rPr>
        <w:t xml:space="preserve">Impact of intervention on hip fracture rate not evaluated due to insufficient post-/pre- intervention data (either owing to another change in service delivery </w:t>
      </w:r>
      <w:r w:rsidR="00A77A6F" w:rsidRPr="00A77A6F">
        <w:rPr>
          <w:sz w:val="16"/>
          <w:szCs w:val="18"/>
        </w:rPr>
        <w:t>occurring</w:t>
      </w:r>
      <w:r w:rsidR="00112ED8" w:rsidRPr="00A77A6F">
        <w:rPr>
          <w:sz w:val="16"/>
          <w:szCs w:val="18"/>
        </w:rPr>
        <w:t xml:space="preserve"> too close to the intervention or the end of study period (given a 1-year lag would need to be used following an intervention to allow it to take effect)).</w:t>
      </w:r>
    </w:p>
    <w:p w14:paraId="13FD640B" w14:textId="77777777" w:rsidR="00112ED8" w:rsidRPr="00A77A6F" w:rsidRDefault="00112ED8" w:rsidP="00E86771">
      <w:pPr>
        <w:spacing w:after="0" w:line="360" w:lineRule="auto"/>
        <w:rPr>
          <w:sz w:val="16"/>
          <w:szCs w:val="18"/>
        </w:rPr>
      </w:pPr>
      <w:r w:rsidRPr="00A77A6F">
        <w:rPr>
          <w:sz w:val="16"/>
          <w:szCs w:val="18"/>
        </w:rPr>
        <w:t>± Impact of intervention on health outcomes not evaluated within hospital 6 (smallest hospital in the region treating hip fractures) due to high variation in annual primary hip fracture admissions during the study period.</w:t>
      </w:r>
    </w:p>
    <w:p w14:paraId="7AF3C5D3" w14:textId="77777777" w:rsidR="00962B3F" w:rsidRPr="00A77A6F" w:rsidRDefault="00962B3F" w:rsidP="00E86771">
      <w:pPr>
        <w:spacing w:line="360" w:lineRule="auto"/>
        <w:rPr>
          <w:sz w:val="16"/>
          <w:szCs w:val="18"/>
        </w:rPr>
      </w:pPr>
      <w:r w:rsidRPr="00A77A6F">
        <w:rPr>
          <w:sz w:val="16"/>
          <w:szCs w:val="18"/>
        </w:rPr>
        <w:t>§ Impact of intervention on 1-year mortality rate not evaluated due to significant pre-intervention trend in 1-year mortality rate</w:t>
      </w:r>
    </w:p>
    <w:p w14:paraId="74F91999" w14:textId="77777777" w:rsidR="00A75A5C" w:rsidRPr="00591BFC" w:rsidRDefault="00A75A5C" w:rsidP="00E86771">
      <w:pPr>
        <w:spacing w:line="360" w:lineRule="auto"/>
        <w:sectPr w:rsidR="00A75A5C" w:rsidRPr="00591BFC" w:rsidSect="00A75A5C">
          <w:pgSz w:w="16838" w:h="11906" w:orient="landscape"/>
          <w:pgMar w:top="1440" w:right="1440" w:bottom="1440" w:left="1440" w:header="708" w:footer="708" w:gutter="0"/>
          <w:cols w:space="708"/>
          <w:docGrid w:linePitch="360"/>
        </w:sectPr>
      </w:pPr>
    </w:p>
    <w:p w14:paraId="1357FCCB" w14:textId="77777777" w:rsidR="00A75A5C" w:rsidRPr="00591BFC" w:rsidRDefault="00A75A5C" w:rsidP="00E86771">
      <w:pPr>
        <w:spacing w:line="360" w:lineRule="auto"/>
      </w:pPr>
    </w:p>
    <w:p w14:paraId="3189B51D" w14:textId="77777777" w:rsidR="00CF2E21" w:rsidRPr="00591BFC" w:rsidRDefault="00CF2E21" w:rsidP="00E86771">
      <w:pPr>
        <w:pStyle w:val="Heading3"/>
        <w:spacing w:line="360" w:lineRule="auto"/>
        <w:rPr>
          <w:rFonts w:ascii="Calibri" w:hAnsi="Calibri"/>
          <w:lang w:val="en-GB"/>
        </w:rPr>
      </w:pPr>
      <w:bookmarkStart w:id="196" w:name="_Toc308300758"/>
      <w:bookmarkStart w:id="197" w:name="_Toc311366565"/>
      <w:r w:rsidRPr="00591BFC">
        <w:rPr>
          <w:rFonts w:ascii="Calibri" w:hAnsi="Calibri"/>
          <w:lang w:val="en-GB"/>
        </w:rPr>
        <w:t>Interventions</w:t>
      </w:r>
      <w:bookmarkEnd w:id="196"/>
      <w:bookmarkEnd w:id="197"/>
    </w:p>
    <w:p w14:paraId="0AF5EA50" w14:textId="1960ED8B" w:rsidR="00CF2E21" w:rsidRPr="00591BFC" w:rsidRDefault="00CF2E21" w:rsidP="00E86771">
      <w:pPr>
        <w:spacing w:line="360" w:lineRule="auto"/>
      </w:pPr>
      <w:r w:rsidRPr="00591BFC">
        <w:t>The primary exposure (‘intervention’) was the implementation within individual hospitals of specific change to the model of post-hip fracture care. Information on the nature and timing of such changes had been obtained through a detailed evaluation of hip fracture services within the 11 hospitals o</w:t>
      </w:r>
      <w:r w:rsidR="00311CE4" w:rsidRPr="00591BFC">
        <w:t>f</w:t>
      </w:r>
      <w:r w:rsidRPr="00591BFC">
        <w:t xml:space="preserve"> interest over the last decade, and was carried out prior to data being obtained</w:t>
      </w:r>
      <w:hyperlink w:anchor="_ENREF_40" w:tooltip="Drew, 2014 #942" w:history="1">
        <w:r w:rsidR="00B24FEE">
          <w:fldChar w:fldCharType="begin"/>
        </w:r>
        <w:r w:rsidR="00B24FEE">
          <w:instrText xml:space="preserve"> ADDIN EN.CITE &lt;EndNote&gt;&lt;Cite&gt;&lt;Author&gt;Drew&lt;/Author&gt;&lt;Year&gt;2014&lt;/Year&gt;&lt;RecNum&gt;942&lt;/RecNum&gt;&lt;DisplayText&gt;&lt;style face="superscript"&gt;40&lt;/style&gt;&lt;/DisplayText&gt;&lt;record&gt;&lt;rec-number&gt;942&lt;/rec-number&gt;&lt;foreign-keys&gt;&lt;key app="EN" db-id="sxpszd2ti9dx04ewefrvfp5bpf5faazszr9p" timestamp="0"&gt;942&lt;/key&gt;&lt;/foreign-keys&gt;&lt;ref-type name="Journal Article"&gt;17&lt;/ref-type&gt;&lt;contributors&gt;&lt;authors&gt;&lt;author&gt;Drew, S.&lt;/author&gt;&lt;author&gt;Sheard, S.&lt;/author&gt;&lt;author&gt;Chana, J.&lt;/author&gt;&lt;author&gt;Cooper, C.&lt;/author&gt;&lt;author&gt;Javaid, M. K.&lt;/author&gt;&lt;author&gt;Judge, A.&lt;/author&gt;&lt;/authors&gt;&lt;/contributors&gt;&lt;auth-address&gt;Oxford NIHR Musculoskeletal Biomedical Research Unit, Nuffield Department of Orthopaedics, Rheumatology and Musculoskeletal Sciences, University of Oxford, Windmill Road, Headington, Oxford, OX3 7LD, UK.&lt;/auth-address&gt;&lt;titles&gt;&lt;title&gt;Describing variation in the delivery of secondary fracture prevention after hip fracture: an overview of 11 hospitals within one regional area in England&lt;/title&gt;&lt;secondary-title&gt;Osteoporos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Int&lt;/full-title&gt;&lt;/periodical&gt;&lt;edition&gt;2014/06/27&lt;/edition&gt;&lt;dates&gt;&lt;year&gt;2014&lt;/year&gt;&lt;pub-dates&gt;&lt;date&gt;Jun 26&lt;/date&gt;&lt;/pub-dates&gt;&lt;/dates&gt;&lt;isbn&gt;0937-941x&lt;/isbn&gt;&lt;accession-num&gt;24964893&lt;/accession-num&gt;&lt;urls&gt;&lt;/urls&gt;&lt;electronic-resource-num&gt;10.1007/s00198-014-2775-5&lt;/electronic-resource-num&gt;&lt;remote-database-provider&gt;Nlm&lt;/remote-database-provider&gt;&lt;language&gt;Eng&lt;/language&gt;&lt;/record&gt;&lt;/Cite&gt;&lt;/EndNote&gt;</w:instrText>
        </w:r>
        <w:r w:rsidR="00B24FEE">
          <w:fldChar w:fldCharType="separate"/>
        </w:r>
        <w:r w:rsidR="00B24FEE" w:rsidRPr="00B24FEE">
          <w:rPr>
            <w:noProof/>
            <w:vertAlign w:val="superscript"/>
          </w:rPr>
          <w:t>40</w:t>
        </w:r>
        <w:r w:rsidR="00B24FEE">
          <w:fldChar w:fldCharType="end"/>
        </w:r>
      </w:hyperlink>
      <w:r w:rsidRPr="00591BFC">
        <w:t>. Dates for the introduction or expansion of</w:t>
      </w:r>
      <w:r w:rsidR="00B26452" w:rsidRPr="00591BFC">
        <w:t xml:space="preserve"> either an orthogeriatric</w:t>
      </w:r>
      <w:r w:rsidRPr="00591BFC">
        <w:t xml:space="preserve"> or FLS model of post-hip fracture care occurring throughout the study period were identified a-priori (</w:t>
      </w:r>
      <w:r w:rsidR="005E1C19" w:rsidRPr="00591BFC">
        <w:fldChar w:fldCharType="begin"/>
      </w:r>
      <w:r w:rsidR="005E1C19" w:rsidRPr="00591BFC">
        <w:instrText xml:space="preserve"> REF _Ref423527271 \h </w:instrText>
      </w:r>
      <w:r w:rsidR="00E814C1" w:rsidRPr="00591BFC">
        <w:instrText xml:space="preserve"> \* MERGEFORMAT </w:instrText>
      </w:r>
      <w:r w:rsidR="005E1C19" w:rsidRPr="00591BFC">
        <w:fldChar w:fldCharType="separate"/>
      </w:r>
      <w:r w:rsidR="005E1C19" w:rsidRPr="00591BFC">
        <w:t xml:space="preserve">Table </w:t>
      </w:r>
      <w:r w:rsidR="00531379">
        <w:rPr>
          <w:noProof/>
        </w:rPr>
        <w:t>11</w:t>
      </w:r>
      <w:r w:rsidR="005E1C19" w:rsidRPr="00591BFC">
        <w:fldChar w:fldCharType="end"/>
      </w:r>
      <w:r w:rsidR="00311CE4" w:rsidRPr="00591BFC">
        <w:t xml:space="preserve"> </w:t>
      </w:r>
      <w:r w:rsidR="00B26452" w:rsidRPr="00591BFC">
        <w:t xml:space="preserve">and </w:t>
      </w:r>
      <w:r w:rsidR="005E1C19" w:rsidRPr="00591BFC">
        <w:t xml:space="preserve">Appendix </w:t>
      </w:r>
      <w:r w:rsidR="00B36F9D" w:rsidRPr="00591BFC">
        <w:t>4</w:t>
      </w:r>
      <w:r w:rsidR="00B26452" w:rsidRPr="00591BFC">
        <w:t>).</w:t>
      </w:r>
    </w:p>
    <w:p w14:paraId="172AAB33" w14:textId="77777777" w:rsidR="00CF2E21" w:rsidRPr="00591BFC" w:rsidRDefault="00CF2E21" w:rsidP="00E86771">
      <w:pPr>
        <w:pStyle w:val="Heading3"/>
        <w:spacing w:line="360" w:lineRule="auto"/>
        <w:rPr>
          <w:rFonts w:ascii="Calibri" w:hAnsi="Calibri"/>
          <w:lang w:val="en-GB"/>
        </w:rPr>
      </w:pPr>
      <w:bookmarkStart w:id="198" w:name="_Toc308300759"/>
      <w:bookmarkStart w:id="199" w:name="_Toc311366566"/>
      <w:r w:rsidRPr="00591BFC">
        <w:rPr>
          <w:rFonts w:ascii="Calibri" w:hAnsi="Calibri"/>
          <w:lang w:val="en-GB"/>
        </w:rPr>
        <w:t>Confounders</w:t>
      </w:r>
      <w:bookmarkEnd w:id="198"/>
      <w:bookmarkEnd w:id="199"/>
    </w:p>
    <w:p w14:paraId="5AF6767A" w14:textId="77777777" w:rsidR="00CF2E21" w:rsidRPr="00591BFC" w:rsidRDefault="00CF2E21" w:rsidP="00E86771">
      <w:pPr>
        <w:spacing w:line="360" w:lineRule="auto"/>
      </w:pPr>
      <w:r w:rsidRPr="00591BFC">
        <w:t>Confounding factors controlled for were age, sex, index of multiple deprivation (IMD) score and Charlson-comorbidity index (no</w:t>
      </w:r>
      <w:r w:rsidR="00B26452" w:rsidRPr="00591BFC">
        <w:t>ne, mild, moderate and severe).</w:t>
      </w:r>
    </w:p>
    <w:p w14:paraId="3C2C13F1" w14:textId="77777777" w:rsidR="00FE067E" w:rsidRPr="00C43F88" w:rsidRDefault="00171E29" w:rsidP="00C43F88">
      <w:pPr>
        <w:pStyle w:val="Heading3"/>
        <w:spacing w:line="360" w:lineRule="auto"/>
        <w:rPr>
          <w:rFonts w:ascii="Calibri" w:hAnsi="Calibri"/>
          <w:lang w:val="en-GB"/>
        </w:rPr>
      </w:pPr>
      <w:bookmarkStart w:id="200" w:name="_Toc308300760"/>
      <w:bookmarkStart w:id="201" w:name="_Toc311366567"/>
      <w:r w:rsidRPr="00C43F88">
        <w:rPr>
          <w:rFonts w:ascii="Calibri" w:hAnsi="Calibri"/>
          <w:lang w:val="en-GB"/>
        </w:rPr>
        <w:t>Sample size calculation</w:t>
      </w:r>
      <w:bookmarkEnd w:id="200"/>
      <w:bookmarkEnd w:id="201"/>
    </w:p>
    <w:p w14:paraId="0205D46E" w14:textId="513BA405" w:rsidR="00171E29" w:rsidRDefault="00FF2158" w:rsidP="00171E29">
      <w:pPr>
        <w:spacing w:line="360" w:lineRule="auto"/>
      </w:pPr>
      <w:r w:rsidRPr="00C43F88">
        <w:rPr>
          <w:b/>
        </w:rPr>
        <w:t xml:space="preserve">1. </w:t>
      </w:r>
      <w:r w:rsidR="00171E29" w:rsidRPr="00C43F88">
        <w:rPr>
          <w:b/>
        </w:rPr>
        <w:t>Interrupted time-series (ITS) analysis.</w:t>
      </w:r>
      <w:r w:rsidR="00171E29">
        <w:t xml:space="preserve"> The required sample size is dependent upon: (a) the number of data points available for analysis and (b) the number of observations within each data point. There is no gold standard, but it is generally agreed that the more data points and observations available the better</w:t>
      </w:r>
      <w:hyperlink w:anchor="_ENREF_100" w:tooltip="Jandoc, 2015 #1257" w:history="1">
        <w:r w:rsidR="00B24FEE">
          <w:fldChar w:fldCharType="begin">
            <w:fldData xml:space="preserve">PEVuZE5vdGU+PENpdGU+PEF1dGhvcj5KYW5kb2M8L0F1dGhvcj48WWVhcj4yMDE1PC9ZZWFyPjxS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</w:fldData>
          </w:fldChar>
        </w:r>
        <w:r w:rsidR="00B24FEE">
          <w:instrText xml:space="preserve"> ADDIN EN.CITE </w:instrText>
        </w:r>
        <w:r w:rsidR="00B24FEE">
          <w:fldChar w:fldCharType="begin">
            <w:fldData xml:space="preserve">PEVuZE5vdGU+PENpdGU+PEF1dGhvcj5KYW5kb2M8L0F1dGhvcj48WWVhcj4yMDE1PC9ZZWFyPjxS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</w:fldData>
          </w:fldChar>
        </w:r>
        <w:r w:rsidR="00B24FEE">
          <w:instrText xml:space="preserve"> ADDIN EN.CITE.DATA </w:instrText>
        </w:r>
        <w:r w:rsidR="00B24FEE">
          <w:fldChar w:fldCharType="end"/>
        </w:r>
        <w:r w:rsidR="00B24FEE">
          <w:fldChar w:fldCharType="separate"/>
        </w:r>
        <w:r w:rsidR="00B24FEE" w:rsidRPr="00B24FEE">
          <w:rPr>
            <w:noProof/>
            <w:vertAlign w:val="superscript"/>
          </w:rPr>
          <w:t>100</w:t>
        </w:r>
        <w:r w:rsidR="00B24FEE">
          <w:fldChar w:fldCharType="end"/>
        </w:r>
      </w:hyperlink>
      <w:r w:rsidR="00171E29">
        <w:t>. A general recommendation is for at least 10 pre and post-intervention data points (Ramsey CR, 2003), but there is a lack of consensus within the literature</w:t>
      </w:r>
      <w:r>
        <w:t>. T</w:t>
      </w:r>
      <w:r w:rsidR="00171E29">
        <w:t xml:space="preserve">he </w:t>
      </w:r>
      <w:r w:rsidR="00171E29" w:rsidRPr="00655089">
        <w:t>Cochrane Effective Practice and Organisation of Care Review Group (EPOC) review</w:t>
      </w:r>
      <w:r w:rsidR="00171E29">
        <w:t xml:space="preserve"> </w:t>
      </w:r>
      <w:r>
        <w:t xml:space="preserve">suggest </w:t>
      </w:r>
      <w:r w:rsidR="00171E29" w:rsidRPr="00655089">
        <w:t xml:space="preserve">three or more </w:t>
      </w:r>
      <w:r w:rsidR="00171E29">
        <w:t>data</w:t>
      </w:r>
      <w:r w:rsidR="00171E29" w:rsidRPr="00655089">
        <w:t>-points within each section of the time-series</w:t>
      </w:r>
      <w:r>
        <w:t>, but this would be dependant on the number of observations available</w:t>
      </w:r>
      <w:hyperlink w:anchor="_ENREF_101" w:tooltip=",  #1254" w:history="1">
        <w:r w:rsidR="00B24FEE">
          <w:fldChar w:fldCharType="begin"/>
        </w:r>
        <w:r w:rsidR="00B24FEE">
          <w:instrText xml:space="preserve"> ADDIN EN.CITE &lt;EndNote&gt;&lt;Cite ExcludeAuth="1" ExcludeYear="1"&gt;&lt;RecNum&gt;1254&lt;/RecNum&gt;&lt;DisplayText&gt;&lt;style face="superscript"&gt;101&lt;/style&gt;&lt;/DisplayText&gt;&lt;record&gt;&lt;rec-number&gt;1254&lt;/rec-number&gt;&lt;foreign-keys&gt;&lt;key app="EN" db-id="sxpszd2ti9dx04ewefrvfp5bpf5faazszr9p" timestamp="1436802424"&gt;1254&lt;/key&gt;&lt;/foreign-keys&gt;&lt;ref-type name="Report"&gt;27&lt;/ref-type&gt;&lt;contributors&gt;&lt;/contributors&gt;&lt;titles&gt;&lt;title&gt;Cochrane Effective Practice and Organisation of Care Review Group: Data Collection Checklist&lt;/title&gt;&lt;/titles&gt;&lt;dates&gt;&lt;/dates&gt;&lt;urls&gt;&lt;related-urls&gt;&lt;url&gt;http://epoc.cochrane.org/sites/epoc.cochrane.org/files/uploads/datacollectionchecklist.pdf.&lt;/url&gt;&lt;/related-urls&gt;&lt;/urls&gt;&lt;/record&gt;&lt;/Cite&gt;&lt;/EndNote&gt;</w:instrText>
        </w:r>
        <w:r w:rsidR="00B24FEE">
          <w:fldChar w:fldCharType="separate"/>
        </w:r>
        <w:r w:rsidR="00B24FEE" w:rsidRPr="00B24FEE">
          <w:rPr>
            <w:noProof/>
            <w:vertAlign w:val="superscript"/>
          </w:rPr>
          <w:t>101</w:t>
        </w:r>
        <w:r w:rsidR="00B24FEE">
          <w:fldChar w:fldCharType="end"/>
        </w:r>
      </w:hyperlink>
      <w:r w:rsidR="00171E29">
        <w:t xml:space="preserve">. </w:t>
      </w:r>
      <w:r>
        <w:t xml:space="preserve">A minimum of 100 observations </w:t>
      </w:r>
      <w:r w:rsidR="00171E29">
        <w:t>at each point of the time series</w:t>
      </w:r>
      <w:r>
        <w:t xml:space="preserve"> is considered desirable</w:t>
      </w:r>
      <w:r w:rsidR="00171E29">
        <w:t>, to achieve an acceptable level of variability of the estimate at each time point</w:t>
      </w:r>
      <w:hyperlink w:anchor="_ENREF_102" w:tooltip="Wagner, 2002 #70" w:history="1">
        <w:r w:rsidR="00B24FEE">
          <w:fldChar w:fldCharType="begin"/>
        </w:r>
        <w:r w:rsidR="00B24FEE">
          <w:instrText xml:space="preserve"> ADDIN EN.CITE &lt;EndNote&gt;&lt;Cite&gt;&lt;Author&gt;Wagner&lt;/Author&gt;&lt;Year&gt;2002&lt;/Year&gt;&lt;RecNum&gt;70&lt;/RecNum&gt;&lt;DisplayText&gt;&lt;style face="superscript"&gt;102&lt;/style&gt;&lt;/DisplayText&gt;&lt;record&gt;&lt;rec-number&gt;70&lt;/rec-number&gt;&lt;foreign-keys&gt;&lt;key app="EN" db-id="sxpszd2ti9dx04ewefrvfp5bpf5faazszr9p" timestamp="0"&gt;70&lt;/key&gt;&lt;/foreign-keys&gt;&lt;ref-type name="Journal Article"&gt;17&lt;/ref-type&gt;&lt;contributors&gt;&lt;authors&gt;&lt;author&gt;Wagner, A. K.&lt;/author&gt;&lt;author&gt;Soumerai, S. B.&lt;/author&gt;&lt;author&gt;Zhang, F.&lt;/author&gt;&lt;author&gt;Ross-Degnan, D.&lt;/author&gt;&lt;/authors&gt;&lt;/contributors&gt;&lt;titles&gt;&lt;title&gt;Segmented regression analysis of interrupted time series studies in medication use research&lt;/title&gt;&lt;secondary-title&gt;Journal of Clinical Pharmacy and Therapeutics&lt;/secondary-title&gt;&lt;/titles&gt;&lt;pages&gt;299-309&lt;/pages&gt;&lt;volume&gt;27&lt;/volume&gt;&lt;number&gt;4&lt;/number&gt;&lt;keywords&gt;&lt;keyword&gt;health policy evaluation&lt;/keyword&gt;&lt;keyword&gt;interrupted time series design&lt;/keyword&gt;&lt;keyword&gt;longitudinal analysis&lt;/keyword&gt;&lt;keyword&gt;medication use research&lt;/keyword&gt;&lt;keyword&gt;quasi-experimental design&lt;/keyword&gt;&lt;keyword&gt;segmented regression analysis&lt;/keyword&gt;&lt;/keywords&gt;&lt;dates&gt;&lt;year&gt;2002&lt;/year&gt;&lt;/dates&gt;&lt;publisher&gt;Blackwell Science Ltd&lt;/publisher&gt;&lt;isbn&gt;1365-2710&lt;/isbn&gt;&lt;work-type&gt;10.1046/j.1365-2710.2002.00430.x&lt;/work-type&gt;&lt;urls&gt;&lt;related-urls&gt;&lt;url&gt;http://dx.doi.org/10.1046/j.1365-2710.2002.00430.x&lt;/url&gt;&lt;/related-urls&gt;&lt;/urls&gt;&lt;/record&gt;&lt;/Cite&gt;&lt;/EndNote&gt;</w:instrText>
        </w:r>
        <w:r w:rsidR="00B24FEE">
          <w:fldChar w:fldCharType="separate"/>
        </w:r>
        <w:r w:rsidR="00B24FEE" w:rsidRPr="00B24FEE">
          <w:rPr>
            <w:noProof/>
            <w:vertAlign w:val="superscript"/>
          </w:rPr>
          <w:t>102</w:t>
        </w:r>
        <w:r w:rsidR="00B24FEE">
          <w:fldChar w:fldCharType="end"/>
        </w:r>
      </w:hyperlink>
      <w:r w:rsidR="00171E29">
        <w:t xml:space="preserve">. </w:t>
      </w:r>
      <w:r>
        <w:t>However this will</w:t>
      </w:r>
      <w:r w:rsidR="00171E29">
        <w:t xml:space="preserve"> also depend on the prevalence of outcome being estimated. Hence for rare outcomes such as second hip fracture, numbers required at each time point will be higher than for the m</w:t>
      </w:r>
      <w:r>
        <w:t>ore common mortality endpoints.</w:t>
      </w:r>
    </w:p>
    <w:p w14:paraId="34B32534" w14:textId="77777777" w:rsidR="00171E29" w:rsidRDefault="00FF2158" w:rsidP="00171E29">
      <w:pPr>
        <w:spacing w:line="360" w:lineRule="auto"/>
      </w:pPr>
      <w:r w:rsidRPr="00C43F88">
        <w:rPr>
          <w:b/>
        </w:rPr>
        <w:t>2.</w:t>
      </w:r>
      <w:r w:rsidR="00171E29" w:rsidRPr="00C43F88">
        <w:rPr>
          <w:b/>
        </w:rPr>
        <w:t xml:space="preserve"> Survival regression models</w:t>
      </w:r>
      <w:r w:rsidR="00171E29">
        <w:t xml:space="preserve">. </w:t>
      </w:r>
      <w:r>
        <w:t>W</w:t>
      </w:r>
      <w:r w:rsidR="00171E29">
        <w:t>e used a 2-sided log rank test for equality of survival curves, with 80% power at a 5% level of significance (alpha). In the pre-intervention (control group) we assumed a 1-year mortality rate of 30%, 30-day mortality of 10% and a 2-year second hip fracture rate of 6%. For the mortality outcomes there is no loss to follow up as information on date of death is obtained through linked ONS mortality data, whilst for second hip fracture we allow for 30% loss to follow up due to mortality. The required sample sizes for each outcome were as follows:</w:t>
      </w:r>
    </w:p>
    <w:p w14:paraId="57A6F9EF" w14:textId="77777777" w:rsidR="00171E29" w:rsidRDefault="00171E29" w:rsidP="00171E29">
      <w:pPr>
        <w:spacing w:line="360" w:lineRule="auto"/>
      </w:pPr>
    </w:p>
    <w:p w14:paraId="3BCF1F97" w14:textId="77777777" w:rsidR="00171E29" w:rsidRDefault="00171E29" w:rsidP="00171E29">
      <w:pPr>
        <w:spacing w:line="360" w:lineRule="auto"/>
      </w:pPr>
      <w:r>
        <w:lastRenderedPageBreak/>
        <w:t>a) To detect a 5% absolute difference in 1-year mortality (30% pre-intervention versus 25% post-intervention), equivalent to a hazard ratio of 0.81, the total sample size required is 1214 patients in each group (2428 in total with 683 expected events) assuming equal size groups where the intervention is in the middle of the time series. For an intervention occurring towards the end of the time series, allowing for unequal size groups in a ratio of 4:1, we require 3068 patients in the time period before the intervention, and 1023 in the post-intervention per</w:t>
      </w:r>
      <w:r w:rsidR="00FF2158">
        <w:t>iod, with 1186 expected events.</w:t>
      </w:r>
    </w:p>
    <w:p w14:paraId="13FBAE90" w14:textId="77777777" w:rsidR="00171E29" w:rsidRDefault="00171E29" w:rsidP="00171E29">
      <w:pPr>
        <w:spacing w:line="360" w:lineRule="auto"/>
      </w:pPr>
      <w:r>
        <w:t>b) To detect a 3% absolute difference in 30-day mortality (10% versus 7%), a hazard ratio of 0.69, assuming equal size groups requires 1356 in each group (a total 2712 patients and 231 events). With unequal size groups in the ratio of 4:1, this is 3514 pre- and 1171 post-intervention (4685 total with 441 events).</w:t>
      </w:r>
    </w:p>
    <w:p w14:paraId="39648176" w14:textId="77777777" w:rsidR="00171E29" w:rsidRDefault="00171E29" w:rsidP="00E86771">
      <w:pPr>
        <w:spacing w:line="360" w:lineRule="auto"/>
      </w:pPr>
      <w:r>
        <w:t>c) To detect a 3% absolute difference in second hip fracture (6% versus 3%), a hazard ratio of 0.49, requires 890 in each for equal size groups (1780 total with 68 events). For a 4:1 ratio, 2504 pre-intervention and 835 post-intervention are required (3338 total with 152 events).</w:t>
      </w:r>
    </w:p>
    <w:p w14:paraId="5FC759B7" w14:textId="77777777" w:rsidR="00FE067E" w:rsidRPr="00591BFC" w:rsidRDefault="00FE067E" w:rsidP="00E86771">
      <w:pPr>
        <w:spacing w:line="360" w:lineRule="auto"/>
      </w:pPr>
    </w:p>
    <w:p w14:paraId="7DC9B71D" w14:textId="77777777" w:rsidR="00CF2E21" w:rsidRPr="00591BFC" w:rsidRDefault="00CF2E21" w:rsidP="00E86771">
      <w:pPr>
        <w:pStyle w:val="Heading3"/>
        <w:spacing w:line="360" w:lineRule="auto"/>
        <w:rPr>
          <w:rFonts w:ascii="Calibri" w:hAnsi="Calibri"/>
          <w:lang w:val="en-GB"/>
        </w:rPr>
      </w:pPr>
      <w:bookmarkStart w:id="202" w:name="_Toc308300761"/>
      <w:bookmarkStart w:id="203" w:name="_Toc311366568"/>
      <w:r w:rsidRPr="00591BFC">
        <w:rPr>
          <w:rFonts w:ascii="Calibri" w:hAnsi="Calibri"/>
          <w:lang w:val="en-GB"/>
        </w:rPr>
        <w:t>Statistical analysis</w:t>
      </w:r>
      <w:bookmarkEnd w:id="202"/>
      <w:bookmarkEnd w:id="203"/>
    </w:p>
    <w:p w14:paraId="3E82DA7B" w14:textId="1D8823F3" w:rsidR="0020038D" w:rsidRDefault="00AF3418" w:rsidP="00E86771">
      <w:pPr>
        <w:spacing w:line="360" w:lineRule="auto"/>
        <w:rPr>
          <w:rFonts w:cs="Arial"/>
        </w:rPr>
      </w:pPr>
      <w:r w:rsidRPr="002F1A06">
        <w:rPr>
          <w:b/>
        </w:rPr>
        <w:t>1. Interrupted time-series</w:t>
      </w:r>
      <w:r>
        <w:rPr>
          <w:rFonts w:cs="Arial"/>
        </w:rPr>
        <w:t xml:space="preserve">. </w:t>
      </w:r>
      <w:r w:rsidR="0020038D" w:rsidRPr="0020038D">
        <w:rPr>
          <w:rFonts w:cs="Arial"/>
        </w:rPr>
        <w:t xml:space="preserve">Data were aggregated in </w:t>
      </w:r>
      <w:r w:rsidR="00CF2E21" w:rsidRPr="00591BFC">
        <w:rPr>
          <w:rFonts w:cs="Arial"/>
        </w:rPr>
        <w:t xml:space="preserve">the </w:t>
      </w:r>
      <w:r w:rsidR="0020038D" w:rsidRPr="0020038D">
        <w:rPr>
          <w:rFonts w:cs="Arial"/>
        </w:rPr>
        <w:t xml:space="preserve">form of age and sex standardised </w:t>
      </w:r>
      <w:r w:rsidR="00A4578E">
        <w:rPr>
          <w:rFonts w:cs="Arial"/>
        </w:rPr>
        <w:t>quarterly</w:t>
      </w:r>
      <w:r w:rsidR="00CF2E21" w:rsidRPr="00591BFC">
        <w:rPr>
          <w:rFonts w:cs="Arial"/>
        </w:rPr>
        <w:t xml:space="preserve"> proportions of </w:t>
      </w:r>
      <w:r w:rsidR="0020038D" w:rsidRPr="0020038D">
        <w:rPr>
          <w:rFonts w:cs="Arial"/>
        </w:rPr>
        <w:t>each outcome of interest.</w:t>
      </w:r>
      <w:r w:rsidR="00EA4F54">
        <w:t xml:space="preserve"> </w:t>
      </w:r>
      <w:r w:rsidR="00514F6A" w:rsidRPr="00591BFC">
        <w:t xml:space="preserve">A segmented linear regression model was specified for each outcome, which divides the time series of biannual proportions into pre- and post- intervention segments whilst controlling for baseline trend: </w:t>
      </w:r>
      <w:r w:rsidR="00514F6A" w:rsidRPr="00DB4F65">
        <w:t>Yt</w:t>
      </w:r>
      <w:r w:rsidR="00514F6A" w:rsidRPr="00591BFC">
        <w:t>=</w:t>
      </w:r>
      <w:r w:rsidR="00514F6A" w:rsidRPr="00DB4F65">
        <w:t>β0</w:t>
      </w:r>
      <w:r w:rsidR="00514F6A" w:rsidRPr="00591BFC">
        <w:t xml:space="preserve"> + </w:t>
      </w:r>
      <w:r w:rsidR="00514F6A" w:rsidRPr="00DB4F65">
        <w:t>β1</w:t>
      </w:r>
      <w:r w:rsidR="00514F6A" w:rsidRPr="00591BFC">
        <w:t>*time</w:t>
      </w:r>
      <w:r w:rsidR="00514F6A" w:rsidRPr="00DB4F65">
        <w:t>t</w:t>
      </w:r>
      <w:r w:rsidR="00514F6A" w:rsidRPr="00591BFC">
        <w:t xml:space="preserve"> + </w:t>
      </w:r>
      <w:r w:rsidR="00514F6A" w:rsidRPr="00DB4F65">
        <w:t>β2</w:t>
      </w:r>
      <w:r w:rsidR="00514F6A" w:rsidRPr="00591BFC">
        <w:t>*intervention</w:t>
      </w:r>
      <w:r w:rsidR="00514F6A" w:rsidRPr="00DB4F65">
        <w:t xml:space="preserve">t </w:t>
      </w:r>
      <w:r w:rsidR="00514F6A" w:rsidRPr="00591BFC">
        <w:t xml:space="preserve">+ </w:t>
      </w:r>
      <w:r w:rsidR="00514F6A" w:rsidRPr="00DB4F65">
        <w:t>β3</w:t>
      </w:r>
      <w:r w:rsidR="00514F6A" w:rsidRPr="00591BFC">
        <w:t>*post_int_time</w:t>
      </w:r>
      <w:r w:rsidR="00514F6A" w:rsidRPr="00DB4F65">
        <w:t>t</w:t>
      </w:r>
      <w:r w:rsidR="00514F6A" w:rsidRPr="00591BFC">
        <w:t xml:space="preserve"> + </w:t>
      </w:r>
      <w:r w:rsidR="00514F6A" w:rsidRPr="00DB4F65">
        <w:t>et.</w:t>
      </w:r>
      <w:r w:rsidR="00514F6A" w:rsidRPr="00591BFC">
        <w:t xml:space="preserve"> Here, </w:t>
      </w:r>
      <w:r w:rsidR="00514F6A" w:rsidRPr="00DB4F65">
        <w:t>Yt</w:t>
      </w:r>
      <w:r w:rsidR="00514F6A" w:rsidRPr="00591BFC">
        <w:t xml:space="preserve"> is the proportion of outcome within timepoint (i.e. </w:t>
      </w:r>
      <w:r w:rsidR="00A4578E">
        <w:rPr>
          <w:rFonts w:cs="Arial"/>
        </w:rPr>
        <w:t>3</w:t>
      </w:r>
      <w:r w:rsidR="00514F6A" w:rsidRPr="00591BFC">
        <w:t xml:space="preserve"> monthly period) </w:t>
      </w:r>
      <w:r w:rsidR="00514F6A" w:rsidRPr="00DB4F65">
        <w:t>t</w:t>
      </w:r>
      <w:r w:rsidR="00514F6A" w:rsidRPr="00591BFC">
        <w:t xml:space="preserve">. </w:t>
      </w:r>
      <w:r w:rsidR="00514F6A" w:rsidRPr="00DB4F65">
        <w:t xml:space="preserve">β0 </w:t>
      </w:r>
      <w:r w:rsidR="00514F6A" w:rsidRPr="00591BFC">
        <w:t xml:space="preserve">estimates the baseline level of the outcome at the beginning of the timeseries. </w:t>
      </w:r>
      <w:r w:rsidR="00514F6A" w:rsidRPr="00DB4F65">
        <w:t>β1</w:t>
      </w:r>
      <w:r w:rsidR="00514F6A" w:rsidRPr="00591BFC">
        <w:t xml:space="preserve"> estimates the pre-intervention trend, </w:t>
      </w:r>
      <w:r w:rsidR="00514F6A" w:rsidRPr="00DB4F65">
        <w:t>β2</w:t>
      </w:r>
      <w:r w:rsidR="00514F6A" w:rsidRPr="00591BFC">
        <w:t xml:space="preserve"> the change in level immediately following the intervention and </w:t>
      </w:r>
      <w:r w:rsidR="00514F6A" w:rsidRPr="00DB4F65">
        <w:t>β3</w:t>
      </w:r>
      <w:r w:rsidR="00514F6A" w:rsidRPr="00591BFC">
        <w:t xml:space="preserve"> the change in post-intervention trend. A full model was specified which included regression terms for all interventions to be analysed and a final parsimonious model was derived by way of removing non-significant regression terms (P</w:t>
      </w:r>
      <w:r w:rsidR="00514F6A" w:rsidRPr="00DB4F65">
        <w:t>≥</w:t>
      </w:r>
      <w:r w:rsidR="00514F6A" w:rsidRPr="00591BFC">
        <w:t>0.1) in a process of backward elimination. The presence of autocorrelation was tested using the Durban-Watson test.</w:t>
      </w:r>
    </w:p>
    <w:p w14:paraId="3D047FC5" w14:textId="253240A3" w:rsidR="00CF2E21" w:rsidRPr="00DB4F65" w:rsidRDefault="00144E76" w:rsidP="00E86771">
      <w:pPr>
        <w:spacing w:line="360" w:lineRule="auto"/>
      </w:pPr>
      <w:r>
        <w:rPr>
          <w:rFonts w:cs="Arial"/>
        </w:rPr>
        <w:t xml:space="preserve">As described in the sample size calculation, for </w:t>
      </w:r>
      <w:r w:rsidRPr="00144E76">
        <w:rPr>
          <w:rFonts w:cs="Arial"/>
        </w:rPr>
        <w:t>the ITS models, there is a balance</w:t>
      </w:r>
      <w:r>
        <w:rPr>
          <w:rFonts w:cs="Arial"/>
        </w:rPr>
        <w:t xml:space="preserve"> to be had</w:t>
      </w:r>
      <w:r w:rsidRPr="00144E76">
        <w:rPr>
          <w:rFonts w:cs="Arial"/>
        </w:rPr>
        <w:t xml:space="preserve"> between the number of pre and post intervention data points, and number of observations available at each time point. </w:t>
      </w:r>
      <w:r>
        <w:rPr>
          <w:rFonts w:cs="Arial"/>
        </w:rPr>
        <w:t>Upon</w:t>
      </w:r>
      <w:r w:rsidR="00CF2E21" w:rsidRPr="00591BFC">
        <w:t xml:space="preserve"> initial explorative analyses it was apparent that there statistical power </w:t>
      </w:r>
      <w:r>
        <w:t xml:space="preserve">would be limited </w:t>
      </w:r>
      <w:r w:rsidR="00CF2E21" w:rsidRPr="00591BFC">
        <w:t xml:space="preserve">to conduct segmented linear regression using aggregated </w:t>
      </w:r>
      <w:r>
        <w:t>quarterly</w:t>
      </w:r>
      <w:r w:rsidR="00CF2E21" w:rsidRPr="00591BFC">
        <w:t xml:space="preserve"> proportions at a hospital level.</w:t>
      </w:r>
      <w:r>
        <w:t xml:space="preserve"> This was due to the number of observations available at each time point, and being able to </w:t>
      </w:r>
      <w:r>
        <w:lastRenderedPageBreak/>
        <w:t>estimate this accurately, particularly for rare outcomes like second hip fracture.</w:t>
      </w:r>
      <w:r w:rsidR="00CF2E21" w:rsidRPr="00591BFC">
        <w:t xml:space="preserve"> Also, given that the pre-analysis service evaluation identified multiple interventions for several hospitals, with most occurring toward the end of the time-series, </w:t>
      </w:r>
      <w:r>
        <w:t>this limited the number of data points available, pre and post intervention.</w:t>
      </w:r>
      <w:r w:rsidR="00CF2E21" w:rsidRPr="00591BFC">
        <w:t xml:space="preserve"> </w:t>
      </w:r>
      <w:r>
        <w:t>I</w:t>
      </w:r>
      <w:r w:rsidR="00CF2E21" w:rsidRPr="00591BFC">
        <w:t>t was decided a before-after impact analysis using time to event data would be more suitable</w:t>
      </w:r>
      <w:r>
        <w:t xml:space="preserve"> for the primary analysis</w:t>
      </w:r>
      <w:r w:rsidR="00CF2E21" w:rsidRPr="00591BFC">
        <w:t>, as used elsewhere to evaluate the implementation of osteoporosis guidelines</w:t>
      </w:r>
      <w:hyperlink w:anchor="_ENREF_98" w:tooltip="Huntjens, 2011 #1151" w:history="1">
        <w:r w:rsidR="00B24FEE">
          <w:fldChar w:fldCharType="begin">
            <w:fldData xml:space="preserve">PEVuZE5vdGU+PENpdGU+PEF1dGhvcj5IdW50amVuczwvQXV0aG9yPjxZZWFyPjIwMTE8L1llYXI+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</w:fldData>
          </w:fldChar>
        </w:r>
        <w:r w:rsidR="00B24FEE">
          <w:instrText xml:space="preserve"> ADDIN EN.CITE </w:instrText>
        </w:r>
        <w:r w:rsidR="00B24FEE">
          <w:fldChar w:fldCharType="begin">
            <w:fldData xml:space="preserve">PEVuZE5vdGU+PENpdGU+PEF1dGhvcj5IdW50amVuczwvQXV0aG9yPjxZZWFyPjIwMTE8L1llYXI+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</w:fldData>
          </w:fldChar>
        </w:r>
        <w:r w:rsidR="00B24FEE">
          <w:instrText xml:space="preserve"> ADDIN EN.CITE.DATA </w:instrText>
        </w:r>
        <w:r w:rsidR="00B24FEE">
          <w:fldChar w:fldCharType="end"/>
        </w:r>
        <w:r w:rsidR="00B24FEE">
          <w:fldChar w:fldCharType="separate"/>
        </w:r>
        <w:r w:rsidR="00B24FEE" w:rsidRPr="00B24FEE">
          <w:rPr>
            <w:noProof/>
            <w:vertAlign w:val="superscript"/>
          </w:rPr>
          <w:t>98</w:t>
        </w:r>
        <w:r w:rsidR="00B24FEE">
          <w:fldChar w:fldCharType="end"/>
        </w:r>
      </w:hyperlink>
      <w:r w:rsidR="00CF2E21" w:rsidRPr="00591BFC">
        <w:t>. Furthermore, this allowed adjustment to be made for confounding factors such as sex, age and comorbidities.</w:t>
      </w:r>
      <w:r>
        <w:t xml:space="preserve"> The results of the time-series analyses are </w:t>
      </w:r>
      <w:r w:rsidR="007A73EB">
        <w:t>therefore presented as a secondary analysis.</w:t>
      </w:r>
    </w:p>
    <w:p w14:paraId="70A66F4C" w14:textId="61BA7D26" w:rsidR="00CF2E21" w:rsidRPr="00591BFC" w:rsidRDefault="00AF3418" w:rsidP="00E86771">
      <w:pPr>
        <w:spacing w:line="360" w:lineRule="auto"/>
        <w:rPr>
          <w:rFonts w:cs="Arial"/>
        </w:rPr>
      </w:pPr>
      <w:r w:rsidRPr="002F1A06">
        <w:rPr>
          <w:b/>
        </w:rPr>
        <w:t>2. Survival regression models</w:t>
      </w:r>
      <w:r w:rsidRPr="00591BFC">
        <w:t xml:space="preserve"> </w:t>
      </w:r>
      <w:r w:rsidR="00CF2E21" w:rsidRPr="00591BFC">
        <w:t xml:space="preserve">Time to second hip fracture was estimated for the time period after each intervention relative to the time period before. Each hospital was analysed separately. </w:t>
      </w:r>
      <w:r w:rsidR="00CF2E21" w:rsidRPr="00591BFC">
        <w:rPr>
          <w:rFonts w:cs="Arial"/>
        </w:rPr>
        <w:t xml:space="preserve">Patients were censored on date of the outcome of interest, date of death, date of loss to follow up, or end of study period. </w:t>
      </w:r>
      <w:r w:rsidR="00CF2E21" w:rsidRPr="00591BFC">
        <w:t>Given that a high mortality rate could significantly overestimate the incidence and effect sizes</w:t>
      </w:r>
      <w:hyperlink w:anchor="_ENREF_103" w:tooltip="Berry, 2010 #1154" w:history="1">
        <w:r w:rsidR="00B24FEE">
          <w:fldChar w:fldCharType="begin">
            <w:fldData xml:space="preserve">PEVuZE5vdGU+PENpdGU+PEF1dGhvcj5CZXJyeTwvQXV0aG9yPjxZZWFyPjIwMTA8L1llYXI+PFJl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</w:fldData>
          </w:fldChar>
        </w:r>
        <w:r w:rsidR="00B24FEE">
          <w:instrText xml:space="preserve"> ADDIN EN.CITE </w:instrText>
        </w:r>
        <w:r w:rsidR="00B24FEE">
          <w:fldChar w:fldCharType="begin">
            <w:fldData xml:space="preserve">PEVuZE5vdGU+PENpdGU+PEF1dGhvcj5CZXJyeTwvQXV0aG9yPjxZZWFyPjIwMTA8L1llYXI+PFJl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</w:fldData>
          </w:fldChar>
        </w:r>
        <w:r w:rsidR="00B24FEE">
          <w:instrText xml:space="preserve"> ADDIN EN.CITE.DATA </w:instrText>
        </w:r>
        <w:r w:rsidR="00B24FEE">
          <w:fldChar w:fldCharType="end"/>
        </w:r>
        <w:r w:rsidR="00B24FEE">
          <w:fldChar w:fldCharType="separate"/>
        </w:r>
        <w:r w:rsidR="00B24FEE" w:rsidRPr="00B24FEE">
          <w:rPr>
            <w:noProof/>
            <w:vertAlign w:val="superscript"/>
          </w:rPr>
          <w:t>103</w:t>
        </w:r>
        <w:r w:rsidR="00B24FEE">
          <w:fldChar w:fldCharType="end"/>
        </w:r>
      </w:hyperlink>
      <w:r w:rsidR="00CF2E21" w:rsidRPr="00591BFC">
        <w:t xml:space="preserve">, the competing risk of death was accounted for using Fine&amp;Gray regression modelling </w:t>
      </w:r>
      <w:hyperlink w:anchor="_ENREF_104" w:tooltip="Fine, 1999 #1163" w:history="1">
        <w:r w:rsidR="00B24FEE">
          <w:fldChar w:fldCharType="begin"/>
        </w:r>
        <w:r w:rsidR="00B24FEE">
          <w:instrText xml:space="preserve"> ADDIN EN.CITE &lt;EndNote&gt;&lt;Cite&gt;&lt;Author&gt;Fine&lt;/Author&gt;&lt;Year&gt;1999&lt;/Year&gt;&lt;RecNum&gt;1163&lt;/RecNum&gt;&lt;DisplayText&gt;&lt;style face="superscript"&gt;104&lt;/style&gt;&lt;/DisplayText&gt;&lt;record&gt;&lt;rec-number&gt;1163&lt;/rec-number&gt;&lt;foreign-keys&gt;&lt;key app="EN" db-id="sxpszd2ti9dx04ewefrvfp5bpf5faazszr9p" timestamp="1435666823"&gt;1163&lt;/key&gt;&lt;/foreign-keys&gt;&lt;ref-type name="Journal Article"&gt;17&lt;/ref-type&gt;&lt;contributors&gt;&lt;authors&gt;&lt;author&gt;Fine, J.P. Gray, R.J.&lt;/author&gt;&lt;/authors&gt;&lt;/contributors&gt;&lt;titles&gt;&lt;title&gt;A proportional hazards model for the subdistribution of a competing risk&lt;/title&gt;&lt;secondary-title&gt;Journal of the American Statistical Association&lt;/secondary-title&gt;&lt;/titles&gt;&lt;periodical&gt;&lt;full-title&gt;Journal of the American Statistical Association&lt;/full-title&gt;&lt;/periodical&gt;&lt;pages&gt;496-509&lt;/pages&gt;&lt;volume&gt;94&lt;/volume&gt;&lt;number&gt;446&lt;/number&gt;&lt;dates&gt;&lt;year&gt;1999&lt;/year&gt;&lt;/dates&gt;&lt;urls&gt;&lt;/urls&gt;&lt;/record&gt;&lt;/Cite&gt;&lt;/EndNote&gt;</w:instrText>
        </w:r>
        <w:r w:rsidR="00B24FEE">
          <w:fldChar w:fldCharType="separate"/>
        </w:r>
        <w:r w:rsidR="00B24FEE" w:rsidRPr="00B24FEE">
          <w:rPr>
            <w:noProof/>
            <w:vertAlign w:val="superscript"/>
          </w:rPr>
          <w:t>104</w:t>
        </w:r>
        <w:r w:rsidR="00B24FEE">
          <w:fldChar w:fldCharType="end"/>
        </w:r>
      </w:hyperlink>
      <w:r w:rsidR="00CF2E21" w:rsidRPr="00591BFC">
        <w:t xml:space="preserve">.  </w:t>
      </w:r>
      <w:r w:rsidR="001259F0">
        <w:t>This specifies a model for the hazard of the sub-distribution, which generates failure events whilst keeping subjects who experience a competing event at risk so they can be included as not having a chance of failing.</w:t>
      </w:r>
      <w:r w:rsidR="00D46ABE">
        <w:t xml:space="preserve"> In the presence of competing risk we focus on the cumulative incidence of an event occurring</w:t>
      </w:r>
      <w:r w:rsidR="002A32A8">
        <w:t>, and this can be estimated by modelling the subhazard distribution</w:t>
      </w:r>
      <w:r w:rsidR="00D46ABE">
        <w:t>.</w:t>
      </w:r>
      <w:r w:rsidR="001259F0">
        <w:t xml:space="preserve"> The regression model produces subhazard ratios (SHR) where a SHR of 1 implies no association, a SHR &gt; 1 an increased </w:t>
      </w:r>
      <w:r w:rsidR="002A32A8">
        <w:t>cumulative incidence of outcome</w:t>
      </w:r>
      <w:r w:rsidR="001259F0">
        <w:t xml:space="preserve">, and SHR &lt; 1 decreased </w:t>
      </w:r>
      <w:r w:rsidR="002A32A8">
        <w:t>cumulative incidence</w:t>
      </w:r>
      <w:r w:rsidR="001259F0">
        <w:t xml:space="preserve">. Hence the interpretation </w:t>
      </w:r>
      <w:r w:rsidR="002A32A8">
        <w:t xml:space="preserve">is </w:t>
      </w:r>
      <w:r w:rsidR="001259F0">
        <w:t>similar to that of the</w:t>
      </w:r>
      <w:r w:rsidR="002A32A8">
        <w:t xml:space="preserve"> more familiar</w:t>
      </w:r>
      <w:r w:rsidR="001259F0">
        <w:t xml:space="preserve"> Cox regression model.</w:t>
      </w:r>
      <w:r w:rsidR="00CF2E21" w:rsidRPr="00591BFC">
        <w:t xml:space="preserve"> The index date for these models was the end date for the primary hip fracture CIPS or 30 days after primary hip fracture admission if the CIPS finished before this time, as defined above. Confounding factors relating to case-mix were adjusted for. It was decided a-priori to exclude primary hip fracture episodes admitted 12 months after an intervention in order to account for any lag in the effect of an orthogeriatrician or FLS appointment on secondary fracture prevention and the fact that bone therapy takes at least 6 months to influence fracture rates. Primary hip fracture episodes starting after 31</w:t>
      </w:r>
      <w:r w:rsidR="00CF2E21" w:rsidRPr="00591BFC">
        <w:rPr>
          <w:vertAlign w:val="superscript"/>
        </w:rPr>
        <w:t>st</w:t>
      </w:r>
      <w:r w:rsidR="00CF2E21" w:rsidRPr="00591BFC">
        <w:t xml:space="preserve"> March 2011 were not included due to insufficient (i.e less than 2-years) follow-up before the end of the study period. In addition, assessment of linear trend over time was carried out using a piecewise Cox proportional hazards model in which linear splines were fitted to quarterly time points in separate sections of the time series corresponding to before and after intervention dates. The proportional hazards assumption was checked using Schoenfeld residuals.</w:t>
      </w:r>
    </w:p>
    <w:p w14:paraId="3C08A26F" w14:textId="77777777" w:rsidR="00CF2E21" w:rsidRPr="00591BFC" w:rsidRDefault="00CF2E21" w:rsidP="00E86771">
      <w:pPr>
        <w:spacing w:line="360" w:lineRule="auto"/>
      </w:pPr>
      <w:r w:rsidRPr="00591BFC">
        <w:t xml:space="preserve">Fine&amp;Gray survival models were likewise used to evaluate intervention impact on major non-hip fracture (proximal humerus, rib, pelvis, forearm/wrist and spine) within the 2 years following </w:t>
      </w:r>
      <w:r w:rsidRPr="00591BFC">
        <w:lastRenderedPageBreak/>
        <w:t>primary hip fracture. Major non-hip fractures were included any time after the date of primary hip fracture.</w:t>
      </w:r>
    </w:p>
    <w:p w14:paraId="324C3E7D" w14:textId="77777777" w:rsidR="00CF2E21" w:rsidRPr="00591BFC" w:rsidRDefault="00CF2E21" w:rsidP="00E86771">
      <w:pPr>
        <w:spacing w:line="360" w:lineRule="auto"/>
      </w:pPr>
      <w:r w:rsidRPr="00591BFC">
        <w:t>Evaluation of impact on post-fracture mortality was carried out using a similar approach to above with the use of Cox proportional hazards regression modelling. A lag period of 3 months after each intervention date was used during which primary hip fracture admissions were excluded from analyses as it was expected that interventions may require less time to impact mortality rates than required for establishing better methods for secondary fracture prevention. Primary hip fracture episodes were removed from analyses of 30-day and 1-year mortality if admitted after 31</w:t>
      </w:r>
      <w:r w:rsidRPr="00591BFC">
        <w:rPr>
          <w:vertAlign w:val="superscript"/>
        </w:rPr>
        <w:t>st</w:t>
      </w:r>
      <w:r w:rsidRPr="00591BFC">
        <w:t xml:space="preserve"> December 2012 or 31</w:t>
      </w:r>
      <w:r w:rsidRPr="00591BFC">
        <w:rPr>
          <w:vertAlign w:val="superscript"/>
        </w:rPr>
        <w:t>st</w:t>
      </w:r>
      <w:r w:rsidRPr="00591BFC">
        <w:t xml:space="preserve"> March 2012 respectively so as to allow for sufficient follow-up before the end of the study period.</w:t>
      </w:r>
    </w:p>
    <w:p w14:paraId="320603CC" w14:textId="77777777" w:rsidR="00CF2E21" w:rsidRPr="00591BFC" w:rsidRDefault="00CF2E21" w:rsidP="00E86771">
      <w:pPr>
        <w:spacing w:line="360" w:lineRule="auto"/>
      </w:pPr>
    </w:p>
    <w:p w14:paraId="2BCC8067" w14:textId="77777777" w:rsidR="00CF2E21" w:rsidRPr="00591BFC" w:rsidRDefault="00CF2E21" w:rsidP="00E86771">
      <w:pPr>
        <w:spacing w:line="360" w:lineRule="auto"/>
        <w:rPr>
          <w:rFonts w:cs="Arial"/>
        </w:rPr>
      </w:pPr>
      <w:r w:rsidRPr="00591BFC">
        <w:t>A fixed-effects meta-analysis was used to pool estimates of impact on each health outcome under study for orthogeriatric and FLS interventions across hospitals of interest in the region. Estimated impact of interventions with a pre-existing linear trend (P&lt;0.05) for any of the health outcomes under study were not included in the corresponding meta-analysis of that health outcome in order to address the potential bias of secular trend.</w:t>
      </w:r>
      <w:r w:rsidRPr="00591BFC">
        <w:rPr>
          <w:rFonts w:cs="Arial"/>
        </w:rPr>
        <w:t xml:space="preserve"> </w:t>
      </w:r>
    </w:p>
    <w:p w14:paraId="5F66BA58" w14:textId="77777777" w:rsidR="00CF2E21" w:rsidRPr="00591BFC" w:rsidRDefault="00CF2E21" w:rsidP="00E86771">
      <w:pPr>
        <w:spacing w:line="360" w:lineRule="auto"/>
        <w:rPr>
          <w:rFonts w:cs="Arial"/>
        </w:rPr>
      </w:pPr>
    </w:p>
    <w:p w14:paraId="0307B463" w14:textId="77777777" w:rsidR="00CF2E21" w:rsidRPr="00591BFC" w:rsidRDefault="00CF2E21" w:rsidP="00E86771">
      <w:pPr>
        <w:pStyle w:val="Heading2"/>
        <w:spacing w:line="360" w:lineRule="auto"/>
        <w:rPr>
          <w:rFonts w:ascii="Calibri" w:hAnsi="Calibri"/>
          <w:lang w:val="en-GB"/>
        </w:rPr>
      </w:pPr>
      <w:bookmarkStart w:id="204" w:name="_Toc308300762"/>
      <w:bookmarkStart w:id="205" w:name="_Toc311366569"/>
      <w:r w:rsidRPr="00591BFC">
        <w:rPr>
          <w:rFonts w:ascii="Calibri" w:hAnsi="Calibri"/>
          <w:lang w:val="en-GB"/>
        </w:rPr>
        <w:t>Results</w:t>
      </w:r>
      <w:bookmarkEnd w:id="204"/>
      <w:bookmarkEnd w:id="205"/>
    </w:p>
    <w:p w14:paraId="599FFB73" w14:textId="77777777" w:rsidR="00242D5A" w:rsidRPr="00C43F88" w:rsidRDefault="00242D5A" w:rsidP="00C43F88">
      <w:pPr>
        <w:pStyle w:val="Heading3"/>
        <w:spacing w:line="360" w:lineRule="auto"/>
        <w:rPr>
          <w:rFonts w:ascii="Calibri" w:hAnsi="Calibri"/>
          <w:lang w:val="en-GB"/>
        </w:rPr>
      </w:pPr>
      <w:bookmarkStart w:id="206" w:name="_Toc308300763"/>
      <w:bookmarkStart w:id="207" w:name="_Toc311366570"/>
      <w:r w:rsidRPr="00C43F88">
        <w:rPr>
          <w:rFonts w:ascii="Calibri" w:hAnsi="Calibri"/>
          <w:lang w:val="en-GB"/>
        </w:rPr>
        <w:t>Survival analysis</w:t>
      </w:r>
      <w:bookmarkEnd w:id="206"/>
      <w:bookmarkEnd w:id="207"/>
    </w:p>
    <w:p w14:paraId="697E618A" w14:textId="77777777" w:rsidR="00CF2E21" w:rsidRPr="00591BFC" w:rsidRDefault="00CF2E21" w:rsidP="00E86771">
      <w:pPr>
        <w:widowControl w:val="0"/>
        <w:autoSpaceDE w:val="0"/>
        <w:autoSpaceDN w:val="0"/>
        <w:adjustRightInd w:val="0"/>
        <w:spacing w:line="360" w:lineRule="auto"/>
      </w:pPr>
      <w:r w:rsidRPr="00591BFC">
        <w:t xml:space="preserve">A total of 33,152 hospital episodes were identified as pertaining to a primary hip fracture. The total number over the study period per hospital of interest ranged from 1030 to 5895. The proportion of female admissions significantly changed over time, decreasing from 78.2% (2003/4) to 72.0% (2012/13). Mean age increased slightly over the study period from 82.7 years (2003/4) to 83.1 years (2012/13). </w:t>
      </w:r>
    </w:p>
    <w:p w14:paraId="3070D828" w14:textId="77777777" w:rsidR="00CF2E21" w:rsidRPr="00591BFC" w:rsidRDefault="00CF2E21" w:rsidP="00E86771">
      <w:pPr>
        <w:spacing w:line="360" w:lineRule="auto"/>
      </w:pPr>
      <w:r w:rsidRPr="00591BFC">
        <w:t>Two of the thirteen interventions could not be analysed in relation to time to second hip fracture owing to insufficient pre- or post-intervention follow-up time once a 12-month lag period was introduced. Interventions that were preceded by a significant pre-intervention trend in health outcome were not evaluated in relation to that particular health outcome due to the bias of a pre-existing secular trend likely to be incorporated in such estimates of intervention impact. For this reason two interventions were not evaluated in relation to 1-year post-fracture mortality.</w:t>
      </w:r>
    </w:p>
    <w:p w14:paraId="74213505" w14:textId="77777777" w:rsidR="00CF2E21" w:rsidRPr="00591BFC" w:rsidRDefault="00CF2E21" w:rsidP="00E86771">
      <w:pPr>
        <w:widowControl w:val="0"/>
        <w:autoSpaceDE w:val="0"/>
        <w:autoSpaceDN w:val="0"/>
        <w:adjustRightInd w:val="0"/>
        <w:spacing w:line="360" w:lineRule="auto"/>
        <w:rPr>
          <w:u w:val="single"/>
        </w:rPr>
      </w:pPr>
    </w:p>
    <w:p w14:paraId="38FBED63" w14:textId="77777777" w:rsidR="00CF2E21" w:rsidRPr="00045DDF" w:rsidRDefault="00CF2E21" w:rsidP="00DB4F65">
      <w:pPr>
        <w:pStyle w:val="Heading4"/>
        <w:spacing w:line="360" w:lineRule="auto"/>
        <w:rPr>
          <w:rFonts w:ascii="Calibri" w:hAnsi="Calibri"/>
        </w:rPr>
      </w:pPr>
      <w:r w:rsidRPr="00C95D56">
        <w:rPr>
          <w:rFonts w:ascii="Calibri" w:hAnsi="Calibri"/>
        </w:rPr>
        <w:t>Second Hip fracture</w:t>
      </w:r>
    </w:p>
    <w:p w14:paraId="33CED073" w14:textId="77777777" w:rsidR="00CF2E21" w:rsidRPr="00591BFC" w:rsidRDefault="00CF2E21" w:rsidP="00E86771">
      <w:pPr>
        <w:widowControl w:val="0"/>
        <w:autoSpaceDE w:val="0"/>
        <w:autoSpaceDN w:val="0"/>
        <w:adjustRightInd w:val="0"/>
        <w:spacing w:line="360" w:lineRule="auto"/>
      </w:pPr>
      <w:r w:rsidRPr="00591BFC">
        <w:t>There were 1288 patients identified as sustaining a second hip fracture, at an average annual directly age and sex-standardised proportion of 4.2%. This proportion remained stable throughout the study period (p-trend=0.11), with no significant change in annual rate within any year of follow up. Of the patients identified as having sustained a second hip fracture, 883 (69%) had both procedure and laterality codes for both index and second fracture. For 96% of this subset of patients with known procedure and laterality, the second fracture occurred at the contralateral side to the index fracture, i.e. only 4.4% of these patients sustained a second hip fracture on the sa</w:t>
      </w:r>
      <w:r w:rsidR="000D4504">
        <w:t xml:space="preserve">me side as the index fracture. </w:t>
      </w:r>
    </w:p>
    <w:p w14:paraId="201F8B52" w14:textId="77777777" w:rsidR="00CF2E21" w:rsidRPr="00591BFC" w:rsidRDefault="00CF2E21" w:rsidP="00E86771">
      <w:pPr>
        <w:spacing w:line="360" w:lineRule="auto"/>
        <w:rPr>
          <w:rFonts w:cs="Arial"/>
        </w:rPr>
      </w:pPr>
      <w:r w:rsidRPr="00591BFC">
        <w:t>The sub-hazard ratios (SHRs) from the survival models showed no evidence for an impact on time to second hip fracture (</w:t>
      </w:r>
      <w:r w:rsidR="008B27D3" w:rsidRPr="00591BFC">
        <w:fldChar w:fldCharType="begin"/>
      </w:r>
      <w:r w:rsidR="008B27D3" w:rsidRPr="00591BFC">
        <w:instrText xml:space="preserve"> REF _Ref423011609 \h </w:instrText>
      </w:r>
      <w:r w:rsidR="00E814C1" w:rsidRPr="00591BFC">
        <w:instrText xml:space="preserve"> \* MERGEFORMAT </w:instrText>
      </w:r>
      <w:r w:rsidR="008B27D3" w:rsidRPr="00591BFC">
        <w:fldChar w:fldCharType="separate"/>
      </w:r>
      <w:r w:rsidR="007B18C0" w:rsidRPr="00591BFC">
        <w:t xml:space="preserve">Figure </w:t>
      </w:r>
      <w:r w:rsidR="007B18C0" w:rsidRPr="00591BFC">
        <w:rPr>
          <w:noProof/>
        </w:rPr>
        <w:t>5</w:t>
      </w:r>
      <w:r w:rsidR="008B27D3" w:rsidRPr="00591BFC">
        <w:fldChar w:fldCharType="end"/>
      </w:r>
      <w:r w:rsidRPr="00591BFC">
        <w:t>) following any of the interventions when analysed separately or when pooled by type of intervention: orthogeriatrician (SHR=0.95 (</w:t>
      </w:r>
      <w:r w:rsidR="00F5216A">
        <w:t xml:space="preserve">95% </w:t>
      </w:r>
      <w:r w:rsidRPr="00591BFC">
        <w:t>CI: 0.79-1.15) or FLS (SHR=1.03 (</w:t>
      </w:r>
      <w:r w:rsidR="00F5216A">
        <w:t xml:space="preserve">95% </w:t>
      </w:r>
      <w:r w:rsidRPr="00591BFC">
        <w:t xml:space="preserve">CI: 0.85-1.26). </w:t>
      </w:r>
      <w:r w:rsidRPr="00591BFC">
        <w:rPr>
          <w:rFonts w:cs="Arial"/>
        </w:rPr>
        <w:t>Analyses of intervention impact on time to second hip fracture remained unchanged when stratified by gender, age (&lt;75 or &gt;=75) or Charlson score (0 or &gt;=1).</w:t>
      </w:r>
    </w:p>
    <w:p w14:paraId="75307D76" w14:textId="77777777" w:rsidR="008B27D3" w:rsidRPr="00045DDF" w:rsidRDefault="008B27D3" w:rsidP="00DB4F65">
      <w:pPr>
        <w:pStyle w:val="Heading4"/>
        <w:spacing w:line="360" w:lineRule="auto"/>
        <w:rPr>
          <w:rFonts w:ascii="Calibri" w:hAnsi="Calibri"/>
        </w:rPr>
      </w:pPr>
      <w:r w:rsidRPr="00C95D56">
        <w:rPr>
          <w:rFonts w:ascii="Calibri" w:hAnsi="Calibri"/>
        </w:rPr>
        <w:t>Thirty day and one year mortality</w:t>
      </w:r>
    </w:p>
    <w:p w14:paraId="604A0C4E" w14:textId="77777777" w:rsidR="008B27D3" w:rsidRPr="00591BFC" w:rsidRDefault="008B27D3" w:rsidP="00E86771">
      <w:pPr>
        <w:spacing w:line="360" w:lineRule="auto"/>
      </w:pPr>
      <w:r w:rsidRPr="00591BFC">
        <w:t>The average annualised age and sex-standardised proportion for 30-day and 1-year mortality was 9.5% (n=3033) and 29.8% (n=9663) respectively. Overall, age and sex standardised 30-day mortality declined from 11.8% in 2003/4 to 7.1% in 2011/12 (P-trend&lt;0.001), (</w:t>
      </w:r>
      <w:r w:rsidRPr="00591BFC">
        <w:fldChar w:fldCharType="begin"/>
      </w:r>
      <w:r w:rsidRPr="00591BFC">
        <w:instrText xml:space="preserve"> REF _Ref423011032 \h </w:instrText>
      </w:r>
      <w:r w:rsidR="00E814C1" w:rsidRPr="00591BFC">
        <w:instrText xml:space="preserve"> \* MERGEFORMAT </w:instrText>
      </w:r>
      <w:r w:rsidRPr="00591BFC">
        <w:fldChar w:fldCharType="separate"/>
      </w:r>
      <w:r w:rsidR="000D4504" w:rsidRPr="00591BFC">
        <w:t xml:space="preserve">Figure </w:t>
      </w:r>
      <w:r w:rsidR="000D4504">
        <w:rPr>
          <w:noProof/>
        </w:rPr>
        <w:t>6</w:t>
      </w:r>
      <w:r w:rsidRPr="00591BFC">
        <w:fldChar w:fldCharType="end"/>
      </w:r>
      <w:r w:rsidRPr="00591BFC">
        <w:t>). When compared to the year 2003, 30-day mortality remained stable until 2005/6 but significantly decreased thereafter. Similarly the age and sex standardised 1-year mortality of 33.1% in 2003/4 remained stable until 2006/7 and thereafter decreased markedly</w:t>
      </w:r>
      <w:r w:rsidRPr="00591BFC" w:rsidDel="0032373A">
        <w:t xml:space="preserve"> </w:t>
      </w:r>
      <w:r w:rsidRPr="00591BFC">
        <w:t>to 26.0% in 2011/12 (overall P-trend&lt;0.001).</w:t>
      </w:r>
    </w:p>
    <w:p w14:paraId="13C6F0AB" w14:textId="77777777" w:rsidR="008B27D3" w:rsidRPr="00591BFC" w:rsidRDefault="008B27D3" w:rsidP="00E86771">
      <w:pPr>
        <w:spacing w:line="360" w:lineRule="auto"/>
        <w:rPr>
          <w:rFonts w:cs="Arial"/>
        </w:rPr>
      </w:pPr>
    </w:p>
    <w:p w14:paraId="520B8BEA" w14:textId="77777777" w:rsidR="008B27D3" w:rsidRPr="00591BFC" w:rsidRDefault="002149AD" w:rsidP="00E86771">
      <w:pPr>
        <w:keepNext/>
        <w:widowControl w:val="0"/>
        <w:autoSpaceDE w:val="0"/>
        <w:autoSpaceDN w:val="0"/>
        <w:adjustRightInd w:val="0"/>
        <w:spacing w:line="360" w:lineRule="auto"/>
      </w:pPr>
      <w:r>
        <w:lastRenderedPageBreak/>
        <w:pict w14:anchorId="321CCE3F">
          <v:shape id="_x0000_i1029" type="#_x0000_t75" style="width:367.6pt;height:283.45pt">
            <v:imagedata r:id="rId16" o:title=""/>
          </v:shape>
        </w:pict>
      </w:r>
    </w:p>
    <w:p w14:paraId="200367E7" w14:textId="77777777" w:rsidR="00CF2E21" w:rsidRPr="00591BFC" w:rsidRDefault="008B27D3" w:rsidP="00E86771">
      <w:pPr>
        <w:pStyle w:val="Caption"/>
        <w:spacing w:line="360" w:lineRule="auto"/>
      </w:pPr>
      <w:bookmarkStart w:id="208" w:name="_Ref423011609"/>
      <w:bookmarkStart w:id="209" w:name="_Toc424650318"/>
      <w:bookmarkStart w:id="210" w:name="_Toc311366707"/>
      <w:r w:rsidRPr="00591BFC">
        <w:t xml:space="preserve">Figure </w:t>
      </w:r>
      <w:r w:rsidR="002149AD">
        <w:fldChar w:fldCharType="begin"/>
      </w:r>
      <w:r w:rsidR="002149AD">
        <w:instrText xml:space="preserve"> SEQ Figure \* ARABIC </w:instrText>
      </w:r>
      <w:r w:rsidR="002149AD">
        <w:fldChar w:fldCharType="separate"/>
      </w:r>
      <w:r w:rsidR="003B2986">
        <w:rPr>
          <w:noProof/>
        </w:rPr>
        <w:t>5</w:t>
      </w:r>
      <w:r w:rsidR="002149AD">
        <w:rPr>
          <w:noProof/>
        </w:rPr>
        <w:fldChar w:fldCharType="end"/>
      </w:r>
      <w:bookmarkEnd w:id="208"/>
      <w:r w:rsidRPr="00591BFC">
        <w:t xml:space="preserve"> Forest plot of Sub-Hazard Ratios for 2-year second hip fracture, by type of change in service delivery</w:t>
      </w:r>
      <w:bookmarkEnd w:id="209"/>
      <w:bookmarkEnd w:id="210"/>
    </w:p>
    <w:p w14:paraId="3DB5BEDE" w14:textId="77777777" w:rsidR="00C90A49" w:rsidRPr="00591BFC" w:rsidRDefault="002149AD" w:rsidP="00E86771">
      <w:pPr>
        <w:keepNext/>
        <w:spacing w:line="360" w:lineRule="auto"/>
      </w:pPr>
      <w:r>
        <w:pict w14:anchorId="16211A96">
          <v:shape id="_x0000_i1030" type="#_x0000_t75" style="width:451.25pt;height:323.5pt">
            <v:imagedata r:id="rId17" o:title=""/>
          </v:shape>
        </w:pict>
      </w:r>
    </w:p>
    <w:p w14:paraId="00681C1A" w14:textId="77777777" w:rsidR="00CF2E21" w:rsidRPr="00591BFC" w:rsidRDefault="00C90A49" w:rsidP="00E86771">
      <w:pPr>
        <w:pStyle w:val="Caption"/>
        <w:spacing w:line="360" w:lineRule="auto"/>
      </w:pPr>
      <w:bookmarkStart w:id="211" w:name="_Ref423011032"/>
      <w:bookmarkStart w:id="212" w:name="_Toc424650319"/>
      <w:bookmarkStart w:id="213" w:name="_Toc311366708"/>
      <w:r w:rsidRPr="00591BFC">
        <w:t xml:space="preserve">Figure </w:t>
      </w:r>
      <w:r w:rsidR="002149AD">
        <w:fldChar w:fldCharType="begin"/>
      </w:r>
      <w:r w:rsidR="002149AD">
        <w:instrText xml:space="preserve"> SEQ Figure \* ARABIC </w:instrText>
      </w:r>
      <w:r w:rsidR="002149AD">
        <w:fldChar w:fldCharType="separate"/>
      </w:r>
      <w:r w:rsidR="003B2986">
        <w:rPr>
          <w:noProof/>
        </w:rPr>
        <w:t>6</w:t>
      </w:r>
      <w:r w:rsidR="002149AD">
        <w:rPr>
          <w:noProof/>
        </w:rPr>
        <w:fldChar w:fldCharType="end"/>
      </w:r>
      <w:bookmarkEnd w:id="211"/>
      <w:r w:rsidRPr="00591BFC">
        <w:t xml:space="preserve"> - </w:t>
      </w:r>
      <w:r w:rsidR="00591278" w:rsidRPr="00591278">
        <w:t>Annual and quarterly regional trends in mortality (30-day and 1-year) and second hip fracture (2-year) after primary hip fracture during the study period</w:t>
      </w:r>
      <w:bookmarkEnd w:id="212"/>
      <w:bookmarkEnd w:id="213"/>
    </w:p>
    <w:p w14:paraId="350AAF91" w14:textId="77777777" w:rsidR="00C90A49" w:rsidRPr="00591BFC" w:rsidRDefault="002149AD" w:rsidP="00E86771">
      <w:pPr>
        <w:keepNext/>
        <w:spacing w:line="360" w:lineRule="auto"/>
      </w:pPr>
      <w:r>
        <w:lastRenderedPageBreak/>
        <w:pict w14:anchorId="0F059BDA">
          <v:shape id="_x0000_i1031" type="#_x0000_t75" style="width:368.1pt;height:300.15pt">
            <v:imagedata r:id="rId18" o:title=""/>
          </v:shape>
        </w:pict>
      </w:r>
    </w:p>
    <w:p w14:paraId="75FE2843" w14:textId="77777777" w:rsidR="00CF2E21" w:rsidRPr="00591BFC" w:rsidRDefault="00C90A49" w:rsidP="00E86771">
      <w:pPr>
        <w:pStyle w:val="Caption"/>
        <w:spacing w:line="360" w:lineRule="auto"/>
      </w:pPr>
      <w:bookmarkStart w:id="214" w:name="_Ref423011166"/>
      <w:bookmarkStart w:id="215" w:name="_Toc424650320"/>
      <w:bookmarkStart w:id="216" w:name="_Toc311366709"/>
      <w:r w:rsidRPr="00591BFC">
        <w:t xml:space="preserve">Figure </w:t>
      </w:r>
      <w:r w:rsidR="002149AD">
        <w:fldChar w:fldCharType="begin"/>
      </w:r>
      <w:r w:rsidR="002149AD">
        <w:instrText xml:space="preserve"> SEQ Figure \* ARABIC </w:instrText>
      </w:r>
      <w:r w:rsidR="002149AD">
        <w:fldChar w:fldCharType="separate"/>
      </w:r>
      <w:r w:rsidR="003B2986">
        <w:rPr>
          <w:noProof/>
        </w:rPr>
        <w:t>7</w:t>
      </w:r>
      <w:r w:rsidR="002149AD">
        <w:rPr>
          <w:noProof/>
        </w:rPr>
        <w:fldChar w:fldCharType="end"/>
      </w:r>
      <w:bookmarkEnd w:id="214"/>
      <w:r w:rsidRPr="00591BFC">
        <w:t xml:space="preserve"> Forest plot of Hazard Ratios for30-day mortality, by type of </w:t>
      </w:r>
      <w:r w:rsidR="0055079F" w:rsidRPr="00591BFC">
        <w:t>change</w:t>
      </w:r>
      <w:r w:rsidRPr="00591BFC">
        <w:t xml:space="preserve"> in service delivery</w:t>
      </w:r>
      <w:bookmarkEnd w:id="215"/>
      <w:bookmarkEnd w:id="216"/>
    </w:p>
    <w:p w14:paraId="325B91B8" w14:textId="77777777" w:rsidR="008B27D3" w:rsidRPr="00591BFC" w:rsidRDefault="002149AD" w:rsidP="00E86771">
      <w:pPr>
        <w:keepNext/>
        <w:spacing w:line="360" w:lineRule="auto"/>
      </w:pPr>
      <w:r>
        <w:pict w14:anchorId="6538A5E0">
          <v:shape id="_x0000_i1032" type="#_x0000_t75" style="width:368.6pt;height:283.95pt">
            <v:imagedata r:id="rId19" o:title=""/>
          </v:shape>
        </w:pict>
      </w:r>
    </w:p>
    <w:p w14:paraId="7DF21196" w14:textId="77777777" w:rsidR="00C90A49" w:rsidRPr="00591BFC" w:rsidRDefault="008B27D3" w:rsidP="00E86771">
      <w:pPr>
        <w:pStyle w:val="Caption"/>
        <w:spacing w:line="360" w:lineRule="auto"/>
      </w:pPr>
      <w:bookmarkStart w:id="217" w:name="_Ref423011323"/>
      <w:bookmarkStart w:id="218" w:name="_Toc424650321"/>
      <w:bookmarkStart w:id="219" w:name="_Toc311366710"/>
      <w:r w:rsidRPr="00591BFC">
        <w:t xml:space="preserve">Figure </w:t>
      </w:r>
      <w:r w:rsidR="002149AD">
        <w:fldChar w:fldCharType="begin"/>
      </w:r>
      <w:r w:rsidR="002149AD">
        <w:instrText xml:space="preserve"> SEQ Figure \* ARABIC </w:instrText>
      </w:r>
      <w:r w:rsidR="002149AD">
        <w:fldChar w:fldCharType="separate"/>
      </w:r>
      <w:r w:rsidR="003B2986">
        <w:rPr>
          <w:noProof/>
        </w:rPr>
        <w:t>8</w:t>
      </w:r>
      <w:r w:rsidR="002149AD">
        <w:rPr>
          <w:noProof/>
        </w:rPr>
        <w:fldChar w:fldCharType="end"/>
      </w:r>
      <w:bookmarkEnd w:id="217"/>
      <w:r w:rsidRPr="00591BFC">
        <w:t xml:space="preserve"> Forest plot of Hazard Ratios for 1-year mortality, by type of </w:t>
      </w:r>
      <w:r w:rsidR="0055079F" w:rsidRPr="00591BFC">
        <w:t>change</w:t>
      </w:r>
      <w:r w:rsidRPr="00591BFC">
        <w:t xml:space="preserve"> in service delivery</w:t>
      </w:r>
      <w:bookmarkEnd w:id="218"/>
      <w:bookmarkEnd w:id="219"/>
    </w:p>
    <w:p w14:paraId="4A99AE37" w14:textId="77777777" w:rsidR="008B27D3" w:rsidRPr="00591BFC" w:rsidRDefault="008B27D3" w:rsidP="00E86771">
      <w:pPr>
        <w:spacing w:line="360" w:lineRule="auto"/>
      </w:pPr>
    </w:p>
    <w:p w14:paraId="04BD3E3D" w14:textId="77777777" w:rsidR="008B27D3" w:rsidRPr="00591BFC" w:rsidRDefault="008B27D3" w:rsidP="00E86771">
      <w:pPr>
        <w:spacing w:line="360" w:lineRule="auto"/>
      </w:pPr>
      <w:r w:rsidRPr="00591BFC">
        <w:lastRenderedPageBreak/>
        <w:t>The pooled estimated impact of introducing an orthogeriatrician on 30-day and 1-year mortality was hazard ratio (HR)=0.73 (</w:t>
      </w:r>
      <w:r w:rsidR="00F5216A">
        <w:t xml:space="preserve">95% </w:t>
      </w:r>
      <w:r w:rsidRPr="00591BFC">
        <w:t>CI: 0.65-0.82) and HR=0.81 (</w:t>
      </w:r>
      <w:r w:rsidR="00F5216A">
        <w:t xml:space="preserve">95% </w:t>
      </w:r>
      <w:r w:rsidRPr="00591BFC">
        <w:t>CI: 0.75-0.87) respectively (</w:t>
      </w:r>
      <w:r w:rsidRPr="00591BFC">
        <w:fldChar w:fldCharType="begin"/>
      </w:r>
      <w:r w:rsidRPr="00591BFC">
        <w:instrText xml:space="preserve"> REF _Ref423011166 \h </w:instrText>
      </w:r>
      <w:r w:rsidR="00E814C1" w:rsidRPr="00591BFC">
        <w:instrText xml:space="preserve"> \* MERGEFORMAT </w:instrText>
      </w:r>
      <w:r w:rsidRPr="00591BFC">
        <w:fldChar w:fldCharType="separate"/>
      </w:r>
      <w:r w:rsidR="007B18C0" w:rsidRPr="00591BFC">
        <w:t xml:space="preserve">Figure </w:t>
      </w:r>
      <w:r w:rsidR="007B18C0" w:rsidRPr="00591BFC">
        <w:rPr>
          <w:noProof/>
        </w:rPr>
        <w:t>7</w:t>
      </w:r>
      <w:r w:rsidRPr="00591BFC">
        <w:fldChar w:fldCharType="end"/>
      </w:r>
      <w:r w:rsidRPr="00591BFC">
        <w:t>,</w:t>
      </w:r>
      <w:r w:rsidRPr="00591BFC">
        <w:fldChar w:fldCharType="begin"/>
      </w:r>
      <w:r w:rsidRPr="00591BFC">
        <w:instrText xml:space="preserve"> REF _Ref423011323 \h </w:instrText>
      </w:r>
      <w:r w:rsidR="00E814C1" w:rsidRPr="00591BFC">
        <w:instrText xml:space="preserve"> \* MERGEFORMAT </w:instrText>
      </w:r>
      <w:r w:rsidRPr="00591BFC">
        <w:fldChar w:fldCharType="separate"/>
      </w:r>
      <w:r w:rsidR="007B18C0" w:rsidRPr="00591BFC">
        <w:t xml:space="preserve">Figure </w:t>
      </w:r>
      <w:r w:rsidR="007B18C0" w:rsidRPr="00591BFC">
        <w:rPr>
          <w:noProof/>
        </w:rPr>
        <w:t>8</w:t>
      </w:r>
      <w:r w:rsidRPr="00591BFC">
        <w:fldChar w:fldCharType="end"/>
      </w:r>
      <w:r w:rsidRPr="00591BFC">
        <w:t xml:space="preserve"> ). 30-day and 1-year mortality were likewise reduced following the introduction of a FLS: HR=0.80 (95% CI: 0.71-0.91) and HR=0.84 (</w:t>
      </w:r>
      <w:r w:rsidR="00F5216A">
        <w:t xml:space="preserve">95% CI: </w:t>
      </w:r>
      <w:r w:rsidRPr="00591BFC">
        <w:t xml:space="preserve">0.77-0.93) respectively. </w:t>
      </w:r>
    </w:p>
    <w:p w14:paraId="6B095DDC" w14:textId="158E953F" w:rsidR="00CF2E21" w:rsidRPr="00591BFC" w:rsidRDefault="00CF2E21" w:rsidP="00E86771">
      <w:pPr>
        <w:spacing w:line="360" w:lineRule="auto"/>
      </w:pPr>
      <w:r w:rsidRPr="00591BFC">
        <w:t>The reductions in mortality were seen whether introducing an orthogeriatric or FLS model of care for the first time or as part of an expansion of an existing service. For example, 1-year mortality was reduced following the appointment of a second orthogeriatrician within hospital 2 in Aug 2007 compared to service delivery during the time with one orthogeriatrician already in post (HR=0.78 (95% CI: 0.67-0.91)). Likewise, adding two extra nurses and a consultant ‘Champion’ for osteoporosis to the FLS model of care in hospital 10 in May 2008 was associated with a further reduction in 1-year mortality (HR=0.76 (95% CI: 0.63-0.92)) compared to the relatively less intensive FLS in place before this intervention (</w:t>
      </w:r>
      <w:r w:rsidR="004579D1" w:rsidRPr="00591BFC">
        <w:fldChar w:fldCharType="begin"/>
      </w:r>
      <w:r w:rsidR="004579D1" w:rsidRPr="00591BFC">
        <w:instrText xml:space="preserve"> REF _Ref423011166 \h </w:instrText>
      </w:r>
      <w:r w:rsidR="00E814C1" w:rsidRPr="00591BFC">
        <w:instrText xml:space="preserve"> \* MERGEFORMAT </w:instrText>
      </w:r>
      <w:r w:rsidR="004579D1" w:rsidRPr="00591BFC">
        <w:fldChar w:fldCharType="separate"/>
      </w:r>
      <w:r w:rsidR="00EA3640" w:rsidRPr="00591BFC">
        <w:t xml:space="preserve">Figure </w:t>
      </w:r>
      <w:r w:rsidR="00EA3640">
        <w:rPr>
          <w:noProof/>
        </w:rPr>
        <w:t>7</w:t>
      </w:r>
      <w:r w:rsidR="004579D1" w:rsidRPr="00591BFC">
        <w:fldChar w:fldCharType="end"/>
      </w:r>
      <w:r w:rsidRPr="00591BFC">
        <w:t>).</w:t>
      </w:r>
    </w:p>
    <w:p w14:paraId="6162A77F" w14:textId="77777777" w:rsidR="00CF2E21" w:rsidRPr="00045DDF" w:rsidRDefault="00CF2E21" w:rsidP="00DB4F65">
      <w:pPr>
        <w:pStyle w:val="Heading4"/>
        <w:spacing w:line="360" w:lineRule="auto"/>
        <w:rPr>
          <w:rFonts w:ascii="Calibri" w:hAnsi="Calibri"/>
        </w:rPr>
      </w:pPr>
      <w:r w:rsidRPr="00C95D56">
        <w:rPr>
          <w:rFonts w:ascii="Calibri" w:hAnsi="Calibri"/>
        </w:rPr>
        <w:t>Non-hip fractures</w:t>
      </w:r>
    </w:p>
    <w:p w14:paraId="20C0A69A" w14:textId="19351E28" w:rsidR="00CF2E21" w:rsidRPr="00591BFC" w:rsidRDefault="00CF2E21" w:rsidP="00E86771">
      <w:pPr>
        <w:spacing w:line="360" w:lineRule="auto"/>
      </w:pPr>
      <w:r w:rsidRPr="00591BFC">
        <w:t xml:space="preserve">Overall, 2.8% of index hip fracture patients went on within 2 years to have a major non-hip fragility fracture requiring hospital admission. At a regional level, the rate of subsequent major non-hip fracture after primary hip fracture increased from 1.9% in 2003 to 2.5% in 2009 (p-trend = 0.03) (figure </w:t>
      </w:r>
      <w:r w:rsidR="00EA3640">
        <w:t>6</w:t>
      </w:r>
      <w:r w:rsidRPr="00591BFC">
        <w:t>). Pooled SHRs indicated no significant impact of either orthogeriatrician or FLS (</w:t>
      </w:r>
      <w:r w:rsidR="004579D1" w:rsidRPr="00591BFC">
        <w:fldChar w:fldCharType="begin"/>
      </w:r>
      <w:r w:rsidR="004579D1" w:rsidRPr="00591BFC">
        <w:instrText xml:space="preserve"> REF _Ref423011869 \h </w:instrText>
      </w:r>
      <w:r w:rsidR="00E814C1" w:rsidRPr="00591BFC">
        <w:instrText xml:space="preserve"> \* MERGEFORMAT </w:instrText>
      </w:r>
      <w:r w:rsidR="004579D1" w:rsidRPr="00591BFC">
        <w:fldChar w:fldCharType="separate"/>
      </w:r>
      <w:r w:rsidR="007B18C0" w:rsidRPr="00591BFC">
        <w:t xml:space="preserve">Figure </w:t>
      </w:r>
      <w:r w:rsidR="007B18C0" w:rsidRPr="00591BFC">
        <w:rPr>
          <w:noProof/>
        </w:rPr>
        <w:t>9</w:t>
      </w:r>
      <w:r w:rsidR="004579D1" w:rsidRPr="00591BFC">
        <w:fldChar w:fldCharType="end"/>
      </w:r>
      <w:r w:rsidRPr="00591BFC">
        <w:t>)</w:t>
      </w:r>
      <w:r w:rsidR="0055079F" w:rsidRPr="00591BFC">
        <w:t>.</w:t>
      </w:r>
    </w:p>
    <w:p w14:paraId="19C43844" w14:textId="77777777" w:rsidR="004579D1" w:rsidRPr="00591BFC" w:rsidRDefault="002149AD" w:rsidP="00E86771">
      <w:pPr>
        <w:keepNext/>
        <w:spacing w:line="360" w:lineRule="auto"/>
      </w:pPr>
      <w:r>
        <w:pict w14:anchorId="49407E9B">
          <v:shape id="_x0000_i1033" type="#_x0000_t75" style="width:366.6pt;height:283.45pt">
            <v:imagedata r:id="rId20" o:title=""/>
          </v:shape>
        </w:pict>
      </w:r>
    </w:p>
    <w:p w14:paraId="17AF45C6" w14:textId="77777777" w:rsidR="004579D1" w:rsidRPr="00591BFC" w:rsidRDefault="004579D1" w:rsidP="00E86771">
      <w:pPr>
        <w:pStyle w:val="Caption"/>
        <w:spacing w:line="360" w:lineRule="auto"/>
      </w:pPr>
      <w:bookmarkStart w:id="220" w:name="_Ref423011869"/>
      <w:bookmarkStart w:id="221" w:name="_Toc424650322"/>
      <w:bookmarkStart w:id="222" w:name="_Toc311366711"/>
      <w:r w:rsidRPr="00591BFC">
        <w:t xml:space="preserve">Figure </w:t>
      </w:r>
      <w:r w:rsidR="002149AD">
        <w:fldChar w:fldCharType="begin"/>
      </w:r>
      <w:r w:rsidR="002149AD">
        <w:instrText xml:space="preserve"> SEQ Figure \* ARABIC </w:instrText>
      </w:r>
      <w:r w:rsidR="002149AD">
        <w:fldChar w:fldCharType="separate"/>
      </w:r>
      <w:r w:rsidR="003B2986">
        <w:rPr>
          <w:noProof/>
        </w:rPr>
        <w:t>9</w:t>
      </w:r>
      <w:r w:rsidR="002149AD">
        <w:rPr>
          <w:noProof/>
        </w:rPr>
        <w:fldChar w:fldCharType="end"/>
      </w:r>
      <w:bookmarkEnd w:id="220"/>
      <w:r w:rsidRPr="00591BFC">
        <w:t xml:space="preserve"> Forest plot of Sub-Hazard Ratios for 2-year major non-hip fracture, by type of change in service delivery</w:t>
      </w:r>
      <w:bookmarkEnd w:id="221"/>
      <w:bookmarkEnd w:id="222"/>
      <w:r w:rsidRPr="00591BFC">
        <w:t xml:space="preserve"> </w:t>
      </w:r>
    </w:p>
    <w:p w14:paraId="3A1471D4" w14:textId="77777777" w:rsidR="00700F87" w:rsidRDefault="00700F87" w:rsidP="00C13186">
      <w:pPr>
        <w:pStyle w:val="Heading3"/>
        <w:spacing w:line="360" w:lineRule="auto"/>
        <w:rPr>
          <w:rFonts w:ascii="Calibri" w:hAnsi="Calibri"/>
          <w:lang w:val="en-GB"/>
        </w:rPr>
        <w:sectPr w:rsidR="00700F87" w:rsidSect="00A75A5C">
          <w:pgSz w:w="11906" w:h="16838"/>
          <w:pgMar w:top="1440" w:right="1440" w:bottom="1440" w:left="1440" w:header="708" w:footer="708" w:gutter="0"/>
          <w:cols w:space="708"/>
          <w:docGrid w:linePitch="360"/>
        </w:sectPr>
      </w:pPr>
    </w:p>
    <w:p w14:paraId="3D5FB4FF" w14:textId="77777777" w:rsidR="00C13186" w:rsidRDefault="0028664B" w:rsidP="00C13186">
      <w:pPr>
        <w:pStyle w:val="Heading3"/>
        <w:spacing w:line="360" w:lineRule="auto"/>
        <w:rPr>
          <w:rFonts w:ascii="Calibri" w:hAnsi="Calibri"/>
          <w:lang w:val="en-GB"/>
        </w:rPr>
      </w:pPr>
      <w:bookmarkStart w:id="223" w:name="_Toc308300764"/>
      <w:bookmarkStart w:id="224" w:name="_Toc311366571"/>
      <w:r>
        <w:rPr>
          <w:rFonts w:ascii="Calibri" w:hAnsi="Calibri"/>
          <w:lang w:val="en-GB"/>
        </w:rPr>
        <w:lastRenderedPageBreak/>
        <w:t>Interrupted time series</w:t>
      </w:r>
      <w:r w:rsidR="00C13186" w:rsidRPr="00661B97">
        <w:rPr>
          <w:rFonts w:ascii="Calibri" w:hAnsi="Calibri"/>
          <w:lang w:val="en-GB"/>
        </w:rPr>
        <w:t xml:space="preserve"> analysis</w:t>
      </w:r>
      <w:bookmarkEnd w:id="223"/>
      <w:bookmarkEnd w:id="224"/>
    </w:p>
    <w:p w14:paraId="1BAF7275" w14:textId="77777777" w:rsidR="004672AA" w:rsidRDefault="006A5BC4" w:rsidP="009D0596">
      <w:pPr>
        <w:pStyle w:val="Caption"/>
        <w:spacing w:line="360" w:lineRule="auto"/>
        <w:rPr>
          <w:b w:val="0"/>
        </w:rPr>
      </w:pPr>
      <w:r w:rsidRPr="00C43F88">
        <w:rPr>
          <w:b w:val="0"/>
        </w:rPr>
        <w:t xml:space="preserve">The results of the </w:t>
      </w:r>
      <w:r w:rsidR="00191D98">
        <w:rPr>
          <w:b w:val="0"/>
        </w:rPr>
        <w:t>interrupted time series analysis</w:t>
      </w:r>
      <w:r w:rsidRPr="00C43F88">
        <w:rPr>
          <w:b w:val="0"/>
        </w:rPr>
        <w:t xml:space="preserve"> are presented for the 5 </w:t>
      </w:r>
      <w:r w:rsidRPr="00191D98">
        <w:rPr>
          <w:b w:val="0"/>
        </w:rPr>
        <w:t xml:space="preserve">biggest hospitals in the region only due to the limited number of observations available at each time point. </w:t>
      </w:r>
      <w:r w:rsidR="005979BA">
        <w:rPr>
          <w:b w:val="0"/>
        </w:rPr>
        <w:t xml:space="preserve">Figures 10 and 11 present a visual representation of the quarterly trends in rates of mortality and second hip fracture at each of these individual hospitals. </w:t>
      </w:r>
      <w:r w:rsidR="00191D98" w:rsidRPr="00191D98">
        <w:rPr>
          <w:b w:val="0"/>
        </w:rPr>
        <w:t xml:space="preserve">Using a segmented linear regression approach, </w:t>
      </w:r>
      <w:r w:rsidR="004672AA">
        <w:rPr>
          <w:b w:val="0"/>
        </w:rPr>
        <w:t xml:space="preserve">no interventions were associated with either a step or slope change in </w:t>
      </w:r>
      <w:r w:rsidR="004672AA" w:rsidRPr="00191D98">
        <w:rPr>
          <w:b w:val="0"/>
        </w:rPr>
        <w:t>2-year secondary hip fracture</w:t>
      </w:r>
      <w:r w:rsidR="00531379">
        <w:rPr>
          <w:b w:val="0"/>
        </w:rPr>
        <w:t xml:space="preserve"> (Table 12</w:t>
      </w:r>
      <w:r w:rsidR="004672AA">
        <w:rPr>
          <w:b w:val="0"/>
        </w:rPr>
        <w:t>). For 30-day and 1-year mortality large effect sizes were observed for the estimated step changes, but none reached conventional levels of statistical significance due to limited statistical power.</w:t>
      </w:r>
    </w:p>
    <w:p w14:paraId="34C6A17C" w14:textId="77777777" w:rsidR="004672AA" w:rsidRDefault="004672AA" w:rsidP="009D0596">
      <w:pPr>
        <w:pStyle w:val="Caption"/>
        <w:spacing w:line="360" w:lineRule="auto"/>
        <w:rPr>
          <w:b w:val="0"/>
        </w:rPr>
      </w:pPr>
    </w:p>
    <w:p w14:paraId="432DE79D" w14:textId="77777777" w:rsidR="007B07A0" w:rsidRDefault="002149AD" w:rsidP="00C43F88">
      <w:pPr>
        <w:pStyle w:val="Caption"/>
        <w:spacing w:line="360" w:lineRule="auto"/>
        <w:jc w:val="center"/>
      </w:pPr>
      <w:r>
        <w:pict w14:anchorId="4A45E04B">
          <v:shape id="_x0000_i1034" type="#_x0000_t75" style="width:450.75pt;height:480.15pt">
            <v:imagedata r:id="rId21" o:title="SecondHip_big5_ver2"/>
          </v:shape>
        </w:pict>
      </w:r>
    </w:p>
    <w:p w14:paraId="531B5C82" w14:textId="77777777" w:rsidR="009D0596" w:rsidRPr="00591BFC" w:rsidRDefault="009D0596" w:rsidP="009D0596">
      <w:pPr>
        <w:pStyle w:val="Caption"/>
        <w:spacing w:line="360" w:lineRule="auto"/>
      </w:pPr>
      <w:bookmarkStart w:id="225" w:name="_Toc311366712"/>
      <w:r w:rsidRPr="00591BFC">
        <w:t xml:space="preserve">Figure </w:t>
      </w:r>
      <w:r w:rsidR="002149AD">
        <w:fldChar w:fldCharType="begin"/>
      </w:r>
      <w:r w:rsidR="002149AD">
        <w:instrText xml:space="preserve"> SEQ Figure \* ARABIC </w:instrText>
      </w:r>
      <w:r w:rsidR="002149AD">
        <w:fldChar w:fldCharType="separate"/>
      </w:r>
      <w:r w:rsidR="00345A4D">
        <w:rPr>
          <w:noProof/>
        </w:rPr>
        <w:t>10</w:t>
      </w:r>
      <w:r w:rsidR="002149AD">
        <w:rPr>
          <w:noProof/>
        </w:rPr>
        <w:fldChar w:fldCharType="end"/>
      </w:r>
      <w:r w:rsidRPr="00591BFC">
        <w:t xml:space="preserve"> </w:t>
      </w:r>
      <w:r>
        <w:t>Q</w:t>
      </w:r>
      <w:r w:rsidRPr="00591278">
        <w:t>uarterly regional trends in second hip fracture (2-year) after primary hip fracture during the study period</w:t>
      </w:r>
      <w:r>
        <w:t>, by hospital</w:t>
      </w:r>
      <w:bookmarkEnd w:id="225"/>
    </w:p>
    <w:p w14:paraId="5BB8C556" w14:textId="77777777" w:rsidR="00B9202B" w:rsidRDefault="00B9202B" w:rsidP="00AA4B14">
      <w:pPr>
        <w:pStyle w:val="Caption"/>
        <w:keepNext/>
        <w:spacing w:line="360" w:lineRule="auto"/>
        <w:sectPr w:rsidR="00B9202B" w:rsidSect="00B9202B">
          <w:pgSz w:w="11900" w:h="16840"/>
          <w:pgMar w:top="1440" w:right="1440" w:bottom="1440" w:left="1440" w:header="708" w:footer="708" w:gutter="0"/>
          <w:cols w:space="708"/>
          <w:docGrid w:linePitch="360"/>
        </w:sectPr>
      </w:pPr>
    </w:p>
    <w:p w14:paraId="5A77537A" w14:textId="77777777" w:rsidR="00AA4B14" w:rsidRPr="00591BFC" w:rsidRDefault="00AA4B14" w:rsidP="00AA4B14">
      <w:pPr>
        <w:pStyle w:val="Caption"/>
        <w:keepNext/>
        <w:spacing w:line="360" w:lineRule="auto"/>
      </w:pPr>
      <w:bookmarkStart w:id="226" w:name="_Toc308262407"/>
      <w:bookmarkStart w:id="227" w:name="_Toc311366673"/>
      <w:r w:rsidRPr="00591BFC">
        <w:lastRenderedPageBreak/>
        <w:t xml:space="preserve">Table </w:t>
      </w:r>
      <w:r w:rsidR="002149AD">
        <w:fldChar w:fldCharType="begin"/>
      </w:r>
      <w:r w:rsidR="002149AD">
        <w:instrText xml:space="preserve"> SEQ Table \* ARABIC </w:instrText>
      </w:r>
      <w:r w:rsidR="002149AD">
        <w:fldChar w:fldCharType="separate"/>
      </w:r>
      <w:r w:rsidR="00531379">
        <w:rPr>
          <w:noProof/>
        </w:rPr>
        <w:t>12</w:t>
      </w:r>
      <w:r w:rsidR="002149AD">
        <w:rPr>
          <w:noProof/>
        </w:rPr>
        <w:fldChar w:fldCharType="end"/>
      </w:r>
      <w:r w:rsidRPr="00591BFC">
        <w:t xml:space="preserve"> </w:t>
      </w:r>
      <w:r w:rsidR="002127F1">
        <w:t>Results of segmented linear regression models for second hip fracture outcome</w:t>
      </w:r>
      <w:r w:rsidR="009D0596">
        <w:t xml:space="preserve"> for each hospital</w:t>
      </w:r>
      <w:bookmarkEnd w:id="226"/>
      <w:bookmarkEnd w:id="227"/>
    </w:p>
    <w:tbl>
      <w:tblPr>
        <w:tblW w:w="12180" w:type="dxa"/>
        <w:tblInd w:w="93" w:type="dxa"/>
        <w:tblLook w:val="04A0" w:firstRow="1" w:lastRow="0" w:firstColumn="1" w:lastColumn="0" w:noHBand="0" w:noVBand="1"/>
      </w:tblPr>
      <w:tblGrid>
        <w:gridCol w:w="1740"/>
        <w:gridCol w:w="723"/>
        <w:gridCol w:w="937"/>
        <w:gridCol w:w="598"/>
        <w:gridCol w:w="842"/>
        <w:gridCol w:w="648"/>
        <w:gridCol w:w="912"/>
        <w:gridCol w:w="606"/>
        <w:gridCol w:w="854"/>
        <w:gridCol w:w="518"/>
        <w:gridCol w:w="842"/>
        <w:gridCol w:w="429"/>
        <w:gridCol w:w="1111"/>
        <w:gridCol w:w="395"/>
        <w:gridCol w:w="1025"/>
      </w:tblGrid>
      <w:tr w:rsidR="001B2857" w:rsidRPr="001B2857" w14:paraId="4C7AD90D" w14:textId="77777777" w:rsidTr="001B2857">
        <w:trPr>
          <w:trHeight w:val="220"/>
        </w:trPr>
        <w:tc>
          <w:tcPr>
            <w:tcW w:w="1740" w:type="dxa"/>
            <w:tcBorders>
              <w:top w:val="single" w:sz="4" w:space="0" w:color="auto"/>
              <w:left w:val="single" w:sz="4" w:space="0" w:color="auto"/>
              <w:bottom w:val="nil"/>
              <w:right w:val="single" w:sz="4" w:space="0" w:color="auto"/>
            </w:tcBorders>
            <w:shd w:val="clear" w:color="auto" w:fill="auto"/>
            <w:noWrap/>
            <w:vAlign w:val="bottom"/>
            <w:hideMark/>
          </w:tcPr>
          <w:p w14:paraId="2ECA43FE"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 </w:t>
            </w:r>
          </w:p>
        </w:tc>
        <w:tc>
          <w:tcPr>
            <w:tcW w:w="16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09F247E"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Baseline Trend</w:t>
            </w:r>
          </w:p>
        </w:tc>
        <w:tc>
          <w:tcPr>
            <w:tcW w:w="1440" w:type="dxa"/>
            <w:gridSpan w:val="2"/>
            <w:tcBorders>
              <w:top w:val="single" w:sz="4" w:space="0" w:color="auto"/>
              <w:left w:val="nil"/>
              <w:bottom w:val="single" w:sz="4" w:space="0" w:color="auto"/>
              <w:right w:val="nil"/>
            </w:tcBorders>
            <w:shd w:val="clear" w:color="auto" w:fill="auto"/>
            <w:noWrap/>
            <w:vAlign w:val="center"/>
            <w:hideMark/>
          </w:tcPr>
          <w:p w14:paraId="1447B89D"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Step change</w:t>
            </w:r>
          </w:p>
        </w:tc>
        <w:tc>
          <w:tcPr>
            <w:tcW w:w="1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E82136A"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Slope change</w:t>
            </w:r>
          </w:p>
        </w:tc>
        <w:tc>
          <w:tcPr>
            <w:tcW w:w="1460" w:type="dxa"/>
            <w:gridSpan w:val="2"/>
            <w:tcBorders>
              <w:top w:val="single" w:sz="4" w:space="0" w:color="auto"/>
              <w:left w:val="nil"/>
              <w:bottom w:val="single" w:sz="4" w:space="0" w:color="auto"/>
              <w:right w:val="nil"/>
            </w:tcBorders>
            <w:shd w:val="clear" w:color="auto" w:fill="auto"/>
            <w:noWrap/>
            <w:vAlign w:val="center"/>
            <w:hideMark/>
          </w:tcPr>
          <w:p w14:paraId="7F2F7BB5"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Step change</w:t>
            </w:r>
          </w:p>
        </w:tc>
        <w:tc>
          <w:tcPr>
            <w:tcW w:w="13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BA9C36A"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Slope change</w:t>
            </w:r>
          </w:p>
        </w:tc>
        <w:tc>
          <w:tcPr>
            <w:tcW w:w="1540" w:type="dxa"/>
            <w:gridSpan w:val="2"/>
            <w:tcBorders>
              <w:top w:val="single" w:sz="4" w:space="0" w:color="auto"/>
              <w:left w:val="nil"/>
              <w:bottom w:val="single" w:sz="4" w:space="0" w:color="auto"/>
              <w:right w:val="nil"/>
            </w:tcBorders>
            <w:shd w:val="clear" w:color="auto" w:fill="auto"/>
            <w:noWrap/>
            <w:vAlign w:val="center"/>
            <w:hideMark/>
          </w:tcPr>
          <w:p w14:paraId="1ABAB2AB"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Step change</w:t>
            </w:r>
          </w:p>
        </w:tc>
        <w:tc>
          <w:tcPr>
            <w:tcW w:w="14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76518F3"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Slope change</w:t>
            </w:r>
          </w:p>
        </w:tc>
      </w:tr>
      <w:tr w:rsidR="001B2857" w:rsidRPr="001B2857" w14:paraId="5A08CD14" w14:textId="77777777" w:rsidTr="001B2857">
        <w:trPr>
          <w:trHeight w:val="220"/>
        </w:trPr>
        <w:tc>
          <w:tcPr>
            <w:tcW w:w="1740" w:type="dxa"/>
            <w:tcBorders>
              <w:top w:val="nil"/>
              <w:left w:val="single" w:sz="4" w:space="0" w:color="auto"/>
              <w:bottom w:val="nil"/>
              <w:right w:val="single" w:sz="4" w:space="0" w:color="auto"/>
            </w:tcBorders>
            <w:shd w:val="clear" w:color="auto" w:fill="auto"/>
            <w:noWrap/>
            <w:vAlign w:val="bottom"/>
            <w:hideMark/>
          </w:tcPr>
          <w:p w14:paraId="1FE59919"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 </w:t>
            </w:r>
          </w:p>
        </w:tc>
        <w:tc>
          <w:tcPr>
            <w:tcW w:w="723" w:type="dxa"/>
            <w:vMerge w:val="restart"/>
            <w:tcBorders>
              <w:top w:val="nil"/>
              <w:left w:val="single" w:sz="4" w:space="0" w:color="auto"/>
              <w:bottom w:val="single" w:sz="4" w:space="0" w:color="000000"/>
              <w:right w:val="nil"/>
            </w:tcBorders>
            <w:shd w:val="clear" w:color="auto" w:fill="auto"/>
            <w:noWrap/>
            <w:vAlign w:val="center"/>
            <w:hideMark/>
          </w:tcPr>
          <w:p w14:paraId="462F1199"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β1</w:t>
            </w:r>
          </w:p>
        </w:tc>
        <w:tc>
          <w:tcPr>
            <w:tcW w:w="937" w:type="dxa"/>
            <w:vMerge w:val="restart"/>
            <w:tcBorders>
              <w:top w:val="nil"/>
              <w:left w:val="nil"/>
              <w:bottom w:val="single" w:sz="4" w:space="0" w:color="000000"/>
              <w:right w:val="single" w:sz="4" w:space="0" w:color="auto"/>
            </w:tcBorders>
            <w:shd w:val="clear" w:color="auto" w:fill="auto"/>
            <w:noWrap/>
            <w:vAlign w:val="center"/>
            <w:hideMark/>
          </w:tcPr>
          <w:p w14:paraId="16C2F94B"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598" w:type="dxa"/>
            <w:vMerge w:val="restart"/>
            <w:tcBorders>
              <w:top w:val="nil"/>
              <w:left w:val="single" w:sz="4" w:space="0" w:color="auto"/>
              <w:bottom w:val="single" w:sz="4" w:space="0" w:color="000000"/>
              <w:right w:val="nil"/>
            </w:tcBorders>
            <w:shd w:val="clear" w:color="auto" w:fill="auto"/>
            <w:noWrap/>
            <w:vAlign w:val="center"/>
            <w:hideMark/>
          </w:tcPr>
          <w:p w14:paraId="50E27C80"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β2</w:t>
            </w:r>
          </w:p>
        </w:tc>
        <w:tc>
          <w:tcPr>
            <w:tcW w:w="842" w:type="dxa"/>
            <w:vMerge w:val="restart"/>
            <w:tcBorders>
              <w:top w:val="nil"/>
              <w:left w:val="nil"/>
              <w:bottom w:val="single" w:sz="4" w:space="0" w:color="000000"/>
              <w:right w:val="single" w:sz="4" w:space="0" w:color="auto"/>
            </w:tcBorders>
            <w:shd w:val="clear" w:color="auto" w:fill="auto"/>
            <w:noWrap/>
            <w:vAlign w:val="center"/>
            <w:hideMark/>
          </w:tcPr>
          <w:p w14:paraId="1BCF1491"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648" w:type="dxa"/>
            <w:vMerge w:val="restart"/>
            <w:tcBorders>
              <w:top w:val="nil"/>
              <w:left w:val="single" w:sz="4" w:space="0" w:color="auto"/>
              <w:bottom w:val="single" w:sz="4" w:space="0" w:color="000000"/>
              <w:right w:val="nil"/>
            </w:tcBorders>
            <w:shd w:val="clear" w:color="auto" w:fill="auto"/>
            <w:noWrap/>
            <w:vAlign w:val="center"/>
            <w:hideMark/>
          </w:tcPr>
          <w:p w14:paraId="7254BEE3"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β3</w:t>
            </w:r>
          </w:p>
        </w:tc>
        <w:tc>
          <w:tcPr>
            <w:tcW w:w="912" w:type="dxa"/>
            <w:vMerge w:val="restart"/>
            <w:tcBorders>
              <w:top w:val="nil"/>
              <w:left w:val="nil"/>
              <w:bottom w:val="single" w:sz="4" w:space="0" w:color="000000"/>
              <w:right w:val="single" w:sz="4" w:space="0" w:color="auto"/>
            </w:tcBorders>
            <w:shd w:val="clear" w:color="auto" w:fill="auto"/>
            <w:noWrap/>
            <w:vAlign w:val="center"/>
            <w:hideMark/>
          </w:tcPr>
          <w:p w14:paraId="382BFDDB"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606" w:type="dxa"/>
            <w:vMerge w:val="restart"/>
            <w:tcBorders>
              <w:top w:val="nil"/>
              <w:left w:val="single" w:sz="4" w:space="0" w:color="auto"/>
              <w:bottom w:val="single" w:sz="4" w:space="0" w:color="000000"/>
              <w:right w:val="nil"/>
            </w:tcBorders>
            <w:shd w:val="clear" w:color="auto" w:fill="auto"/>
            <w:noWrap/>
            <w:vAlign w:val="center"/>
            <w:hideMark/>
          </w:tcPr>
          <w:p w14:paraId="0AB689E9"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β4</w:t>
            </w:r>
          </w:p>
        </w:tc>
        <w:tc>
          <w:tcPr>
            <w:tcW w:w="854" w:type="dxa"/>
            <w:vMerge w:val="restart"/>
            <w:tcBorders>
              <w:top w:val="nil"/>
              <w:left w:val="nil"/>
              <w:bottom w:val="single" w:sz="4" w:space="0" w:color="000000"/>
              <w:right w:val="single" w:sz="4" w:space="0" w:color="auto"/>
            </w:tcBorders>
            <w:shd w:val="clear" w:color="auto" w:fill="auto"/>
            <w:noWrap/>
            <w:vAlign w:val="center"/>
            <w:hideMark/>
          </w:tcPr>
          <w:p w14:paraId="17D570D6"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518" w:type="dxa"/>
            <w:vMerge w:val="restart"/>
            <w:tcBorders>
              <w:top w:val="nil"/>
              <w:left w:val="single" w:sz="4" w:space="0" w:color="auto"/>
              <w:bottom w:val="single" w:sz="4" w:space="0" w:color="000000"/>
              <w:right w:val="nil"/>
            </w:tcBorders>
            <w:shd w:val="clear" w:color="auto" w:fill="auto"/>
            <w:noWrap/>
            <w:vAlign w:val="center"/>
            <w:hideMark/>
          </w:tcPr>
          <w:p w14:paraId="72567644"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β5</w:t>
            </w:r>
          </w:p>
        </w:tc>
        <w:tc>
          <w:tcPr>
            <w:tcW w:w="842" w:type="dxa"/>
            <w:vMerge w:val="restart"/>
            <w:tcBorders>
              <w:top w:val="nil"/>
              <w:left w:val="nil"/>
              <w:bottom w:val="single" w:sz="4" w:space="0" w:color="000000"/>
              <w:right w:val="single" w:sz="4" w:space="0" w:color="auto"/>
            </w:tcBorders>
            <w:shd w:val="clear" w:color="auto" w:fill="auto"/>
            <w:noWrap/>
            <w:vAlign w:val="center"/>
            <w:hideMark/>
          </w:tcPr>
          <w:p w14:paraId="7A03F534"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429" w:type="dxa"/>
            <w:vMerge w:val="restart"/>
            <w:tcBorders>
              <w:top w:val="nil"/>
              <w:left w:val="single" w:sz="4" w:space="0" w:color="auto"/>
              <w:bottom w:val="single" w:sz="4" w:space="0" w:color="000000"/>
              <w:right w:val="nil"/>
            </w:tcBorders>
            <w:shd w:val="clear" w:color="auto" w:fill="auto"/>
            <w:noWrap/>
            <w:vAlign w:val="center"/>
            <w:hideMark/>
          </w:tcPr>
          <w:p w14:paraId="04E2B851"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β6</w:t>
            </w:r>
          </w:p>
        </w:tc>
        <w:tc>
          <w:tcPr>
            <w:tcW w:w="1111" w:type="dxa"/>
            <w:vMerge w:val="restart"/>
            <w:tcBorders>
              <w:top w:val="nil"/>
              <w:left w:val="nil"/>
              <w:bottom w:val="single" w:sz="4" w:space="0" w:color="000000"/>
              <w:right w:val="nil"/>
            </w:tcBorders>
            <w:shd w:val="clear" w:color="auto" w:fill="auto"/>
            <w:noWrap/>
            <w:vAlign w:val="center"/>
            <w:hideMark/>
          </w:tcPr>
          <w:p w14:paraId="08C5A89C"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395" w:type="dxa"/>
            <w:vMerge w:val="restart"/>
            <w:tcBorders>
              <w:top w:val="nil"/>
              <w:left w:val="single" w:sz="4" w:space="0" w:color="auto"/>
              <w:bottom w:val="single" w:sz="4" w:space="0" w:color="000000"/>
              <w:right w:val="nil"/>
            </w:tcBorders>
            <w:shd w:val="clear" w:color="auto" w:fill="auto"/>
            <w:noWrap/>
            <w:vAlign w:val="center"/>
            <w:hideMark/>
          </w:tcPr>
          <w:p w14:paraId="21E23075"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β7</w:t>
            </w:r>
          </w:p>
        </w:tc>
        <w:tc>
          <w:tcPr>
            <w:tcW w:w="1025" w:type="dxa"/>
            <w:vMerge w:val="restart"/>
            <w:tcBorders>
              <w:top w:val="nil"/>
              <w:left w:val="nil"/>
              <w:bottom w:val="single" w:sz="4" w:space="0" w:color="000000"/>
              <w:right w:val="single" w:sz="4" w:space="0" w:color="auto"/>
            </w:tcBorders>
            <w:shd w:val="clear" w:color="auto" w:fill="auto"/>
            <w:noWrap/>
            <w:vAlign w:val="center"/>
            <w:hideMark/>
          </w:tcPr>
          <w:p w14:paraId="7D69AC6D"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r>
      <w:tr w:rsidR="001B2857" w:rsidRPr="001B2857" w14:paraId="7F49AB8A" w14:textId="77777777" w:rsidTr="001B2857">
        <w:trPr>
          <w:trHeight w:val="220"/>
        </w:trPr>
        <w:tc>
          <w:tcPr>
            <w:tcW w:w="1740" w:type="dxa"/>
            <w:tcBorders>
              <w:top w:val="nil"/>
              <w:left w:val="single" w:sz="4" w:space="0" w:color="auto"/>
              <w:bottom w:val="nil"/>
              <w:right w:val="single" w:sz="4" w:space="0" w:color="auto"/>
            </w:tcBorders>
            <w:shd w:val="clear" w:color="auto" w:fill="auto"/>
            <w:noWrap/>
            <w:vAlign w:val="bottom"/>
            <w:hideMark/>
          </w:tcPr>
          <w:p w14:paraId="1EB05F4B"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 </w:t>
            </w:r>
          </w:p>
        </w:tc>
        <w:tc>
          <w:tcPr>
            <w:tcW w:w="723" w:type="dxa"/>
            <w:vMerge/>
            <w:tcBorders>
              <w:top w:val="nil"/>
              <w:left w:val="single" w:sz="4" w:space="0" w:color="auto"/>
              <w:bottom w:val="single" w:sz="4" w:space="0" w:color="000000"/>
              <w:right w:val="nil"/>
            </w:tcBorders>
            <w:vAlign w:val="center"/>
            <w:hideMark/>
          </w:tcPr>
          <w:p w14:paraId="6F4490B7" w14:textId="77777777" w:rsidR="001B2857" w:rsidRPr="001B2857" w:rsidRDefault="001B2857" w:rsidP="001B2857">
            <w:pPr>
              <w:spacing w:after="0" w:line="240" w:lineRule="auto"/>
              <w:rPr>
                <w:rFonts w:eastAsia="Times New Roman"/>
                <w:color w:val="000000"/>
                <w:sz w:val="16"/>
                <w:szCs w:val="16"/>
              </w:rPr>
            </w:pPr>
          </w:p>
        </w:tc>
        <w:tc>
          <w:tcPr>
            <w:tcW w:w="937" w:type="dxa"/>
            <w:vMerge/>
            <w:tcBorders>
              <w:top w:val="nil"/>
              <w:left w:val="nil"/>
              <w:bottom w:val="single" w:sz="4" w:space="0" w:color="000000"/>
              <w:right w:val="single" w:sz="4" w:space="0" w:color="auto"/>
            </w:tcBorders>
            <w:vAlign w:val="center"/>
            <w:hideMark/>
          </w:tcPr>
          <w:p w14:paraId="3470BFD5" w14:textId="77777777" w:rsidR="001B2857" w:rsidRPr="001B2857" w:rsidRDefault="001B2857" w:rsidP="001B2857">
            <w:pPr>
              <w:spacing w:after="0" w:line="240" w:lineRule="auto"/>
              <w:rPr>
                <w:rFonts w:eastAsia="Times New Roman"/>
                <w:color w:val="000000"/>
                <w:sz w:val="16"/>
                <w:szCs w:val="16"/>
              </w:rPr>
            </w:pPr>
          </w:p>
        </w:tc>
        <w:tc>
          <w:tcPr>
            <w:tcW w:w="598" w:type="dxa"/>
            <w:vMerge/>
            <w:tcBorders>
              <w:top w:val="nil"/>
              <w:left w:val="single" w:sz="4" w:space="0" w:color="auto"/>
              <w:bottom w:val="single" w:sz="4" w:space="0" w:color="000000"/>
              <w:right w:val="nil"/>
            </w:tcBorders>
            <w:vAlign w:val="center"/>
            <w:hideMark/>
          </w:tcPr>
          <w:p w14:paraId="647C11E3" w14:textId="77777777" w:rsidR="001B2857" w:rsidRPr="001B2857" w:rsidRDefault="001B2857" w:rsidP="001B2857">
            <w:pPr>
              <w:spacing w:after="0" w:line="240" w:lineRule="auto"/>
              <w:rPr>
                <w:rFonts w:eastAsia="Times New Roman"/>
                <w:color w:val="000000"/>
                <w:sz w:val="16"/>
                <w:szCs w:val="16"/>
              </w:rPr>
            </w:pPr>
          </w:p>
        </w:tc>
        <w:tc>
          <w:tcPr>
            <w:tcW w:w="842" w:type="dxa"/>
            <w:vMerge/>
            <w:tcBorders>
              <w:top w:val="nil"/>
              <w:left w:val="nil"/>
              <w:bottom w:val="single" w:sz="4" w:space="0" w:color="000000"/>
              <w:right w:val="single" w:sz="4" w:space="0" w:color="auto"/>
            </w:tcBorders>
            <w:vAlign w:val="center"/>
            <w:hideMark/>
          </w:tcPr>
          <w:p w14:paraId="06C7248F" w14:textId="77777777" w:rsidR="001B2857" w:rsidRPr="001B2857" w:rsidRDefault="001B2857" w:rsidP="001B2857">
            <w:pPr>
              <w:spacing w:after="0" w:line="240" w:lineRule="auto"/>
              <w:rPr>
                <w:rFonts w:eastAsia="Times New Roman"/>
                <w:color w:val="000000"/>
                <w:sz w:val="16"/>
                <w:szCs w:val="16"/>
              </w:rPr>
            </w:pPr>
          </w:p>
        </w:tc>
        <w:tc>
          <w:tcPr>
            <w:tcW w:w="648" w:type="dxa"/>
            <w:vMerge/>
            <w:tcBorders>
              <w:top w:val="nil"/>
              <w:left w:val="single" w:sz="4" w:space="0" w:color="auto"/>
              <w:bottom w:val="single" w:sz="4" w:space="0" w:color="000000"/>
              <w:right w:val="nil"/>
            </w:tcBorders>
            <w:vAlign w:val="center"/>
            <w:hideMark/>
          </w:tcPr>
          <w:p w14:paraId="20D2356D" w14:textId="77777777" w:rsidR="001B2857" w:rsidRPr="001B2857" w:rsidRDefault="001B2857" w:rsidP="001B2857">
            <w:pPr>
              <w:spacing w:after="0" w:line="240" w:lineRule="auto"/>
              <w:rPr>
                <w:rFonts w:eastAsia="Times New Roman"/>
                <w:color w:val="000000"/>
                <w:sz w:val="16"/>
                <w:szCs w:val="16"/>
              </w:rPr>
            </w:pPr>
          </w:p>
        </w:tc>
        <w:tc>
          <w:tcPr>
            <w:tcW w:w="912" w:type="dxa"/>
            <w:vMerge/>
            <w:tcBorders>
              <w:top w:val="nil"/>
              <w:left w:val="nil"/>
              <w:bottom w:val="single" w:sz="4" w:space="0" w:color="000000"/>
              <w:right w:val="single" w:sz="4" w:space="0" w:color="auto"/>
            </w:tcBorders>
            <w:vAlign w:val="center"/>
            <w:hideMark/>
          </w:tcPr>
          <w:p w14:paraId="3B586845" w14:textId="77777777" w:rsidR="001B2857" w:rsidRPr="001B2857" w:rsidRDefault="001B2857" w:rsidP="001B2857">
            <w:pPr>
              <w:spacing w:after="0" w:line="240" w:lineRule="auto"/>
              <w:rPr>
                <w:rFonts w:eastAsia="Times New Roman"/>
                <w:color w:val="000000"/>
                <w:sz w:val="16"/>
                <w:szCs w:val="16"/>
              </w:rPr>
            </w:pPr>
          </w:p>
        </w:tc>
        <w:tc>
          <w:tcPr>
            <w:tcW w:w="606" w:type="dxa"/>
            <w:vMerge/>
            <w:tcBorders>
              <w:top w:val="nil"/>
              <w:left w:val="single" w:sz="4" w:space="0" w:color="auto"/>
              <w:bottom w:val="single" w:sz="4" w:space="0" w:color="000000"/>
              <w:right w:val="nil"/>
            </w:tcBorders>
            <w:vAlign w:val="center"/>
            <w:hideMark/>
          </w:tcPr>
          <w:p w14:paraId="49A4F875" w14:textId="77777777" w:rsidR="001B2857" w:rsidRPr="001B2857" w:rsidRDefault="001B2857" w:rsidP="001B2857">
            <w:pPr>
              <w:spacing w:after="0" w:line="240" w:lineRule="auto"/>
              <w:rPr>
                <w:rFonts w:eastAsia="Times New Roman"/>
                <w:color w:val="000000"/>
                <w:sz w:val="16"/>
                <w:szCs w:val="16"/>
              </w:rPr>
            </w:pPr>
          </w:p>
        </w:tc>
        <w:tc>
          <w:tcPr>
            <w:tcW w:w="854" w:type="dxa"/>
            <w:vMerge/>
            <w:tcBorders>
              <w:top w:val="nil"/>
              <w:left w:val="nil"/>
              <w:bottom w:val="single" w:sz="4" w:space="0" w:color="000000"/>
              <w:right w:val="single" w:sz="4" w:space="0" w:color="auto"/>
            </w:tcBorders>
            <w:vAlign w:val="center"/>
            <w:hideMark/>
          </w:tcPr>
          <w:p w14:paraId="58DC6EBA" w14:textId="77777777" w:rsidR="001B2857" w:rsidRPr="001B2857" w:rsidRDefault="001B2857" w:rsidP="001B2857">
            <w:pPr>
              <w:spacing w:after="0" w:line="240" w:lineRule="auto"/>
              <w:rPr>
                <w:rFonts w:eastAsia="Times New Roman"/>
                <w:color w:val="000000"/>
                <w:sz w:val="16"/>
                <w:szCs w:val="16"/>
              </w:rPr>
            </w:pPr>
          </w:p>
        </w:tc>
        <w:tc>
          <w:tcPr>
            <w:tcW w:w="518" w:type="dxa"/>
            <w:vMerge/>
            <w:tcBorders>
              <w:top w:val="nil"/>
              <w:left w:val="single" w:sz="4" w:space="0" w:color="auto"/>
              <w:bottom w:val="single" w:sz="4" w:space="0" w:color="000000"/>
              <w:right w:val="nil"/>
            </w:tcBorders>
            <w:vAlign w:val="center"/>
            <w:hideMark/>
          </w:tcPr>
          <w:p w14:paraId="1B90C7B0" w14:textId="77777777" w:rsidR="001B2857" w:rsidRPr="001B2857" w:rsidRDefault="001B2857" w:rsidP="001B2857">
            <w:pPr>
              <w:spacing w:after="0" w:line="240" w:lineRule="auto"/>
              <w:rPr>
                <w:rFonts w:eastAsia="Times New Roman"/>
                <w:color w:val="000000"/>
                <w:sz w:val="16"/>
                <w:szCs w:val="16"/>
              </w:rPr>
            </w:pPr>
          </w:p>
        </w:tc>
        <w:tc>
          <w:tcPr>
            <w:tcW w:w="842" w:type="dxa"/>
            <w:vMerge/>
            <w:tcBorders>
              <w:top w:val="nil"/>
              <w:left w:val="nil"/>
              <w:bottom w:val="single" w:sz="4" w:space="0" w:color="000000"/>
              <w:right w:val="single" w:sz="4" w:space="0" w:color="auto"/>
            </w:tcBorders>
            <w:vAlign w:val="center"/>
            <w:hideMark/>
          </w:tcPr>
          <w:p w14:paraId="1C4976EB" w14:textId="77777777" w:rsidR="001B2857" w:rsidRPr="001B2857" w:rsidRDefault="001B2857" w:rsidP="001B2857">
            <w:pPr>
              <w:spacing w:after="0" w:line="240" w:lineRule="auto"/>
              <w:rPr>
                <w:rFonts w:eastAsia="Times New Roman"/>
                <w:color w:val="000000"/>
                <w:sz w:val="16"/>
                <w:szCs w:val="16"/>
              </w:rPr>
            </w:pPr>
          </w:p>
        </w:tc>
        <w:tc>
          <w:tcPr>
            <w:tcW w:w="429" w:type="dxa"/>
            <w:vMerge/>
            <w:tcBorders>
              <w:top w:val="nil"/>
              <w:left w:val="single" w:sz="4" w:space="0" w:color="auto"/>
              <w:bottom w:val="single" w:sz="4" w:space="0" w:color="000000"/>
              <w:right w:val="nil"/>
            </w:tcBorders>
            <w:vAlign w:val="center"/>
            <w:hideMark/>
          </w:tcPr>
          <w:p w14:paraId="4963CFE4" w14:textId="77777777" w:rsidR="001B2857" w:rsidRPr="001B2857" w:rsidRDefault="001B2857" w:rsidP="001B2857">
            <w:pPr>
              <w:spacing w:after="0" w:line="240" w:lineRule="auto"/>
              <w:rPr>
                <w:rFonts w:eastAsia="Times New Roman"/>
                <w:color w:val="000000"/>
                <w:sz w:val="16"/>
                <w:szCs w:val="16"/>
              </w:rPr>
            </w:pPr>
          </w:p>
        </w:tc>
        <w:tc>
          <w:tcPr>
            <w:tcW w:w="1111" w:type="dxa"/>
            <w:vMerge/>
            <w:tcBorders>
              <w:top w:val="nil"/>
              <w:left w:val="nil"/>
              <w:bottom w:val="single" w:sz="4" w:space="0" w:color="000000"/>
              <w:right w:val="nil"/>
            </w:tcBorders>
            <w:vAlign w:val="center"/>
            <w:hideMark/>
          </w:tcPr>
          <w:p w14:paraId="152B325A" w14:textId="77777777" w:rsidR="001B2857" w:rsidRPr="001B2857" w:rsidRDefault="001B2857" w:rsidP="001B2857">
            <w:pPr>
              <w:spacing w:after="0" w:line="240" w:lineRule="auto"/>
              <w:rPr>
                <w:rFonts w:eastAsia="Times New Roman"/>
                <w:color w:val="000000"/>
                <w:sz w:val="16"/>
                <w:szCs w:val="16"/>
              </w:rPr>
            </w:pPr>
          </w:p>
        </w:tc>
        <w:tc>
          <w:tcPr>
            <w:tcW w:w="395" w:type="dxa"/>
            <w:vMerge/>
            <w:tcBorders>
              <w:top w:val="nil"/>
              <w:left w:val="single" w:sz="4" w:space="0" w:color="auto"/>
              <w:bottom w:val="single" w:sz="4" w:space="0" w:color="000000"/>
              <w:right w:val="nil"/>
            </w:tcBorders>
            <w:vAlign w:val="center"/>
            <w:hideMark/>
          </w:tcPr>
          <w:p w14:paraId="353755FA" w14:textId="77777777" w:rsidR="001B2857" w:rsidRPr="001B2857" w:rsidRDefault="001B2857" w:rsidP="001B2857">
            <w:pPr>
              <w:spacing w:after="0" w:line="240" w:lineRule="auto"/>
              <w:rPr>
                <w:rFonts w:eastAsia="Times New Roman"/>
                <w:color w:val="000000"/>
                <w:sz w:val="16"/>
                <w:szCs w:val="16"/>
              </w:rPr>
            </w:pPr>
          </w:p>
        </w:tc>
        <w:tc>
          <w:tcPr>
            <w:tcW w:w="1025" w:type="dxa"/>
            <w:vMerge/>
            <w:tcBorders>
              <w:top w:val="nil"/>
              <w:left w:val="nil"/>
              <w:bottom w:val="single" w:sz="4" w:space="0" w:color="000000"/>
              <w:right w:val="single" w:sz="4" w:space="0" w:color="auto"/>
            </w:tcBorders>
            <w:vAlign w:val="center"/>
            <w:hideMark/>
          </w:tcPr>
          <w:p w14:paraId="26EA22E6" w14:textId="77777777" w:rsidR="001B2857" w:rsidRPr="001B2857" w:rsidRDefault="001B2857" w:rsidP="001B2857">
            <w:pPr>
              <w:spacing w:after="0" w:line="240" w:lineRule="auto"/>
              <w:rPr>
                <w:rFonts w:eastAsia="Times New Roman"/>
                <w:color w:val="000000"/>
                <w:sz w:val="16"/>
                <w:szCs w:val="16"/>
              </w:rPr>
            </w:pPr>
          </w:p>
        </w:tc>
      </w:tr>
      <w:tr w:rsidR="001B2857" w:rsidRPr="001B2857" w14:paraId="71A46E78" w14:textId="77777777" w:rsidTr="001B2857">
        <w:trPr>
          <w:trHeight w:val="220"/>
        </w:trPr>
        <w:tc>
          <w:tcPr>
            <w:tcW w:w="1740" w:type="dxa"/>
            <w:tcBorders>
              <w:top w:val="nil"/>
              <w:left w:val="single" w:sz="4" w:space="0" w:color="auto"/>
              <w:bottom w:val="nil"/>
              <w:right w:val="single" w:sz="4" w:space="0" w:color="auto"/>
            </w:tcBorders>
            <w:shd w:val="clear" w:color="auto" w:fill="auto"/>
            <w:noWrap/>
            <w:vAlign w:val="bottom"/>
            <w:hideMark/>
          </w:tcPr>
          <w:p w14:paraId="4846D31B" w14:textId="77777777" w:rsidR="001B2857" w:rsidRPr="001B2857" w:rsidRDefault="001B2857" w:rsidP="001B2857">
            <w:pPr>
              <w:spacing w:after="0" w:line="240" w:lineRule="auto"/>
              <w:rPr>
                <w:rFonts w:eastAsia="Times New Roman"/>
                <w:sz w:val="16"/>
                <w:szCs w:val="16"/>
                <w:u w:val="single"/>
              </w:rPr>
            </w:pPr>
            <w:r w:rsidRPr="001B2857">
              <w:rPr>
                <w:rFonts w:eastAsia="Times New Roman"/>
                <w:sz w:val="16"/>
                <w:szCs w:val="16"/>
                <w:u w:val="single"/>
              </w:rPr>
              <w:t>Hospital 10</w:t>
            </w:r>
          </w:p>
        </w:tc>
        <w:tc>
          <w:tcPr>
            <w:tcW w:w="723" w:type="dxa"/>
            <w:tcBorders>
              <w:top w:val="nil"/>
              <w:left w:val="nil"/>
              <w:bottom w:val="nil"/>
              <w:right w:val="nil"/>
            </w:tcBorders>
            <w:shd w:val="clear" w:color="auto" w:fill="auto"/>
            <w:noWrap/>
            <w:vAlign w:val="bottom"/>
            <w:hideMark/>
          </w:tcPr>
          <w:p w14:paraId="601D83F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37" w:type="dxa"/>
            <w:tcBorders>
              <w:top w:val="nil"/>
              <w:left w:val="nil"/>
              <w:bottom w:val="nil"/>
              <w:right w:val="nil"/>
            </w:tcBorders>
            <w:shd w:val="clear" w:color="auto" w:fill="auto"/>
            <w:noWrap/>
            <w:vAlign w:val="bottom"/>
            <w:hideMark/>
          </w:tcPr>
          <w:p w14:paraId="675C1CFA" w14:textId="77777777" w:rsidR="001B2857" w:rsidRPr="001B2857" w:rsidRDefault="001B2857" w:rsidP="001B2857">
            <w:pPr>
              <w:spacing w:after="0" w:line="240" w:lineRule="auto"/>
              <w:jc w:val="center"/>
              <w:rPr>
                <w:rFonts w:eastAsia="Times New Roman"/>
                <w:sz w:val="16"/>
                <w:szCs w:val="16"/>
              </w:rPr>
            </w:pPr>
          </w:p>
        </w:tc>
        <w:tc>
          <w:tcPr>
            <w:tcW w:w="3000"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53D08DE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820" w:type="dxa"/>
            <w:gridSpan w:val="4"/>
            <w:tcBorders>
              <w:top w:val="single" w:sz="4" w:space="0" w:color="auto"/>
              <w:left w:val="nil"/>
              <w:bottom w:val="nil"/>
              <w:right w:val="single" w:sz="4" w:space="0" w:color="000000"/>
            </w:tcBorders>
            <w:shd w:val="clear" w:color="auto" w:fill="auto"/>
            <w:noWrap/>
            <w:vAlign w:val="center"/>
            <w:hideMark/>
          </w:tcPr>
          <w:p w14:paraId="02E0535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429" w:type="dxa"/>
            <w:tcBorders>
              <w:top w:val="nil"/>
              <w:left w:val="nil"/>
              <w:bottom w:val="nil"/>
              <w:right w:val="nil"/>
            </w:tcBorders>
            <w:shd w:val="clear" w:color="auto" w:fill="auto"/>
            <w:noWrap/>
            <w:vAlign w:val="center"/>
            <w:hideMark/>
          </w:tcPr>
          <w:p w14:paraId="72E9556A"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 </w:t>
            </w:r>
          </w:p>
        </w:tc>
        <w:tc>
          <w:tcPr>
            <w:tcW w:w="1111" w:type="dxa"/>
            <w:tcBorders>
              <w:top w:val="nil"/>
              <w:left w:val="nil"/>
              <w:bottom w:val="nil"/>
              <w:right w:val="nil"/>
            </w:tcBorders>
            <w:shd w:val="clear" w:color="auto" w:fill="auto"/>
            <w:noWrap/>
            <w:vAlign w:val="center"/>
            <w:hideMark/>
          </w:tcPr>
          <w:p w14:paraId="7C7EC189" w14:textId="77777777" w:rsidR="001B2857" w:rsidRPr="001B2857" w:rsidRDefault="001B2857" w:rsidP="001B2857">
            <w:pPr>
              <w:spacing w:after="0" w:line="240" w:lineRule="auto"/>
              <w:jc w:val="center"/>
              <w:rPr>
                <w:rFonts w:eastAsia="Times New Roman"/>
                <w:color w:val="000000"/>
                <w:sz w:val="16"/>
                <w:szCs w:val="16"/>
              </w:rPr>
            </w:pPr>
          </w:p>
        </w:tc>
        <w:tc>
          <w:tcPr>
            <w:tcW w:w="395" w:type="dxa"/>
            <w:tcBorders>
              <w:top w:val="nil"/>
              <w:left w:val="nil"/>
              <w:bottom w:val="nil"/>
              <w:right w:val="nil"/>
            </w:tcBorders>
            <w:shd w:val="clear" w:color="auto" w:fill="auto"/>
            <w:noWrap/>
            <w:vAlign w:val="center"/>
            <w:hideMark/>
          </w:tcPr>
          <w:p w14:paraId="25D3A99F" w14:textId="77777777" w:rsidR="001B2857" w:rsidRPr="001B2857" w:rsidRDefault="001B2857" w:rsidP="001B2857">
            <w:pPr>
              <w:spacing w:after="0" w:line="240" w:lineRule="auto"/>
              <w:jc w:val="center"/>
              <w:rPr>
                <w:rFonts w:eastAsia="Times New Roman"/>
                <w:color w:val="000000"/>
                <w:sz w:val="16"/>
                <w:szCs w:val="16"/>
              </w:rPr>
            </w:pPr>
          </w:p>
        </w:tc>
        <w:tc>
          <w:tcPr>
            <w:tcW w:w="1025" w:type="dxa"/>
            <w:tcBorders>
              <w:top w:val="nil"/>
              <w:left w:val="nil"/>
              <w:bottom w:val="nil"/>
              <w:right w:val="single" w:sz="4" w:space="0" w:color="auto"/>
            </w:tcBorders>
            <w:shd w:val="clear" w:color="auto" w:fill="auto"/>
            <w:noWrap/>
            <w:vAlign w:val="center"/>
            <w:hideMark/>
          </w:tcPr>
          <w:p w14:paraId="441EEE30"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 </w:t>
            </w:r>
          </w:p>
        </w:tc>
      </w:tr>
      <w:tr w:rsidR="001B2857" w:rsidRPr="001B2857" w14:paraId="2BCE0E1D" w14:textId="77777777" w:rsidTr="001B2857">
        <w:trPr>
          <w:trHeight w:val="220"/>
        </w:trPr>
        <w:tc>
          <w:tcPr>
            <w:tcW w:w="1740" w:type="dxa"/>
            <w:tcBorders>
              <w:top w:val="nil"/>
              <w:left w:val="single" w:sz="4" w:space="0" w:color="auto"/>
              <w:bottom w:val="nil"/>
              <w:right w:val="single" w:sz="4" w:space="0" w:color="auto"/>
            </w:tcBorders>
            <w:shd w:val="clear" w:color="auto" w:fill="auto"/>
            <w:noWrap/>
            <w:vAlign w:val="bottom"/>
            <w:hideMark/>
          </w:tcPr>
          <w:p w14:paraId="4C2ED2ED" w14:textId="77777777" w:rsidR="001B2857" w:rsidRPr="001B2857" w:rsidRDefault="001B2857" w:rsidP="001B2857">
            <w:pPr>
              <w:spacing w:after="0" w:line="240" w:lineRule="auto"/>
              <w:rPr>
                <w:rFonts w:eastAsia="Times New Roman"/>
                <w:sz w:val="16"/>
                <w:szCs w:val="16"/>
              </w:rPr>
            </w:pPr>
            <w:r w:rsidRPr="001B2857">
              <w:rPr>
                <w:rFonts w:eastAsia="Times New Roman"/>
                <w:sz w:val="16"/>
                <w:szCs w:val="16"/>
              </w:rPr>
              <w:t>a. Full  model</w:t>
            </w:r>
          </w:p>
        </w:tc>
        <w:tc>
          <w:tcPr>
            <w:tcW w:w="723" w:type="dxa"/>
            <w:tcBorders>
              <w:top w:val="nil"/>
              <w:left w:val="nil"/>
              <w:bottom w:val="nil"/>
              <w:right w:val="nil"/>
            </w:tcBorders>
            <w:shd w:val="clear" w:color="auto" w:fill="auto"/>
            <w:noWrap/>
            <w:vAlign w:val="bottom"/>
            <w:hideMark/>
          </w:tcPr>
          <w:p w14:paraId="3B5EA62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-0.23</w:t>
            </w:r>
          </w:p>
        </w:tc>
        <w:tc>
          <w:tcPr>
            <w:tcW w:w="937" w:type="dxa"/>
            <w:tcBorders>
              <w:top w:val="nil"/>
              <w:left w:val="nil"/>
              <w:bottom w:val="nil"/>
              <w:right w:val="nil"/>
            </w:tcBorders>
            <w:shd w:val="clear" w:color="auto" w:fill="auto"/>
            <w:noWrap/>
            <w:vAlign w:val="bottom"/>
            <w:hideMark/>
          </w:tcPr>
          <w:p w14:paraId="391876F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0.25</w:t>
            </w:r>
          </w:p>
        </w:tc>
        <w:tc>
          <w:tcPr>
            <w:tcW w:w="598" w:type="dxa"/>
            <w:tcBorders>
              <w:top w:val="nil"/>
              <w:left w:val="single" w:sz="4" w:space="0" w:color="auto"/>
              <w:bottom w:val="nil"/>
              <w:right w:val="nil"/>
            </w:tcBorders>
            <w:shd w:val="clear" w:color="auto" w:fill="auto"/>
            <w:noWrap/>
            <w:vAlign w:val="bottom"/>
            <w:hideMark/>
          </w:tcPr>
          <w:p w14:paraId="7A98AAE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2.12</w:t>
            </w:r>
          </w:p>
        </w:tc>
        <w:tc>
          <w:tcPr>
            <w:tcW w:w="842" w:type="dxa"/>
            <w:tcBorders>
              <w:top w:val="nil"/>
              <w:left w:val="nil"/>
              <w:bottom w:val="nil"/>
              <w:right w:val="nil"/>
            </w:tcBorders>
            <w:shd w:val="clear" w:color="auto" w:fill="auto"/>
            <w:noWrap/>
            <w:vAlign w:val="bottom"/>
            <w:hideMark/>
          </w:tcPr>
          <w:p w14:paraId="4DE27E6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0.430</w:t>
            </w:r>
          </w:p>
        </w:tc>
        <w:tc>
          <w:tcPr>
            <w:tcW w:w="648" w:type="dxa"/>
            <w:tcBorders>
              <w:top w:val="nil"/>
              <w:left w:val="nil"/>
              <w:bottom w:val="nil"/>
              <w:right w:val="nil"/>
            </w:tcBorders>
            <w:shd w:val="clear" w:color="auto" w:fill="auto"/>
            <w:noWrap/>
            <w:vAlign w:val="bottom"/>
            <w:hideMark/>
          </w:tcPr>
          <w:p w14:paraId="0518C8C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2.89</w:t>
            </w:r>
          </w:p>
        </w:tc>
        <w:tc>
          <w:tcPr>
            <w:tcW w:w="912" w:type="dxa"/>
            <w:tcBorders>
              <w:top w:val="nil"/>
              <w:left w:val="nil"/>
              <w:bottom w:val="nil"/>
              <w:right w:val="single" w:sz="4" w:space="0" w:color="auto"/>
            </w:tcBorders>
            <w:shd w:val="clear" w:color="auto" w:fill="auto"/>
            <w:noWrap/>
            <w:vAlign w:val="bottom"/>
            <w:hideMark/>
          </w:tcPr>
          <w:p w14:paraId="22DB687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0.590</w:t>
            </w:r>
          </w:p>
        </w:tc>
        <w:tc>
          <w:tcPr>
            <w:tcW w:w="606" w:type="dxa"/>
            <w:tcBorders>
              <w:top w:val="nil"/>
              <w:left w:val="nil"/>
              <w:bottom w:val="nil"/>
              <w:right w:val="nil"/>
            </w:tcBorders>
            <w:shd w:val="clear" w:color="auto" w:fill="auto"/>
            <w:noWrap/>
            <w:vAlign w:val="bottom"/>
            <w:hideMark/>
          </w:tcPr>
          <w:p w14:paraId="56426AFA"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-2.61</w:t>
            </w:r>
          </w:p>
        </w:tc>
        <w:tc>
          <w:tcPr>
            <w:tcW w:w="854" w:type="dxa"/>
            <w:tcBorders>
              <w:top w:val="nil"/>
              <w:left w:val="nil"/>
              <w:bottom w:val="nil"/>
              <w:right w:val="nil"/>
            </w:tcBorders>
            <w:shd w:val="clear" w:color="auto" w:fill="auto"/>
            <w:noWrap/>
            <w:vAlign w:val="bottom"/>
            <w:hideMark/>
          </w:tcPr>
          <w:p w14:paraId="4D0ECDF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0.470</w:t>
            </w:r>
          </w:p>
        </w:tc>
        <w:tc>
          <w:tcPr>
            <w:tcW w:w="518" w:type="dxa"/>
            <w:tcBorders>
              <w:top w:val="nil"/>
              <w:left w:val="nil"/>
              <w:bottom w:val="nil"/>
              <w:right w:val="nil"/>
            </w:tcBorders>
            <w:shd w:val="clear" w:color="auto" w:fill="auto"/>
            <w:noWrap/>
            <w:vAlign w:val="bottom"/>
            <w:hideMark/>
          </w:tcPr>
          <w:p w14:paraId="4BFF573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0.35</w:t>
            </w:r>
          </w:p>
        </w:tc>
        <w:tc>
          <w:tcPr>
            <w:tcW w:w="842" w:type="dxa"/>
            <w:tcBorders>
              <w:top w:val="nil"/>
              <w:left w:val="nil"/>
              <w:bottom w:val="nil"/>
              <w:right w:val="single" w:sz="4" w:space="0" w:color="auto"/>
            </w:tcBorders>
            <w:shd w:val="clear" w:color="auto" w:fill="auto"/>
            <w:noWrap/>
            <w:vAlign w:val="bottom"/>
            <w:hideMark/>
          </w:tcPr>
          <w:p w14:paraId="1DC1A97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0.530</w:t>
            </w:r>
          </w:p>
        </w:tc>
        <w:tc>
          <w:tcPr>
            <w:tcW w:w="429" w:type="dxa"/>
            <w:tcBorders>
              <w:top w:val="nil"/>
              <w:left w:val="nil"/>
              <w:bottom w:val="nil"/>
              <w:right w:val="nil"/>
            </w:tcBorders>
            <w:shd w:val="clear" w:color="auto" w:fill="auto"/>
            <w:noWrap/>
            <w:vAlign w:val="bottom"/>
            <w:hideMark/>
          </w:tcPr>
          <w:p w14:paraId="298EA42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1111" w:type="dxa"/>
            <w:tcBorders>
              <w:top w:val="nil"/>
              <w:left w:val="nil"/>
              <w:bottom w:val="nil"/>
              <w:right w:val="nil"/>
            </w:tcBorders>
            <w:shd w:val="clear" w:color="auto" w:fill="auto"/>
            <w:noWrap/>
            <w:vAlign w:val="bottom"/>
            <w:hideMark/>
          </w:tcPr>
          <w:p w14:paraId="603B496C" w14:textId="77777777" w:rsidR="001B2857" w:rsidRPr="001B2857" w:rsidRDefault="001B2857" w:rsidP="001B2857">
            <w:pPr>
              <w:spacing w:after="0" w:line="240" w:lineRule="auto"/>
              <w:jc w:val="center"/>
              <w:rPr>
                <w:rFonts w:eastAsia="Times New Roman"/>
                <w:sz w:val="16"/>
                <w:szCs w:val="16"/>
              </w:rPr>
            </w:pPr>
          </w:p>
        </w:tc>
        <w:tc>
          <w:tcPr>
            <w:tcW w:w="395" w:type="dxa"/>
            <w:tcBorders>
              <w:top w:val="nil"/>
              <w:left w:val="nil"/>
              <w:bottom w:val="nil"/>
              <w:right w:val="nil"/>
            </w:tcBorders>
            <w:shd w:val="clear" w:color="auto" w:fill="auto"/>
            <w:noWrap/>
            <w:vAlign w:val="bottom"/>
            <w:hideMark/>
          </w:tcPr>
          <w:p w14:paraId="5D7CA05B" w14:textId="77777777" w:rsidR="001B2857" w:rsidRPr="001B2857" w:rsidRDefault="001B2857" w:rsidP="001B2857">
            <w:pPr>
              <w:spacing w:after="0" w:line="240" w:lineRule="auto"/>
              <w:jc w:val="center"/>
              <w:rPr>
                <w:rFonts w:eastAsia="Times New Roman"/>
                <w:sz w:val="16"/>
                <w:szCs w:val="16"/>
              </w:rPr>
            </w:pPr>
          </w:p>
        </w:tc>
        <w:tc>
          <w:tcPr>
            <w:tcW w:w="1025" w:type="dxa"/>
            <w:tcBorders>
              <w:top w:val="nil"/>
              <w:left w:val="nil"/>
              <w:bottom w:val="nil"/>
              <w:right w:val="single" w:sz="4" w:space="0" w:color="auto"/>
            </w:tcBorders>
            <w:shd w:val="clear" w:color="auto" w:fill="auto"/>
            <w:noWrap/>
            <w:vAlign w:val="bottom"/>
            <w:hideMark/>
          </w:tcPr>
          <w:p w14:paraId="1120A10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r>
      <w:tr w:rsidR="001B2857" w:rsidRPr="001B2857" w14:paraId="5F5F5F2D" w14:textId="77777777" w:rsidTr="001B2857">
        <w:trPr>
          <w:trHeight w:val="220"/>
        </w:trPr>
        <w:tc>
          <w:tcPr>
            <w:tcW w:w="1740" w:type="dxa"/>
            <w:tcBorders>
              <w:top w:val="nil"/>
              <w:left w:val="single" w:sz="4" w:space="0" w:color="auto"/>
              <w:bottom w:val="nil"/>
              <w:right w:val="single" w:sz="4" w:space="0" w:color="auto"/>
            </w:tcBorders>
            <w:shd w:val="clear" w:color="auto" w:fill="auto"/>
            <w:noWrap/>
            <w:vAlign w:val="bottom"/>
            <w:hideMark/>
          </w:tcPr>
          <w:p w14:paraId="1B004B73" w14:textId="77777777" w:rsidR="001B2857" w:rsidRPr="001B2857" w:rsidRDefault="001B2857" w:rsidP="001B2857">
            <w:pPr>
              <w:spacing w:after="0" w:line="240" w:lineRule="auto"/>
              <w:rPr>
                <w:rFonts w:eastAsia="Times New Roman"/>
                <w:sz w:val="16"/>
                <w:szCs w:val="16"/>
              </w:rPr>
            </w:pPr>
            <w:r w:rsidRPr="001B2857">
              <w:rPr>
                <w:rFonts w:eastAsia="Times New Roman"/>
                <w:sz w:val="16"/>
                <w:szCs w:val="16"/>
              </w:rPr>
              <w:t>b. Parsimonious model</w:t>
            </w:r>
          </w:p>
        </w:tc>
        <w:tc>
          <w:tcPr>
            <w:tcW w:w="723" w:type="dxa"/>
            <w:tcBorders>
              <w:top w:val="nil"/>
              <w:left w:val="nil"/>
              <w:bottom w:val="nil"/>
              <w:right w:val="nil"/>
            </w:tcBorders>
            <w:shd w:val="clear" w:color="auto" w:fill="auto"/>
            <w:noWrap/>
            <w:vAlign w:val="bottom"/>
            <w:hideMark/>
          </w:tcPr>
          <w:p w14:paraId="755B373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&lt;0.01</w:t>
            </w:r>
          </w:p>
        </w:tc>
        <w:tc>
          <w:tcPr>
            <w:tcW w:w="937" w:type="dxa"/>
            <w:tcBorders>
              <w:top w:val="nil"/>
              <w:left w:val="nil"/>
              <w:bottom w:val="nil"/>
              <w:right w:val="nil"/>
            </w:tcBorders>
            <w:shd w:val="clear" w:color="auto" w:fill="auto"/>
            <w:noWrap/>
            <w:vAlign w:val="bottom"/>
            <w:hideMark/>
          </w:tcPr>
          <w:p w14:paraId="476335C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0.96</w:t>
            </w:r>
          </w:p>
        </w:tc>
        <w:tc>
          <w:tcPr>
            <w:tcW w:w="598" w:type="dxa"/>
            <w:tcBorders>
              <w:top w:val="nil"/>
              <w:left w:val="single" w:sz="4" w:space="0" w:color="auto"/>
              <w:bottom w:val="nil"/>
              <w:right w:val="nil"/>
            </w:tcBorders>
            <w:shd w:val="clear" w:color="auto" w:fill="auto"/>
            <w:noWrap/>
            <w:vAlign w:val="bottom"/>
            <w:hideMark/>
          </w:tcPr>
          <w:p w14:paraId="44127DF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42" w:type="dxa"/>
            <w:tcBorders>
              <w:top w:val="nil"/>
              <w:left w:val="nil"/>
              <w:bottom w:val="nil"/>
              <w:right w:val="nil"/>
            </w:tcBorders>
            <w:shd w:val="clear" w:color="auto" w:fill="auto"/>
            <w:noWrap/>
            <w:vAlign w:val="bottom"/>
            <w:hideMark/>
          </w:tcPr>
          <w:p w14:paraId="147642F2" w14:textId="77777777" w:rsidR="001B2857" w:rsidRPr="001B2857" w:rsidRDefault="001B2857" w:rsidP="001B2857">
            <w:pPr>
              <w:spacing w:after="0" w:line="240" w:lineRule="auto"/>
              <w:jc w:val="center"/>
              <w:rPr>
                <w:rFonts w:eastAsia="Times New Roman"/>
                <w:sz w:val="16"/>
                <w:szCs w:val="16"/>
              </w:rPr>
            </w:pPr>
          </w:p>
        </w:tc>
        <w:tc>
          <w:tcPr>
            <w:tcW w:w="648" w:type="dxa"/>
            <w:tcBorders>
              <w:top w:val="nil"/>
              <w:left w:val="nil"/>
              <w:bottom w:val="nil"/>
              <w:right w:val="nil"/>
            </w:tcBorders>
            <w:shd w:val="clear" w:color="auto" w:fill="auto"/>
            <w:noWrap/>
            <w:vAlign w:val="bottom"/>
            <w:hideMark/>
          </w:tcPr>
          <w:p w14:paraId="17F300D4" w14:textId="77777777" w:rsidR="001B2857" w:rsidRPr="001B2857" w:rsidRDefault="001B2857" w:rsidP="001B2857">
            <w:pPr>
              <w:spacing w:after="0" w:line="240" w:lineRule="auto"/>
              <w:jc w:val="center"/>
              <w:rPr>
                <w:rFonts w:eastAsia="Times New Roman"/>
                <w:sz w:val="16"/>
                <w:szCs w:val="16"/>
              </w:rPr>
            </w:pPr>
          </w:p>
        </w:tc>
        <w:tc>
          <w:tcPr>
            <w:tcW w:w="912" w:type="dxa"/>
            <w:tcBorders>
              <w:top w:val="nil"/>
              <w:left w:val="nil"/>
              <w:bottom w:val="nil"/>
              <w:right w:val="single" w:sz="4" w:space="0" w:color="auto"/>
            </w:tcBorders>
            <w:shd w:val="clear" w:color="auto" w:fill="auto"/>
            <w:noWrap/>
            <w:vAlign w:val="bottom"/>
            <w:hideMark/>
          </w:tcPr>
          <w:p w14:paraId="6073805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606" w:type="dxa"/>
            <w:tcBorders>
              <w:top w:val="nil"/>
              <w:left w:val="nil"/>
              <w:bottom w:val="nil"/>
              <w:right w:val="nil"/>
            </w:tcBorders>
            <w:shd w:val="clear" w:color="auto" w:fill="auto"/>
            <w:noWrap/>
            <w:vAlign w:val="bottom"/>
            <w:hideMark/>
          </w:tcPr>
          <w:p w14:paraId="4A101DD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54" w:type="dxa"/>
            <w:tcBorders>
              <w:top w:val="nil"/>
              <w:left w:val="nil"/>
              <w:bottom w:val="nil"/>
              <w:right w:val="nil"/>
            </w:tcBorders>
            <w:shd w:val="clear" w:color="auto" w:fill="auto"/>
            <w:noWrap/>
            <w:vAlign w:val="bottom"/>
            <w:hideMark/>
          </w:tcPr>
          <w:p w14:paraId="67569C52" w14:textId="77777777" w:rsidR="001B2857" w:rsidRPr="001B2857" w:rsidRDefault="001B2857" w:rsidP="001B2857">
            <w:pPr>
              <w:spacing w:after="0" w:line="240" w:lineRule="auto"/>
              <w:jc w:val="center"/>
              <w:rPr>
                <w:rFonts w:eastAsia="Times New Roman"/>
                <w:sz w:val="16"/>
                <w:szCs w:val="16"/>
              </w:rPr>
            </w:pPr>
          </w:p>
        </w:tc>
        <w:tc>
          <w:tcPr>
            <w:tcW w:w="518" w:type="dxa"/>
            <w:tcBorders>
              <w:top w:val="nil"/>
              <w:left w:val="nil"/>
              <w:bottom w:val="nil"/>
              <w:right w:val="nil"/>
            </w:tcBorders>
            <w:shd w:val="clear" w:color="auto" w:fill="auto"/>
            <w:noWrap/>
            <w:vAlign w:val="bottom"/>
            <w:hideMark/>
          </w:tcPr>
          <w:p w14:paraId="00B7EB5B" w14:textId="77777777" w:rsidR="001B2857" w:rsidRPr="001B2857" w:rsidRDefault="001B2857" w:rsidP="001B2857">
            <w:pPr>
              <w:spacing w:after="0" w:line="240" w:lineRule="auto"/>
              <w:jc w:val="center"/>
              <w:rPr>
                <w:rFonts w:eastAsia="Times New Roman"/>
                <w:sz w:val="16"/>
                <w:szCs w:val="16"/>
              </w:rPr>
            </w:pPr>
          </w:p>
        </w:tc>
        <w:tc>
          <w:tcPr>
            <w:tcW w:w="842" w:type="dxa"/>
            <w:tcBorders>
              <w:top w:val="nil"/>
              <w:left w:val="nil"/>
              <w:bottom w:val="nil"/>
              <w:right w:val="single" w:sz="4" w:space="0" w:color="auto"/>
            </w:tcBorders>
            <w:shd w:val="clear" w:color="auto" w:fill="auto"/>
            <w:noWrap/>
            <w:vAlign w:val="bottom"/>
            <w:hideMark/>
          </w:tcPr>
          <w:p w14:paraId="2ACCB55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429" w:type="dxa"/>
            <w:tcBorders>
              <w:top w:val="nil"/>
              <w:left w:val="nil"/>
              <w:bottom w:val="single" w:sz="4" w:space="0" w:color="auto"/>
              <w:right w:val="nil"/>
            </w:tcBorders>
            <w:shd w:val="clear" w:color="auto" w:fill="auto"/>
            <w:noWrap/>
            <w:vAlign w:val="bottom"/>
            <w:hideMark/>
          </w:tcPr>
          <w:p w14:paraId="0A547AD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1111" w:type="dxa"/>
            <w:tcBorders>
              <w:top w:val="nil"/>
              <w:left w:val="nil"/>
              <w:bottom w:val="single" w:sz="4" w:space="0" w:color="auto"/>
              <w:right w:val="nil"/>
            </w:tcBorders>
            <w:shd w:val="clear" w:color="auto" w:fill="auto"/>
            <w:noWrap/>
            <w:vAlign w:val="bottom"/>
            <w:hideMark/>
          </w:tcPr>
          <w:p w14:paraId="65F9084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395" w:type="dxa"/>
            <w:tcBorders>
              <w:top w:val="nil"/>
              <w:left w:val="nil"/>
              <w:bottom w:val="single" w:sz="4" w:space="0" w:color="auto"/>
              <w:right w:val="nil"/>
            </w:tcBorders>
            <w:shd w:val="clear" w:color="auto" w:fill="auto"/>
            <w:noWrap/>
            <w:vAlign w:val="bottom"/>
            <w:hideMark/>
          </w:tcPr>
          <w:p w14:paraId="1DBF1AD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1025" w:type="dxa"/>
            <w:tcBorders>
              <w:top w:val="nil"/>
              <w:left w:val="nil"/>
              <w:bottom w:val="single" w:sz="4" w:space="0" w:color="auto"/>
              <w:right w:val="single" w:sz="4" w:space="0" w:color="auto"/>
            </w:tcBorders>
            <w:shd w:val="clear" w:color="auto" w:fill="auto"/>
            <w:noWrap/>
            <w:vAlign w:val="bottom"/>
            <w:hideMark/>
          </w:tcPr>
          <w:p w14:paraId="47749AB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r>
      <w:tr w:rsidR="001B2857" w:rsidRPr="001B2857" w14:paraId="788A5A52" w14:textId="77777777" w:rsidTr="001B2857">
        <w:trPr>
          <w:trHeight w:val="220"/>
        </w:trPr>
        <w:tc>
          <w:tcPr>
            <w:tcW w:w="1740" w:type="dxa"/>
            <w:tcBorders>
              <w:top w:val="single" w:sz="4" w:space="0" w:color="auto"/>
              <w:left w:val="single" w:sz="4" w:space="0" w:color="auto"/>
              <w:bottom w:val="nil"/>
              <w:right w:val="single" w:sz="4" w:space="0" w:color="auto"/>
            </w:tcBorders>
            <w:shd w:val="clear" w:color="auto" w:fill="auto"/>
            <w:noWrap/>
            <w:vAlign w:val="bottom"/>
            <w:hideMark/>
          </w:tcPr>
          <w:p w14:paraId="68D32A3F" w14:textId="77777777" w:rsidR="001B2857" w:rsidRPr="001B2857" w:rsidRDefault="001B2857" w:rsidP="001B2857">
            <w:pPr>
              <w:spacing w:after="0" w:line="240" w:lineRule="auto"/>
              <w:rPr>
                <w:rFonts w:eastAsia="Times New Roman"/>
                <w:color w:val="000000"/>
                <w:sz w:val="16"/>
                <w:szCs w:val="16"/>
                <w:u w:val="single"/>
              </w:rPr>
            </w:pPr>
            <w:r w:rsidRPr="001B2857">
              <w:rPr>
                <w:rFonts w:eastAsia="Times New Roman"/>
                <w:color w:val="000000"/>
                <w:sz w:val="16"/>
                <w:szCs w:val="16"/>
                <w:u w:val="single"/>
              </w:rPr>
              <w:t>Hospital 8</w:t>
            </w:r>
          </w:p>
        </w:tc>
        <w:tc>
          <w:tcPr>
            <w:tcW w:w="723" w:type="dxa"/>
            <w:tcBorders>
              <w:top w:val="single" w:sz="4" w:space="0" w:color="auto"/>
              <w:left w:val="nil"/>
              <w:bottom w:val="nil"/>
              <w:right w:val="nil"/>
            </w:tcBorders>
            <w:shd w:val="clear" w:color="auto" w:fill="auto"/>
            <w:noWrap/>
            <w:vAlign w:val="bottom"/>
            <w:hideMark/>
          </w:tcPr>
          <w:p w14:paraId="0808981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37" w:type="dxa"/>
            <w:tcBorders>
              <w:top w:val="single" w:sz="4" w:space="0" w:color="auto"/>
              <w:left w:val="nil"/>
              <w:bottom w:val="nil"/>
              <w:right w:val="nil"/>
            </w:tcBorders>
            <w:shd w:val="clear" w:color="auto" w:fill="auto"/>
            <w:noWrap/>
            <w:vAlign w:val="bottom"/>
            <w:hideMark/>
          </w:tcPr>
          <w:p w14:paraId="4CC0799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3000"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0F053C4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820" w:type="dxa"/>
            <w:gridSpan w:val="4"/>
            <w:tcBorders>
              <w:top w:val="single" w:sz="4" w:space="0" w:color="auto"/>
              <w:left w:val="nil"/>
              <w:bottom w:val="nil"/>
              <w:right w:val="single" w:sz="4" w:space="0" w:color="000000"/>
            </w:tcBorders>
            <w:shd w:val="clear" w:color="auto" w:fill="auto"/>
            <w:noWrap/>
            <w:vAlign w:val="center"/>
            <w:hideMark/>
          </w:tcPr>
          <w:p w14:paraId="56E6EA0D"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429" w:type="dxa"/>
            <w:tcBorders>
              <w:top w:val="nil"/>
              <w:left w:val="nil"/>
              <w:bottom w:val="nil"/>
              <w:right w:val="nil"/>
            </w:tcBorders>
            <w:shd w:val="clear" w:color="auto" w:fill="auto"/>
            <w:noWrap/>
            <w:vAlign w:val="bottom"/>
            <w:hideMark/>
          </w:tcPr>
          <w:p w14:paraId="73ADE8A2" w14:textId="77777777" w:rsidR="001B2857" w:rsidRPr="001B2857" w:rsidRDefault="001B2857" w:rsidP="001B2857">
            <w:pPr>
              <w:spacing w:after="0" w:line="240" w:lineRule="auto"/>
              <w:jc w:val="center"/>
              <w:rPr>
                <w:rFonts w:eastAsia="Times New Roman"/>
                <w:sz w:val="16"/>
                <w:szCs w:val="16"/>
              </w:rPr>
            </w:pPr>
          </w:p>
        </w:tc>
        <w:tc>
          <w:tcPr>
            <w:tcW w:w="1111" w:type="dxa"/>
            <w:tcBorders>
              <w:top w:val="nil"/>
              <w:left w:val="nil"/>
              <w:bottom w:val="nil"/>
              <w:right w:val="nil"/>
            </w:tcBorders>
            <w:shd w:val="clear" w:color="auto" w:fill="auto"/>
            <w:noWrap/>
            <w:vAlign w:val="bottom"/>
            <w:hideMark/>
          </w:tcPr>
          <w:p w14:paraId="71C28EFA" w14:textId="77777777" w:rsidR="001B2857" w:rsidRPr="001B2857" w:rsidRDefault="001B2857" w:rsidP="001B2857">
            <w:pPr>
              <w:spacing w:after="0" w:line="240" w:lineRule="auto"/>
              <w:jc w:val="center"/>
              <w:rPr>
                <w:rFonts w:eastAsia="Times New Roman"/>
                <w:sz w:val="16"/>
                <w:szCs w:val="16"/>
              </w:rPr>
            </w:pPr>
          </w:p>
        </w:tc>
        <w:tc>
          <w:tcPr>
            <w:tcW w:w="395" w:type="dxa"/>
            <w:tcBorders>
              <w:top w:val="nil"/>
              <w:left w:val="nil"/>
              <w:bottom w:val="nil"/>
              <w:right w:val="nil"/>
            </w:tcBorders>
            <w:shd w:val="clear" w:color="auto" w:fill="auto"/>
            <w:noWrap/>
            <w:vAlign w:val="bottom"/>
            <w:hideMark/>
          </w:tcPr>
          <w:p w14:paraId="4FF3FE09" w14:textId="77777777" w:rsidR="001B2857" w:rsidRPr="001B2857" w:rsidRDefault="001B2857" w:rsidP="001B2857">
            <w:pPr>
              <w:spacing w:after="0" w:line="240" w:lineRule="auto"/>
              <w:jc w:val="center"/>
              <w:rPr>
                <w:rFonts w:eastAsia="Times New Roman"/>
                <w:sz w:val="16"/>
                <w:szCs w:val="16"/>
              </w:rPr>
            </w:pPr>
          </w:p>
        </w:tc>
        <w:tc>
          <w:tcPr>
            <w:tcW w:w="1025" w:type="dxa"/>
            <w:tcBorders>
              <w:top w:val="nil"/>
              <w:left w:val="nil"/>
              <w:bottom w:val="nil"/>
              <w:right w:val="nil"/>
            </w:tcBorders>
            <w:shd w:val="clear" w:color="auto" w:fill="auto"/>
            <w:noWrap/>
            <w:vAlign w:val="bottom"/>
            <w:hideMark/>
          </w:tcPr>
          <w:p w14:paraId="5E658ACA" w14:textId="77777777" w:rsidR="001B2857" w:rsidRPr="001B2857" w:rsidRDefault="001B2857" w:rsidP="001B2857">
            <w:pPr>
              <w:spacing w:after="0" w:line="240" w:lineRule="auto"/>
              <w:jc w:val="center"/>
              <w:rPr>
                <w:rFonts w:eastAsia="Times New Roman"/>
                <w:sz w:val="16"/>
                <w:szCs w:val="16"/>
              </w:rPr>
            </w:pPr>
          </w:p>
        </w:tc>
      </w:tr>
      <w:tr w:rsidR="001B2857" w:rsidRPr="001B2857" w14:paraId="4F4FB7AC" w14:textId="77777777" w:rsidTr="001B2857">
        <w:trPr>
          <w:trHeight w:val="220"/>
        </w:trPr>
        <w:tc>
          <w:tcPr>
            <w:tcW w:w="1740" w:type="dxa"/>
            <w:tcBorders>
              <w:top w:val="nil"/>
              <w:left w:val="single" w:sz="4" w:space="0" w:color="auto"/>
              <w:bottom w:val="nil"/>
              <w:right w:val="single" w:sz="4" w:space="0" w:color="auto"/>
            </w:tcBorders>
            <w:shd w:val="clear" w:color="auto" w:fill="auto"/>
            <w:noWrap/>
            <w:vAlign w:val="bottom"/>
            <w:hideMark/>
          </w:tcPr>
          <w:p w14:paraId="6EB7EE0D"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a. Full  model</w:t>
            </w:r>
          </w:p>
        </w:tc>
        <w:tc>
          <w:tcPr>
            <w:tcW w:w="723" w:type="dxa"/>
            <w:tcBorders>
              <w:top w:val="nil"/>
              <w:left w:val="nil"/>
              <w:bottom w:val="nil"/>
              <w:right w:val="nil"/>
            </w:tcBorders>
            <w:shd w:val="clear" w:color="auto" w:fill="auto"/>
            <w:noWrap/>
            <w:vAlign w:val="bottom"/>
            <w:hideMark/>
          </w:tcPr>
          <w:p w14:paraId="2134691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0.04</w:t>
            </w:r>
          </w:p>
        </w:tc>
        <w:tc>
          <w:tcPr>
            <w:tcW w:w="937" w:type="dxa"/>
            <w:tcBorders>
              <w:top w:val="nil"/>
              <w:left w:val="nil"/>
              <w:bottom w:val="nil"/>
              <w:right w:val="nil"/>
            </w:tcBorders>
            <w:shd w:val="clear" w:color="auto" w:fill="auto"/>
            <w:noWrap/>
            <w:vAlign w:val="bottom"/>
            <w:hideMark/>
          </w:tcPr>
          <w:p w14:paraId="72AFDD9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0.67</w:t>
            </w:r>
          </w:p>
        </w:tc>
        <w:tc>
          <w:tcPr>
            <w:tcW w:w="598" w:type="dxa"/>
            <w:tcBorders>
              <w:top w:val="nil"/>
              <w:left w:val="single" w:sz="4" w:space="0" w:color="auto"/>
              <w:bottom w:val="nil"/>
              <w:right w:val="nil"/>
            </w:tcBorders>
            <w:shd w:val="clear" w:color="auto" w:fill="auto"/>
            <w:noWrap/>
            <w:vAlign w:val="bottom"/>
            <w:hideMark/>
          </w:tcPr>
          <w:p w14:paraId="5FD49B9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-0.53</w:t>
            </w:r>
          </w:p>
        </w:tc>
        <w:tc>
          <w:tcPr>
            <w:tcW w:w="842" w:type="dxa"/>
            <w:tcBorders>
              <w:top w:val="nil"/>
              <w:left w:val="nil"/>
              <w:bottom w:val="nil"/>
              <w:right w:val="nil"/>
            </w:tcBorders>
            <w:shd w:val="clear" w:color="auto" w:fill="auto"/>
            <w:noWrap/>
            <w:vAlign w:val="bottom"/>
            <w:hideMark/>
          </w:tcPr>
          <w:p w14:paraId="7A627A8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0.81</w:t>
            </w:r>
          </w:p>
        </w:tc>
        <w:tc>
          <w:tcPr>
            <w:tcW w:w="648" w:type="dxa"/>
            <w:tcBorders>
              <w:top w:val="nil"/>
              <w:left w:val="nil"/>
              <w:bottom w:val="nil"/>
              <w:right w:val="nil"/>
            </w:tcBorders>
            <w:shd w:val="clear" w:color="auto" w:fill="auto"/>
            <w:noWrap/>
            <w:vAlign w:val="bottom"/>
            <w:hideMark/>
          </w:tcPr>
          <w:p w14:paraId="2F03522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0.16</w:t>
            </w:r>
          </w:p>
        </w:tc>
        <w:tc>
          <w:tcPr>
            <w:tcW w:w="912" w:type="dxa"/>
            <w:tcBorders>
              <w:top w:val="nil"/>
              <w:left w:val="nil"/>
              <w:bottom w:val="nil"/>
              <w:right w:val="single" w:sz="4" w:space="0" w:color="auto"/>
            </w:tcBorders>
            <w:shd w:val="clear" w:color="auto" w:fill="auto"/>
            <w:noWrap/>
            <w:vAlign w:val="bottom"/>
            <w:hideMark/>
          </w:tcPr>
          <w:p w14:paraId="2D7281B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0.78</w:t>
            </w:r>
          </w:p>
        </w:tc>
        <w:tc>
          <w:tcPr>
            <w:tcW w:w="606" w:type="dxa"/>
            <w:tcBorders>
              <w:top w:val="nil"/>
              <w:left w:val="nil"/>
              <w:bottom w:val="nil"/>
              <w:right w:val="nil"/>
            </w:tcBorders>
            <w:shd w:val="clear" w:color="auto" w:fill="auto"/>
            <w:noWrap/>
            <w:vAlign w:val="bottom"/>
            <w:hideMark/>
          </w:tcPr>
          <w:p w14:paraId="1CE85A5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54" w:type="dxa"/>
            <w:tcBorders>
              <w:top w:val="nil"/>
              <w:left w:val="nil"/>
              <w:bottom w:val="nil"/>
              <w:right w:val="nil"/>
            </w:tcBorders>
            <w:shd w:val="clear" w:color="auto" w:fill="auto"/>
            <w:noWrap/>
            <w:vAlign w:val="bottom"/>
            <w:hideMark/>
          </w:tcPr>
          <w:p w14:paraId="18DED9A2" w14:textId="77777777" w:rsidR="001B2857" w:rsidRPr="001B2857" w:rsidRDefault="001B2857" w:rsidP="001B2857">
            <w:pPr>
              <w:spacing w:after="0" w:line="240" w:lineRule="auto"/>
              <w:jc w:val="center"/>
              <w:rPr>
                <w:rFonts w:eastAsia="Times New Roman"/>
                <w:sz w:val="16"/>
                <w:szCs w:val="16"/>
              </w:rPr>
            </w:pPr>
          </w:p>
        </w:tc>
        <w:tc>
          <w:tcPr>
            <w:tcW w:w="518" w:type="dxa"/>
            <w:tcBorders>
              <w:top w:val="nil"/>
              <w:left w:val="nil"/>
              <w:bottom w:val="nil"/>
              <w:right w:val="nil"/>
            </w:tcBorders>
            <w:shd w:val="clear" w:color="auto" w:fill="auto"/>
            <w:noWrap/>
            <w:vAlign w:val="bottom"/>
            <w:hideMark/>
          </w:tcPr>
          <w:p w14:paraId="384FD266" w14:textId="77777777" w:rsidR="001B2857" w:rsidRPr="001B2857" w:rsidRDefault="001B2857" w:rsidP="001B2857">
            <w:pPr>
              <w:spacing w:after="0" w:line="240" w:lineRule="auto"/>
              <w:jc w:val="center"/>
              <w:rPr>
                <w:rFonts w:eastAsia="Times New Roman"/>
                <w:sz w:val="16"/>
                <w:szCs w:val="16"/>
              </w:rPr>
            </w:pPr>
          </w:p>
        </w:tc>
        <w:tc>
          <w:tcPr>
            <w:tcW w:w="842" w:type="dxa"/>
            <w:tcBorders>
              <w:top w:val="nil"/>
              <w:left w:val="nil"/>
              <w:bottom w:val="nil"/>
              <w:right w:val="single" w:sz="4" w:space="0" w:color="auto"/>
            </w:tcBorders>
            <w:shd w:val="clear" w:color="auto" w:fill="auto"/>
            <w:noWrap/>
            <w:vAlign w:val="bottom"/>
            <w:hideMark/>
          </w:tcPr>
          <w:p w14:paraId="694775E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429" w:type="dxa"/>
            <w:tcBorders>
              <w:top w:val="nil"/>
              <w:left w:val="nil"/>
              <w:bottom w:val="nil"/>
              <w:right w:val="nil"/>
            </w:tcBorders>
            <w:shd w:val="clear" w:color="auto" w:fill="auto"/>
            <w:noWrap/>
            <w:vAlign w:val="bottom"/>
            <w:hideMark/>
          </w:tcPr>
          <w:p w14:paraId="75824F57" w14:textId="77777777" w:rsidR="001B2857" w:rsidRPr="001B2857" w:rsidRDefault="001B2857" w:rsidP="001B2857">
            <w:pPr>
              <w:spacing w:after="0" w:line="240" w:lineRule="auto"/>
              <w:rPr>
                <w:rFonts w:eastAsia="Times New Roman"/>
                <w:color w:val="000000"/>
                <w:sz w:val="16"/>
                <w:szCs w:val="16"/>
              </w:rPr>
            </w:pPr>
          </w:p>
        </w:tc>
        <w:tc>
          <w:tcPr>
            <w:tcW w:w="1111" w:type="dxa"/>
            <w:tcBorders>
              <w:top w:val="nil"/>
              <w:left w:val="nil"/>
              <w:bottom w:val="nil"/>
              <w:right w:val="nil"/>
            </w:tcBorders>
            <w:shd w:val="clear" w:color="auto" w:fill="auto"/>
            <w:noWrap/>
            <w:vAlign w:val="bottom"/>
            <w:hideMark/>
          </w:tcPr>
          <w:p w14:paraId="232AC08E" w14:textId="77777777" w:rsidR="001B2857" w:rsidRPr="001B2857" w:rsidRDefault="001B2857" w:rsidP="001B2857">
            <w:pPr>
              <w:spacing w:after="0" w:line="240" w:lineRule="auto"/>
              <w:rPr>
                <w:rFonts w:eastAsia="Times New Roman"/>
                <w:color w:val="000000"/>
                <w:sz w:val="16"/>
                <w:szCs w:val="16"/>
              </w:rPr>
            </w:pPr>
          </w:p>
        </w:tc>
        <w:tc>
          <w:tcPr>
            <w:tcW w:w="395" w:type="dxa"/>
            <w:tcBorders>
              <w:top w:val="nil"/>
              <w:left w:val="nil"/>
              <w:bottom w:val="nil"/>
              <w:right w:val="nil"/>
            </w:tcBorders>
            <w:shd w:val="clear" w:color="auto" w:fill="auto"/>
            <w:noWrap/>
            <w:vAlign w:val="bottom"/>
            <w:hideMark/>
          </w:tcPr>
          <w:p w14:paraId="3A29DC7B" w14:textId="77777777" w:rsidR="001B2857" w:rsidRPr="001B2857" w:rsidRDefault="001B2857" w:rsidP="001B2857">
            <w:pPr>
              <w:spacing w:after="0" w:line="240" w:lineRule="auto"/>
              <w:rPr>
                <w:rFonts w:eastAsia="Times New Roman"/>
                <w:color w:val="000000"/>
                <w:sz w:val="16"/>
                <w:szCs w:val="16"/>
              </w:rPr>
            </w:pPr>
          </w:p>
        </w:tc>
        <w:tc>
          <w:tcPr>
            <w:tcW w:w="1025" w:type="dxa"/>
            <w:tcBorders>
              <w:top w:val="nil"/>
              <w:left w:val="nil"/>
              <w:bottom w:val="nil"/>
              <w:right w:val="nil"/>
            </w:tcBorders>
            <w:shd w:val="clear" w:color="auto" w:fill="auto"/>
            <w:noWrap/>
            <w:vAlign w:val="bottom"/>
            <w:hideMark/>
          </w:tcPr>
          <w:p w14:paraId="72FC2CCD" w14:textId="77777777" w:rsidR="001B2857" w:rsidRPr="001B2857" w:rsidRDefault="001B2857" w:rsidP="001B2857">
            <w:pPr>
              <w:spacing w:after="0" w:line="240" w:lineRule="auto"/>
              <w:rPr>
                <w:rFonts w:eastAsia="Times New Roman"/>
                <w:color w:val="000000"/>
                <w:sz w:val="16"/>
                <w:szCs w:val="16"/>
              </w:rPr>
            </w:pPr>
          </w:p>
        </w:tc>
      </w:tr>
      <w:tr w:rsidR="001B2857" w:rsidRPr="001B2857" w14:paraId="7C6486C4" w14:textId="77777777" w:rsidTr="001B2857">
        <w:trPr>
          <w:trHeight w:val="220"/>
        </w:trPr>
        <w:tc>
          <w:tcPr>
            <w:tcW w:w="1740" w:type="dxa"/>
            <w:tcBorders>
              <w:top w:val="nil"/>
              <w:left w:val="single" w:sz="4" w:space="0" w:color="auto"/>
              <w:bottom w:val="nil"/>
              <w:right w:val="single" w:sz="4" w:space="0" w:color="auto"/>
            </w:tcBorders>
            <w:shd w:val="clear" w:color="auto" w:fill="auto"/>
            <w:noWrap/>
            <w:vAlign w:val="bottom"/>
            <w:hideMark/>
          </w:tcPr>
          <w:p w14:paraId="40461D6C"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b. Final model</w:t>
            </w:r>
          </w:p>
        </w:tc>
        <w:tc>
          <w:tcPr>
            <w:tcW w:w="723" w:type="dxa"/>
            <w:tcBorders>
              <w:top w:val="nil"/>
              <w:left w:val="nil"/>
              <w:bottom w:val="nil"/>
              <w:right w:val="nil"/>
            </w:tcBorders>
            <w:shd w:val="clear" w:color="auto" w:fill="auto"/>
            <w:noWrap/>
            <w:vAlign w:val="bottom"/>
            <w:hideMark/>
          </w:tcPr>
          <w:p w14:paraId="5CE38D3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0.04</w:t>
            </w:r>
          </w:p>
        </w:tc>
        <w:tc>
          <w:tcPr>
            <w:tcW w:w="937" w:type="dxa"/>
            <w:tcBorders>
              <w:top w:val="nil"/>
              <w:left w:val="nil"/>
              <w:bottom w:val="nil"/>
              <w:right w:val="nil"/>
            </w:tcBorders>
            <w:shd w:val="clear" w:color="auto" w:fill="auto"/>
            <w:noWrap/>
            <w:vAlign w:val="bottom"/>
            <w:hideMark/>
          </w:tcPr>
          <w:p w14:paraId="20ACDCF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0.27</w:t>
            </w:r>
          </w:p>
        </w:tc>
        <w:tc>
          <w:tcPr>
            <w:tcW w:w="598" w:type="dxa"/>
            <w:tcBorders>
              <w:top w:val="nil"/>
              <w:left w:val="single" w:sz="4" w:space="0" w:color="auto"/>
              <w:bottom w:val="nil"/>
              <w:right w:val="nil"/>
            </w:tcBorders>
            <w:shd w:val="clear" w:color="auto" w:fill="auto"/>
            <w:noWrap/>
            <w:vAlign w:val="bottom"/>
            <w:hideMark/>
          </w:tcPr>
          <w:p w14:paraId="22A661E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42" w:type="dxa"/>
            <w:tcBorders>
              <w:top w:val="nil"/>
              <w:left w:val="nil"/>
              <w:bottom w:val="nil"/>
              <w:right w:val="nil"/>
            </w:tcBorders>
            <w:shd w:val="clear" w:color="auto" w:fill="auto"/>
            <w:noWrap/>
            <w:vAlign w:val="bottom"/>
            <w:hideMark/>
          </w:tcPr>
          <w:p w14:paraId="640690CA" w14:textId="77777777" w:rsidR="001B2857" w:rsidRPr="001B2857" w:rsidRDefault="001B2857" w:rsidP="001B2857">
            <w:pPr>
              <w:spacing w:after="0" w:line="240" w:lineRule="auto"/>
              <w:jc w:val="center"/>
              <w:rPr>
                <w:rFonts w:eastAsia="Times New Roman"/>
                <w:sz w:val="16"/>
                <w:szCs w:val="16"/>
              </w:rPr>
            </w:pPr>
          </w:p>
        </w:tc>
        <w:tc>
          <w:tcPr>
            <w:tcW w:w="648" w:type="dxa"/>
            <w:tcBorders>
              <w:top w:val="nil"/>
              <w:left w:val="nil"/>
              <w:bottom w:val="nil"/>
              <w:right w:val="nil"/>
            </w:tcBorders>
            <w:shd w:val="clear" w:color="auto" w:fill="auto"/>
            <w:noWrap/>
            <w:vAlign w:val="bottom"/>
            <w:hideMark/>
          </w:tcPr>
          <w:p w14:paraId="6AED8639" w14:textId="77777777" w:rsidR="001B2857" w:rsidRPr="001B2857" w:rsidRDefault="001B2857" w:rsidP="001B2857">
            <w:pPr>
              <w:spacing w:after="0" w:line="240" w:lineRule="auto"/>
              <w:jc w:val="center"/>
              <w:rPr>
                <w:rFonts w:eastAsia="Times New Roman"/>
                <w:sz w:val="16"/>
                <w:szCs w:val="16"/>
              </w:rPr>
            </w:pPr>
          </w:p>
        </w:tc>
        <w:tc>
          <w:tcPr>
            <w:tcW w:w="912" w:type="dxa"/>
            <w:tcBorders>
              <w:top w:val="nil"/>
              <w:left w:val="nil"/>
              <w:bottom w:val="nil"/>
              <w:right w:val="single" w:sz="4" w:space="0" w:color="auto"/>
            </w:tcBorders>
            <w:shd w:val="clear" w:color="auto" w:fill="auto"/>
            <w:noWrap/>
            <w:vAlign w:val="bottom"/>
            <w:hideMark/>
          </w:tcPr>
          <w:p w14:paraId="354327AD"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606" w:type="dxa"/>
            <w:tcBorders>
              <w:top w:val="nil"/>
              <w:left w:val="nil"/>
              <w:bottom w:val="nil"/>
              <w:right w:val="nil"/>
            </w:tcBorders>
            <w:shd w:val="clear" w:color="auto" w:fill="auto"/>
            <w:noWrap/>
            <w:vAlign w:val="bottom"/>
            <w:hideMark/>
          </w:tcPr>
          <w:p w14:paraId="6C55F22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54" w:type="dxa"/>
            <w:tcBorders>
              <w:top w:val="nil"/>
              <w:left w:val="nil"/>
              <w:bottom w:val="nil"/>
              <w:right w:val="nil"/>
            </w:tcBorders>
            <w:shd w:val="clear" w:color="auto" w:fill="auto"/>
            <w:noWrap/>
            <w:vAlign w:val="bottom"/>
            <w:hideMark/>
          </w:tcPr>
          <w:p w14:paraId="3836FDD6" w14:textId="77777777" w:rsidR="001B2857" w:rsidRPr="001B2857" w:rsidRDefault="001B2857" w:rsidP="001B2857">
            <w:pPr>
              <w:spacing w:after="0" w:line="240" w:lineRule="auto"/>
              <w:jc w:val="center"/>
              <w:rPr>
                <w:rFonts w:eastAsia="Times New Roman"/>
                <w:sz w:val="16"/>
                <w:szCs w:val="16"/>
              </w:rPr>
            </w:pPr>
          </w:p>
        </w:tc>
        <w:tc>
          <w:tcPr>
            <w:tcW w:w="518" w:type="dxa"/>
            <w:tcBorders>
              <w:top w:val="nil"/>
              <w:left w:val="nil"/>
              <w:bottom w:val="nil"/>
              <w:right w:val="nil"/>
            </w:tcBorders>
            <w:shd w:val="clear" w:color="auto" w:fill="auto"/>
            <w:noWrap/>
            <w:vAlign w:val="bottom"/>
            <w:hideMark/>
          </w:tcPr>
          <w:p w14:paraId="30B4BB68" w14:textId="77777777" w:rsidR="001B2857" w:rsidRPr="001B2857" w:rsidRDefault="001B2857" w:rsidP="001B2857">
            <w:pPr>
              <w:spacing w:after="0" w:line="240" w:lineRule="auto"/>
              <w:jc w:val="center"/>
              <w:rPr>
                <w:rFonts w:eastAsia="Times New Roman"/>
                <w:sz w:val="16"/>
                <w:szCs w:val="16"/>
              </w:rPr>
            </w:pPr>
          </w:p>
        </w:tc>
        <w:tc>
          <w:tcPr>
            <w:tcW w:w="842" w:type="dxa"/>
            <w:tcBorders>
              <w:top w:val="nil"/>
              <w:left w:val="nil"/>
              <w:bottom w:val="nil"/>
              <w:right w:val="single" w:sz="4" w:space="0" w:color="auto"/>
            </w:tcBorders>
            <w:shd w:val="clear" w:color="auto" w:fill="auto"/>
            <w:noWrap/>
            <w:vAlign w:val="bottom"/>
            <w:hideMark/>
          </w:tcPr>
          <w:p w14:paraId="2086554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429" w:type="dxa"/>
            <w:tcBorders>
              <w:top w:val="nil"/>
              <w:left w:val="nil"/>
              <w:bottom w:val="nil"/>
              <w:right w:val="nil"/>
            </w:tcBorders>
            <w:shd w:val="clear" w:color="auto" w:fill="auto"/>
            <w:noWrap/>
            <w:vAlign w:val="bottom"/>
            <w:hideMark/>
          </w:tcPr>
          <w:p w14:paraId="5C817B99" w14:textId="77777777" w:rsidR="001B2857" w:rsidRPr="001B2857" w:rsidRDefault="001B2857" w:rsidP="001B2857">
            <w:pPr>
              <w:spacing w:after="0" w:line="240" w:lineRule="auto"/>
              <w:rPr>
                <w:rFonts w:eastAsia="Times New Roman"/>
                <w:color w:val="000000"/>
                <w:sz w:val="16"/>
                <w:szCs w:val="16"/>
              </w:rPr>
            </w:pPr>
          </w:p>
        </w:tc>
        <w:tc>
          <w:tcPr>
            <w:tcW w:w="1111" w:type="dxa"/>
            <w:tcBorders>
              <w:top w:val="nil"/>
              <w:left w:val="nil"/>
              <w:bottom w:val="nil"/>
              <w:right w:val="nil"/>
            </w:tcBorders>
            <w:shd w:val="clear" w:color="auto" w:fill="auto"/>
            <w:noWrap/>
            <w:vAlign w:val="bottom"/>
            <w:hideMark/>
          </w:tcPr>
          <w:p w14:paraId="6E6F8661" w14:textId="77777777" w:rsidR="001B2857" w:rsidRPr="001B2857" w:rsidRDefault="001B2857" w:rsidP="001B2857">
            <w:pPr>
              <w:spacing w:after="0" w:line="240" w:lineRule="auto"/>
              <w:rPr>
                <w:rFonts w:eastAsia="Times New Roman"/>
                <w:color w:val="000000"/>
                <w:sz w:val="16"/>
                <w:szCs w:val="16"/>
              </w:rPr>
            </w:pPr>
          </w:p>
        </w:tc>
        <w:tc>
          <w:tcPr>
            <w:tcW w:w="395" w:type="dxa"/>
            <w:tcBorders>
              <w:top w:val="nil"/>
              <w:left w:val="nil"/>
              <w:bottom w:val="nil"/>
              <w:right w:val="nil"/>
            </w:tcBorders>
            <w:shd w:val="clear" w:color="auto" w:fill="auto"/>
            <w:noWrap/>
            <w:vAlign w:val="bottom"/>
            <w:hideMark/>
          </w:tcPr>
          <w:p w14:paraId="4783235C" w14:textId="77777777" w:rsidR="001B2857" w:rsidRPr="001B2857" w:rsidRDefault="001B2857" w:rsidP="001B2857">
            <w:pPr>
              <w:spacing w:after="0" w:line="240" w:lineRule="auto"/>
              <w:rPr>
                <w:rFonts w:eastAsia="Times New Roman"/>
                <w:color w:val="000000"/>
                <w:sz w:val="16"/>
                <w:szCs w:val="16"/>
              </w:rPr>
            </w:pPr>
          </w:p>
        </w:tc>
        <w:tc>
          <w:tcPr>
            <w:tcW w:w="1025" w:type="dxa"/>
            <w:tcBorders>
              <w:top w:val="nil"/>
              <w:left w:val="nil"/>
              <w:bottom w:val="nil"/>
              <w:right w:val="nil"/>
            </w:tcBorders>
            <w:shd w:val="clear" w:color="auto" w:fill="auto"/>
            <w:noWrap/>
            <w:vAlign w:val="bottom"/>
            <w:hideMark/>
          </w:tcPr>
          <w:p w14:paraId="0CF05E76" w14:textId="77777777" w:rsidR="001B2857" w:rsidRPr="001B2857" w:rsidRDefault="001B2857" w:rsidP="001B2857">
            <w:pPr>
              <w:spacing w:after="0" w:line="240" w:lineRule="auto"/>
              <w:rPr>
                <w:rFonts w:eastAsia="Times New Roman"/>
                <w:color w:val="000000"/>
                <w:sz w:val="16"/>
                <w:szCs w:val="16"/>
              </w:rPr>
            </w:pPr>
          </w:p>
        </w:tc>
      </w:tr>
      <w:tr w:rsidR="001B2857" w:rsidRPr="001B2857" w14:paraId="1D451649" w14:textId="77777777" w:rsidTr="001B2857">
        <w:trPr>
          <w:trHeight w:val="220"/>
        </w:trPr>
        <w:tc>
          <w:tcPr>
            <w:tcW w:w="1740" w:type="dxa"/>
            <w:tcBorders>
              <w:top w:val="single" w:sz="4" w:space="0" w:color="auto"/>
              <w:left w:val="single" w:sz="4" w:space="0" w:color="auto"/>
              <w:bottom w:val="nil"/>
              <w:right w:val="single" w:sz="4" w:space="0" w:color="auto"/>
            </w:tcBorders>
            <w:shd w:val="clear" w:color="auto" w:fill="auto"/>
            <w:noWrap/>
            <w:vAlign w:val="bottom"/>
            <w:hideMark/>
          </w:tcPr>
          <w:p w14:paraId="37930C5B" w14:textId="77777777" w:rsidR="001B2857" w:rsidRPr="001B2857" w:rsidRDefault="001B2857" w:rsidP="001B2857">
            <w:pPr>
              <w:spacing w:after="0" w:line="240" w:lineRule="auto"/>
              <w:rPr>
                <w:rFonts w:eastAsia="Times New Roman"/>
                <w:color w:val="000000"/>
                <w:sz w:val="16"/>
                <w:szCs w:val="16"/>
                <w:u w:val="single"/>
              </w:rPr>
            </w:pPr>
            <w:r w:rsidRPr="001B2857">
              <w:rPr>
                <w:rFonts w:eastAsia="Times New Roman"/>
                <w:color w:val="000000"/>
                <w:sz w:val="16"/>
                <w:szCs w:val="16"/>
                <w:u w:val="single"/>
              </w:rPr>
              <w:t>Hospital 2</w:t>
            </w:r>
          </w:p>
        </w:tc>
        <w:tc>
          <w:tcPr>
            <w:tcW w:w="723" w:type="dxa"/>
            <w:tcBorders>
              <w:top w:val="single" w:sz="4" w:space="0" w:color="auto"/>
              <w:left w:val="nil"/>
              <w:bottom w:val="nil"/>
              <w:right w:val="nil"/>
            </w:tcBorders>
            <w:shd w:val="clear" w:color="auto" w:fill="auto"/>
            <w:noWrap/>
            <w:vAlign w:val="bottom"/>
            <w:hideMark/>
          </w:tcPr>
          <w:p w14:paraId="1F4DE25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37" w:type="dxa"/>
            <w:tcBorders>
              <w:top w:val="single" w:sz="4" w:space="0" w:color="auto"/>
              <w:left w:val="nil"/>
              <w:bottom w:val="nil"/>
              <w:right w:val="nil"/>
            </w:tcBorders>
            <w:shd w:val="clear" w:color="auto" w:fill="auto"/>
            <w:noWrap/>
            <w:vAlign w:val="bottom"/>
            <w:hideMark/>
          </w:tcPr>
          <w:p w14:paraId="09F0F0E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3000"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7B57C5A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820" w:type="dxa"/>
            <w:gridSpan w:val="4"/>
            <w:tcBorders>
              <w:top w:val="single" w:sz="4" w:space="0" w:color="auto"/>
              <w:left w:val="nil"/>
              <w:bottom w:val="nil"/>
              <w:right w:val="single" w:sz="4" w:space="0" w:color="000000"/>
            </w:tcBorders>
            <w:shd w:val="clear" w:color="auto" w:fill="auto"/>
            <w:noWrap/>
            <w:vAlign w:val="center"/>
            <w:hideMark/>
          </w:tcPr>
          <w:p w14:paraId="7147A1A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429" w:type="dxa"/>
            <w:tcBorders>
              <w:top w:val="nil"/>
              <w:left w:val="nil"/>
              <w:bottom w:val="nil"/>
              <w:right w:val="nil"/>
            </w:tcBorders>
            <w:shd w:val="clear" w:color="auto" w:fill="auto"/>
            <w:noWrap/>
            <w:vAlign w:val="bottom"/>
            <w:hideMark/>
          </w:tcPr>
          <w:p w14:paraId="6410ED1D" w14:textId="77777777" w:rsidR="001B2857" w:rsidRPr="001B2857" w:rsidRDefault="001B2857" w:rsidP="001B2857">
            <w:pPr>
              <w:spacing w:after="0" w:line="240" w:lineRule="auto"/>
              <w:rPr>
                <w:rFonts w:eastAsia="Times New Roman"/>
                <w:color w:val="000000"/>
                <w:sz w:val="16"/>
                <w:szCs w:val="16"/>
              </w:rPr>
            </w:pPr>
          </w:p>
        </w:tc>
        <w:tc>
          <w:tcPr>
            <w:tcW w:w="1111" w:type="dxa"/>
            <w:tcBorders>
              <w:top w:val="nil"/>
              <w:left w:val="nil"/>
              <w:bottom w:val="nil"/>
              <w:right w:val="nil"/>
            </w:tcBorders>
            <w:shd w:val="clear" w:color="auto" w:fill="auto"/>
            <w:noWrap/>
            <w:vAlign w:val="bottom"/>
            <w:hideMark/>
          </w:tcPr>
          <w:p w14:paraId="786557F6" w14:textId="77777777" w:rsidR="001B2857" w:rsidRPr="001B2857" w:rsidRDefault="001B2857" w:rsidP="001B2857">
            <w:pPr>
              <w:spacing w:after="0" w:line="240" w:lineRule="auto"/>
              <w:rPr>
                <w:rFonts w:eastAsia="Times New Roman"/>
                <w:color w:val="000000"/>
                <w:sz w:val="16"/>
                <w:szCs w:val="16"/>
              </w:rPr>
            </w:pPr>
          </w:p>
        </w:tc>
        <w:tc>
          <w:tcPr>
            <w:tcW w:w="395" w:type="dxa"/>
            <w:tcBorders>
              <w:top w:val="nil"/>
              <w:left w:val="nil"/>
              <w:bottom w:val="nil"/>
              <w:right w:val="nil"/>
            </w:tcBorders>
            <w:shd w:val="clear" w:color="auto" w:fill="auto"/>
            <w:noWrap/>
            <w:vAlign w:val="bottom"/>
            <w:hideMark/>
          </w:tcPr>
          <w:p w14:paraId="62EC5DD1" w14:textId="77777777" w:rsidR="001B2857" w:rsidRPr="001B2857" w:rsidRDefault="001B2857" w:rsidP="001B2857">
            <w:pPr>
              <w:spacing w:after="0" w:line="240" w:lineRule="auto"/>
              <w:rPr>
                <w:rFonts w:eastAsia="Times New Roman"/>
                <w:color w:val="000000"/>
                <w:sz w:val="16"/>
                <w:szCs w:val="16"/>
              </w:rPr>
            </w:pPr>
          </w:p>
        </w:tc>
        <w:tc>
          <w:tcPr>
            <w:tcW w:w="1025" w:type="dxa"/>
            <w:tcBorders>
              <w:top w:val="nil"/>
              <w:left w:val="nil"/>
              <w:bottom w:val="nil"/>
              <w:right w:val="nil"/>
            </w:tcBorders>
            <w:shd w:val="clear" w:color="auto" w:fill="auto"/>
            <w:noWrap/>
            <w:vAlign w:val="bottom"/>
            <w:hideMark/>
          </w:tcPr>
          <w:p w14:paraId="20D81908" w14:textId="77777777" w:rsidR="001B2857" w:rsidRPr="001B2857" w:rsidRDefault="001B2857" w:rsidP="001B2857">
            <w:pPr>
              <w:spacing w:after="0" w:line="240" w:lineRule="auto"/>
              <w:rPr>
                <w:rFonts w:eastAsia="Times New Roman"/>
                <w:color w:val="000000"/>
                <w:sz w:val="16"/>
                <w:szCs w:val="16"/>
              </w:rPr>
            </w:pPr>
          </w:p>
        </w:tc>
      </w:tr>
      <w:tr w:rsidR="001B2857" w:rsidRPr="001B2857" w14:paraId="7162739E" w14:textId="77777777" w:rsidTr="001B2857">
        <w:trPr>
          <w:trHeight w:val="220"/>
        </w:trPr>
        <w:tc>
          <w:tcPr>
            <w:tcW w:w="1740" w:type="dxa"/>
            <w:tcBorders>
              <w:top w:val="nil"/>
              <w:left w:val="single" w:sz="4" w:space="0" w:color="auto"/>
              <w:bottom w:val="nil"/>
              <w:right w:val="single" w:sz="4" w:space="0" w:color="auto"/>
            </w:tcBorders>
            <w:shd w:val="clear" w:color="auto" w:fill="auto"/>
            <w:noWrap/>
            <w:vAlign w:val="bottom"/>
            <w:hideMark/>
          </w:tcPr>
          <w:p w14:paraId="7E74A1D8"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a. Full  model</w:t>
            </w:r>
          </w:p>
        </w:tc>
        <w:tc>
          <w:tcPr>
            <w:tcW w:w="723" w:type="dxa"/>
            <w:tcBorders>
              <w:top w:val="nil"/>
              <w:left w:val="nil"/>
              <w:bottom w:val="nil"/>
              <w:right w:val="nil"/>
            </w:tcBorders>
            <w:shd w:val="clear" w:color="auto" w:fill="auto"/>
            <w:noWrap/>
            <w:vAlign w:val="bottom"/>
            <w:hideMark/>
          </w:tcPr>
          <w:p w14:paraId="5B71C59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-0.71</w:t>
            </w:r>
          </w:p>
        </w:tc>
        <w:tc>
          <w:tcPr>
            <w:tcW w:w="937" w:type="dxa"/>
            <w:tcBorders>
              <w:top w:val="nil"/>
              <w:left w:val="nil"/>
              <w:bottom w:val="nil"/>
              <w:right w:val="nil"/>
            </w:tcBorders>
            <w:shd w:val="clear" w:color="auto" w:fill="auto"/>
            <w:noWrap/>
            <w:vAlign w:val="bottom"/>
            <w:hideMark/>
          </w:tcPr>
          <w:p w14:paraId="36B52D4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0.81</w:t>
            </w:r>
          </w:p>
        </w:tc>
        <w:tc>
          <w:tcPr>
            <w:tcW w:w="598" w:type="dxa"/>
            <w:tcBorders>
              <w:top w:val="nil"/>
              <w:left w:val="single" w:sz="4" w:space="0" w:color="auto"/>
              <w:bottom w:val="nil"/>
              <w:right w:val="nil"/>
            </w:tcBorders>
            <w:shd w:val="clear" w:color="auto" w:fill="auto"/>
            <w:noWrap/>
            <w:vAlign w:val="bottom"/>
            <w:hideMark/>
          </w:tcPr>
          <w:p w14:paraId="5F97FD2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2.99</w:t>
            </w:r>
          </w:p>
        </w:tc>
        <w:tc>
          <w:tcPr>
            <w:tcW w:w="842" w:type="dxa"/>
            <w:tcBorders>
              <w:top w:val="nil"/>
              <w:left w:val="nil"/>
              <w:bottom w:val="nil"/>
              <w:right w:val="nil"/>
            </w:tcBorders>
            <w:shd w:val="clear" w:color="auto" w:fill="auto"/>
            <w:noWrap/>
            <w:vAlign w:val="bottom"/>
            <w:hideMark/>
          </w:tcPr>
          <w:p w14:paraId="64D87A2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0.39</w:t>
            </w:r>
          </w:p>
        </w:tc>
        <w:tc>
          <w:tcPr>
            <w:tcW w:w="648" w:type="dxa"/>
            <w:tcBorders>
              <w:top w:val="nil"/>
              <w:left w:val="nil"/>
              <w:bottom w:val="nil"/>
              <w:right w:val="nil"/>
            </w:tcBorders>
            <w:shd w:val="clear" w:color="auto" w:fill="auto"/>
            <w:noWrap/>
            <w:vAlign w:val="bottom"/>
            <w:hideMark/>
          </w:tcPr>
          <w:p w14:paraId="5FD2AC4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-0.45</w:t>
            </w:r>
          </w:p>
        </w:tc>
        <w:tc>
          <w:tcPr>
            <w:tcW w:w="912" w:type="dxa"/>
            <w:tcBorders>
              <w:top w:val="nil"/>
              <w:left w:val="nil"/>
              <w:bottom w:val="nil"/>
              <w:right w:val="single" w:sz="4" w:space="0" w:color="auto"/>
            </w:tcBorders>
            <w:shd w:val="clear" w:color="auto" w:fill="auto"/>
            <w:noWrap/>
            <w:vAlign w:val="bottom"/>
            <w:hideMark/>
          </w:tcPr>
          <w:p w14:paraId="302789D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0.55</w:t>
            </w:r>
          </w:p>
        </w:tc>
        <w:tc>
          <w:tcPr>
            <w:tcW w:w="606" w:type="dxa"/>
            <w:tcBorders>
              <w:top w:val="nil"/>
              <w:left w:val="nil"/>
              <w:bottom w:val="nil"/>
              <w:right w:val="nil"/>
            </w:tcBorders>
            <w:shd w:val="clear" w:color="auto" w:fill="auto"/>
            <w:noWrap/>
            <w:vAlign w:val="bottom"/>
            <w:hideMark/>
          </w:tcPr>
          <w:p w14:paraId="77DFCE7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2.08</w:t>
            </w:r>
          </w:p>
        </w:tc>
        <w:tc>
          <w:tcPr>
            <w:tcW w:w="854" w:type="dxa"/>
            <w:tcBorders>
              <w:top w:val="nil"/>
              <w:left w:val="nil"/>
              <w:bottom w:val="nil"/>
              <w:right w:val="nil"/>
            </w:tcBorders>
            <w:shd w:val="clear" w:color="auto" w:fill="auto"/>
            <w:noWrap/>
            <w:vAlign w:val="bottom"/>
            <w:hideMark/>
          </w:tcPr>
          <w:p w14:paraId="6001023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0.63</w:t>
            </w:r>
          </w:p>
        </w:tc>
        <w:tc>
          <w:tcPr>
            <w:tcW w:w="518" w:type="dxa"/>
            <w:tcBorders>
              <w:top w:val="nil"/>
              <w:left w:val="nil"/>
              <w:bottom w:val="nil"/>
              <w:right w:val="nil"/>
            </w:tcBorders>
            <w:shd w:val="clear" w:color="auto" w:fill="auto"/>
            <w:noWrap/>
            <w:vAlign w:val="bottom"/>
            <w:hideMark/>
          </w:tcPr>
          <w:p w14:paraId="21BE3D5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0.5</w:t>
            </w:r>
          </w:p>
        </w:tc>
        <w:tc>
          <w:tcPr>
            <w:tcW w:w="842" w:type="dxa"/>
            <w:tcBorders>
              <w:top w:val="nil"/>
              <w:left w:val="nil"/>
              <w:bottom w:val="nil"/>
              <w:right w:val="single" w:sz="4" w:space="0" w:color="auto"/>
            </w:tcBorders>
            <w:shd w:val="clear" w:color="auto" w:fill="auto"/>
            <w:noWrap/>
            <w:vAlign w:val="bottom"/>
            <w:hideMark/>
          </w:tcPr>
          <w:p w14:paraId="1A42F74A"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0.47</w:t>
            </w:r>
          </w:p>
        </w:tc>
        <w:tc>
          <w:tcPr>
            <w:tcW w:w="429" w:type="dxa"/>
            <w:tcBorders>
              <w:top w:val="nil"/>
              <w:left w:val="nil"/>
              <w:bottom w:val="nil"/>
              <w:right w:val="nil"/>
            </w:tcBorders>
            <w:shd w:val="clear" w:color="auto" w:fill="auto"/>
            <w:noWrap/>
            <w:vAlign w:val="bottom"/>
            <w:hideMark/>
          </w:tcPr>
          <w:p w14:paraId="16158177" w14:textId="77777777" w:rsidR="001B2857" w:rsidRPr="001B2857" w:rsidRDefault="001B2857" w:rsidP="001B2857">
            <w:pPr>
              <w:spacing w:after="0" w:line="240" w:lineRule="auto"/>
              <w:rPr>
                <w:rFonts w:eastAsia="Times New Roman"/>
                <w:color w:val="000000"/>
                <w:sz w:val="16"/>
                <w:szCs w:val="16"/>
              </w:rPr>
            </w:pPr>
          </w:p>
        </w:tc>
        <w:tc>
          <w:tcPr>
            <w:tcW w:w="1111" w:type="dxa"/>
            <w:tcBorders>
              <w:top w:val="nil"/>
              <w:left w:val="nil"/>
              <w:bottom w:val="nil"/>
              <w:right w:val="nil"/>
            </w:tcBorders>
            <w:shd w:val="clear" w:color="auto" w:fill="auto"/>
            <w:noWrap/>
            <w:vAlign w:val="bottom"/>
            <w:hideMark/>
          </w:tcPr>
          <w:p w14:paraId="521472D1" w14:textId="77777777" w:rsidR="001B2857" w:rsidRPr="001B2857" w:rsidRDefault="001B2857" w:rsidP="001B2857">
            <w:pPr>
              <w:spacing w:after="0" w:line="240" w:lineRule="auto"/>
              <w:rPr>
                <w:rFonts w:eastAsia="Times New Roman"/>
                <w:color w:val="000000"/>
                <w:sz w:val="16"/>
                <w:szCs w:val="16"/>
              </w:rPr>
            </w:pPr>
          </w:p>
        </w:tc>
        <w:tc>
          <w:tcPr>
            <w:tcW w:w="395" w:type="dxa"/>
            <w:tcBorders>
              <w:top w:val="nil"/>
              <w:left w:val="nil"/>
              <w:bottom w:val="nil"/>
              <w:right w:val="nil"/>
            </w:tcBorders>
            <w:shd w:val="clear" w:color="auto" w:fill="auto"/>
            <w:noWrap/>
            <w:vAlign w:val="bottom"/>
            <w:hideMark/>
          </w:tcPr>
          <w:p w14:paraId="7585ABCA" w14:textId="77777777" w:rsidR="001B2857" w:rsidRPr="001B2857" w:rsidRDefault="001B2857" w:rsidP="001B2857">
            <w:pPr>
              <w:spacing w:after="0" w:line="240" w:lineRule="auto"/>
              <w:rPr>
                <w:rFonts w:eastAsia="Times New Roman"/>
                <w:color w:val="000000"/>
                <w:sz w:val="16"/>
                <w:szCs w:val="16"/>
              </w:rPr>
            </w:pPr>
          </w:p>
        </w:tc>
        <w:tc>
          <w:tcPr>
            <w:tcW w:w="1025" w:type="dxa"/>
            <w:tcBorders>
              <w:top w:val="nil"/>
              <w:left w:val="nil"/>
              <w:bottom w:val="nil"/>
              <w:right w:val="nil"/>
            </w:tcBorders>
            <w:shd w:val="clear" w:color="auto" w:fill="auto"/>
            <w:noWrap/>
            <w:vAlign w:val="bottom"/>
            <w:hideMark/>
          </w:tcPr>
          <w:p w14:paraId="241C6BDB" w14:textId="77777777" w:rsidR="001B2857" w:rsidRPr="001B2857" w:rsidRDefault="001B2857" w:rsidP="001B2857">
            <w:pPr>
              <w:spacing w:after="0" w:line="240" w:lineRule="auto"/>
              <w:rPr>
                <w:rFonts w:eastAsia="Times New Roman"/>
                <w:color w:val="000000"/>
                <w:sz w:val="16"/>
                <w:szCs w:val="16"/>
              </w:rPr>
            </w:pPr>
          </w:p>
        </w:tc>
      </w:tr>
      <w:tr w:rsidR="001B2857" w:rsidRPr="001B2857" w14:paraId="1789D2FA" w14:textId="77777777" w:rsidTr="001B2857">
        <w:trPr>
          <w:trHeight w:val="220"/>
        </w:trPr>
        <w:tc>
          <w:tcPr>
            <w:tcW w:w="1740" w:type="dxa"/>
            <w:tcBorders>
              <w:top w:val="nil"/>
              <w:left w:val="single" w:sz="4" w:space="0" w:color="auto"/>
              <w:bottom w:val="nil"/>
              <w:right w:val="single" w:sz="4" w:space="0" w:color="auto"/>
            </w:tcBorders>
            <w:shd w:val="clear" w:color="auto" w:fill="auto"/>
            <w:noWrap/>
            <w:vAlign w:val="bottom"/>
            <w:hideMark/>
          </w:tcPr>
          <w:p w14:paraId="68FA640A"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b. Parsimonious model</w:t>
            </w:r>
          </w:p>
        </w:tc>
        <w:tc>
          <w:tcPr>
            <w:tcW w:w="723" w:type="dxa"/>
            <w:tcBorders>
              <w:top w:val="nil"/>
              <w:left w:val="nil"/>
              <w:bottom w:val="nil"/>
              <w:right w:val="nil"/>
            </w:tcBorders>
            <w:shd w:val="clear" w:color="auto" w:fill="auto"/>
            <w:noWrap/>
            <w:vAlign w:val="bottom"/>
            <w:hideMark/>
          </w:tcPr>
          <w:p w14:paraId="68DCC65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-0.02</w:t>
            </w:r>
          </w:p>
        </w:tc>
        <w:tc>
          <w:tcPr>
            <w:tcW w:w="937" w:type="dxa"/>
            <w:tcBorders>
              <w:top w:val="nil"/>
              <w:left w:val="nil"/>
              <w:bottom w:val="nil"/>
              <w:right w:val="nil"/>
            </w:tcBorders>
            <w:shd w:val="clear" w:color="auto" w:fill="auto"/>
            <w:noWrap/>
            <w:vAlign w:val="bottom"/>
            <w:hideMark/>
          </w:tcPr>
          <w:p w14:paraId="78B221B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0.69</w:t>
            </w:r>
          </w:p>
        </w:tc>
        <w:tc>
          <w:tcPr>
            <w:tcW w:w="598" w:type="dxa"/>
            <w:tcBorders>
              <w:top w:val="nil"/>
              <w:left w:val="single" w:sz="4" w:space="0" w:color="auto"/>
              <w:bottom w:val="nil"/>
              <w:right w:val="nil"/>
            </w:tcBorders>
            <w:shd w:val="clear" w:color="auto" w:fill="auto"/>
            <w:noWrap/>
            <w:vAlign w:val="bottom"/>
            <w:hideMark/>
          </w:tcPr>
          <w:p w14:paraId="64C3699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42" w:type="dxa"/>
            <w:tcBorders>
              <w:top w:val="nil"/>
              <w:left w:val="nil"/>
              <w:bottom w:val="nil"/>
              <w:right w:val="nil"/>
            </w:tcBorders>
            <w:shd w:val="clear" w:color="auto" w:fill="auto"/>
            <w:noWrap/>
            <w:vAlign w:val="bottom"/>
            <w:hideMark/>
          </w:tcPr>
          <w:p w14:paraId="37B62A5C" w14:textId="77777777" w:rsidR="001B2857" w:rsidRPr="001B2857" w:rsidRDefault="001B2857" w:rsidP="001B2857">
            <w:pPr>
              <w:spacing w:after="0" w:line="240" w:lineRule="auto"/>
              <w:jc w:val="center"/>
              <w:rPr>
                <w:rFonts w:eastAsia="Times New Roman"/>
                <w:sz w:val="16"/>
                <w:szCs w:val="16"/>
              </w:rPr>
            </w:pPr>
          </w:p>
        </w:tc>
        <w:tc>
          <w:tcPr>
            <w:tcW w:w="648" w:type="dxa"/>
            <w:tcBorders>
              <w:top w:val="nil"/>
              <w:left w:val="nil"/>
              <w:bottom w:val="nil"/>
              <w:right w:val="nil"/>
            </w:tcBorders>
            <w:shd w:val="clear" w:color="auto" w:fill="auto"/>
            <w:noWrap/>
            <w:vAlign w:val="bottom"/>
            <w:hideMark/>
          </w:tcPr>
          <w:p w14:paraId="6283CBDC" w14:textId="77777777" w:rsidR="001B2857" w:rsidRPr="001B2857" w:rsidRDefault="001B2857" w:rsidP="001B2857">
            <w:pPr>
              <w:spacing w:after="0" w:line="240" w:lineRule="auto"/>
              <w:jc w:val="center"/>
              <w:rPr>
                <w:rFonts w:eastAsia="Times New Roman"/>
                <w:sz w:val="16"/>
                <w:szCs w:val="16"/>
              </w:rPr>
            </w:pPr>
          </w:p>
        </w:tc>
        <w:tc>
          <w:tcPr>
            <w:tcW w:w="912" w:type="dxa"/>
            <w:tcBorders>
              <w:top w:val="nil"/>
              <w:left w:val="nil"/>
              <w:bottom w:val="nil"/>
              <w:right w:val="single" w:sz="4" w:space="0" w:color="auto"/>
            </w:tcBorders>
            <w:shd w:val="clear" w:color="auto" w:fill="auto"/>
            <w:noWrap/>
            <w:vAlign w:val="bottom"/>
            <w:hideMark/>
          </w:tcPr>
          <w:p w14:paraId="753098DA"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606" w:type="dxa"/>
            <w:tcBorders>
              <w:top w:val="nil"/>
              <w:left w:val="nil"/>
              <w:bottom w:val="nil"/>
              <w:right w:val="nil"/>
            </w:tcBorders>
            <w:shd w:val="clear" w:color="auto" w:fill="auto"/>
            <w:noWrap/>
            <w:vAlign w:val="bottom"/>
            <w:hideMark/>
          </w:tcPr>
          <w:p w14:paraId="6464CC8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54" w:type="dxa"/>
            <w:tcBorders>
              <w:top w:val="nil"/>
              <w:left w:val="nil"/>
              <w:bottom w:val="nil"/>
              <w:right w:val="nil"/>
            </w:tcBorders>
            <w:shd w:val="clear" w:color="auto" w:fill="auto"/>
            <w:noWrap/>
            <w:vAlign w:val="bottom"/>
            <w:hideMark/>
          </w:tcPr>
          <w:p w14:paraId="0A07D953" w14:textId="77777777" w:rsidR="001B2857" w:rsidRPr="001B2857" w:rsidRDefault="001B2857" w:rsidP="001B2857">
            <w:pPr>
              <w:spacing w:after="0" w:line="240" w:lineRule="auto"/>
              <w:jc w:val="center"/>
              <w:rPr>
                <w:rFonts w:eastAsia="Times New Roman"/>
                <w:sz w:val="16"/>
                <w:szCs w:val="16"/>
              </w:rPr>
            </w:pPr>
          </w:p>
        </w:tc>
        <w:tc>
          <w:tcPr>
            <w:tcW w:w="518" w:type="dxa"/>
            <w:tcBorders>
              <w:top w:val="nil"/>
              <w:left w:val="nil"/>
              <w:bottom w:val="nil"/>
              <w:right w:val="nil"/>
            </w:tcBorders>
            <w:shd w:val="clear" w:color="auto" w:fill="auto"/>
            <w:noWrap/>
            <w:vAlign w:val="bottom"/>
            <w:hideMark/>
          </w:tcPr>
          <w:p w14:paraId="6A28FD0C" w14:textId="77777777" w:rsidR="001B2857" w:rsidRPr="001B2857" w:rsidRDefault="001B2857" w:rsidP="001B2857">
            <w:pPr>
              <w:spacing w:after="0" w:line="240" w:lineRule="auto"/>
              <w:jc w:val="center"/>
              <w:rPr>
                <w:rFonts w:eastAsia="Times New Roman"/>
                <w:sz w:val="16"/>
                <w:szCs w:val="16"/>
              </w:rPr>
            </w:pPr>
          </w:p>
        </w:tc>
        <w:tc>
          <w:tcPr>
            <w:tcW w:w="842" w:type="dxa"/>
            <w:tcBorders>
              <w:top w:val="nil"/>
              <w:left w:val="nil"/>
              <w:bottom w:val="nil"/>
              <w:right w:val="single" w:sz="4" w:space="0" w:color="auto"/>
            </w:tcBorders>
            <w:shd w:val="clear" w:color="auto" w:fill="auto"/>
            <w:noWrap/>
            <w:vAlign w:val="bottom"/>
            <w:hideMark/>
          </w:tcPr>
          <w:p w14:paraId="4180A28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429" w:type="dxa"/>
            <w:tcBorders>
              <w:top w:val="nil"/>
              <w:left w:val="nil"/>
              <w:bottom w:val="nil"/>
              <w:right w:val="nil"/>
            </w:tcBorders>
            <w:shd w:val="clear" w:color="auto" w:fill="auto"/>
            <w:noWrap/>
            <w:vAlign w:val="bottom"/>
            <w:hideMark/>
          </w:tcPr>
          <w:p w14:paraId="7EE807D4" w14:textId="77777777" w:rsidR="001B2857" w:rsidRPr="001B2857" w:rsidRDefault="001B2857" w:rsidP="001B2857">
            <w:pPr>
              <w:spacing w:after="0" w:line="240" w:lineRule="auto"/>
              <w:rPr>
                <w:rFonts w:eastAsia="Times New Roman"/>
                <w:color w:val="000000"/>
                <w:sz w:val="16"/>
                <w:szCs w:val="16"/>
              </w:rPr>
            </w:pPr>
          </w:p>
        </w:tc>
        <w:tc>
          <w:tcPr>
            <w:tcW w:w="1111" w:type="dxa"/>
            <w:tcBorders>
              <w:top w:val="nil"/>
              <w:left w:val="nil"/>
              <w:bottom w:val="nil"/>
              <w:right w:val="nil"/>
            </w:tcBorders>
            <w:shd w:val="clear" w:color="auto" w:fill="auto"/>
            <w:noWrap/>
            <w:vAlign w:val="bottom"/>
            <w:hideMark/>
          </w:tcPr>
          <w:p w14:paraId="26815AB6" w14:textId="77777777" w:rsidR="001B2857" w:rsidRPr="001B2857" w:rsidRDefault="001B2857" w:rsidP="001B2857">
            <w:pPr>
              <w:spacing w:after="0" w:line="240" w:lineRule="auto"/>
              <w:rPr>
                <w:rFonts w:eastAsia="Times New Roman"/>
                <w:color w:val="000000"/>
                <w:sz w:val="16"/>
                <w:szCs w:val="16"/>
              </w:rPr>
            </w:pPr>
          </w:p>
        </w:tc>
        <w:tc>
          <w:tcPr>
            <w:tcW w:w="395" w:type="dxa"/>
            <w:tcBorders>
              <w:top w:val="nil"/>
              <w:left w:val="nil"/>
              <w:bottom w:val="nil"/>
              <w:right w:val="nil"/>
            </w:tcBorders>
            <w:shd w:val="clear" w:color="auto" w:fill="auto"/>
            <w:noWrap/>
            <w:vAlign w:val="bottom"/>
            <w:hideMark/>
          </w:tcPr>
          <w:p w14:paraId="4B81B3FC" w14:textId="77777777" w:rsidR="001B2857" w:rsidRPr="001B2857" w:rsidRDefault="001B2857" w:rsidP="001B2857">
            <w:pPr>
              <w:spacing w:after="0" w:line="240" w:lineRule="auto"/>
              <w:rPr>
                <w:rFonts w:eastAsia="Times New Roman"/>
                <w:color w:val="000000"/>
                <w:sz w:val="16"/>
                <w:szCs w:val="16"/>
              </w:rPr>
            </w:pPr>
          </w:p>
        </w:tc>
        <w:tc>
          <w:tcPr>
            <w:tcW w:w="1025" w:type="dxa"/>
            <w:tcBorders>
              <w:top w:val="nil"/>
              <w:left w:val="nil"/>
              <w:bottom w:val="nil"/>
              <w:right w:val="nil"/>
            </w:tcBorders>
            <w:shd w:val="clear" w:color="auto" w:fill="auto"/>
            <w:noWrap/>
            <w:vAlign w:val="bottom"/>
            <w:hideMark/>
          </w:tcPr>
          <w:p w14:paraId="49E2A968" w14:textId="77777777" w:rsidR="001B2857" w:rsidRPr="001B2857" w:rsidRDefault="001B2857" w:rsidP="001B2857">
            <w:pPr>
              <w:spacing w:after="0" w:line="240" w:lineRule="auto"/>
              <w:rPr>
                <w:rFonts w:eastAsia="Times New Roman"/>
                <w:color w:val="000000"/>
                <w:sz w:val="16"/>
                <w:szCs w:val="16"/>
              </w:rPr>
            </w:pPr>
          </w:p>
        </w:tc>
      </w:tr>
      <w:tr w:rsidR="001B2857" w:rsidRPr="001B2857" w14:paraId="61FCC6EA" w14:textId="77777777" w:rsidTr="001B2857">
        <w:trPr>
          <w:trHeight w:val="220"/>
        </w:trPr>
        <w:tc>
          <w:tcPr>
            <w:tcW w:w="1740" w:type="dxa"/>
            <w:tcBorders>
              <w:top w:val="single" w:sz="4" w:space="0" w:color="auto"/>
              <w:left w:val="single" w:sz="4" w:space="0" w:color="auto"/>
              <w:bottom w:val="nil"/>
              <w:right w:val="single" w:sz="4" w:space="0" w:color="auto"/>
            </w:tcBorders>
            <w:shd w:val="clear" w:color="auto" w:fill="auto"/>
            <w:noWrap/>
            <w:vAlign w:val="bottom"/>
            <w:hideMark/>
          </w:tcPr>
          <w:p w14:paraId="1D6F6C48" w14:textId="77777777" w:rsidR="001B2857" w:rsidRPr="001B2857" w:rsidRDefault="001B2857" w:rsidP="001B2857">
            <w:pPr>
              <w:spacing w:after="0" w:line="240" w:lineRule="auto"/>
              <w:rPr>
                <w:rFonts w:eastAsia="Times New Roman"/>
                <w:color w:val="000000"/>
                <w:sz w:val="16"/>
                <w:szCs w:val="16"/>
                <w:u w:val="single"/>
              </w:rPr>
            </w:pPr>
            <w:r w:rsidRPr="001B2857">
              <w:rPr>
                <w:rFonts w:eastAsia="Times New Roman"/>
                <w:color w:val="000000"/>
                <w:sz w:val="16"/>
                <w:szCs w:val="16"/>
                <w:u w:val="single"/>
              </w:rPr>
              <w:t>Hospital 7</w:t>
            </w:r>
          </w:p>
        </w:tc>
        <w:tc>
          <w:tcPr>
            <w:tcW w:w="723" w:type="dxa"/>
            <w:tcBorders>
              <w:top w:val="single" w:sz="4" w:space="0" w:color="auto"/>
              <w:left w:val="nil"/>
              <w:bottom w:val="nil"/>
              <w:right w:val="nil"/>
            </w:tcBorders>
            <w:shd w:val="clear" w:color="auto" w:fill="auto"/>
            <w:noWrap/>
            <w:vAlign w:val="bottom"/>
            <w:hideMark/>
          </w:tcPr>
          <w:p w14:paraId="5699C71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37" w:type="dxa"/>
            <w:tcBorders>
              <w:top w:val="single" w:sz="4" w:space="0" w:color="auto"/>
              <w:left w:val="nil"/>
              <w:bottom w:val="nil"/>
              <w:right w:val="nil"/>
            </w:tcBorders>
            <w:shd w:val="clear" w:color="auto" w:fill="auto"/>
            <w:noWrap/>
            <w:vAlign w:val="bottom"/>
            <w:hideMark/>
          </w:tcPr>
          <w:p w14:paraId="6478B63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3000"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05F45B6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820" w:type="dxa"/>
            <w:gridSpan w:val="4"/>
            <w:tcBorders>
              <w:top w:val="single" w:sz="4" w:space="0" w:color="auto"/>
              <w:left w:val="nil"/>
              <w:bottom w:val="nil"/>
              <w:right w:val="single" w:sz="4" w:space="0" w:color="000000"/>
            </w:tcBorders>
            <w:shd w:val="clear" w:color="auto" w:fill="auto"/>
            <w:noWrap/>
            <w:vAlign w:val="center"/>
            <w:hideMark/>
          </w:tcPr>
          <w:p w14:paraId="0A62D04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429" w:type="dxa"/>
            <w:tcBorders>
              <w:top w:val="nil"/>
              <w:left w:val="nil"/>
              <w:bottom w:val="nil"/>
              <w:right w:val="nil"/>
            </w:tcBorders>
            <w:shd w:val="clear" w:color="auto" w:fill="auto"/>
            <w:noWrap/>
            <w:vAlign w:val="bottom"/>
            <w:hideMark/>
          </w:tcPr>
          <w:p w14:paraId="0BDC7861" w14:textId="77777777" w:rsidR="001B2857" w:rsidRPr="001B2857" w:rsidRDefault="001B2857" w:rsidP="001B2857">
            <w:pPr>
              <w:spacing w:after="0" w:line="240" w:lineRule="auto"/>
              <w:rPr>
                <w:rFonts w:eastAsia="Times New Roman"/>
                <w:color w:val="000000"/>
                <w:sz w:val="16"/>
                <w:szCs w:val="16"/>
              </w:rPr>
            </w:pPr>
          </w:p>
        </w:tc>
        <w:tc>
          <w:tcPr>
            <w:tcW w:w="1111" w:type="dxa"/>
            <w:tcBorders>
              <w:top w:val="nil"/>
              <w:left w:val="nil"/>
              <w:bottom w:val="nil"/>
              <w:right w:val="nil"/>
            </w:tcBorders>
            <w:shd w:val="clear" w:color="auto" w:fill="auto"/>
            <w:noWrap/>
            <w:vAlign w:val="bottom"/>
            <w:hideMark/>
          </w:tcPr>
          <w:p w14:paraId="2402D324" w14:textId="77777777" w:rsidR="001B2857" w:rsidRPr="001B2857" w:rsidRDefault="001B2857" w:rsidP="001B2857">
            <w:pPr>
              <w:spacing w:after="0" w:line="240" w:lineRule="auto"/>
              <w:rPr>
                <w:rFonts w:eastAsia="Times New Roman"/>
                <w:color w:val="000000"/>
                <w:sz w:val="16"/>
                <w:szCs w:val="16"/>
              </w:rPr>
            </w:pPr>
          </w:p>
        </w:tc>
        <w:tc>
          <w:tcPr>
            <w:tcW w:w="395" w:type="dxa"/>
            <w:tcBorders>
              <w:top w:val="nil"/>
              <w:left w:val="nil"/>
              <w:bottom w:val="nil"/>
              <w:right w:val="nil"/>
            </w:tcBorders>
            <w:shd w:val="clear" w:color="auto" w:fill="auto"/>
            <w:noWrap/>
            <w:vAlign w:val="bottom"/>
            <w:hideMark/>
          </w:tcPr>
          <w:p w14:paraId="1B6AE4DF" w14:textId="77777777" w:rsidR="001B2857" w:rsidRPr="001B2857" w:rsidRDefault="001B2857" w:rsidP="001B2857">
            <w:pPr>
              <w:spacing w:after="0" w:line="240" w:lineRule="auto"/>
              <w:rPr>
                <w:rFonts w:eastAsia="Times New Roman"/>
                <w:color w:val="000000"/>
                <w:sz w:val="16"/>
                <w:szCs w:val="16"/>
              </w:rPr>
            </w:pPr>
          </w:p>
        </w:tc>
        <w:tc>
          <w:tcPr>
            <w:tcW w:w="1025" w:type="dxa"/>
            <w:tcBorders>
              <w:top w:val="nil"/>
              <w:left w:val="nil"/>
              <w:bottom w:val="nil"/>
              <w:right w:val="nil"/>
            </w:tcBorders>
            <w:shd w:val="clear" w:color="auto" w:fill="auto"/>
            <w:noWrap/>
            <w:vAlign w:val="bottom"/>
            <w:hideMark/>
          </w:tcPr>
          <w:p w14:paraId="6EDAFBDA" w14:textId="77777777" w:rsidR="001B2857" w:rsidRPr="001B2857" w:rsidRDefault="001B2857" w:rsidP="001B2857">
            <w:pPr>
              <w:spacing w:after="0" w:line="240" w:lineRule="auto"/>
              <w:rPr>
                <w:rFonts w:eastAsia="Times New Roman"/>
                <w:color w:val="000000"/>
                <w:sz w:val="16"/>
                <w:szCs w:val="16"/>
              </w:rPr>
            </w:pPr>
          </w:p>
        </w:tc>
      </w:tr>
      <w:tr w:rsidR="001B2857" w:rsidRPr="001B2857" w14:paraId="636A6C35" w14:textId="77777777" w:rsidTr="001B2857">
        <w:trPr>
          <w:trHeight w:val="220"/>
        </w:trPr>
        <w:tc>
          <w:tcPr>
            <w:tcW w:w="1740" w:type="dxa"/>
            <w:tcBorders>
              <w:top w:val="nil"/>
              <w:left w:val="single" w:sz="4" w:space="0" w:color="auto"/>
              <w:bottom w:val="nil"/>
              <w:right w:val="single" w:sz="4" w:space="0" w:color="auto"/>
            </w:tcBorders>
            <w:shd w:val="clear" w:color="auto" w:fill="auto"/>
            <w:noWrap/>
            <w:vAlign w:val="bottom"/>
            <w:hideMark/>
          </w:tcPr>
          <w:p w14:paraId="3967EE6D"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a. Full  model</w:t>
            </w:r>
          </w:p>
        </w:tc>
        <w:tc>
          <w:tcPr>
            <w:tcW w:w="723" w:type="dxa"/>
            <w:tcBorders>
              <w:top w:val="nil"/>
              <w:left w:val="nil"/>
              <w:bottom w:val="nil"/>
              <w:right w:val="nil"/>
            </w:tcBorders>
            <w:shd w:val="clear" w:color="auto" w:fill="auto"/>
            <w:noWrap/>
            <w:vAlign w:val="bottom"/>
            <w:hideMark/>
          </w:tcPr>
          <w:p w14:paraId="6332A94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0.11</w:t>
            </w:r>
          </w:p>
        </w:tc>
        <w:tc>
          <w:tcPr>
            <w:tcW w:w="937" w:type="dxa"/>
            <w:tcBorders>
              <w:top w:val="nil"/>
              <w:left w:val="nil"/>
              <w:bottom w:val="nil"/>
              <w:right w:val="nil"/>
            </w:tcBorders>
            <w:shd w:val="clear" w:color="auto" w:fill="auto"/>
            <w:noWrap/>
            <w:vAlign w:val="bottom"/>
            <w:hideMark/>
          </w:tcPr>
          <w:p w14:paraId="299424C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0.8</w:t>
            </w:r>
          </w:p>
        </w:tc>
        <w:tc>
          <w:tcPr>
            <w:tcW w:w="598" w:type="dxa"/>
            <w:tcBorders>
              <w:top w:val="nil"/>
              <w:left w:val="single" w:sz="4" w:space="0" w:color="auto"/>
              <w:bottom w:val="nil"/>
              <w:right w:val="nil"/>
            </w:tcBorders>
            <w:shd w:val="clear" w:color="auto" w:fill="auto"/>
            <w:noWrap/>
            <w:vAlign w:val="bottom"/>
            <w:hideMark/>
          </w:tcPr>
          <w:p w14:paraId="33533A3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0.20</w:t>
            </w:r>
          </w:p>
        </w:tc>
        <w:tc>
          <w:tcPr>
            <w:tcW w:w="842" w:type="dxa"/>
            <w:tcBorders>
              <w:top w:val="nil"/>
              <w:left w:val="nil"/>
              <w:bottom w:val="nil"/>
              <w:right w:val="nil"/>
            </w:tcBorders>
            <w:shd w:val="clear" w:color="auto" w:fill="auto"/>
            <w:noWrap/>
            <w:vAlign w:val="bottom"/>
            <w:hideMark/>
          </w:tcPr>
          <w:p w14:paraId="1AEDF12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0.95</w:t>
            </w:r>
          </w:p>
        </w:tc>
        <w:tc>
          <w:tcPr>
            <w:tcW w:w="648" w:type="dxa"/>
            <w:tcBorders>
              <w:top w:val="nil"/>
              <w:left w:val="nil"/>
              <w:bottom w:val="nil"/>
              <w:right w:val="nil"/>
            </w:tcBorders>
            <w:shd w:val="clear" w:color="auto" w:fill="auto"/>
            <w:noWrap/>
            <w:vAlign w:val="bottom"/>
            <w:hideMark/>
          </w:tcPr>
          <w:p w14:paraId="354856F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-0.37</w:t>
            </w:r>
          </w:p>
        </w:tc>
        <w:tc>
          <w:tcPr>
            <w:tcW w:w="912" w:type="dxa"/>
            <w:tcBorders>
              <w:top w:val="nil"/>
              <w:left w:val="nil"/>
              <w:bottom w:val="nil"/>
              <w:right w:val="single" w:sz="4" w:space="0" w:color="auto"/>
            </w:tcBorders>
            <w:shd w:val="clear" w:color="auto" w:fill="auto"/>
            <w:noWrap/>
            <w:vAlign w:val="bottom"/>
            <w:hideMark/>
          </w:tcPr>
          <w:p w14:paraId="333CB1E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0.47</w:t>
            </w:r>
          </w:p>
        </w:tc>
        <w:tc>
          <w:tcPr>
            <w:tcW w:w="606" w:type="dxa"/>
            <w:tcBorders>
              <w:top w:val="nil"/>
              <w:left w:val="nil"/>
              <w:bottom w:val="nil"/>
              <w:right w:val="nil"/>
            </w:tcBorders>
            <w:shd w:val="clear" w:color="auto" w:fill="auto"/>
            <w:noWrap/>
            <w:vAlign w:val="bottom"/>
            <w:hideMark/>
          </w:tcPr>
          <w:p w14:paraId="3A82781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1.77</w:t>
            </w:r>
          </w:p>
        </w:tc>
        <w:tc>
          <w:tcPr>
            <w:tcW w:w="854" w:type="dxa"/>
            <w:tcBorders>
              <w:top w:val="nil"/>
              <w:left w:val="nil"/>
              <w:bottom w:val="nil"/>
              <w:right w:val="nil"/>
            </w:tcBorders>
            <w:shd w:val="clear" w:color="auto" w:fill="auto"/>
            <w:noWrap/>
            <w:vAlign w:val="bottom"/>
            <w:hideMark/>
          </w:tcPr>
          <w:p w14:paraId="3A44C2A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0.39</w:t>
            </w:r>
          </w:p>
        </w:tc>
        <w:tc>
          <w:tcPr>
            <w:tcW w:w="518" w:type="dxa"/>
            <w:tcBorders>
              <w:top w:val="nil"/>
              <w:left w:val="nil"/>
              <w:bottom w:val="nil"/>
              <w:right w:val="nil"/>
            </w:tcBorders>
            <w:shd w:val="clear" w:color="auto" w:fill="auto"/>
            <w:noWrap/>
            <w:vAlign w:val="bottom"/>
            <w:hideMark/>
          </w:tcPr>
          <w:p w14:paraId="7AED178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0.24</w:t>
            </w:r>
          </w:p>
        </w:tc>
        <w:tc>
          <w:tcPr>
            <w:tcW w:w="842" w:type="dxa"/>
            <w:tcBorders>
              <w:top w:val="nil"/>
              <w:left w:val="nil"/>
              <w:bottom w:val="nil"/>
              <w:right w:val="single" w:sz="4" w:space="0" w:color="auto"/>
            </w:tcBorders>
            <w:shd w:val="clear" w:color="auto" w:fill="auto"/>
            <w:noWrap/>
            <w:vAlign w:val="bottom"/>
            <w:hideMark/>
          </w:tcPr>
          <w:p w14:paraId="74AD589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0.38</w:t>
            </w:r>
          </w:p>
        </w:tc>
        <w:tc>
          <w:tcPr>
            <w:tcW w:w="429" w:type="dxa"/>
            <w:tcBorders>
              <w:top w:val="nil"/>
              <w:left w:val="nil"/>
              <w:bottom w:val="nil"/>
              <w:right w:val="nil"/>
            </w:tcBorders>
            <w:shd w:val="clear" w:color="auto" w:fill="auto"/>
            <w:noWrap/>
            <w:vAlign w:val="bottom"/>
            <w:hideMark/>
          </w:tcPr>
          <w:p w14:paraId="392D312A" w14:textId="77777777" w:rsidR="001B2857" w:rsidRPr="001B2857" w:rsidRDefault="001B2857" w:rsidP="001B2857">
            <w:pPr>
              <w:spacing w:after="0" w:line="240" w:lineRule="auto"/>
              <w:rPr>
                <w:rFonts w:eastAsia="Times New Roman"/>
                <w:color w:val="000000"/>
                <w:sz w:val="16"/>
                <w:szCs w:val="16"/>
              </w:rPr>
            </w:pPr>
          </w:p>
        </w:tc>
        <w:tc>
          <w:tcPr>
            <w:tcW w:w="1111" w:type="dxa"/>
            <w:tcBorders>
              <w:top w:val="nil"/>
              <w:left w:val="nil"/>
              <w:bottom w:val="nil"/>
              <w:right w:val="nil"/>
            </w:tcBorders>
            <w:shd w:val="clear" w:color="auto" w:fill="auto"/>
            <w:noWrap/>
            <w:vAlign w:val="bottom"/>
            <w:hideMark/>
          </w:tcPr>
          <w:p w14:paraId="15C3DFAB" w14:textId="77777777" w:rsidR="001B2857" w:rsidRPr="001B2857" w:rsidRDefault="001B2857" w:rsidP="001B2857">
            <w:pPr>
              <w:spacing w:after="0" w:line="240" w:lineRule="auto"/>
              <w:rPr>
                <w:rFonts w:eastAsia="Times New Roman"/>
                <w:color w:val="000000"/>
                <w:sz w:val="16"/>
                <w:szCs w:val="16"/>
              </w:rPr>
            </w:pPr>
          </w:p>
        </w:tc>
        <w:tc>
          <w:tcPr>
            <w:tcW w:w="395" w:type="dxa"/>
            <w:tcBorders>
              <w:top w:val="nil"/>
              <w:left w:val="nil"/>
              <w:bottom w:val="nil"/>
              <w:right w:val="nil"/>
            </w:tcBorders>
            <w:shd w:val="clear" w:color="auto" w:fill="auto"/>
            <w:noWrap/>
            <w:vAlign w:val="bottom"/>
            <w:hideMark/>
          </w:tcPr>
          <w:p w14:paraId="16685A92" w14:textId="77777777" w:rsidR="001B2857" w:rsidRPr="001B2857" w:rsidRDefault="001B2857" w:rsidP="001B2857">
            <w:pPr>
              <w:spacing w:after="0" w:line="240" w:lineRule="auto"/>
              <w:rPr>
                <w:rFonts w:eastAsia="Times New Roman"/>
                <w:color w:val="000000"/>
                <w:sz w:val="16"/>
                <w:szCs w:val="16"/>
              </w:rPr>
            </w:pPr>
          </w:p>
        </w:tc>
        <w:tc>
          <w:tcPr>
            <w:tcW w:w="1025" w:type="dxa"/>
            <w:tcBorders>
              <w:top w:val="nil"/>
              <w:left w:val="nil"/>
              <w:bottom w:val="nil"/>
              <w:right w:val="nil"/>
            </w:tcBorders>
            <w:shd w:val="clear" w:color="auto" w:fill="auto"/>
            <w:noWrap/>
            <w:vAlign w:val="bottom"/>
            <w:hideMark/>
          </w:tcPr>
          <w:p w14:paraId="3C675666" w14:textId="77777777" w:rsidR="001B2857" w:rsidRPr="001B2857" w:rsidRDefault="001B2857" w:rsidP="001B2857">
            <w:pPr>
              <w:spacing w:after="0" w:line="240" w:lineRule="auto"/>
              <w:rPr>
                <w:rFonts w:eastAsia="Times New Roman"/>
                <w:color w:val="000000"/>
                <w:sz w:val="16"/>
                <w:szCs w:val="16"/>
              </w:rPr>
            </w:pPr>
          </w:p>
        </w:tc>
      </w:tr>
      <w:tr w:rsidR="001B2857" w:rsidRPr="001B2857" w14:paraId="50970DD1" w14:textId="77777777" w:rsidTr="001B2857">
        <w:trPr>
          <w:trHeight w:val="220"/>
        </w:trPr>
        <w:tc>
          <w:tcPr>
            <w:tcW w:w="1740" w:type="dxa"/>
            <w:tcBorders>
              <w:top w:val="nil"/>
              <w:left w:val="single" w:sz="4" w:space="0" w:color="auto"/>
              <w:bottom w:val="nil"/>
              <w:right w:val="single" w:sz="4" w:space="0" w:color="auto"/>
            </w:tcBorders>
            <w:shd w:val="clear" w:color="auto" w:fill="auto"/>
            <w:noWrap/>
            <w:vAlign w:val="bottom"/>
            <w:hideMark/>
          </w:tcPr>
          <w:p w14:paraId="04C60F57"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b. Parsimonious model</w:t>
            </w:r>
          </w:p>
        </w:tc>
        <w:tc>
          <w:tcPr>
            <w:tcW w:w="723" w:type="dxa"/>
            <w:tcBorders>
              <w:top w:val="nil"/>
              <w:left w:val="nil"/>
              <w:bottom w:val="nil"/>
              <w:right w:val="nil"/>
            </w:tcBorders>
            <w:shd w:val="clear" w:color="auto" w:fill="auto"/>
            <w:noWrap/>
            <w:vAlign w:val="bottom"/>
            <w:hideMark/>
          </w:tcPr>
          <w:p w14:paraId="3D47272A"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&lt;0.01</w:t>
            </w:r>
          </w:p>
        </w:tc>
        <w:tc>
          <w:tcPr>
            <w:tcW w:w="937" w:type="dxa"/>
            <w:tcBorders>
              <w:top w:val="nil"/>
              <w:left w:val="nil"/>
              <w:bottom w:val="nil"/>
              <w:right w:val="nil"/>
            </w:tcBorders>
            <w:shd w:val="clear" w:color="auto" w:fill="auto"/>
            <w:noWrap/>
            <w:vAlign w:val="bottom"/>
            <w:hideMark/>
          </w:tcPr>
          <w:p w14:paraId="6DB656B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0.89</w:t>
            </w:r>
          </w:p>
        </w:tc>
        <w:tc>
          <w:tcPr>
            <w:tcW w:w="598" w:type="dxa"/>
            <w:tcBorders>
              <w:top w:val="nil"/>
              <w:left w:val="single" w:sz="4" w:space="0" w:color="auto"/>
              <w:bottom w:val="nil"/>
              <w:right w:val="nil"/>
            </w:tcBorders>
            <w:shd w:val="clear" w:color="auto" w:fill="auto"/>
            <w:noWrap/>
            <w:vAlign w:val="bottom"/>
            <w:hideMark/>
          </w:tcPr>
          <w:p w14:paraId="07289561" w14:textId="77777777" w:rsidR="001B2857" w:rsidRPr="001B2857" w:rsidRDefault="001B2857" w:rsidP="001B2857">
            <w:pPr>
              <w:spacing w:after="0" w:line="240" w:lineRule="auto"/>
              <w:jc w:val="center"/>
              <w:rPr>
                <w:rFonts w:eastAsia="Times New Roman"/>
                <w:b/>
                <w:bCs/>
                <w:color w:val="008000"/>
                <w:sz w:val="16"/>
                <w:szCs w:val="16"/>
              </w:rPr>
            </w:pPr>
            <w:r w:rsidRPr="001B2857">
              <w:rPr>
                <w:rFonts w:eastAsia="Times New Roman"/>
                <w:b/>
                <w:bCs/>
                <w:color w:val="008000"/>
                <w:sz w:val="16"/>
                <w:szCs w:val="16"/>
              </w:rPr>
              <w:t> </w:t>
            </w:r>
          </w:p>
        </w:tc>
        <w:tc>
          <w:tcPr>
            <w:tcW w:w="842" w:type="dxa"/>
            <w:tcBorders>
              <w:top w:val="nil"/>
              <w:left w:val="nil"/>
              <w:bottom w:val="nil"/>
              <w:right w:val="nil"/>
            </w:tcBorders>
            <w:shd w:val="clear" w:color="auto" w:fill="auto"/>
            <w:noWrap/>
            <w:vAlign w:val="bottom"/>
            <w:hideMark/>
          </w:tcPr>
          <w:p w14:paraId="3AF74C08" w14:textId="77777777" w:rsidR="001B2857" w:rsidRPr="001B2857" w:rsidRDefault="001B2857" w:rsidP="001B2857">
            <w:pPr>
              <w:spacing w:after="0" w:line="240" w:lineRule="auto"/>
              <w:jc w:val="center"/>
              <w:rPr>
                <w:rFonts w:eastAsia="Times New Roman"/>
                <w:b/>
                <w:bCs/>
                <w:color w:val="008000"/>
                <w:sz w:val="16"/>
                <w:szCs w:val="16"/>
              </w:rPr>
            </w:pPr>
          </w:p>
        </w:tc>
        <w:tc>
          <w:tcPr>
            <w:tcW w:w="648" w:type="dxa"/>
            <w:tcBorders>
              <w:top w:val="nil"/>
              <w:left w:val="nil"/>
              <w:bottom w:val="nil"/>
              <w:right w:val="nil"/>
            </w:tcBorders>
            <w:shd w:val="clear" w:color="auto" w:fill="auto"/>
            <w:noWrap/>
            <w:vAlign w:val="bottom"/>
            <w:hideMark/>
          </w:tcPr>
          <w:p w14:paraId="3C2CA5AC" w14:textId="77777777" w:rsidR="001B2857" w:rsidRPr="001B2857" w:rsidRDefault="001B2857" w:rsidP="001B2857">
            <w:pPr>
              <w:spacing w:after="0" w:line="240" w:lineRule="auto"/>
              <w:jc w:val="center"/>
              <w:rPr>
                <w:rFonts w:eastAsia="Times New Roman"/>
                <w:b/>
                <w:bCs/>
                <w:sz w:val="16"/>
                <w:szCs w:val="16"/>
              </w:rPr>
            </w:pPr>
          </w:p>
        </w:tc>
        <w:tc>
          <w:tcPr>
            <w:tcW w:w="912" w:type="dxa"/>
            <w:tcBorders>
              <w:top w:val="nil"/>
              <w:left w:val="nil"/>
              <w:bottom w:val="nil"/>
              <w:right w:val="single" w:sz="4" w:space="0" w:color="auto"/>
            </w:tcBorders>
            <w:shd w:val="clear" w:color="auto" w:fill="auto"/>
            <w:noWrap/>
            <w:vAlign w:val="bottom"/>
            <w:hideMark/>
          </w:tcPr>
          <w:p w14:paraId="17DC9E5D" w14:textId="77777777" w:rsidR="001B2857" w:rsidRPr="001B2857" w:rsidRDefault="001B2857" w:rsidP="001B2857">
            <w:pPr>
              <w:spacing w:after="0" w:line="240" w:lineRule="auto"/>
              <w:jc w:val="center"/>
              <w:rPr>
                <w:rFonts w:eastAsia="Times New Roman"/>
                <w:b/>
                <w:bCs/>
                <w:sz w:val="16"/>
                <w:szCs w:val="16"/>
              </w:rPr>
            </w:pPr>
            <w:r w:rsidRPr="001B2857">
              <w:rPr>
                <w:rFonts w:eastAsia="Times New Roman"/>
                <w:b/>
                <w:bCs/>
                <w:sz w:val="16"/>
                <w:szCs w:val="16"/>
              </w:rPr>
              <w:t> </w:t>
            </w:r>
          </w:p>
        </w:tc>
        <w:tc>
          <w:tcPr>
            <w:tcW w:w="606" w:type="dxa"/>
            <w:tcBorders>
              <w:top w:val="nil"/>
              <w:left w:val="nil"/>
              <w:bottom w:val="nil"/>
              <w:right w:val="nil"/>
            </w:tcBorders>
            <w:shd w:val="clear" w:color="auto" w:fill="auto"/>
            <w:noWrap/>
            <w:vAlign w:val="bottom"/>
            <w:hideMark/>
          </w:tcPr>
          <w:p w14:paraId="05B41853" w14:textId="77777777" w:rsidR="001B2857" w:rsidRPr="001B2857" w:rsidRDefault="001B2857" w:rsidP="001B2857">
            <w:pPr>
              <w:spacing w:after="0" w:line="240" w:lineRule="auto"/>
              <w:jc w:val="center"/>
              <w:rPr>
                <w:rFonts w:eastAsia="Times New Roman"/>
                <w:b/>
                <w:bCs/>
                <w:sz w:val="16"/>
                <w:szCs w:val="16"/>
              </w:rPr>
            </w:pPr>
            <w:r w:rsidRPr="001B2857">
              <w:rPr>
                <w:rFonts w:eastAsia="Times New Roman"/>
                <w:b/>
                <w:bCs/>
                <w:sz w:val="16"/>
                <w:szCs w:val="16"/>
              </w:rPr>
              <w:t> </w:t>
            </w:r>
          </w:p>
        </w:tc>
        <w:tc>
          <w:tcPr>
            <w:tcW w:w="854" w:type="dxa"/>
            <w:tcBorders>
              <w:top w:val="nil"/>
              <w:left w:val="nil"/>
              <w:bottom w:val="nil"/>
              <w:right w:val="nil"/>
            </w:tcBorders>
            <w:shd w:val="clear" w:color="auto" w:fill="auto"/>
            <w:noWrap/>
            <w:vAlign w:val="bottom"/>
            <w:hideMark/>
          </w:tcPr>
          <w:p w14:paraId="6915E704" w14:textId="77777777" w:rsidR="001B2857" w:rsidRPr="001B2857" w:rsidRDefault="001B2857" w:rsidP="001B2857">
            <w:pPr>
              <w:spacing w:after="0" w:line="240" w:lineRule="auto"/>
              <w:jc w:val="center"/>
              <w:rPr>
                <w:rFonts w:eastAsia="Times New Roman"/>
                <w:b/>
                <w:bCs/>
                <w:sz w:val="16"/>
                <w:szCs w:val="16"/>
              </w:rPr>
            </w:pPr>
          </w:p>
        </w:tc>
        <w:tc>
          <w:tcPr>
            <w:tcW w:w="518" w:type="dxa"/>
            <w:tcBorders>
              <w:top w:val="nil"/>
              <w:left w:val="nil"/>
              <w:bottom w:val="nil"/>
              <w:right w:val="nil"/>
            </w:tcBorders>
            <w:shd w:val="clear" w:color="auto" w:fill="auto"/>
            <w:noWrap/>
            <w:vAlign w:val="bottom"/>
            <w:hideMark/>
          </w:tcPr>
          <w:p w14:paraId="084C6D82" w14:textId="77777777" w:rsidR="001B2857" w:rsidRPr="001B2857" w:rsidRDefault="001B2857" w:rsidP="001B2857">
            <w:pPr>
              <w:spacing w:after="0" w:line="240" w:lineRule="auto"/>
              <w:jc w:val="center"/>
              <w:rPr>
                <w:rFonts w:eastAsia="Times New Roman"/>
                <w:b/>
                <w:bCs/>
                <w:color w:val="008000"/>
                <w:sz w:val="16"/>
                <w:szCs w:val="16"/>
              </w:rPr>
            </w:pPr>
          </w:p>
        </w:tc>
        <w:tc>
          <w:tcPr>
            <w:tcW w:w="842" w:type="dxa"/>
            <w:tcBorders>
              <w:top w:val="nil"/>
              <w:left w:val="nil"/>
              <w:bottom w:val="nil"/>
              <w:right w:val="single" w:sz="4" w:space="0" w:color="auto"/>
            </w:tcBorders>
            <w:shd w:val="clear" w:color="auto" w:fill="auto"/>
            <w:noWrap/>
            <w:vAlign w:val="bottom"/>
            <w:hideMark/>
          </w:tcPr>
          <w:p w14:paraId="7711BAA9" w14:textId="77777777" w:rsidR="001B2857" w:rsidRPr="001B2857" w:rsidRDefault="001B2857" w:rsidP="001B2857">
            <w:pPr>
              <w:spacing w:after="0" w:line="240" w:lineRule="auto"/>
              <w:jc w:val="center"/>
              <w:rPr>
                <w:rFonts w:eastAsia="Times New Roman"/>
                <w:b/>
                <w:bCs/>
                <w:color w:val="008000"/>
                <w:sz w:val="16"/>
                <w:szCs w:val="16"/>
              </w:rPr>
            </w:pPr>
            <w:r w:rsidRPr="001B2857">
              <w:rPr>
                <w:rFonts w:eastAsia="Times New Roman"/>
                <w:b/>
                <w:bCs/>
                <w:color w:val="008000"/>
                <w:sz w:val="16"/>
                <w:szCs w:val="16"/>
              </w:rPr>
              <w:t> </w:t>
            </w:r>
          </w:p>
        </w:tc>
        <w:tc>
          <w:tcPr>
            <w:tcW w:w="429" w:type="dxa"/>
            <w:tcBorders>
              <w:top w:val="nil"/>
              <w:left w:val="nil"/>
              <w:bottom w:val="nil"/>
              <w:right w:val="nil"/>
            </w:tcBorders>
            <w:shd w:val="clear" w:color="auto" w:fill="auto"/>
            <w:noWrap/>
            <w:vAlign w:val="bottom"/>
            <w:hideMark/>
          </w:tcPr>
          <w:p w14:paraId="7E32EC90" w14:textId="77777777" w:rsidR="001B2857" w:rsidRPr="001B2857" w:rsidRDefault="001B2857" w:rsidP="001B2857">
            <w:pPr>
              <w:spacing w:after="0" w:line="240" w:lineRule="auto"/>
              <w:rPr>
                <w:rFonts w:eastAsia="Times New Roman"/>
                <w:color w:val="000000"/>
                <w:sz w:val="16"/>
                <w:szCs w:val="16"/>
              </w:rPr>
            </w:pPr>
          </w:p>
        </w:tc>
        <w:tc>
          <w:tcPr>
            <w:tcW w:w="1111" w:type="dxa"/>
            <w:tcBorders>
              <w:top w:val="nil"/>
              <w:left w:val="nil"/>
              <w:bottom w:val="nil"/>
              <w:right w:val="nil"/>
            </w:tcBorders>
            <w:shd w:val="clear" w:color="auto" w:fill="auto"/>
            <w:noWrap/>
            <w:vAlign w:val="bottom"/>
            <w:hideMark/>
          </w:tcPr>
          <w:p w14:paraId="02AA443B" w14:textId="77777777" w:rsidR="001B2857" w:rsidRPr="001B2857" w:rsidRDefault="001B2857" w:rsidP="001B2857">
            <w:pPr>
              <w:spacing w:after="0" w:line="240" w:lineRule="auto"/>
              <w:rPr>
                <w:rFonts w:eastAsia="Times New Roman"/>
                <w:color w:val="000000"/>
                <w:sz w:val="16"/>
                <w:szCs w:val="16"/>
              </w:rPr>
            </w:pPr>
          </w:p>
        </w:tc>
        <w:tc>
          <w:tcPr>
            <w:tcW w:w="395" w:type="dxa"/>
            <w:tcBorders>
              <w:top w:val="nil"/>
              <w:left w:val="nil"/>
              <w:bottom w:val="nil"/>
              <w:right w:val="nil"/>
            </w:tcBorders>
            <w:shd w:val="clear" w:color="auto" w:fill="auto"/>
            <w:noWrap/>
            <w:vAlign w:val="bottom"/>
            <w:hideMark/>
          </w:tcPr>
          <w:p w14:paraId="59083EE8" w14:textId="77777777" w:rsidR="001B2857" w:rsidRPr="001B2857" w:rsidRDefault="001B2857" w:rsidP="001B2857">
            <w:pPr>
              <w:spacing w:after="0" w:line="240" w:lineRule="auto"/>
              <w:rPr>
                <w:rFonts w:eastAsia="Times New Roman"/>
                <w:color w:val="000000"/>
                <w:sz w:val="16"/>
                <w:szCs w:val="16"/>
              </w:rPr>
            </w:pPr>
          </w:p>
        </w:tc>
        <w:tc>
          <w:tcPr>
            <w:tcW w:w="1025" w:type="dxa"/>
            <w:tcBorders>
              <w:top w:val="nil"/>
              <w:left w:val="nil"/>
              <w:bottom w:val="nil"/>
              <w:right w:val="nil"/>
            </w:tcBorders>
            <w:shd w:val="clear" w:color="auto" w:fill="auto"/>
            <w:noWrap/>
            <w:vAlign w:val="bottom"/>
            <w:hideMark/>
          </w:tcPr>
          <w:p w14:paraId="2C624252" w14:textId="77777777" w:rsidR="001B2857" w:rsidRPr="001B2857" w:rsidRDefault="001B2857" w:rsidP="001B2857">
            <w:pPr>
              <w:spacing w:after="0" w:line="240" w:lineRule="auto"/>
              <w:rPr>
                <w:rFonts w:eastAsia="Times New Roman"/>
                <w:color w:val="000000"/>
                <w:sz w:val="16"/>
                <w:szCs w:val="16"/>
              </w:rPr>
            </w:pPr>
          </w:p>
        </w:tc>
      </w:tr>
      <w:tr w:rsidR="001B2857" w:rsidRPr="001B2857" w14:paraId="3B03E894" w14:textId="77777777" w:rsidTr="001B2857">
        <w:trPr>
          <w:trHeight w:val="220"/>
        </w:trPr>
        <w:tc>
          <w:tcPr>
            <w:tcW w:w="1740" w:type="dxa"/>
            <w:tcBorders>
              <w:top w:val="single" w:sz="4" w:space="0" w:color="auto"/>
              <w:left w:val="single" w:sz="4" w:space="0" w:color="auto"/>
              <w:bottom w:val="nil"/>
              <w:right w:val="single" w:sz="4" w:space="0" w:color="auto"/>
            </w:tcBorders>
            <w:shd w:val="clear" w:color="auto" w:fill="auto"/>
            <w:noWrap/>
            <w:vAlign w:val="bottom"/>
            <w:hideMark/>
          </w:tcPr>
          <w:p w14:paraId="4DF9F673" w14:textId="77777777" w:rsidR="001B2857" w:rsidRPr="001B2857" w:rsidRDefault="001B2857" w:rsidP="001B2857">
            <w:pPr>
              <w:spacing w:after="0" w:line="240" w:lineRule="auto"/>
              <w:rPr>
                <w:rFonts w:eastAsia="Times New Roman"/>
                <w:color w:val="000000"/>
                <w:sz w:val="16"/>
                <w:szCs w:val="16"/>
                <w:u w:val="single"/>
              </w:rPr>
            </w:pPr>
            <w:r w:rsidRPr="001B2857">
              <w:rPr>
                <w:rFonts w:eastAsia="Times New Roman"/>
                <w:color w:val="000000"/>
                <w:sz w:val="16"/>
                <w:szCs w:val="16"/>
                <w:u w:val="single"/>
              </w:rPr>
              <w:t>Hospital 4</w:t>
            </w:r>
          </w:p>
        </w:tc>
        <w:tc>
          <w:tcPr>
            <w:tcW w:w="723" w:type="dxa"/>
            <w:tcBorders>
              <w:top w:val="single" w:sz="4" w:space="0" w:color="auto"/>
              <w:left w:val="nil"/>
              <w:bottom w:val="nil"/>
              <w:right w:val="nil"/>
            </w:tcBorders>
            <w:shd w:val="clear" w:color="auto" w:fill="auto"/>
            <w:noWrap/>
            <w:vAlign w:val="bottom"/>
            <w:hideMark/>
          </w:tcPr>
          <w:p w14:paraId="0970665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37" w:type="dxa"/>
            <w:tcBorders>
              <w:top w:val="single" w:sz="4" w:space="0" w:color="auto"/>
              <w:left w:val="nil"/>
              <w:bottom w:val="nil"/>
              <w:right w:val="nil"/>
            </w:tcBorders>
            <w:shd w:val="clear" w:color="auto" w:fill="auto"/>
            <w:noWrap/>
            <w:vAlign w:val="bottom"/>
            <w:hideMark/>
          </w:tcPr>
          <w:p w14:paraId="38137CF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3000"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5EADC34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820" w:type="dxa"/>
            <w:gridSpan w:val="4"/>
            <w:tcBorders>
              <w:top w:val="single" w:sz="4" w:space="0" w:color="auto"/>
              <w:left w:val="nil"/>
              <w:bottom w:val="nil"/>
              <w:right w:val="single" w:sz="4" w:space="0" w:color="000000"/>
            </w:tcBorders>
            <w:shd w:val="clear" w:color="auto" w:fill="auto"/>
            <w:noWrap/>
            <w:vAlign w:val="center"/>
            <w:hideMark/>
          </w:tcPr>
          <w:p w14:paraId="4B2979C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429" w:type="dxa"/>
            <w:tcBorders>
              <w:top w:val="nil"/>
              <w:left w:val="nil"/>
              <w:bottom w:val="nil"/>
              <w:right w:val="nil"/>
            </w:tcBorders>
            <w:shd w:val="clear" w:color="auto" w:fill="auto"/>
            <w:noWrap/>
            <w:vAlign w:val="bottom"/>
            <w:hideMark/>
          </w:tcPr>
          <w:p w14:paraId="11325C62" w14:textId="77777777" w:rsidR="001B2857" w:rsidRPr="001B2857" w:rsidRDefault="001B2857" w:rsidP="001B2857">
            <w:pPr>
              <w:spacing w:after="0" w:line="240" w:lineRule="auto"/>
              <w:rPr>
                <w:rFonts w:eastAsia="Times New Roman"/>
                <w:color w:val="000000"/>
                <w:sz w:val="16"/>
                <w:szCs w:val="16"/>
              </w:rPr>
            </w:pPr>
          </w:p>
        </w:tc>
        <w:tc>
          <w:tcPr>
            <w:tcW w:w="1111" w:type="dxa"/>
            <w:tcBorders>
              <w:top w:val="nil"/>
              <w:left w:val="nil"/>
              <w:bottom w:val="nil"/>
              <w:right w:val="nil"/>
            </w:tcBorders>
            <w:shd w:val="clear" w:color="auto" w:fill="auto"/>
            <w:noWrap/>
            <w:vAlign w:val="bottom"/>
            <w:hideMark/>
          </w:tcPr>
          <w:p w14:paraId="540EC3D6" w14:textId="77777777" w:rsidR="001B2857" w:rsidRPr="001B2857" w:rsidRDefault="001B2857" w:rsidP="001B2857">
            <w:pPr>
              <w:spacing w:after="0" w:line="240" w:lineRule="auto"/>
              <w:rPr>
                <w:rFonts w:eastAsia="Times New Roman"/>
                <w:color w:val="000000"/>
                <w:sz w:val="16"/>
                <w:szCs w:val="16"/>
              </w:rPr>
            </w:pPr>
          </w:p>
        </w:tc>
        <w:tc>
          <w:tcPr>
            <w:tcW w:w="395" w:type="dxa"/>
            <w:tcBorders>
              <w:top w:val="nil"/>
              <w:left w:val="nil"/>
              <w:bottom w:val="nil"/>
              <w:right w:val="nil"/>
            </w:tcBorders>
            <w:shd w:val="clear" w:color="auto" w:fill="auto"/>
            <w:noWrap/>
            <w:vAlign w:val="bottom"/>
            <w:hideMark/>
          </w:tcPr>
          <w:p w14:paraId="557BD756" w14:textId="77777777" w:rsidR="001B2857" w:rsidRPr="001B2857" w:rsidRDefault="001B2857" w:rsidP="001B2857">
            <w:pPr>
              <w:spacing w:after="0" w:line="240" w:lineRule="auto"/>
              <w:rPr>
                <w:rFonts w:eastAsia="Times New Roman"/>
                <w:color w:val="000000"/>
                <w:sz w:val="16"/>
                <w:szCs w:val="16"/>
              </w:rPr>
            </w:pPr>
          </w:p>
        </w:tc>
        <w:tc>
          <w:tcPr>
            <w:tcW w:w="1025" w:type="dxa"/>
            <w:tcBorders>
              <w:top w:val="nil"/>
              <w:left w:val="nil"/>
              <w:bottom w:val="nil"/>
              <w:right w:val="nil"/>
            </w:tcBorders>
            <w:shd w:val="clear" w:color="auto" w:fill="auto"/>
            <w:noWrap/>
            <w:vAlign w:val="bottom"/>
            <w:hideMark/>
          </w:tcPr>
          <w:p w14:paraId="0B00DBFB" w14:textId="77777777" w:rsidR="001B2857" w:rsidRPr="001B2857" w:rsidRDefault="001B2857" w:rsidP="001B2857">
            <w:pPr>
              <w:spacing w:after="0" w:line="240" w:lineRule="auto"/>
              <w:rPr>
                <w:rFonts w:eastAsia="Times New Roman"/>
                <w:color w:val="000000"/>
                <w:sz w:val="16"/>
                <w:szCs w:val="16"/>
              </w:rPr>
            </w:pPr>
          </w:p>
        </w:tc>
      </w:tr>
      <w:tr w:rsidR="001B2857" w:rsidRPr="001B2857" w14:paraId="27E5BD83" w14:textId="77777777" w:rsidTr="001B2857">
        <w:trPr>
          <w:trHeight w:val="220"/>
        </w:trPr>
        <w:tc>
          <w:tcPr>
            <w:tcW w:w="1740" w:type="dxa"/>
            <w:tcBorders>
              <w:top w:val="nil"/>
              <w:left w:val="single" w:sz="4" w:space="0" w:color="auto"/>
              <w:bottom w:val="nil"/>
              <w:right w:val="single" w:sz="4" w:space="0" w:color="auto"/>
            </w:tcBorders>
            <w:shd w:val="clear" w:color="auto" w:fill="auto"/>
            <w:noWrap/>
            <w:vAlign w:val="bottom"/>
            <w:hideMark/>
          </w:tcPr>
          <w:p w14:paraId="1FFE38AE"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a. Full  model</w:t>
            </w:r>
          </w:p>
        </w:tc>
        <w:tc>
          <w:tcPr>
            <w:tcW w:w="723" w:type="dxa"/>
            <w:tcBorders>
              <w:top w:val="nil"/>
              <w:left w:val="nil"/>
              <w:bottom w:val="nil"/>
              <w:right w:val="nil"/>
            </w:tcBorders>
            <w:shd w:val="clear" w:color="auto" w:fill="auto"/>
            <w:noWrap/>
            <w:vAlign w:val="bottom"/>
            <w:hideMark/>
          </w:tcPr>
          <w:p w14:paraId="76D1268D"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-0.33</w:t>
            </w:r>
          </w:p>
        </w:tc>
        <w:tc>
          <w:tcPr>
            <w:tcW w:w="937" w:type="dxa"/>
            <w:tcBorders>
              <w:top w:val="nil"/>
              <w:left w:val="nil"/>
              <w:bottom w:val="nil"/>
              <w:right w:val="nil"/>
            </w:tcBorders>
            <w:shd w:val="clear" w:color="auto" w:fill="auto"/>
            <w:noWrap/>
            <w:vAlign w:val="bottom"/>
            <w:hideMark/>
          </w:tcPr>
          <w:p w14:paraId="50C0EA0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0.51</w:t>
            </w:r>
          </w:p>
        </w:tc>
        <w:tc>
          <w:tcPr>
            <w:tcW w:w="598" w:type="dxa"/>
            <w:tcBorders>
              <w:top w:val="nil"/>
              <w:left w:val="single" w:sz="4" w:space="0" w:color="auto"/>
              <w:bottom w:val="nil"/>
              <w:right w:val="nil"/>
            </w:tcBorders>
            <w:shd w:val="clear" w:color="auto" w:fill="auto"/>
            <w:noWrap/>
            <w:vAlign w:val="bottom"/>
            <w:hideMark/>
          </w:tcPr>
          <w:p w14:paraId="13DF03A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-2.56</w:t>
            </w:r>
          </w:p>
        </w:tc>
        <w:tc>
          <w:tcPr>
            <w:tcW w:w="842" w:type="dxa"/>
            <w:tcBorders>
              <w:top w:val="nil"/>
              <w:left w:val="nil"/>
              <w:bottom w:val="nil"/>
              <w:right w:val="nil"/>
            </w:tcBorders>
            <w:shd w:val="clear" w:color="auto" w:fill="auto"/>
            <w:noWrap/>
            <w:vAlign w:val="bottom"/>
            <w:hideMark/>
          </w:tcPr>
          <w:p w14:paraId="6D9C1A3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0.57</w:t>
            </w:r>
          </w:p>
        </w:tc>
        <w:tc>
          <w:tcPr>
            <w:tcW w:w="648" w:type="dxa"/>
            <w:tcBorders>
              <w:top w:val="nil"/>
              <w:left w:val="nil"/>
              <w:bottom w:val="nil"/>
              <w:right w:val="nil"/>
            </w:tcBorders>
            <w:shd w:val="clear" w:color="auto" w:fill="auto"/>
            <w:noWrap/>
            <w:vAlign w:val="bottom"/>
            <w:hideMark/>
          </w:tcPr>
          <w:p w14:paraId="18A5EC0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0.44</w:t>
            </w:r>
          </w:p>
        </w:tc>
        <w:tc>
          <w:tcPr>
            <w:tcW w:w="912" w:type="dxa"/>
            <w:tcBorders>
              <w:top w:val="nil"/>
              <w:left w:val="nil"/>
              <w:bottom w:val="nil"/>
              <w:right w:val="single" w:sz="4" w:space="0" w:color="auto"/>
            </w:tcBorders>
            <w:shd w:val="clear" w:color="auto" w:fill="auto"/>
            <w:noWrap/>
            <w:vAlign w:val="bottom"/>
            <w:hideMark/>
          </w:tcPr>
          <w:p w14:paraId="305C5F6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0.49</w:t>
            </w:r>
          </w:p>
        </w:tc>
        <w:tc>
          <w:tcPr>
            <w:tcW w:w="606" w:type="dxa"/>
            <w:tcBorders>
              <w:top w:val="nil"/>
              <w:left w:val="nil"/>
              <w:bottom w:val="nil"/>
              <w:right w:val="nil"/>
            </w:tcBorders>
            <w:shd w:val="clear" w:color="auto" w:fill="auto"/>
            <w:noWrap/>
            <w:vAlign w:val="bottom"/>
            <w:hideMark/>
          </w:tcPr>
          <w:p w14:paraId="62C48EE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-2.53</w:t>
            </w:r>
          </w:p>
        </w:tc>
        <w:tc>
          <w:tcPr>
            <w:tcW w:w="854" w:type="dxa"/>
            <w:tcBorders>
              <w:top w:val="nil"/>
              <w:left w:val="nil"/>
              <w:bottom w:val="nil"/>
              <w:right w:val="nil"/>
            </w:tcBorders>
            <w:shd w:val="clear" w:color="auto" w:fill="auto"/>
            <w:noWrap/>
            <w:vAlign w:val="bottom"/>
            <w:hideMark/>
          </w:tcPr>
          <w:p w14:paraId="29AA9B9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0.51</w:t>
            </w:r>
          </w:p>
        </w:tc>
        <w:tc>
          <w:tcPr>
            <w:tcW w:w="518" w:type="dxa"/>
            <w:tcBorders>
              <w:top w:val="nil"/>
              <w:left w:val="nil"/>
              <w:bottom w:val="nil"/>
              <w:right w:val="nil"/>
            </w:tcBorders>
            <w:shd w:val="clear" w:color="auto" w:fill="auto"/>
            <w:noWrap/>
            <w:vAlign w:val="bottom"/>
            <w:hideMark/>
          </w:tcPr>
          <w:p w14:paraId="111EE23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0.68</w:t>
            </w:r>
          </w:p>
        </w:tc>
        <w:tc>
          <w:tcPr>
            <w:tcW w:w="842" w:type="dxa"/>
            <w:tcBorders>
              <w:top w:val="nil"/>
              <w:left w:val="nil"/>
              <w:bottom w:val="nil"/>
              <w:right w:val="single" w:sz="4" w:space="0" w:color="auto"/>
            </w:tcBorders>
            <w:shd w:val="clear" w:color="auto" w:fill="auto"/>
            <w:noWrap/>
            <w:vAlign w:val="bottom"/>
            <w:hideMark/>
          </w:tcPr>
          <w:p w14:paraId="68DA32D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0.5</w:t>
            </w:r>
          </w:p>
        </w:tc>
        <w:tc>
          <w:tcPr>
            <w:tcW w:w="429" w:type="dxa"/>
            <w:tcBorders>
              <w:top w:val="nil"/>
              <w:left w:val="nil"/>
              <w:bottom w:val="nil"/>
              <w:right w:val="nil"/>
            </w:tcBorders>
            <w:shd w:val="clear" w:color="auto" w:fill="auto"/>
            <w:noWrap/>
            <w:vAlign w:val="bottom"/>
            <w:hideMark/>
          </w:tcPr>
          <w:p w14:paraId="15DC9B60" w14:textId="77777777" w:rsidR="001B2857" w:rsidRPr="001B2857" w:rsidRDefault="001B2857" w:rsidP="001B2857">
            <w:pPr>
              <w:spacing w:after="0" w:line="240" w:lineRule="auto"/>
              <w:rPr>
                <w:rFonts w:eastAsia="Times New Roman"/>
                <w:color w:val="000000"/>
                <w:sz w:val="16"/>
                <w:szCs w:val="16"/>
              </w:rPr>
            </w:pPr>
          </w:p>
        </w:tc>
        <w:tc>
          <w:tcPr>
            <w:tcW w:w="1111" w:type="dxa"/>
            <w:tcBorders>
              <w:top w:val="nil"/>
              <w:left w:val="nil"/>
              <w:bottom w:val="nil"/>
              <w:right w:val="nil"/>
            </w:tcBorders>
            <w:shd w:val="clear" w:color="auto" w:fill="auto"/>
            <w:noWrap/>
            <w:vAlign w:val="bottom"/>
            <w:hideMark/>
          </w:tcPr>
          <w:p w14:paraId="4B4179BB" w14:textId="77777777" w:rsidR="001B2857" w:rsidRPr="001B2857" w:rsidRDefault="001B2857" w:rsidP="001B2857">
            <w:pPr>
              <w:spacing w:after="0" w:line="240" w:lineRule="auto"/>
              <w:rPr>
                <w:rFonts w:eastAsia="Times New Roman"/>
                <w:color w:val="000000"/>
                <w:sz w:val="16"/>
                <w:szCs w:val="16"/>
              </w:rPr>
            </w:pPr>
          </w:p>
        </w:tc>
        <w:tc>
          <w:tcPr>
            <w:tcW w:w="395" w:type="dxa"/>
            <w:tcBorders>
              <w:top w:val="nil"/>
              <w:left w:val="nil"/>
              <w:bottom w:val="nil"/>
              <w:right w:val="nil"/>
            </w:tcBorders>
            <w:shd w:val="clear" w:color="auto" w:fill="auto"/>
            <w:noWrap/>
            <w:vAlign w:val="bottom"/>
            <w:hideMark/>
          </w:tcPr>
          <w:p w14:paraId="29E7DC31" w14:textId="77777777" w:rsidR="001B2857" w:rsidRPr="001B2857" w:rsidRDefault="001B2857" w:rsidP="001B2857">
            <w:pPr>
              <w:spacing w:after="0" w:line="240" w:lineRule="auto"/>
              <w:rPr>
                <w:rFonts w:eastAsia="Times New Roman"/>
                <w:color w:val="000000"/>
                <w:sz w:val="16"/>
                <w:szCs w:val="16"/>
              </w:rPr>
            </w:pPr>
          </w:p>
        </w:tc>
        <w:tc>
          <w:tcPr>
            <w:tcW w:w="1025" w:type="dxa"/>
            <w:tcBorders>
              <w:top w:val="nil"/>
              <w:left w:val="nil"/>
              <w:bottom w:val="nil"/>
              <w:right w:val="nil"/>
            </w:tcBorders>
            <w:shd w:val="clear" w:color="auto" w:fill="auto"/>
            <w:noWrap/>
            <w:vAlign w:val="bottom"/>
            <w:hideMark/>
          </w:tcPr>
          <w:p w14:paraId="3EF714CC" w14:textId="77777777" w:rsidR="001B2857" w:rsidRPr="001B2857" w:rsidRDefault="001B2857" w:rsidP="001B2857">
            <w:pPr>
              <w:spacing w:after="0" w:line="240" w:lineRule="auto"/>
              <w:rPr>
                <w:rFonts w:eastAsia="Times New Roman"/>
                <w:color w:val="000000"/>
                <w:sz w:val="16"/>
                <w:szCs w:val="16"/>
              </w:rPr>
            </w:pPr>
          </w:p>
        </w:tc>
      </w:tr>
      <w:tr w:rsidR="001B2857" w:rsidRPr="001B2857" w14:paraId="0593C1EE" w14:textId="77777777" w:rsidTr="001B2857">
        <w:trPr>
          <w:trHeight w:val="22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3A4178B"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b. Parsimonious model</w:t>
            </w:r>
          </w:p>
        </w:tc>
        <w:tc>
          <w:tcPr>
            <w:tcW w:w="723" w:type="dxa"/>
            <w:tcBorders>
              <w:top w:val="nil"/>
              <w:left w:val="nil"/>
              <w:bottom w:val="single" w:sz="4" w:space="0" w:color="auto"/>
              <w:right w:val="nil"/>
            </w:tcBorders>
            <w:shd w:val="clear" w:color="auto" w:fill="auto"/>
            <w:noWrap/>
            <w:vAlign w:val="bottom"/>
            <w:hideMark/>
          </w:tcPr>
          <w:p w14:paraId="3927F7E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-0.02</w:t>
            </w:r>
          </w:p>
        </w:tc>
        <w:tc>
          <w:tcPr>
            <w:tcW w:w="937" w:type="dxa"/>
            <w:tcBorders>
              <w:top w:val="nil"/>
              <w:left w:val="nil"/>
              <w:bottom w:val="single" w:sz="4" w:space="0" w:color="auto"/>
              <w:right w:val="nil"/>
            </w:tcBorders>
            <w:shd w:val="clear" w:color="auto" w:fill="auto"/>
            <w:noWrap/>
            <w:vAlign w:val="bottom"/>
            <w:hideMark/>
          </w:tcPr>
          <w:p w14:paraId="4D5D380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0.75</w:t>
            </w:r>
          </w:p>
        </w:tc>
        <w:tc>
          <w:tcPr>
            <w:tcW w:w="598" w:type="dxa"/>
            <w:tcBorders>
              <w:top w:val="nil"/>
              <w:left w:val="single" w:sz="4" w:space="0" w:color="auto"/>
              <w:bottom w:val="single" w:sz="4" w:space="0" w:color="auto"/>
              <w:right w:val="nil"/>
            </w:tcBorders>
            <w:shd w:val="clear" w:color="auto" w:fill="auto"/>
            <w:noWrap/>
            <w:vAlign w:val="bottom"/>
            <w:hideMark/>
          </w:tcPr>
          <w:p w14:paraId="0C3BFEE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42" w:type="dxa"/>
            <w:tcBorders>
              <w:top w:val="nil"/>
              <w:left w:val="nil"/>
              <w:bottom w:val="single" w:sz="4" w:space="0" w:color="auto"/>
              <w:right w:val="nil"/>
            </w:tcBorders>
            <w:shd w:val="clear" w:color="auto" w:fill="auto"/>
            <w:noWrap/>
            <w:vAlign w:val="bottom"/>
            <w:hideMark/>
          </w:tcPr>
          <w:p w14:paraId="74AD9B0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648" w:type="dxa"/>
            <w:tcBorders>
              <w:top w:val="nil"/>
              <w:left w:val="nil"/>
              <w:bottom w:val="single" w:sz="4" w:space="0" w:color="auto"/>
              <w:right w:val="nil"/>
            </w:tcBorders>
            <w:shd w:val="clear" w:color="auto" w:fill="auto"/>
            <w:noWrap/>
            <w:vAlign w:val="bottom"/>
            <w:hideMark/>
          </w:tcPr>
          <w:p w14:paraId="432182E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2" w:type="dxa"/>
            <w:tcBorders>
              <w:top w:val="nil"/>
              <w:left w:val="nil"/>
              <w:bottom w:val="single" w:sz="4" w:space="0" w:color="auto"/>
              <w:right w:val="single" w:sz="4" w:space="0" w:color="auto"/>
            </w:tcBorders>
            <w:shd w:val="clear" w:color="auto" w:fill="auto"/>
            <w:noWrap/>
            <w:vAlign w:val="bottom"/>
            <w:hideMark/>
          </w:tcPr>
          <w:p w14:paraId="77A8DC9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606" w:type="dxa"/>
            <w:tcBorders>
              <w:top w:val="nil"/>
              <w:left w:val="nil"/>
              <w:bottom w:val="single" w:sz="4" w:space="0" w:color="auto"/>
              <w:right w:val="nil"/>
            </w:tcBorders>
            <w:shd w:val="clear" w:color="auto" w:fill="auto"/>
            <w:noWrap/>
            <w:vAlign w:val="bottom"/>
            <w:hideMark/>
          </w:tcPr>
          <w:p w14:paraId="2422AD6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54" w:type="dxa"/>
            <w:tcBorders>
              <w:top w:val="nil"/>
              <w:left w:val="nil"/>
              <w:bottom w:val="single" w:sz="4" w:space="0" w:color="auto"/>
              <w:right w:val="nil"/>
            </w:tcBorders>
            <w:shd w:val="clear" w:color="auto" w:fill="auto"/>
            <w:noWrap/>
            <w:vAlign w:val="bottom"/>
            <w:hideMark/>
          </w:tcPr>
          <w:p w14:paraId="6162EC4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18" w:type="dxa"/>
            <w:tcBorders>
              <w:top w:val="nil"/>
              <w:left w:val="nil"/>
              <w:bottom w:val="single" w:sz="4" w:space="0" w:color="auto"/>
              <w:right w:val="nil"/>
            </w:tcBorders>
            <w:shd w:val="clear" w:color="auto" w:fill="auto"/>
            <w:noWrap/>
            <w:vAlign w:val="bottom"/>
            <w:hideMark/>
          </w:tcPr>
          <w:p w14:paraId="2B106CC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42" w:type="dxa"/>
            <w:tcBorders>
              <w:top w:val="nil"/>
              <w:left w:val="nil"/>
              <w:bottom w:val="single" w:sz="4" w:space="0" w:color="auto"/>
              <w:right w:val="single" w:sz="4" w:space="0" w:color="auto"/>
            </w:tcBorders>
            <w:shd w:val="clear" w:color="auto" w:fill="auto"/>
            <w:noWrap/>
            <w:vAlign w:val="bottom"/>
            <w:hideMark/>
          </w:tcPr>
          <w:p w14:paraId="30295B6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429" w:type="dxa"/>
            <w:tcBorders>
              <w:top w:val="nil"/>
              <w:left w:val="nil"/>
              <w:bottom w:val="nil"/>
              <w:right w:val="nil"/>
            </w:tcBorders>
            <w:shd w:val="clear" w:color="auto" w:fill="auto"/>
            <w:noWrap/>
            <w:vAlign w:val="bottom"/>
            <w:hideMark/>
          </w:tcPr>
          <w:p w14:paraId="3DA4E4E6" w14:textId="77777777" w:rsidR="001B2857" w:rsidRPr="001B2857" w:rsidRDefault="001B2857" w:rsidP="001B2857">
            <w:pPr>
              <w:spacing w:after="0" w:line="240" w:lineRule="auto"/>
              <w:rPr>
                <w:rFonts w:eastAsia="Times New Roman"/>
                <w:color w:val="000000"/>
                <w:sz w:val="16"/>
                <w:szCs w:val="16"/>
              </w:rPr>
            </w:pPr>
          </w:p>
        </w:tc>
        <w:tc>
          <w:tcPr>
            <w:tcW w:w="1111" w:type="dxa"/>
            <w:tcBorders>
              <w:top w:val="nil"/>
              <w:left w:val="nil"/>
              <w:bottom w:val="nil"/>
              <w:right w:val="nil"/>
            </w:tcBorders>
            <w:shd w:val="clear" w:color="auto" w:fill="auto"/>
            <w:noWrap/>
            <w:vAlign w:val="bottom"/>
            <w:hideMark/>
          </w:tcPr>
          <w:p w14:paraId="79EE1AE7" w14:textId="77777777" w:rsidR="001B2857" w:rsidRPr="001B2857" w:rsidRDefault="001B2857" w:rsidP="001B2857">
            <w:pPr>
              <w:spacing w:after="0" w:line="240" w:lineRule="auto"/>
              <w:rPr>
                <w:rFonts w:eastAsia="Times New Roman"/>
                <w:color w:val="000000"/>
                <w:sz w:val="16"/>
                <w:szCs w:val="16"/>
              </w:rPr>
            </w:pPr>
          </w:p>
        </w:tc>
        <w:tc>
          <w:tcPr>
            <w:tcW w:w="395" w:type="dxa"/>
            <w:tcBorders>
              <w:top w:val="nil"/>
              <w:left w:val="nil"/>
              <w:bottom w:val="nil"/>
              <w:right w:val="nil"/>
            </w:tcBorders>
            <w:shd w:val="clear" w:color="auto" w:fill="auto"/>
            <w:noWrap/>
            <w:vAlign w:val="bottom"/>
            <w:hideMark/>
          </w:tcPr>
          <w:p w14:paraId="3E8AF778" w14:textId="77777777" w:rsidR="001B2857" w:rsidRPr="001B2857" w:rsidRDefault="001B2857" w:rsidP="001B2857">
            <w:pPr>
              <w:spacing w:after="0" w:line="240" w:lineRule="auto"/>
              <w:rPr>
                <w:rFonts w:eastAsia="Times New Roman"/>
                <w:color w:val="000000"/>
                <w:sz w:val="16"/>
                <w:szCs w:val="16"/>
              </w:rPr>
            </w:pPr>
          </w:p>
        </w:tc>
        <w:tc>
          <w:tcPr>
            <w:tcW w:w="1025" w:type="dxa"/>
            <w:tcBorders>
              <w:top w:val="nil"/>
              <w:left w:val="nil"/>
              <w:bottom w:val="nil"/>
              <w:right w:val="nil"/>
            </w:tcBorders>
            <w:shd w:val="clear" w:color="auto" w:fill="auto"/>
            <w:noWrap/>
            <w:vAlign w:val="bottom"/>
            <w:hideMark/>
          </w:tcPr>
          <w:p w14:paraId="744491A1" w14:textId="77777777" w:rsidR="001B2857" w:rsidRPr="001B2857" w:rsidRDefault="001B2857" w:rsidP="001B2857">
            <w:pPr>
              <w:spacing w:after="0" w:line="240" w:lineRule="auto"/>
              <w:rPr>
                <w:rFonts w:eastAsia="Times New Roman"/>
                <w:color w:val="000000"/>
                <w:sz w:val="16"/>
                <w:szCs w:val="16"/>
              </w:rPr>
            </w:pPr>
          </w:p>
        </w:tc>
      </w:tr>
    </w:tbl>
    <w:p w14:paraId="1083856E" w14:textId="77777777" w:rsidR="00C13186" w:rsidRDefault="00C13186" w:rsidP="00C43F88"/>
    <w:p w14:paraId="20A288C2" w14:textId="77777777" w:rsidR="00AA2C46" w:rsidRDefault="00AA2C46" w:rsidP="009D0596">
      <w:pPr>
        <w:pStyle w:val="Caption"/>
        <w:spacing w:line="360" w:lineRule="auto"/>
      </w:pPr>
    </w:p>
    <w:p w14:paraId="16652C02" w14:textId="77777777" w:rsidR="00AA2C46" w:rsidRDefault="00AA2C46" w:rsidP="009D0596">
      <w:pPr>
        <w:pStyle w:val="Caption"/>
        <w:spacing w:line="360" w:lineRule="auto"/>
      </w:pPr>
    </w:p>
    <w:p w14:paraId="4255FEAD" w14:textId="77777777" w:rsidR="00AA2C46" w:rsidRDefault="00AA2C46" w:rsidP="009D0596">
      <w:pPr>
        <w:pStyle w:val="Caption"/>
        <w:spacing w:line="360" w:lineRule="auto"/>
      </w:pPr>
    </w:p>
    <w:p w14:paraId="7818044B" w14:textId="77777777" w:rsidR="00AA2C46" w:rsidRDefault="00AA2C46" w:rsidP="009D0596">
      <w:pPr>
        <w:pStyle w:val="Caption"/>
        <w:spacing w:line="360" w:lineRule="auto"/>
      </w:pPr>
    </w:p>
    <w:p w14:paraId="4C699C18" w14:textId="77777777" w:rsidR="00AA2C46" w:rsidRDefault="00AA2C46" w:rsidP="009D0596">
      <w:pPr>
        <w:pStyle w:val="Caption"/>
        <w:spacing w:line="360" w:lineRule="auto"/>
      </w:pPr>
    </w:p>
    <w:p w14:paraId="0A961F76" w14:textId="77777777" w:rsidR="00AA2C46" w:rsidRDefault="002149AD" w:rsidP="009D0596">
      <w:pPr>
        <w:pStyle w:val="Caption"/>
        <w:spacing w:line="360" w:lineRule="auto"/>
      </w:pPr>
      <w:r>
        <w:lastRenderedPageBreak/>
        <w:pict w14:anchorId="75BA6ADE">
          <v:shape id="_x0000_i1035" type="#_x0000_t75" style="width:7in;height:390.95pt">
            <v:imagedata r:id="rId22" o:title="Mortality_big5"/>
          </v:shape>
        </w:pict>
      </w:r>
    </w:p>
    <w:p w14:paraId="3C41A412" w14:textId="77777777" w:rsidR="009D0596" w:rsidRPr="00591BFC" w:rsidRDefault="009D0596" w:rsidP="009D0596">
      <w:pPr>
        <w:pStyle w:val="Caption"/>
        <w:spacing w:line="360" w:lineRule="auto"/>
      </w:pPr>
      <w:bookmarkStart w:id="228" w:name="_Toc311366713"/>
      <w:r w:rsidRPr="00591BFC">
        <w:t xml:space="preserve">Figure </w:t>
      </w:r>
      <w:r w:rsidR="002149AD">
        <w:fldChar w:fldCharType="begin"/>
      </w:r>
      <w:r w:rsidR="002149AD">
        <w:instrText xml:space="preserve"> SEQ Figure \* ARABIC </w:instrText>
      </w:r>
      <w:r w:rsidR="002149AD">
        <w:fldChar w:fldCharType="separate"/>
      </w:r>
      <w:r w:rsidR="00345A4D">
        <w:rPr>
          <w:noProof/>
        </w:rPr>
        <w:t>11</w:t>
      </w:r>
      <w:r w:rsidR="002149AD">
        <w:rPr>
          <w:noProof/>
        </w:rPr>
        <w:fldChar w:fldCharType="end"/>
      </w:r>
      <w:r w:rsidRPr="00591BFC">
        <w:t xml:space="preserve"> </w:t>
      </w:r>
      <w:r>
        <w:t>Q</w:t>
      </w:r>
      <w:r w:rsidRPr="00591278">
        <w:t>uarterly regional trends in mortality (30-day and 1-year) after primary hip fracture during the study period</w:t>
      </w:r>
      <w:r>
        <w:t>, by hospital</w:t>
      </w:r>
      <w:bookmarkEnd w:id="228"/>
    </w:p>
    <w:p w14:paraId="3D4014D7" w14:textId="77777777" w:rsidR="009D0596" w:rsidRDefault="009D0596" w:rsidP="00C43F88"/>
    <w:p w14:paraId="5E6C4ED3" w14:textId="77777777" w:rsidR="0028664B" w:rsidRDefault="0028664B" w:rsidP="0028664B">
      <w:pPr>
        <w:pStyle w:val="Caption"/>
        <w:keepNext/>
        <w:spacing w:line="360" w:lineRule="auto"/>
      </w:pPr>
      <w:bookmarkStart w:id="229" w:name="_Toc308262408"/>
      <w:bookmarkStart w:id="230" w:name="_Toc311366674"/>
      <w:r w:rsidRPr="00591BFC">
        <w:lastRenderedPageBreak/>
        <w:t xml:space="preserve">Table </w:t>
      </w:r>
      <w:r w:rsidR="002149AD">
        <w:fldChar w:fldCharType="begin"/>
      </w:r>
      <w:r w:rsidR="002149AD">
        <w:instrText xml:space="preserve"> SEQ Table \* ARABIC </w:instrText>
      </w:r>
      <w:r w:rsidR="002149AD">
        <w:fldChar w:fldCharType="separate"/>
      </w:r>
      <w:r w:rsidR="00531379">
        <w:rPr>
          <w:noProof/>
        </w:rPr>
        <w:t>13</w:t>
      </w:r>
      <w:r w:rsidR="002149AD">
        <w:rPr>
          <w:noProof/>
        </w:rPr>
        <w:fldChar w:fldCharType="end"/>
      </w:r>
      <w:r w:rsidRPr="00591BFC">
        <w:t xml:space="preserve"> </w:t>
      </w:r>
      <w:r>
        <w:t xml:space="preserve">Results of segmented linear regression models for </w:t>
      </w:r>
      <w:r w:rsidR="00E6325B">
        <w:t>30-day mortality</w:t>
      </w:r>
      <w:r w:rsidR="009D0596">
        <w:t xml:space="preserve"> for each hospital</w:t>
      </w:r>
      <w:bookmarkEnd w:id="229"/>
      <w:bookmarkEnd w:id="230"/>
    </w:p>
    <w:tbl>
      <w:tblPr>
        <w:tblW w:w="12181" w:type="dxa"/>
        <w:tblInd w:w="93" w:type="dxa"/>
        <w:tblLook w:val="04A0" w:firstRow="1" w:lastRow="0" w:firstColumn="1" w:lastColumn="0" w:noHBand="0" w:noVBand="1"/>
      </w:tblPr>
      <w:tblGrid>
        <w:gridCol w:w="1740"/>
        <w:gridCol w:w="723"/>
        <w:gridCol w:w="937"/>
        <w:gridCol w:w="615"/>
        <w:gridCol w:w="861"/>
        <w:gridCol w:w="664"/>
        <w:gridCol w:w="861"/>
        <w:gridCol w:w="586"/>
        <w:gridCol w:w="824"/>
        <w:gridCol w:w="586"/>
        <w:gridCol w:w="824"/>
        <w:gridCol w:w="563"/>
        <w:gridCol w:w="917"/>
        <w:gridCol w:w="563"/>
        <w:gridCol w:w="917"/>
      </w:tblGrid>
      <w:tr w:rsidR="001B2857" w:rsidRPr="001B2857" w14:paraId="42DB5E9C" w14:textId="77777777" w:rsidTr="001B2857">
        <w:trPr>
          <w:trHeight w:val="220"/>
        </w:trPr>
        <w:tc>
          <w:tcPr>
            <w:tcW w:w="1740" w:type="dxa"/>
            <w:tcBorders>
              <w:top w:val="single" w:sz="4" w:space="0" w:color="auto"/>
              <w:left w:val="single" w:sz="4" w:space="0" w:color="auto"/>
              <w:bottom w:val="nil"/>
              <w:right w:val="single" w:sz="4" w:space="0" w:color="auto"/>
            </w:tcBorders>
            <w:shd w:val="clear" w:color="000000" w:fill="FFFFFF"/>
            <w:noWrap/>
            <w:vAlign w:val="bottom"/>
            <w:hideMark/>
          </w:tcPr>
          <w:p w14:paraId="7C18E2DE"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 </w:t>
            </w:r>
          </w:p>
        </w:tc>
        <w:tc>
          <w:tcPr>
            <w:tcW w:w="1660"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61C46644"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Baseline</w:t>
            </w:r>
          </w:p>
        </w:tc>
        <w:tc>
          <w:tcPr>
            <w:tcW w:w="3001"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46943637"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Intervention 1</w:t>
            </w:r>
          </w:p>
        </w:tc>
        <w:tc>
          <w:tcPr>
            <w:tcW w:w="2820"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3EF0AAF5"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Intervention 2</w:t>
            </w:r>
          </w:p>
        </w:tc>
        <w:tc>
          <w:tcPr>
            <w:tcW w:w="2960"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31DB3DB7"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Intervention 3</w:t>
            </w:r>
          </w:p>
        </w:tc>
      </w:tr>
      <w:tr w:rsidR="001B2857" w:rsidRPr="001B2857" w14:paraId="2E13A552"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74C96B4C"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 </w:t>
            </w:r>
          </w:p>
        </w:tc>
        <w:tc>
          <w:tcPr>
            <w:tcW w:w="1660"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6E2640A3"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Baseline Trend</w:t>
            </w:r>
          </w:p>
        </w:tc>
        <w:tc>
          <w:tcPr>
            <w:tcW w:w="1476" w:type="dxa"/>
            <w:gridSpan w:val="2"/>
            <w:tcBorders>
              <w:top w:val="single" w:sz="4" w:space="0" w:color="auto"/>
              <w:left w:val="nil"/>
              <w:bottom w:val="single" w:sz="4" w:space="0" w:color="auto"/>
              <w:right w:val="nil"/>
            </w:tcBorders>
            <w:shd w:val="clear" w:color="000000" w:fill="FFFFFF"/>
            <w:noWrap/>
            <w:vAlign w:val="center"/>
            <w:hideMark/>
          </w:tcPr>
          <w:p w14:paraId="4C8A9B22"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Step change</w:t>
            </w:r>
          </w:p>
        </w:tc>
        <w:tc>
          <w:tcPr>
            <w:tcW w:w="1525"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7C6E532C"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Slope change</w:t>
            </w:r>
          </w:p>
        </w:tc>
        <w:tc>
          <w:tcPr>
            <w:tcW w:w="1410" w:type="dxa"/>
            <w:gridSpan w:val="2"/>
            <w:tcBorders>
              <w:top w:val="single" w:sz="4" w:space="0" w:color="auto"/>
              <w:left w:val="nil"/>
              <w:bottom w:val="single" w:sz="4" w:space="0" w:color="auto"/>
              <w:right w:val="nil"/>
            </w:tcBorders>
            <w:shd w:val="clear" w:color="000000" w:fill="FFFFFF"/>
            <w:noWrap/>
            <w:vAlign w:val="center"/>
            <w:hideMark/>
          </w:tcPr>
          <w:p w14:paraId="2F79A770"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Step change</w:t>
            </w:r>
          </w:p>
        </w:tc>
        <w:tc>
          <w:tcPr>
            <w:tcW w:w="1410"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69192F41"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Slope change</w:t>
            </w:r>
          </w:p>
        </w:tc>
        <w:tc>
          <w:tcPr>
            <w:tcW w:w="1480" w:type="dxa"/>
            <w:gridSpan w:val="2"/>
            <w:tcBorders>
              <w:top w:val="single" w:sz="4" w:space="0" w:color="auto"/>
              <w:left w:val="nil"/>
              <w:bottom w:val="single" w:sz="4" w:space="0" w:color="auto"/>
              <w:right w:val="nil"/>
            </w:tcBorders>
            <w:shd w:val="clear" w:color="000000" w:fill="FFFFFF"/>
            <w:noWrap/>
            <w:vAlign w:val="center"/>
            <w:hideMark/>
          </w:tcPr>
          <w:p w14:paraId="0636B9F7"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Step change</w:t>
            </w:r>
          </w:p>
        </w:tc>
        <w:tc>
          <w:tcPr>
            <w:tcW w:w="1480"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7C88FB0A"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Slope change</w:t>
            </w:r>
          </w:p>
        </w:tc>
      </w:tr>
      <w:tr w:rsidR="001B2857" w:rsidRPr="001B2857" w14:paraId="7DC6AC47"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42BA09D7"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 </w:t>
            </w:r>
          </w:p>
        </w:tc>
        <w:tc>
          <w:tcPr>
            <w:tcW w:w="723" w:type="dxa"/>
            <w:vMerge w:val="restart"/>
            <w:tcBorders>
              <w:top w:val="nil"/>
              <w:left w:val="single" w:sz="4" w:space="0" w:color="auto"/>
              <w:bottom w:val="single" w:sz="4" w:space="0" w:color="000000"/>
              <w:right w:val="nil"/>
            </w:tcBorders>
            <w:shd w:val="clear" w:color="000000" w:fill="FFFFFF"/>
            <w:noWrap/>
            <w:vAlign w:val="center"/>
            <w:hideMark/>
          </w:tcPr>
          <w:p w14:paraId="761848C8"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β1</w:t>
            </w:r>
          </w:p>
        </w:tc>
        <w:tc>
          <w:tcPr>
            <w:tcW w:w="937" w:type="dxa"/>
            <w:vMerge w:val="restart"/>
            <w:tcBorders>
              <w:top w:val="nil"/>
              <w:left w:val="nil"/>
              <w:bottom w:val="single" w:sz="4" w:space="0" w:color="000000"/>
              <w:right w:val="single" w:sz="4" w:space="0" w:color="auto"/>
            </w:tcBorders>
            <w:shd w:val="clear" w:color="000000" w:fill="FFFFFF"/>
            <w:noWrap/>
            <w:vAlign w:val="center"/>
            <w:hideMark/>
          </w:tcPr>
          <w:p w14:paraId="1CAD0C08"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615" w:type="dxa"/>
            <w:vMerge w:val="restart"/>
            <w:tcBorders>
              <w:top w:val="nil"/>
              <w:left w:val="single" w:sz="4" w:space="0" w:color="auto"/>
              <w:bottom w:val="nil"/>
              <w:right w:val="nil"/>
            </w:tcBorders>
            <w:shd w:val="clear" w:color="000000" w:fill="FFFFFF"/>
            <w:noWrap/>
            <w:vAlign w:val="center"/>
            <w:hideMark/>
          </w:tcPr>
          <w:p w14:paraId="35B34D9F"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β2</w:t>
            </w:r>
          </w:p>
        </w:tc>
        <w:tc>
          <w:tcPr>
            <w:tcW w:w="861" w:type="dxa"/>
            <w:vMerge w:val="restart"/>
            <w:tcBorders>
              <w:top w:val="nil"/>
              <w:left w:val="nil"/>
              <w:bottom w:val="nil"/>
              <w:right w:val="single" w:sz="4" w:space="0" w:color="auto"/>
            </w:tcBorders>
            <w:shd w:val="clear" w:color="000000" w:fill="FFFFFF"/>
            <w:noWrap/>
            <w:vAlign w:val="center"/>
            <w:hideMark/>
          </w:tcPr>
          <w:p w14:paraId="3AB5A7E0"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664" w:type="dxa"/>
            <w:vMerge w:val="restart"/>
            <w:tcBorders>
              <w:top w:val="nil"/>
              <w:left w:val="nil"/>
              <w:bottom w:val="nil"/>
              <w:right w:val="nil"/>
            </w:tcBorders>
            <w:shd w:val="clear" w:color="000000" w:fill="FFFFFF"/>
            <w:noWrap/>
            <w:vAlign w:val="center"/>
            <w:hideMark/>
          </w:tcPr>
          <w:p w14:paraId="65F6116B"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β3</w:t>
            </w:r>
          </w:p>
        </w:tc>
        <w:tc>
          <w:tcPr>
            <w:tcW w:w="861" w:type="dxa"/>
            <w:vMerge w:val="restart"/>
            <w:tcBorders>
              <w:top w:val="nil"/>
              <w:left w:val="nil"/>
              <w:bottom w:val="nil"/>
              <w:right w:val="nil"/>
            </w:tcBorders>
            <w:shd w:val="clear" w:color="000000" w:fill="FFFFFF"/>
            <w:noWrap/>
            <w:vAlign w:val="center"/>
            <w:hideMark/>
          </w:tcPr>
          <w:p w14:paraId="2C0715EE"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586" w:type="dxa"/>
            <w:vMerge w:val="restart"/>
            <w:tcBorders>
              <w:top w:val="nil"/>
              <w:left w:val="single" w:sz="4" w:space="0" w:color="auto"/>
              <w:bottom w:val="nil"/>
              <w:right w:val="nil"/>
            </w:tcBorders>
            <w:shd w:val="clear" w:color="000000" w:fill="FFFFFF"/>
            <w:noWrap/>
            <w:vAlign w:val="center"/>
            <w:hideMark/>
          </w:tcPr>
          <w:p w14:paraId="26E1200F"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β4</w:t>
            </w:r>
          </w:p>
        </w:tc>
        <w:tc>
          <w:tcPr>
            <w:tcW w:w="824" w:type="dxa"/>
            <w:vMerge w:val="restart"/>
            <w:tcBorders>
              <w:top w:val="nil"/>
              <w:left w:val="nil"/>
              <w:bottom w:val="nil"/>
              <w:right w:val="nil"/>
            </w:tcBorders>
            <w:shd w:val="clear" w:color="000000" w:fill="FFFFFF"/>
            <w:noWrap/>
            <w:vAlign w:val="center"/>
            <w:hideMark/>
          </w:tcPr>
          <w:p w14:paraId="259795B3"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586" w:type="dxa"/>
            <w:vMerge w:val="restart"/>
            <w:tcBorders>
              <w:top w:val="nil"/>
              <w:left w:val="single" w:sz="4" w:space="0" w:color="auto"/>
              <w:bottom w:val="nil"/>
              <w:right w:val="nil"/>
            </w:tcBorders>
            <w:shd w:val="clear" w:color="000000" w:fill="FFFFFF"/>
            <w:noWrap/>
            <w:vAlign w:val="center"/>
            <w:hideMark/>
          </w:tcPr>
          <w:p w14:paraId="4356BAFC"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β5</w:t>
            </w:r>
          </w:p>
        </w:tc>
        <w:tc>
          <w:tcPr>
            <w:tcW w:w="824" w:type="dxa"/>
            <w:vMerge w:val="restart"/>
            <w:tcBorders>
              <w:top w:val="nil"/>
              <w:left w:val="nil"/>
              <w:bottom w:val="nil"/>
              <w:right w:val="single" w:sz="4" w:space="0" w:color="auto"/>
            </w:tcBorders>
            <w:shd w:val="clear" w:color="000000" w:fill="FFFFFF"/>
            <w:noWrap/>
            <w:vAlign w:val="center"/>
            <w:hideMark/>
          </w:tcPr>
          <w:p w14:paraId="71502FE8"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563" w:type="dxa"/>
            <w:vMerge w:val="restart"/>
            <w:tcBorders>
              <w:top w:val="nil"/>
              <w:left w:val="single" w:sz="4" w:space="0" w:color="auto"/>
              <w:bottom w:val="nil"/>
              <w:right w:val="nil"/>
            </w:tcBorders>
            <w:shd w:val="clear" w:color="000000" w:fill="FFFFFF"/>
            <w:noWrap/>
            <w:vAlign w:val="center"/>
            <w:hideMark/>
          </w:tcPr>
          <w:p w14:paraId="2C4AD9BC"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β6</w:t>
            </w:r>
          </w:p>
        </w:tc>
        <w:tc>
          <w:tcPr>
            <w:tcW w:w="917" w:type="dxa"/>
            <w:vMerge w:val="restart"/>
            <w:tcBorders>
              <w:top w:val="nil"/>
              <w:left w:val="nil"/>
              <w:bottom w:val="nil"/>
              <w:right w:val="nil"/>
            </w:tcBorders>
            <w:shd w:val="clear" w:color="000000" w:fill="FFFFFF"/>
            <w:noWrap/>
            <w:vAlign w:val="center"/>
            <w:hideMark/>
          </w:tcPr>
          <w:p w14:paraId="4E8FBDEA"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563" w:type="dxa"/>
            <w:vMerge w:val="restart"/>
            <w:tcBorders>
              <w:top w:val="nil"/>
              <w:left w:val="single" w:sz="4" w:space="0" w:color="auto"/>
              <w:bottom w:val="nil"/>
              <w:right w:val="nil"/>
            </w:tcBorders>
            <w:shd w:val="clear" w:color="000000" w:fill="FFFFFF"/>
            <w:noWrap/>
            <w:vAlign w:val="center"/>
            <w:hideMark/>
          </w:tcPr>
          <w:p w14:paraId="7B7591D2"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β7</w:t>
            </w:r>
          </w:p>
        </w:tc>
        <w:tc>
          <w:tcPr>
            <w:tcW w:w="917" w:type="dxa"/>
            <w:vMerge w:val="restart"/>
            <w:tcBorders>
              <w:top w:val="nil"/>
              <w:left w:val="nil"/>
              <w:bottom w:val="nil"/>
              <w:right w:val="single" w:sz="4" w:space="0" w:color="auto"/>
            </w:tcBorders>
            <w:shd w:val="clear" w:color="000000" w:fill="FFFFFF"/>
            <w:noWrap/>
            <w:vAlign w:val="center"/>
            <w:hideMark/>
          </w:tcPr>
          <w:p w14:paraId="686820FE"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r>
      <w:tr w:rsidR="001B2857" w:rsidRPr="001B2857" w14:paraId="77007B0B"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49CC113C"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 </w:t>
            </w:r>
          </w:p>
        </w:tc>
        <w:tc>
          <w:tcPr>
            <w:tcW w:w="723" w:type="dxa"/>
            <w:vMerge/>
            <w:tcBorders>
              <w:top w:val="nil"/>
              <w:left w:val="single" w:sz="4" w:space="0" w:color="auto"/>
              <w:bottom w:val="single" w:sz="4" w:space="0" w:color="000000"/>
              <w:right w:val="nil"/>
            </w:tcBorders>
            <w:vAlign w:val="center"/>
            <w:hideMark/>
          </w:tcPr>
          <w:p w14:paraId="34BE04F0" w14:textId="77777777" w:rsidR="001B2857" w:rsidRPr="001B2857" w:rsidRDefault="001B2857" w:rsidP="001B2857">
            <w:pPr>
              <w:spacing w:after="0" w:line="240" w:lineRule="auto"/>
              <w:rPr>
                <w:rFonts w:eastAsia="Times New Roman"/>
                <w:color w:val="000000"/>
                <w:sz w:val="16"/>
                <w:szCs w:val="16"/>
              </w:rPr>
            </w:pPr>
          </w:p>
        </w:tc>
        <w:tc>
          <w:tcPr>
            <w:tcW w:w="937" w:type="dxa"/>
            <w:vMerge/>
            <w:tcBorders>
              <w:top w:val="nil"/>
              <w:left w:val="nil"/>
              <w:bottom w:val="single" w:sz="4" w:space="0" w:color="000000"/>
              <w:right w:val="single" w:sz="4" w:space="0" w:color="auto"/>
            </w:tcBorders>
            <w:vAlign w:val="center"/>
            <w:hideMark/>
          </w:tcPr>
          <w:p w14:paraId="78D0325E" w14:textId="77777777" w:rsidR="001B2857" w:rsidRPr="001B2857" w:rsidRDefault="001B2857" w:rsidP="001B2857">
            <w:pPr>
              <w:spacing w:after="0" w:line="240" w:lineRule="auto"/>
              <w:rPr>
                <w:rFonts w:eastAsia="Times New Roman"/>
                <w:color w:val="000000"/>
                <w:sz w:val="16"/>
                <w:szCs w:val="16"/>
              </w:rPr>
            </w:pPr>
          </w:p>
        </w:tc>
        <w:tc>
          <w:tcPr>
            <w:tcW w:w="615" w:type="dxa"/>
            <w:vMerge/>
            <w:tcBorders>
              <w:top w:val="nil"/>
              <w:left w:val="single" w:sz="4" w:space="0" w:color="auto"/>
              <w:bottom w:val="nil"/>
              <w:right w:val="nil"/>
            </w:tcBorders>
            <w:vAlign w:val="center"/>
            <w:hideMark/>
          </w:tcPr>
          <w:p w14:paraId="66292F6A" w14:textId="77777777" w:rsidR="001B2857" w:rsidRPr="001B2857" w:rsidRDefault="001B2857" w:rsidP="001B2857">
            <w:pPr>
              <w:spacing w:after="0" w:line="240" w:lineRule="auto"/>
              <w:rPr>
                <w:rFonts w:eastAsia="Times New Roman"/>
                <w:color w:val="000000"/>
                <w:sz w:val="16"/>
                <w:szCs w:val="16"/>
              </w:rPr>
            </w:pPr>
          </w:p>
        </w:tc>
        <w:tc>
          <w:tcPr>
            <w:tcW w:w="861" w:type="dxa"/>
            <w:vMerge/>
            <w:tcBorders>
              <w:top w:val="nil"/>
              <w:left w:val="nil"/>
              <w:bottom w:val="nil"/>
              <w:right w:val="single" w:sz="4" w:space="0" w:color="auto"/>
            </w:tcBorders>
            <w:vAlign w:val="center"/>
            <w:hideMark/>
          </w:tcPr>
          <w:p w14:paraId="550CEBAB" w14:textId="77777777" w:rsidR="001B2857" w:rsidRPr="001B2857" w:rsidRDefault="001B2857" w:rsidP="001B2857">
            <w:pPr>
              <w:spacing w:after="0" w:line="240" w:lineRule="auto"/>
              <w:rPr>
                <w:rFonts w:eastAsia="Times New Roman"/>
                <w:color w:val="000000"/>
                <w:sz w:val="16"/>
                <w:szCs w:val="16"/>
              </w:rPr>
            </w:pPr>
          </w:p>
        </w:tc>
        <w:tc>
          <w:tcPr>
            <w:tcW w:w="664" w:type="dxa"/>
            <w:vMerge/>
            <w:tcBorders>
              <w:top w:val="nil"/>
              <w:left w:val="nil"/>
              <w:bottom w:val="nil"/>
              <w:right w:val="nil"/>
            </w:tcBorders>
            <w:vAlign w:val="center"/>
            <w:hideMark/>
          </w:tcPr>
          <w:p w14:paraId="6BB9EA1E" w14:textId="77777777" w:rsidR="001B2857" w:rsidRPr="001B2857" w:rsidRDefault="001B2857" w:rsidP="001B2857">
            <w:pPr>
              <w:spacing w:after="0" w:line="240" w:lineRule="auto"/>
              <w:rPr>
                <w:rFonts w:eastAsia="Times New Roman"/>
                <w:color w:val="000000"/>
                <w:sz w:val="16"/>
                <w:szCs w:val="16"/>
              </w:rPr>
            </w:pPr>
          </w:p>
        </w:tc>
        <w:tc>
          <w:tcPr>
            <w:tcW w:w="861" w:type="dxa"/>
            <w:vMerge/>
            <w:tcBorders>
              <w:top w:val="nil"/>
              <w:left w:val="nil"/>
              <w:bottom w:val="nil"/>
              <w:right w:val="nil"/>
            </w:tcBorders>
            <w:vAlign w:val="center"/>
            <w:hideMark/>
          </w:tcPr>
          <w:p w14:paraId="5657696C" w14:textId="77777777" w:rsidR="001B2857" w:rsidRPr="001B2857" w:rsidRDefault="001B2857" w:rsidP="001B2857">
            <w:pPr>
              <w:spacing w:after="0" w:line="240" w:lineRule="auto"/>
              <w:rPr>
                <w:rFonts w:eastAsia="Times New Roman"/>
                <w:color w:val="000000"/>
                <w:sz w:val="16"/>
                <w:szCs w:val="16"/>
              </w:rPr>
            </w:pPr>
          </w:p>
        </w:tc>
        <w:tc>
          <w:tcPr>
            <w:tcW w:w="586" w:type="dxa"/>
            <w:vMerge/>
            <w:tcBorders>
              <w:top w:val="nil"/>
              <w:left w:val="single" w:sz="4" w:space="0" w:color="auto"/>
              <w:bottom w:val="nil"/>
              <w:right w:val="nil"/>
            </w:tcBorders>
            <w:vAlign w:val="center"/>
            <w:hideMark/>
          </w:tcPr>
          <w:p w14:paraId="72743D0E" w14:textId="77777777" w:rsidR="001B2857" w:rsidRPr="001B2857" w:rsidRDefault="001B2857" w:rsidP="001B2857">
            <w:pPr>
              <w:spacing w:after="0" w:line="240" w:lineRule="auto"/>
              <w:rPr>
                <w:rFonts w:eastAsia="Times New Roman"/>
                <w:color w:val="000000"/>
                <w:sz w:val="16"/>
                <w:szCs w:val="16"/>
              </w:rPr>
            </w:pPr>
          </w:p>
        </w:tc>
        <w:tc>
          <w:tcPr>
            <w:tcW w:w="824" w:type="dxa"/>
            <w:vMerge/>
            <w:tcBorders>
              <w:top w:val="nil"/>
              <w:left w:val="nil"/>
              <w:bottom w:val="nil"/>
              <w:right w:val="nil"/>
            </w:tcBorders>
            <w:vAlign w:val="center"/>
            <w:hideMark/>
          </w:tcPr>
          <w:p w14:paraId="705746B5" w14:textId="77777777" w:rsidR="001B2857" w:rsidRPr="001B2857" w:rsidRDefault="001B2857" w:rsidP="001B2857">
            <w:pPr>
              <w:spacing w:after="0" w:line="240" w:lineRule="auto"/>
              <w:rPr>
                <w:rFonts w:eastAsia="Times New Roman"/>
                <w:color w:val="000000"/>
                <w:sz w:val="16"/>
                <w:szCs w:val="16"/>
              </w:rPr>
            </w:pPr>
          </w:p>
        </w:tc>
        <w:tc>
          <w:tcPr>
            <w:tcW w:w="586" w:type="dxa"/>
            <w:vMerge/>
            <w:tcBorders>
              <w:top w:val="nil"/>
              <w:left w:val="single" w:sz="4" w:space="0" w:color="auto"/>
              <w:bottom w:val="nil"/>
              <w:right w:val="nil"/>
            </w:tcBorders>
            <w:vAlign w:val="center"/>
            <w:hideMark/>
          </w:tcPr>
          <w:p w14:paraId="5F407B13" w14:textId="77777777" w:rsidR="001B2857" w:rsidRPr="001B2857" w:rsidRDefault="001B2857" w:rsidP="001B2857">
            <w:pPr>
              <w:spacing w:after="0" w:line="240" w:lineRule="auto"/>
              <w:rPr>
                <w:rFonts w:eastAsia="Times New Roman"/>
                <w:color w:val="000000"/>
                <w:sz w:val="16"/>
                <w:szCs w:val="16"/>
              </w:rPr>
            </w:pPr>
          </w:p>
        </w:tc>
        <w:tc>
          <w:tcPr>
            <w:tcW w:w="824" w:type="dxa"/>
            <w:vMerge/>
            <w:tcBorders>
              <w:top w:val="nil"/>
              <w:left w:val="nil"/>
              <w:bottom w:val="nil"/>
              <w:right w:val="single" w:sz="4" w:space="0" w:color="auto"/>
            </w:tcBorders>
            <w:vAlign w:val="center"/>
            <w:hideMark/>
          </w:tcPr>
          <w:p w14:paraId="47BE6257" w14:textId="77777777" w:rsidR="001B2857" w:rsidRPr="001B2857" w:rsidRDefault="001B2857" w:rsidP="001B2857">
            <w:pPr>
              <w:spacing w:after="0" w:line="240" w:lineRule="auto"/>
              <w:rPr>
                <w:rFonts w:eastAsia="Times New Roman"/>
                <w:color w:val="000000"/>
                <w:sz w:val="16"/>
                <w:szCs w:val="16"/>
              </w:rPr>
            </w:pPr>
          </w:p>
        </w:tc>
        <w:tc>
          <w:tcPr>
            <w:tcW w:w="563" w:type="dxa"/>
            <w:vMerge/>
            <w:tcBorders>
              <w:top w:val="nil"/>
              <w:left w:val="single" w:sz="4" w:space="0" w:color="auto"/>
              <w:bottom w:val="nil"/>
              <w:right w:val="nil"/>
            </w:tcBorders>
            <w:vAlign w:val="center"/>
            <w:hideMark/>
          </w:tcPr>
          <w:p w14:paraId="6DCF86A8" w14:textId="77777777" w:rsidR="001B2857" w:rsidRPr="001B2857" w:rsidRDefault="001B2857" w:rsidP="001B2857">
            <w:pPr>
              <w:spacing w:after="0" w:line="240" w:lineRule="auto"/>
              <w:rPr>
                <w:rFonts w:eastAsia="Times New Roman"/>
                <w:color w:val="000000"/>
                <w:sz w:val="16"/>
                <w:szCs w:val="16"/>
              </w:rPr>
            </w:pPr>
          </w:p>
        </w:tc>
        <w:tc>
          <w:tcPr>
            <w:tcW w:w="917" w:type="dxa"/>
            <w:vMerge/>
            <w:tcBorders>
              <w:top w:val="nil"/>
              <w:left w:val="nil"/>
              <w:bottom w:val="nil"/>
              <w:right w:val="nil"/>
            </w:tcBorders>
            <w:vAlign w:val="center"/>
            <w:hideMark/>
          </w:tcPr>
          <w:p w14:paraId="4D6DE02E" w14:textId="77777777" w:rsidR="001B2857" w:rsidRPr="001B2857" w:rsidRDefault="001B2857" w:rsidP="001B2857">
            <w:pPr>
              <w:spacing w:after="0" w:line="240" w:lineRule="auto"/>
              <w:rPr>
                <w:rFonts w:eastAsia="Times New Roman"/>
                <w:color w:val="000000"/>
                <w:sz w:val="16"/>
                <w:szCs w:val="16"/>
              </w:rPr>
            </w:pPr>
          </w:p>
        </w:tc>
        <w:tc>
          <w:tcPr>
            <w:tcW w:w="563" w:type="dxa"/>
            <w:vMerge/>
            <w:tcBorders>
              <w:top w:val="nil"/>
              <w:left w:val="single" w:sz="4" w:space="0" w:color="auto"/>
              <w:bottom w:val="nil"/>
              <w:right w:val="nil"/>
            </w:tcBorders>
            <w:vAlign w:val="center"/>
            <w:hideMark/>
          </w:tcPr>
          <w:p w14:paraId="0B3E1603" w14:textId="77777777" w:rsidR="001B2857" w:rsidRPr="001B2857" w:rsidRDefault="001B2857" w:rsidP="001B2857">
            <w:pPr>
              <w:spacing w:after="0" w:line="240" w:lineRule="auto"/>
              <w:rPr>
                <w:rFonts w:eastAsia="Times New Roman"/>
                <w:color w:val="000000"/>
                <w:sz w:val="16"/>
                <w:szCs w:val="16"/>
              </w:rPr>
            </w:pPr>
          </w:p>
        </w:tc>
        <w:tc>
          <w:tcPr>
            <w:tcW w:w="917" w:type="dxa"/>
            <w:vMerge/>
            <w:tcBorders>
              <w:top w:val="nil"/>
              <w:left w:val="nil"/>
              <w:bottom w:val="nil"/>
              <w:right w:val="single" w:sz="4" w:space="0" w:color="auto"/>
            </w:tcBorders>
            <w:vAlign w:val="center"/>
            <w:hideMark/>
          </w:tcPr>
          <w:p w14:paraId="67DF27A3" w14:textId="77777777" w:rsidR="001B2857" w:rsidRPr="001B2857" w:rsidRDefault="001B2857" w:rsidP="001B2857">
            <w:pPr>
              <w:spacing w:after="0" w:line="240" w:lineRule="auto"/>
              <w:rPr>
                <w:rFonts w:eastAsia="Times New Roman"/>
                <w:color w:val="000000"/>
                <w:sz w:val="16"/>
                <w:szCs w:val="16"/>
              </w:rPr>
            </w:pPr>
          </w:p>
        </w:tc>
      </w:tr>
      <w:tr w:rsidR="001B2857" w:rsidRPr="001B2857" w14:paraId="45516F24"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687D453D" w14:textId="77777777" w:rsidR="001B2857" w:rsidRPr="001B2857" w:rsidRDefault="001B2857" w:rsidP="001B2857">
            <w:pPr>
              <w:spacing w:after="0" w:line="240" w:lineRule="auto"/>
              <w:rPr>
                <w:rFonts w:eastAsia="Times New Roman"/>
                <w:sz w:val="16"/>
                <w:szCs w:val="16"/>
                <w:u w:val="single"/>
              </w:rPr>
            </w:pPr>
            <w:r w:rsidRPr="001B2857">
              <w:rPr>
                <w:rFonts w:eastAsia="Times New Roman"/>
                <w:sz w:val="16"/>
                <w:szCs w:val="16"/>
                <w:u w:val="single"/>
              </w:rPr>
              <w:t>Hospital 10</w:t>
            </w:r>
          </w:p>
        </w:tc>
        <w:tc>
          <w:tcPr>
            <w:tcW w:w="723" w:type="dxa"/>
            <w:tcBorders>
              <w:top w:val="nil"/>
              <w:left w:val="nil"/>
              <w:bottom w:val="nil"/>
              <w:right w:val="nil"/>
            </w:tcBorders>
            <w:shd w:val="clear" w:color="000000" w:fill="FFFFFF"/>
            <w:noWrap/>
            <w:vAlign w:val="bottom"/>
            <w:hideMark/>
          </w:tcPr>
          <w:p w14:paraId="28D612E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37" w:type="dxa"/>
            <w:tcBorders>
              <w:top w:val="nil"/>
              <w:left w:val="nil"/>
              <w:bottom w:val="nil"/>
              <w:right w:val="nil"/>
            </w:tcBorders>
            <w:shd w:val="clear" w:color="000000" w:fill="FFFFFF"/>
            <w:noWrap/>
            <w:vAlign w:val="bottom"/>
            <w:hideMark/>
          </w:tcPr>
          <w:p w14:paraId="379FBDF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3001" w:type="dxa"/>
            <w:gridSpan w:val="4"/>
            <w:tcBorders>
              <w:top w:val="single" w:sz="4" w:space="0" w:color="auto"/>
              <w:left w:val="single" w:sz="4" w:space="0" w:color="auto"/>
              <w:bottom w:val="nil"/>
              <w:right w:val="single" w:sz="4" w:space="0" w:color="000000"/>
            </w:tcBorders>
            <w:shd w:val="clear" w:color="000000" w:fill="FFFFFF"/>
            <w:noWrap/>
            <w:vAlign w:val="center"/>
            <w:hideMark/>
          </w:tcPr>
          <w:p w14:paraId="0646D63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820" w:type="dxa"/>
            <w:gridSpan w:val="4"/>
            <w:tcBorders>
              <w:top w:val="single" w:sz="4" w:space="0" w:color="auto"/>
              <w:left w:val="nil"/>
              <w:bottom w:val="nil"/>
              <w:right w:val="single" w:sz="4" w:space="0" w:color="000000"/>
            </w:tcBorders>
            <w:shd w:val="clear" w:color="000000" w:fill="FFFFFF"/>
            <w:noWrap/>
            <w:vAlign w:val="center"/>
            <w:hideMark/>
          </w:tcPr>
          <w:p w14:paraId="6693D12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960" w:type="dxa"/>
            <w:gridSpan w:val="4"/>
            <w:tcBorders>
              <w:top w:val="single" w:sz="4" w:space="0" w:color="auto"/>
              <w:left w:val="nil"/>
              <w:bottom w:val="nil"/>
              <w:right w:val="single" w:sz="4" w:space="0" w:color="000000"/>
            </w:tcBorders>
            <w:shd w:val="clear" w:color="000000" w:fill="FFFFFF"/>
            <w:noWrap/>
            <w:vAlign w:val="center"/>
            <w:hideMark/>
          </w:tcPr>
          <w:p w14:paraId="4FCB4CE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r>
      <w:tr w:rsidR="001B2857" w:rsidRPr="001B2857" w14:paraId="408E170E"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60218747" w14:textId="77777777" w:rsidR="001B2857" w:rsidRPr="001B2857" w:rsidRDefault="001B2857" w:rsidP="001B2857">
            <w:pPr>
              <w:spacing w:after="0" w:line="240" w:lineRule="auto"/>
              <w:rPr>
                <w:rFonts w:eastAsia="Times New Roman"/>
                <w:sz w:val="16"/>
                <w:szCs w:val="16"/>
              </w:rPr>
            </w:pPr>
            <w:r w:rsidRPr="001B2857">
              <w:rPr>
                <w:rFonts w:eastAsia="Times New Roman"/>
                <w:sz w:val="16"/>
                <w:szCs w:val="16"/>
              </w:rPr>
              <w:t>a. Full  model</w:t>
            </w:r>
          </w:p>
        </w:tc>
        <w:tc>
          <w:tcPr>
            <w:tcW w:w="723" w:type="dxa"/>
            <w:tcBorders>
              <w:top w:val="nil"/>
              <w:left w:val="nil"/>
              <w:bottom w:val="nil"/>
              <w:right w:val="nil"/>
            </w:tcBorders>
            <w:shd w:val="clear" w:color="000000" w:fill="FFFFFF"/>
            <w:noWrap/>
            <w:vAlign w:val="bottom"/>
            <w:hideMark/>
          </w:tcPr>
          <w:p w14:paraId="014F886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0.00</w:t>
            </w:r>
          </w:p>
        </w:tc>
        <w:tc>
          <w:tcPr>
            <w:tcW w:w="937" w:type="dxa"/>
            <w:tcBorders>
              <w:top w:val="nil"/>
              <w:left w:val="nil"/>
              <w:bottom w:val="nil"/>
              <w:right w:val="nil"/>
            </w:tcBorders>
            <w:shd w:val="clear" w:color="000000" w:fill="FFFFFF"/>
            <w:noWrap/>
            <w:vAlign w:val="bottom"/>
            <w:hideMark/>
          </w:tcPr>
          <w:p w14:paraId="6330E0E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1.00</w:t>
            </w:r>
          </w:p>
        </w:tc>
        <w:tc>
          <w:tcPr>
            <w:tcW w:w="615" w:type="dxa"/>
            <w:tcBorders>
              <w:top w:val="nil"/>
              <w:left w:val="single" w:sz="4" w:space="0" w:color="auto"/>
              <w:bottom w:val="nil"/>
              <w:right w:val="nil"/>
            </w:tcBorders>
            <w:shd w:val="clear" w:color="000000" w:fill="FFFFFF"/>
            <w:noWrap/>
            <w:vAlign w:val="bottom"/>
            <w:hideMark/>
          </w:tcPr>
          <w:p w14:paraId="6531306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-3.93</w:t>
            </w:r>
          </w:p>
        </w:tc>
        <w:tc>
          <w:tcPr>
            <w:tcW w:w="861" w:type="dxa"/>
            <w:tcBorders>
              <w:top w:val="nil"/>
              <w:left w:val="nil"/>
              <w:bottom w:val="nil"/>
              <w:right w:val="nil"/>
            </w:tcBorders>
            <w:shd w:val="clear" w:color="000000" w:fill="FFFFFF"/>
            <w:noWrap/>
            <w:vAlign w:val="bottom"/>
            <w:hideMark/>
          </w:tcPr>
          <w:p w14:paraId="2B1A919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0.23</w:t>
            </w:r>
          </w:p>
        </w:tc>
        <w:tc>
          <w:tcPr>
            <w:tcW w:w="664" w:type="dxa"/>
            <w:tcBorders>
              <w:top w:val="nil"/>
              <w:left w:val="nil"/>
              <w:bottom w:val="nil"/>
              <w:right w:val="nil"/>
            </w:tcBorders>
            <w:shd w:val="clear" w:color="000000" w:fill="FFFFFF"/>
            <w:noWrap/>
            <w:vAlign w:val="bottom"/>
            <w:hideMark/>
          </w:tcPr>
          <w:p w14:paraId="35514F1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0.42</w:t>
            </w:r>
          </w:p>
        </w:tc>
        <w:tc>
          <w:tcPr>
            <w:tcW w:w="861" w:type="dxa"/>
            <w:tcBorders>
              <w:top w:val="nil"/>
              <w:left w:val="nil"/>
              <w:bottom w:val="nil"/>
              <w:right w:val="single" w:sz="4" w:space="0" w:color="auto"/>
            </w:tcBorders>
            <w:shd w:val="clear" w:color="000000" w:fill="FFFFFF"/>
            <w:noWrap/>
            <w:vAlign w:val="bottom"/>
            <w:hideMark/>
          </w:tcPr>
          <w:p w14:paraId="0B52EB8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0.55</w:t>
            </w:r>
          </w:p>
        </w:tc>
        <w:tc>
          <w:tcPr>
            <w:tcW w:w="586" w:type="dxa"/>
            <w:tcBorders>
              <w:top w:val="nil"/>
              <w:left w:val="nil"/>
              <w:bottom w:val="nil"/>
              <w:right w:val="nil"/>
            </w:tcBorders>
            <w:shd w:val="clear" w:color="000000" w:fill="FFFFFF"/>
            <w:noWrap/>
            <w:vAlign w:val="bottom"/>
            <w:hideMark/>
          </w:tcPr>
          <w:p w14:paraId="0722AEA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-0.67</w:t>
            </w:r>
          </w:p>
        </w:tc>
        <w:tc>
          <w:tcPr>
            <w:tcW w:w="824" w:type="dxa"/>
            <w:tcBorders>
              <w:top w:val="nil"/>
              <w:left w:val="nil"/>
              <w:bottom w:val="nil"/>
              <w:right w:val="nil"/>
            </w:tcBorders>
            <w:shd w:val="clear" w:color="000000" w:fill="FFFFFF"/>
            <w:noWrap/>
            <w:vAlign w:val="bottom"/>
            <w:hideMark/>
          </w:tcPr>
          <w:p w14:paraId="5892116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0.89</w:t>
            </w:r>
          </w:p>
        </w:tc>
        <w:tc>
          <w:tcPr>
            <w:tcW w:w="586" w:type="dxa"/>
            <w:tcBorders>
              <w:top w:val="nil"/>
              <w:left w:val="nil"/>
              <w:bottom w:val="nil"/>
              <w:right w:val="nil"/>
            </w:tcBorders>
            <w:shd w:val="clear" w:color="000000" w:fill="FFFFFF"/>
            <w:noWrap/>
            <w:vAlign w:val="bottom"/>
            <w:hideMark/>
          </w:tcPr>
          <w:p w14:paraId="76B1AD9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-1.52</w:t>
            </w:r>
          </w:p>
        </w:tc>
        <w:tc>
          <w:tcPr>
            <w:tcW w:w="824" w:type="dxa"/>
            <w:tcBorders>
              <w:top w:val="nil"/>
              <w:left w:val="nil"/>
              <w:bottom w:val="nil"/>
              <w:right w:val="single" w:sz="4" w:space="0" w:color="auto"/>
            </w:tcBorders>
            <w:shd w:val="clear" w:color="000000" w:fill="FFFFFF"/>
            <w:noWrap/>
            <w:vAlign w:val="bottom"/>
            <w:hideMark/>
          </w:tcPr>
          <w:p w14:paraId="195DADF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0.28</w:t>
            </w:r>
          </w:p>
        </w:tc>
        <w:tc>
          <w:tcPr>
            <w:tcW w:w="563" w:type="dxa"/>
            <w:tcBorders>
              <w:top w:val="nil"/>
              <w:left w:val="nil"/>
              <w:bottom w:val="nil"/>
              <w:right w:val="nil"/>
            </w:tcBorders>
            <w:shd w:val="clear" w:color="000000" w:fill="FFFFFF"/>
            <w:noWrap/>
            <w:vAlign w:val="bottom"/>
            <w:hideMark/>
          </w:tcPr>
          <w:p w14:paraId="39E8698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3.11</w:t>
            </w:r>
          </w:p>
        </w:tc>
        <w:tc>
          <w:tcPr>
            <w:tcW w:w="917" w:type="dxa"/>
            <w:tcBorders>
              <w:top w:val="nil"/>
              <w:left w:val="nil"/>
              <w:bottom w:val="nil"/>
              <w:right w:val="nil"/>
            </w:tcBorders>
            <w:shd w:val="clear" w:color="000000" w:fill="FFFFFF"/>
            <w:noWrap/>
            <w:vAlign w:val="bottom"/>
            <w:hideMark/>
          </w:tcPr>
          <w:p w14:paraId="24241BE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0.54</w:t>
            </w:r>
          </w:p>
        </w:tc>
        <w:tc>
          <w:tcPr>
            <w:tcW w:w="563" w:type="dxa"/>
            <w:tcBorders>
              <w:top w:val="nil"/>
              <w:left w:val="nil"/>
              <w:bottom w:val="nil"/>
              <w:right w:val="nil"/>
            </w:tcBorders>
            <w:shd w:val="clear" w:color="000000" w:fill="FFFFFF"/>
            <w:noWrap/>
            <w:vAlign w:val="bottom"/>
            <w:hideMark/>
          </w:tcPr>
          <w:p w14:paraId="184E726A"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1.21</w:t>
            </w:r>
          </w:p>
        </w:tc>
        <w:tc>
          <w:tcPr>
            <w:tcW w:w="917" w:type="dxa"/>
            <w:tcBorders>
              <w:top w:val="nil"/>
              <w:left w:val="nil"/>
              <w:bottom w:val="nil"/>
              <w:right w:val="single" w:sz="4" w:space="0" w:color="auto"/>
            </w:tcBorders>
            <w:shd w:val="clear" w:color="000000" w:fill="FFFFFF"/>
            <w:noWrap/>
            <w:vAlign w:val="bottom"/>
            <w:hideMark/>
          </w:tcPr>
          <w:p w14:paraId="148800A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0.36</w:t>
            </w:r>
          </w:p>
        </w:tc>
      </w:tr>
      <w:tr w:rsidR="001B2857" w:rsidRPr="001B2857" w14:paraId="396B8713" w14:textId="77777777" w:rsidTr="001B2857">
        <w:trPr>
          <w:trHeight w:val="220"/>
        </w:trPr>
        <w:tc>
          <w:tcPr>
            <w:tcW w:w="1740" w:type="dxa"/>
            <w:tcBorders>
              <w:top w:val="nil"/>
              <w:left w:val="single" w:sz="4" w:space="0" w:color="auto"/>
              <w:bottom w:val="single" w:sz="4" w:space="0" w:color="auto"/>
              <w:right w:val="single" w:sz="4" w:space="0" w:color="auto"/>
            </w:tcBorders>
            <w:shd w:val="clear" w:color="000000" w:fill="FFFFFF"/>
            <w:noWrap/>
            <w:vAlign w:val="bottom"/>
            <w:hideMark/>
          </w:tcPr>
          <w:p w14:paraId="26174EC0" w14:textId="77777777" w:rsidR="001B2857" w:rsidRPr="001B2857" w:rsidRDefault="001B2857" w:rsidP="001B2857">
            <w:pPr>
              <w:spacing w:after="0" w:line="240" w:lineRule="auto"/>
              <w:rPr>
                <w:rFonts w:eastAsia="Times New Roman"/>
                <w:sz w:val="16"/>
                <w:szCs w:val="16"/>
              </w:rPr>
            </w:pPr>
            <w:r w:rsidRPr="001B2857">
              <w:rPr>
                <w:rFonts w:eastAsia="Times New Roman"/>
                <w:sz w:val="16"/>
                <w:szCs w:val="16"/>
              </w:rPr>
              <w:t>b. Parsimonious model</w:t>
            </w:r>
          </w:p>
        </w:tc>
        <w:tc>
          <w:tcPr>
            <w:tcW w:w="723" w:type="dxa"/>
            <w:tcBorders>
              <w:top w:val="nil"/>
              <w:left w:val="nil"/>
              <w:bottom w:val="single" w:sz="4" w:space="0" w:color="auto"/>
              <w:right w:val="nil"/>
            </w:tcBorders>
            <w:shd w:val="clear" w:color="000000" w:fill="FFFFFF"/>
            <w:noWrap/>
            <w:vAlign w:val="bottom"/>
            <w:hideMark/>
          </w:tcPr>
          <w:p w14:paraId="6734ED5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-0.14</w:t>
            </w:r>
          </w:p>
        </w:tc>
        <w:tc>
          <w:tcPr>
            <w:tcW w:w="937" w:type="dxa"/>
            <w:tcBorders>
              <w:top w:val="nil"/>
              <w:left w:val="nil"/>
              <w:bottom w:val="single" w:sz="4" w:space="0" w:color="auto"/>
              <w:right w:val="nil"/>
            </w:tcBorders>
            <w:shd w:val="clear" w:color="000000" w:fill="FFFFFF"/>
            <w:noWrap/>
            <w:vAlign w:val="bottom"/>
            <w:hideMark/>
          </w:tcPr>
          <w:p w14:paraId="748241C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&lt;0.001</w:t>
            </w:r>
          </w:p>
        </w:tc>
        <w:tc>
          <w:tcPr>
            <w:tcW w:w="615" w:type="dxa"/>
            <w:tcBorders>
              <w:top w:val="nil"/>
              <w:left w:val="single" w:sz="4" w:space="0" w:color="auto"/>
              <w:bottom w:val="single" w:sz="4" w:space="0" w:color="auto"/>
              <w:right w:val="nil"/>
            </w:tcBorders>
            <w:shd w:val="clear" w:color="000000" w:fill="FFFFFF"/>
            <w:noWrap/>
            <w:vAlign w:val="bottom"/>
            <w:hideMark/>
          </w:tcPr>
          <w:p w14:paraId="44215B7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61" w:type="dxa"/>
            <w:tcBorders>
              <w:top w:val="nil"/>
              <w:left w:val="nil"/>
              <w:bottom w:val="single" w:sz="4" w:space="0" w:color="auto"/>
              <w:right w:val="nil"/>
            </w:tcBorders>
            <w:shd w:val="clear" w:color="000000" w:fill="FFFFFF"/>
            <w:noWrap/>
            <w:vAlign w:val="bottom"/>
            <w:hideMark/>
          </w:tcPr>
          <w:p w14:paraId="4EBE895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664" w:type="dxa"/>
            <w:tcBorders>
              <w:top w:val="nil"/>
              <w:left w:val="nil"/>
              <w:bottom w:val="single" w:sz="4" w:space="0" w:color="auto"/>
              <w:right w:val="nil"/>
            </w:tcBorders>
            <w:shd w:val="clear" w:color="000000" w:fill="FFFFFF"/>
            <w:noWrap/>
            <w:vAlign w:val="bottom"/>
            <w:hideMark/>
          </w:tcPr>
          <w:p w14:paraId="7EA6E54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61" w:type="dxa"/>
            <w:tcBorders>
              <w:top w:val="nil"/>
              <w:left w:val="nil"/>
              <w:bottom w:val="single" w:sz="4" w:space="0" w:color="auto"/>
              <w:right w:val="single" w:sz="4" w:space="0" w:color="auto"/>
            </w:tcBorders>
            <w:shd w:val="clear" w:color="000000" w:fill="FFFFFF"/>
            <w:noWrap/>
            <w:vAlign w:val="bottom"/>
            <w:hideMark/>
          </w:tcPr>
          <w:p w14:paraId="63B5DFFA"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86" w:type="dxa"/>
            <w:tcBorders>
              <w:top w:val="nil"/>
              <w:left w:val="nil"/>
              <w:bottom w:val="single" w:sz="4" w:space="0" w:color="auto"/>
              <w:right w:val="nil"/>
            </w:tcBorders>
            <w:shd w:val="clear" w:color="000000" w:fill="FFFFFF"/>
            <w:noWrap/>
            <w:vAlign w:val="bottom"/>
            <w:hideMark/>
          </w:tcPr>
          <w:p w14:paraId="535E734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single" w:sz="4" w:space="0" w:color="auto"/>
              <w:right w:val="nil"/>
            </w:tcBorders>
            <w:shd w:val="clear" w:color="000000" w:fill="FFFFFF"/>
            <w:noWrap/>
            <w:vAlign w:val="bottom"/>
            <w:hideMark/>
          </w:tcPr>
          <w:p w14:paraId="6979557D"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86" w:type="dxa"/>
            <w:tcBorders>
              <w:top w:val="nil"/>
              <w:left w:val="nil"/>
              <w:bottom w:val="single" w:sz="4" w:space="0" w:color="auto"/>
              <w:right w:val="nil"/>
            </w:tcBorders>
            <w:shd w:val="clear" w:color="000000" w:fill="FFFFFF"/>
            <w:noWrap/>
            <w:vAlign w:val="bottom"/>
            <w:hideMark/>
          </w:tcPr>
          <w:p w14:paraId="6ED18F6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78781B7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single" w:sz="4" w:space="0" w:color="auto"/>
              <w:right w:val="nil"/>
            </w:tcBorders>
            <w:shd w:val="clear" w:color="000000" w:fill="FFFFFF"/>
            <w:noWrap/>
            <w:vAlign w:val="bottom"/>
            <w:hideMark/>
          </w:tcPr>
          <w:p w14:paraId="32C2A08A"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single" w:sz="4" w:space="0" w:color="auto"/>
              <w:right w:val="nil"/>
            </w:tcBorders>
            <w:shd w:val="clear" w:color="000000" w:fill="FFFFFF"/>
            <w:noWrap/>
            <w:vAlign w:val="bottom"/>
            <w:hideMark/>
          </w:tcPr>
          <w:p w14:paraId="6F958EC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single" w:sz="4" w:space="0" w:color="auto"/>
              <w:right w:val="nil"/>
            </w:tcBorders>
            <w:shd w:val="clear" w:color="000000" w:fill="FFFFFF"/>
            <w:noWrap/>
            <w:vAlign w:val="bottom"/>
            <w:hideMark/>
          </w:tcPr>
          <w:p w14:paraId="5793F89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single" w:sz="4" w:space="0" w:color="auto"/>
              <w:right w:val="single" w:sz="4" w:space="0" w:color="auto"/>
            </w:tcBorders>
            <w:shd w:val="clear" w:color="000000" w:fill="FFFFFF"/>
            <w:noWrap/>
            <w:vAlign w:val="bottom"/>
            <w:hideMark/>
          </w:tcPr>
          <w:p w14:paraId="62B4494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r>
      <w:tr w:rsidR="001B2857" w:rsidRPr="001B2857" w14:paraId="2AEFD4B4"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6D29C7C8" w14:textId="77777777" w:rsidR="001B2857" w:rsidRPr="001B2857" w:rsidRDefault="001B2857" w:rsidP="001B2857">
            <w:pPr>
              <w:spacing w:after="0" w:line="240" w:lineRule="auto"/>
              <w:rPr>
                <w:rFonts w:eastAsia="Times New Roman"/>
                <w:color w:val="000000"/>
                <w:sz w:val="16"/>
                <w:szCs w:val="16"/>
                <w:u w:val="single"/>
              </w:rPr>
            </w:pPr>
            <w:r w:rsidRPr="001B2857">
              <w:rPr>
                <w:rFonts w:eastAsia="Times New Roman"/>
                <w:color w:val="000000"/>
                <w:sz w:val="16"/>
                <w:szCs w:val="16"/>
                <w:u w:val="single"/>
              </w:rPr>
              <w:t>Hospital 8</w:t>
            </w:r>
          </w:p>
        </w:tc>
        <w:tc>
          <w:tcPr>
            <w:tcW w:w="723" w:type="dxa"/>
            <w:tcBorders>
              <w:top w:val="nil"/>
              <w:left w:val="nil"/>
              <w:bottom w:val="nil"/>
              <w:right w:val="nil"/>
            </w:tcBorders>
            <w:shd w:val="clear" w:color="000000" w:fill="FFFFFF"/>
            <w:noWrap/>
            <w:vAlign w:val="bottom"/>
            <w:hideMark/>
          </w:tcPr>
          <w:p w14:paraId="76E2225D"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37" w:type="dxa"/>
            <w:tcBorders>
              <w:top w:val="nil"/>
              <w:left w:val="nil"/>
              <w:bottom w:val="nil"/>
              <w:right w:val="nil"/>
            </w:tcBorders>
            <w:shd w:val="clear" w:color="000000" w:fill="FFFFFF"/>
            <w:noWrap/>
            <w:vAlign w:val="bottom"/>
            <w:hideMark/>
          </w:tcPr>
          <w:p w14:paraId="5C4D3A6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3001" w:type="dxa"/>
            <w:gridSpan w:val="4"/>
            <w:tcBorders>
              <w:top w:val="single" w:sz="4" w:space="0" w:color="auto"/>
              <w:left w:val="single" w:sz="4" w:space="0" w:color="auto"/>
              <w:bottom w:val="nil"/>
              <w:right w:val="single" w:sz="4" w:space="0" w:color="000000"/>
            </w:tcBorders>
            <w:shd w:val="clear" w:color="000000" w:fill="FFFFFF"/>
            <w:noWrap/>
            <w:vAlign w:val="center"/>
            <w:hideMark/>
          </w:tcPr>
          <w:p w14:paraId="19C65B8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820" w:type="dxa"/>
            <w:gridSpan w:val="4"/>
            <w:tcBorders>
              <w:top w:val="single" w:sz="4" w:space="0" w:color="auto"/>
              <w:left w:val="nil"/>
              <w:bottom w:val="nil"/>
              <w:right w:val="single" w:sz="4" w:space="0" w:color="000000"/>
            </w:tcBorders>
            <w:shd w:val="clear" w:color="000000" w:fill="FFFFFF"/>
            <w:noWrap/>
            <w:vAlign w:val="center"/>
            <w:hideMark/>
          </w:tcPr>
          <w:p w14:paraId="69B3442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960" w:type="dxa"/>
            <w:gridSpan w:val="4"/>
            <w:tcBorders>
              <w:top w:val="nil"/>
              <w:left w:val="nil"/>
              <w:bottom w:val="nil"/>
              <w:right w:val="nil"/>
            </w:tcBorders>
            <w:shd w:val="clear" w:color="000000" w:fill="FFFFFF"/>
            <w:noWrap/>
            <w:vAlign w:val="center"/>
            <w:hideMark/>
          </w:tcPr>
          <w:p w14:paraId="1D49954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r>
      <w:tr w:rsidR="001B2857" w:rsidRPr="001B2857" w14:paraId="3CDD631A"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4DBFBB0E"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a. Full  model</w:t>
            </w:r>
          </w:p>
        </w:tc>
        <w:tc>
          <w:tcPr>
            <w:tcW w:w="723" w:type="dxa"/>
            <w:tcBorders>
              <w:top w:val="nil"/>
              <w:left w:val="nil"/>
              <w:bottom w:val="nil"/>
              <w:right w:val="nil"/>
            </w:tcBorders>
            <w:shd w:val="clear" w:color="000000" w:fill="FFFFFF"/>
            <w:noWrap/>
            <w:vAlign w:val="bottom"/>
            <w:hideMark/>
          </w:tcPr>
          <w:p w14:paraId="4F77F4B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&lt;0.01</w:t>
            </w:r>
          </w:p>
        </w:tc>
        <w:tc>
          <w:tcPr>
            <w:tcW w:w="937" w:type="dxa"/>
            <w:tcBorders>
              <w:top w:val="nil"/>
              <w:left w:val="nil"/>
              <w:bottom w:val="nil"/>
              <w:right w:val="nil"/>
            </w:tcBorders>
            <w:shd w:val="clear" w:color="000000" w:fill="FFFFFF"/>
            <w:noWrap/>
            <w:vAlign w:val="bottom"/>
            <w:hideMark/>
          </w:tcPr>
          <w:p w14:paraId="47F4924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0.98</w:t>
            </w:r>
          </w:p>
        </w:tc>
        <w:tc>
          <w:tcPr>
            <w:tcW w:w="615" w:type="dxa"/>
            <w:tcBorders>
              <w:top w:val="nil"/>
              <w:left w:val="single" w:sz="4" w:space="0" w:color="auto"/>
              <w:bottom w:val="nil"/>
              <w:right w:val="nil"/>
            </w:tcBorders>
            <w:shd w:val="clear" w:color="000000" w:fill="FFFFFF"/>
            <w:noWrap/>
            <w:vAlign w:val="bottom"/>
            <w:hideMark/>
          </w:tcPr>
          <w:p w14:paraId="0C9DBB84" w14:textId="77777777" w:rsidR="001B2857" w:rsidRPr="001B2857" w:rsidRDefault="001B2857" w:rsidP="001B2857">
            <w:pPr>
              <w:spacing w:after="0" w:line="240" w:lineRule="auto"/>
              <w:jc w:val="center"/>
              <w:rPr>
                <w:rFonts w:eastAsia="Times New Roman"/>
                <w:b/>
                <w:bCs/>
                <w:sz w:val="16"/>
                <w:szCs w:val="16"/>
              </w:rPr>
            </w:pPr>
            <w:r w:rsidRPr="001B2857">
              <w:rPr>
                <w:rFonts w:eastAsia="Times New Roman"/>
                <w:b/>
                <w:bCs/>
                <w:sz w:val="16"/>
                <w:szCs w:val="16"/>
              </w:rPr>
              <w:t>-3.75</w:t>
            </w:r>
          </w:p>
        </w:tc>
        <w:tc>
          <w:tcPr>
            <w:tcW w:w="861" w:type="dxa"/>
            <w:tcBorders>
              <w:top w:val="nil"/>
              <w:left w:val="nil"/>
              <w:bottom w:val="nil"/>
              <w:right w:val="nil"/>
            </w:tcBorders>
            <w:shd w:val="clear" w:color="000000" w:fill="FFFFFF"/>
            <w:noWrap/>
            <w:vAlign w:val="bottom"/>
            <w:hideMark/>
          </w:tcPr>
          <w:p w14:paraId="1A2F7020" w14:textId="77777777" w:rsidR="001B2857" w:rsidRPr="001B2857" w:rsidRDefault="001B2857" w:rsidP="001B2857">
            <w:pPr>
              <w:spacing w:after="0" w:line="240" w:lineRule="auto"/>
              <w:jc w:val="center"/>
              <w:rPr>
                <w:rFonts w:eastAsia="Times New Roman"/>
                <w:b/>
                <w:bCs/>
                <w:sz w:val="16"/>
                <w:szCs w:val="16"/>
              </w:rPr>
            </w:pPr>
            <w:r w:rsidRPr="001B2857">
              <w:rPr>
                <w:rFonts w:eastAsia="Times New Roman"/>
                <w:b/>
                <w:bCs/>
                <w:sz w:val="16"/>
                <w:szCs w:val="16"/>
              </w:rPr>
              <w:t>0.088</w:t>
            </w:r>
          </w:p>
        </w:tc>
        <w:tc>
          <w:tcPr>
            <w:tcW w:w="664" w:type="dxa"/>
            <w:tcBorders>
              <w:top w:val="nil"/>
              <w:left w:val="nil"/>
              <w:bottom w:val="nil"/>
              <w:right w:val="nil"/>
            </w:tcBorders>
            <w:shd w:val="clear" w:color="000000" w:fill="FFFFFF"/>
            <w:noWrap/>
            <w:vAlign w:val="bottom"/>
            <w:hideMark/>
          </w:tcPr>
          <w:p w14:paraId="28ED45C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&lt;0.01</w:t>
            </w:r>
          </w:p>
        </w:tc>
        <w:tc>
          <w:tcPr>
            <w:tcW w:w="861" w:type="dxa"/>
            <w:tcBorders>
              <w:top w:val="nil"/>
              <w:left w:val="nil"/>
              <w:bottom w:val="nil"/>
              <w:right w:val="single" w:sz="4" w:space="0" w:color="auto"/>
            </w:tcBorders>
            <w:shd w:val="clear" w:color="000000" w:fill="FFFFFF"/>
            <w:noWrap/>
            <w:vAlign w:val="bottom"/>
            <w:hideMark/>
          </w:tcPr>
          <w:p w14:paraId="319BC2E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0.99</w:t>
            </w:r>
          </w:p>
        </w:tc>
        <w:tc>
          <w:tcPr>
            <w:tcW w:w="586" w:type="dxa"/>
            <w:tcBorders>
              <w:top w:val="nil"/>
              <w:left w:val="nil"/>
              <w:bottom w:val="nil"/>
              <w:right w:val="nil"/>
            </w:tcBorders>
            <w:shd w:val="clear" w:color="000000" w:fill="FFFFFF"/>
            <w:noWrap/>
            <w:vAlign w:val="bottom"/>
            <w:hideMark/>
          </w:tcPr>
          <w:p w14:paraId="3F920F2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nil"/>
              <w:right w:val="nil"/>
            </w:tcBorders>
            <w:shd w:val="clear" w:color="000000" w:fill="FFFFFF"/>
            <w:noWrap/>
            <w:vAlign w:val="bottom"/>
            <w:hideMark/>
          </w:tcPr>
          <w:p w14:paraId="615C648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86" w:type="dxa"/>
            <w:tcBorders>
              <w:top w:val="nil"/>
              <w:left w:val="nil"/>
              <w:bottom w:val="nil"/>
              <w:right w:val="nil"/>
            </w:tcBorders>
            <w:shd w:val="clear" w:color="000000" w:fill="FFFFFF"/>
            <w:noWrap/>
            <w:vAlign w:val="bottom"/>
            <w:hideMark/>
          </w:tcPr>
          <w:p w14:paraId="308A21B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nil"/>
              <w:right w:val="single" w:sz="4" w:space="0" w:color="auto"/>
            </w:tcBorders>
            <w:shd w:val="clear" w:color="000000" w:fill="FFFFFF"/>
            <w:noWrap/>
            <w:vAlign w:val="bottom"/>
            <w:hideMark/>
          </w:tcPr>
          <w:p w14:paraId="3E3CD8BA"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000000" w:fill="FFFFFF"/>
            <w:noWrap/>
            <w:vAlign w:val="bottom"/>
            <w:hideMark/>
          </w:tcPr>
          <w:p w14:paraId="3F53309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nil"/>
              <w:right w:val="nil"/>
            </w:tcBorders>
            <w:shd w:val="clear" w:color="000000" w:fill="FFFFFF"/>
            <w:noWrap/>
            <w:vAlign w:val="bottom"/>
            <w:hideMark/>
          </w:tcPr>
          <w:p w14:paraId="757BBC3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000000" w:fill="FFFFFF"/>
            <w:noWrap/>
            <w:vAlign w:val="bottom"/>
            <w:hideMark/>
          </w:tcPr>
          <w:p w14:paraId="26F1508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nil"/>
              <w:right w:val="nil"/>
            </w:tcBorders>
            <w:shd w:val="clear" w:color="000000" w:fill="FFFFFF"/>
            <w:noWrap/>
            <w:vAlign w:val="bottom"/>
            <w:hideMark/>
          </w:tcPr>
          <w:p w14:paraId="12AAC89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r>
      <w:tr w:rsidR="001B2857" w:rsidRPr="001B2857" w14:paraId="743C4D13" w14:textId="77777777" w:rsidTr="001B2857">
        <w:trPr>
          <w:trHeight w:val="220"/>
        </w:trPr>
        <w:tc>
          <w:tcPr>
            <w:tcW w:w="1740" w:type="dxa"/>
            <w:tcBorders>
              <w:top w:val="nil"/>
              <w:left w:val="single" w:sz="4" w:space="0" w:color="auto"/>
              <w:bottom w:val="single" w:sz="4" w:space="0" w:color="auto"/>
              <w:right w:val="single" w:sz="4" w:space="0" w:color="auto"/>
            </w:tcBorders>
            <w:shd w:val="clear" w:color="000000" w:fill="FFFFFF"/>
            <w:noWrap/>
            <w:vAlign w:val="bottom"/>
            <w:hideMark/>
          </w:tcPr>
          <w:p w14:paraId="142FC306"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b. Parsimonious model</w:t>
            </w:r>
          </w:p>
        </w:tc>
        <w:tc>
          <w:tcPr>
            <w:tcW w:w="723" w:type="dxa"/>
            <w:tcBorders>
              <w:top w:val="nil"/>
              <w:left w:val="nil"/>
              <w:bottom w:val="single" w:sz="4" w:space="0" w:color="auto"/>
              <w:right w:val="nil"/>
            </w:tcBorders>
            <w:shd w:val="clear" w:color="000000" w:fill="FFFFFF"/>
            <w:noWrap/>
            <w:vAlign w:val="bottom"/>
            <w:hideMark/>
          </w:tcPr>
          <w:p w14:paraId="07598A3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&lt;0.01</w:t>
            </w:r>
          </w:p>
        </w:tc>
        <w:tc>
          <w:tcPr>
            <w:tcW w:w="937" w:type="dxa"/>
            <w:tcBorders>
              <w:top w:val="nil"/>
              <w:left w:val="nil"/>
              <w:bottom w:val="single" w:sz="4" w:space="0" w:color="auto"/>
              <w:right w:val="nil"/>
            </w:tcBorders>
            <w:shd w:val="clear" w:color="000000" w:fill="FFFFFF"/>
            <w:noWrap/>
            <w:vAlign w:val="bottom"/>
            <w:hideMark/>
          </w:tcPr>
          <w:p w14:paraId="1117E29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0.96</w:t>
            </w:r>
          </w:p>
        </w:tc>
        <w:tc>
          <w:tcPr>
            <w:tcW w:w="615" w:type="dxa"/>
            <w:tcBorders>
              <w:top w:val="nil"/>
              <w:left w:val="single" w:sz="4" w:space="0" w:color="auto"/>
              <w:bottom w:val="nil"/>
              <w:right w:val="nil"/>
            </w:tcBorders>
            <w:shd w:val="clear" w:color="000000" w:fill="FFFFFF"/>
            <w:noWrap/>
            <w:vAlign w:val="bottom"/>
            <w:hideMark/>
          </w:tcPr>
          <w:p w14:paraId="5C5D157F" w14:textId="77777777" w:rsidR="001B2857" w:rsidRPr="001B2857" w:rsidRDefault="001B2857" w:rsidP="001B2857">
            <w:pPr>
              <w:spacing w:after="0" w:line="240" w:lineRule="auto"/>
              <w:jc w:val="center"/>
              <w:rPr>
                <w:rFonts w:eastAsia="Times New Roman"/>
                <w:b/>
                <w:bCs/>
                <w:sz w:val="16"/>
                <w:szCs w:val="16"/>
              </w:rPr>
            </w:pPr>
            <w:r w:rsidRPr="001B2857">
              <w:rPr>
                <w:rFonts w:eastAsia="Times New Roman"/>
                <w:b/>
                <w:bCs/>
                <w:sz w:val="16"/>
                <w:szCs w:val="16"/>
              </w:rPr>
              <w:t>-3.75</w:t>
            </w:r>
          </w:p>
        </w:tc>
        <w:tc>
          <w:tcPr>
            <w:tcW w:w="861" w:type="dxa"/>
            <w:tcBorders>
              <w:top w:val="nil"/>
              <w:left w:val="nil"/>
              <w:bottom w:val="nil"/>
              <w:right w:val="nil"/>
            </w:tcBorders>
            <w:shd w:val="clear" w:color="000000" w:fill="FFFFFF"/>
            <w:noWrap/>
            <w:vAlign w:val="bottom"/>
            <w:hideMark/>
          </w:tcPr>
          <w:p w14:paraId="7A0E8406" w14:textId="77777777" w:rsidR="001B2857" w:rsidRPr="001B2857" w:rsidRDefault="001B2857" w:rsidP="001B2857">
            <w:pPr>
              <w:spacing w:after="0" w:line="240" w:lineRule="auto"/>
              <w:jc w:val="center"/>
              <w:rPr>
                <w:rFonts w:eastAsia="Times New Roman"/>
                <w:b/>
                <w:bCs/>
                <w:sz w:val="16"/>
                <w:szCs w:val="16"/>
              </w:rPr>
            </w:pPr>
            <w:r w:rsidRPr="001B2857">
              <w:rPr>
                <w:rFonts w:eastAsia="Times New Roman"/>
                <w:b/>
                <w:bCs/>
                <w:sz w:val="16"/>
                <w:szCs w:val="16"/>
              </w:rPr>
              <w:t>0.073</w:t>
            </w:r>
          </w:p>
        </w:tc>
        <w:tc>
          <w:tcPr>
            <w:tcW w:w="664" w:type="dxa"/>
            <w:tcBorders>
              <w:top w:val="nil"/>
              <w:left w:val="nil"/>
              <w:bottom w:val="nil"/>
              <w:right w:val="nil"/>
            </w:tcBorders>
            <w:shd w:val="clear" w:color="000000" w:fill="FFFFFF"/>
            <w:noWrap/>
            <w:vAlign w:val="bottom"/>
            <w:hideMark/>
          </w:tcPr>
          <w:p w14:paraId="19EBC0A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61" w:type="dxa"/>
            <w:tcBorders>
              <w:top w:val="nil"/>
              <w:left w:val="nil"/>
              <w:bottom w:val="nil"/>
              <w:right w:val="single" w:sz="4" w:space="0" w:color="auto"/>
            </w:tcBorders>
            <w:shd w:val="clear" w:color="000000" w:fill="FFFFFF"/>
            <w:noWrap/>
            <w:vAlign w:val="bottom"/>
            <w:hideMark/>
          </w:tcPr>
          <w:p w14:paraId="044BBFA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86" w:type="dxa"/>
            <w:tcBorders>
              <w:top w:val="nil"/>
              <w:left w:val="nil"/>
              <w:bottom w:val="nil"/>
              <w:right w:val="nil"/>
            </w:tcBorders>
            <w:shd w:val="clear" w:color="000000" w:fill="FFFFFF"/>
            <w:noWrap/>
            <w:vAlign w:val="bottom"/>
            <w:hideMark/>
          </w:tcPr>
          <w:p w14:paraId="69037D5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nil"/>
              <w:right w:val="nil"/>
            </w:tcBorders>
            <w:shd w:val="clear" w:color="000000" w:fill="FFFFFF"/>
            <w:noWrap/>
            <w:vAlign w:val="bottom"/>
            <w:hideMark/>
          </w:tcPr>
          <w:p w14:paraId="45EB99F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86" w:type="dxa"/>
            <w:tcBorders>
              <w:top w:val="nil"/>
              <w:left w:val="nil"/>
              <w:bottom w:val="nil"/>
              <w:right w:val="nil"/>
            </w:tcBorders>
            <w:shd w:val="clear" w:color="000000" w:fill="FFFFFF"/>
            <w:noWrap/>
            <w:vAlign w:val="bottom"/>
            <w:hideMark/>
          </w:tcPr>
          <w:p w14:paraId="7A7E772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nil"/>
              <w:right w:val="single" w:sz="4" w:space="0" w:color="auto"/>
            </w:tcBorders>
            <w:shd w:val="clear" w:color="000000" w:fill="FFFFFF"/>
            <w:noWrap/>
            <w:vAlign w:val="bottom"/>
            <w:hideMark/>
          </w:tcPr>
          <w:p w14:paraId="60AD74D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000000" w:fill="FFFFFF"/>
            <w:noWrap/>
            <w:vAlign w:val="bottom"/>
            <w:hideMark/>
          </w:tcPr>
          <w:p w14:paraId="796786E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nil"/>
              <w:right w:val="nil"/>
            </w:tcBorders>
            <w:shd w:val="clear" w:color="000000" w:fill="FFFFFF"/>
            <w:noWrap/>
            <w:vAlign w:val="bottom"/>
            <w:hideMark/>
          </w:tcPr>
          <w:p w14:paraId="13AF84B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000000" w:fill="FFFFFF"/>
            <w:noWrap/>
            <w:vAlign w:val="bottom"/>
            <w:hideMark/>
          </w:tcPr>
          <w:p w14:paraId="4F82517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nil"/>
              <w:right w:val="nil"/>
            </w:tcBorders>
            <w:shd w:val="clear" w:color="000000" w:fill="FFFFFF"/>
            <w:noWrap/>
            <w:vAlign w:val="bottom"/>
            <w:hideMark/>
          </w:tcPr>
          <w:p w14:paraId="557B3F6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r>
      <w:tr w:rsidR="001B2857" w:rsidRPr="001B2857" w14:paraId="7C723247"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4865B901" w14:textId="77777777" w:rsidR="001B2857" w:rsidRPr="001B2857" w:rsidRDefault="001B2857" w:rsidP="001B2857">
            <w:pPr>
              <w:spacing w:after="0" w:line="240" w:lineRule="auto"/>
              <w:rPr>
                <w:rFonts w:eastAsia="Times New Roman"/>
                <w:color w:val="000000"/>
                <w:sz w:val="16"/>
                <w:szCs w:val="16"/>
                <w:u w:val="single"/>
              </w:rPr>
            </w:pPr>
            <w:r w:rsidRPr="001B2857">
              <w:rPr>
                <w:rFonts w:eastAsia="Times New Roman"/>
                <w:color w:val="000000"/>
                <w:sz w:val="16"/>
                <w:szCs w:val="16"/>
                <w:u w:val="single"/>
              </w:rPr>
              <w:t>Hospital 2</w:t>
            </w:r>
          </w:p>
        </w:tc>
        <w:tc>
          <w:tcPr>
            <w:tcW w:w="723" w:type="dxa"/>
            <w:tcBorders>
              <w:top w:val="nil"/>
              <w:left w:val="nil"/>
              <w:bottom w:val="nil"/>
              <w:right w:val="nil"/>
            </w:tcBorders>
            <w:shd w:val="clear" w:color="000000" w:fill="FFFFFF"/>
            <w:noWrap/>
            <w:vAlign w:val="bottom"/>
            <w:hideMark/>
          </w:tcPr>
          <w:p w14:paraId="017732C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37" w:type="dxa"/>
            <w:tcBorders>
              <w:top w:val="nil"/>
              <w:left w:val="nil"/>
              <w:bottom w:val="nil"/>
              <w:right w:val="nil"/>
            </w:tcBorders>
            <w:shd w:val="clear" w:color="000000" w:fill="FFFFFF"/>
            <w:noWrap/>
            <w:vAlign w:val="bottom"/>
            <w:hideMark/>
          </w:tcPr>
          <w:p w14:paraId="54E4E1B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3001" w:type="dxa"/>
            <w:gridSpan w:val="4"/>
            <w:tcBorders>
              <w:top w:val="single" w:sz="4" w:space="0" w:color="auto"/>
              <w:left w:val="single" w:sz="4" w:space="0" w:color="auto"/>
              <w:bottom w:val="nil"/>
              <w:right w:val="single" w:sz="4" w:space="0" w:color="000000"/>
            </w:tcBorders>
            <w:shd w:val="clear" w:color="000000" w:fill="FFFFFF"/>
            <w:noWrap/>
            <w:vAlign w:val="center"/>
            <w:hideMark/>
          </w:tcPr>
          <w:p w14:paraId="6BB37A3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820" w:type="dxa"/>
            <w:gridSpan w:val="4"/>
            <w:tcBorders>
              <w:top w:val="single" w:sz="4" w:space="0" w:color="auto"/>
              <w:left w:val="nil"/>
              <w:bottom w:val="nil"/>
              <w:right w:val="single" w:sz="4" w:space="0" w:color="000000"/>
            </w:tcBorders>
            <w:shd w:val="clear" w:color="000000" w:fill="FFFFFF"/>
            <w:noWrap/>
            <w:vAlign w:val="center"/>
            <w:hideMark/>
          </w:tcPr>
          <w:p w14:paraId="5F63EA9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960" w:type="dxa"/>
            <w:gridSpan w:val="4"/>
            <w:tcBorders>
              <w:top w:val="nil"/>
              <w:left w:val="nil"/>
              <w:bottom w:val="nil"/>
              <w:right w:val="nil"/>
            </w:tcBorders>
            <w:shd w:val="clear" w:color="000000" w:fill="FFFFFF"/>
            <w:noWrap/>
            <w:vAlign w:val="center"/>
            <w:hideMark/>
          </w:tcPr>
          <w:p w14:paraId="172B8AA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r>
      <w:tr w:rsidR="001B2857" w:rsidRPr="001B2857" w14:paraId="139E0356"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43FFCE4C"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a. Full  model</w:t>
            </w:r>
          </w:p>
        </w:tc>
        <w:tc>
          <w:tcPr>
            <w:tcW w:w="723" w:type="dxa"/>
            <w:tcBorders>
              <w:top w:val="nil"/>
              <w:left w:val="nil"/>
              <w:bottom w:val="nil"/>
              <w:right w:val="nil"/>
            </w:tcBorders>
            <w:shd w:val="clear" w:color="000000" w:fill="FFFFFF"/>
            <w:noWrap/>
            <w:vAlign w:val="bottom"/>
            <w:hideMark/>
          </w:tcPr>
          <w:p w14:paraId="479A00D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0.40</w:t>
            </w:r>
          </w:p>
        </w:tc>
        <w:tc>
          <w:tcPr>
            <w:tcW w:w="937" w:type="dxa"/>
            <w:tcBorders>
              <w:top w:val="nil"/>
              <w:left w:val="nil"/>
              <w:bottom w:val="nil"/>
              <w:right w:val="nil"/>
            </w:tcBorders>
            <w:shd w:val="clear" w:color="000000" w:fill="FFFFFF"/>
            <w:noWrap/>
            <w:vAlign w:val="bottom"/>
            <w:hideMark/>
          </w:tcPr>
          <w:p w14:paraId="7A20148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0.42</w:t>
            </w:r>
          </w:p>
        </w:tc>
        <w:tc>
          <w:tcPr>
            <w:tcW w:w="615" w:type="dxa"/>
            <w:tcBorders>
              <w:top w:val="nil"/>
              <w:left w:val="single" w:sz="4" w:space="0" w:color="auto"/>
              <w:bottom w:val="nil"/>
              <w:right w:val="nil"/>
            </w:tcBorders>
            <w:shd w:val="clear" w:color="000000" w:fill="FFFFFF"/>
            <w:noWrap/>
            <w:vAlign w:val="bottom"/>
            <w:hideMark/>
          </w:tcPr>
          <w:p w14:paraId="3BC0244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-4.84</w:t>
            </w:r>
          </w:p>
        </w:tc>
        <w:tc>
          <w:tcPr>
            <w:tcW w:w="861" w:type="dxa"/>
            <w:tcBorders>
              <w:top w:val="nil"/>
              <w:left w:val="nil"/>
              <w:bottom w:val="nil"/>
              <w:right w:val="nil"/>
            </w:tcBorders>
            <w:shd w:val="clear" w:color="000000" w:fill="FFFFFF"/>
            <w:noWrap/>
            <w:vAlign w:val="bottom"/>
            <w:hideMark/>
          </w:tcPr>
          <w:p w14:paraId="553CC2A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0.24</w:t>
            </w:r>
          </w:p>
        </w:tc>
        <w:tc>
          <w:tcPr>
            <w:tcW w:w="664" w:type="dxa"/>
            <w:tcBorders>
              <w:top w:val="nil"/>
              <w:left w:val="nil"/>
              <w:bottom w:val="nil"/>
              <w:right w:val="nil"/>
            </w:tcBorders>
            <w:shd w:val="clear" w:color="000000" w:fill="FFFFFF"/>
            <w:noWrap/>
            <w:vAlign w:val="bottom"/>
            <w:hideMark/>
          </w:tcPr>
          <w:p w14:paraId="1703B0F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-0.09</w:t>
            </w:r>
          </w:p>
        </w:tc>
        <w:tc>
          <w:tcPr>
            <w:tcW w:w="861" w:type="dxa"/>
            <w:tcBorders>
              <w:top w:val="nil"/>
              <w:left w:val="nil"/>
              <w:bottom w:val="nil"/>
              <w:right w:val="single" w:sz="4" w:space="0" w:color="auto"/>
            </w:tcBorders>
            <w:shd w:val="clear" w:color="000000" w:fill="FFFFFF"/>
            <w:noWrap/>
            <w:vAlign w:val="bottom"/>
            <w:hideMark/>
          </w:tcPr>
          <w:p w14:paraId="03A8039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0.91</w:t>
            </w:r>
          </w:p>
        </w:tc>
        <w:tc>
          <w:tcPr>
            <w:tcW w:w="586" w:type="dxa"/>
            <w:tcBorders>
              <w:top w:val="nil"/>
              <w:left w:val="nil"/>
              <w:bottom w:val="nil"/>
              <w:right w:val="nil"/>
            </w:tcBorders>
            <w:shd w:val="clear" w:color="000000" w:fill="FFFFFF"/>
            <w:noWrap/>
            <w:vAlign w:val="bottom"/>
            <w:hideMark/>
          </w:tcPr>
          <w:p w14:paraId="5F9D885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-2.79</w:t>
            </w:r>
          </w:p>
        </w:tc>
        <w:tc>
          <w:tcPr>
            <w:tcW w:w="824" w:type="dxa"/>
            <w:tcBorders>
              <w:top w:val="nil"/>
              <w:left w:val="nil"/>
              <w:bottom w:val="nil"/>
              <w:right w:val="nil"/>
            </w:tcBorders>
            <w:shd w:val="clear" w:color="000000" w:fill="FFFFFF"/>
            <w:noWrap/>
            <w:vAlign w:val="bottom"/>
            <w:hideMark/>
          </w:tcPr>
          <w:p w14:paraId="3985954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0.45</w:t>
            </w:r>
          </w:p>
        </w:tc>
        <w:tc>
          <w:tcPr>
            <w:tcW w:w="586" w:type="dxa"/>
            <w:tcBorders>
              <w:top w:val="nil"/>
              <w:left w:val="nil"/>
              <w:bottom w:val="nil"/>
              <w:right w:val="nil"/>
            </w:tcBorders>
            <w:shd w:val="clear" w:color="000000" w:fill="FFFFFF"/>
            <w:noWrap/>
            <w:vAlign w:val="bottom"/>
            <w:hideMark/>
          </w:tcPr>
          <w:p w14:paraId="54BCACC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-0.49</w:t>
            </w:r>
          </w:p>
        </w:tc>
        <w:tc>
          <w:tcPr>
            <w:tcW w:w="824" w:type="dxa"/>
            <w:tcBorders>
              <w:top w:val="nil"/>
              <w:left w:val="nil"/>
              <w:bottom w:val="nil"/>
              <w:right w:val="single" w:sz="4" w:space="0" w:color="auto"/>
            </w:tcBorders>
            <w:shd w:val="clear" w:color="000000" w:fill="FFFFFF"/>
            <w:noWrap/>
            <w:vAlign w:val="bottom"/>
            <w:hideMark/>
          </w:tcPr>
          <w:p w14:paraId="653DC61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0.44</w:t>
            </w:r>
          </w:p>
        </w:tc>
        <w:tc>
          <w:tcPr>
            <w:tcW w:w="563" w:type="dxa"/>
            <w:tcBorders>
              <w:top w:val="nil"/>
              <w:left w:val="nil"/>
              <w:bottom w:val="nil"/>
              <w:right w:val="nil"/>
            </w:tcBorders>
            <w:shd w:val="clear" w:color="000000" w:fill="FFFFFF"/>
            <w:noWrap/>
            <w:vAlign w:val="bottom"/>
            <w:hideMark/>
          </w:tcPr>
          <w:p w14:paraId="0DE4E16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nil"/>
              <w:right w:val="nil"/>
            </w:tcBorders>
            <w:shd w:val="clear" w:color="000000" w:fill="FFFFFF"/>
            <w:noWrap/>
            <w:vAlign w:val="bottom"/>
            <w:hideMark/>
          </w:tcPr>
          <w:p w14:paraId="20A81B1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000000" w:fill="FFFFFF"/>
            <w:noWrap/>
            <w:vAlign w:val="bottom"/>
            <w:hideMark/>
          </w:tcPr>
          <w:p w14:paraId="6C23FFB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nil"/>
              <w:right w:val="nil"/>
            </w:tcBorders>
            <w:shd w:val="clear" w:color="000000" w:fill="FFFFFF"/>
            <w:noWrap/>
            <w:vAlign w:val="bottom"/>
            <w:hideMark/>
          </w:tcPr>
          <w:p w14:paraId="3C152E4D"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r>
      <w:tr w:rsidR="001B2857" w:rsidRPr="001B2857" w14:paraId="7F0F0BBF"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2FF2B909"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b. Parsimonious model</w:t>
            </w:r>
          </w:p>
        </w:tc>
        <w:tc>
          <w:tcPr>
            <w:tcW w:w="723" w:type="dxa"/>
            <w:tcBorders>
              <w:top w:val="nil"/>
              <w:left w:val="nil"/>
              <w:bottom w:val="nil"/>
              <w:right w:val="nil"/>
            </w:tcBorders>
            <w:shd w:val="clear" w:color="000000" w:fill="FFFFFF"/>
            <w:noWrap/>
            <w:vAlign w:val="bottom"/>
            <w:hideMark/>
          </w:tcPr>
          <w:p w14:paraId="0DB149F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-0.16</w:t>
            </w:r>
          </w:p>
        </w:tc>
        <w:tc>
          <w:tcPr>
            <w:tcW w:w="937" w:type="dxa"/>
            <w:tcBorders>
              <w:top w:val="nil"/>
              <w:left w:val="nil"/>
              <w:bottom w:val="nil"/>
              <w:right w:val="nil"/>
            </w:tcBorders>
            <w:shd w:val="clear" w:color="000000" w:fill="FFFFFF"/>
            <w:noWrap/>
            <w:vAlign w:val="bottom"/>
            <w:hideMark/>
          </w:tcPr>
          <w:p w14:paraId="65703FD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0.001</w:t>
            </w:r>
          </w:p>
        </w:tc>
        <w:tc>
          <w:tcPr>
            <w:tcW w:w="615" w:type="dxa"/>
            <w:tcBorders>
              <w:top w:val="nil"/>
              <w:left w:val="single" w:sz="4" w:space="0" w:color="auto"/>
              <w:bottom w:val="nil"/>
              <w:right w:val="nil"/>
            </w:tcBorders>
            <w:shd w:val="clear" w:color="000000" w:fill="FFFFFF"/>
            <w:noWrap/>
            <w:vAlign w:val="bottom"/>
            <w:hideMark/>
          </w:tcPr>
          <w:p w14:paraId="1E4DAED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61" w:type="dxa"/>
            <w:tcBorders>
              <w:top w:val="nil"/>
              <w:left w:val="nil"/>
              <w:bottom w:val="nil"/>
              <w:right w:val="nil"/>
            </w:tcBorders>
            <w:shd w:val="clear" w:color="000000" w:fill="FFFFFF"/>
            <w:noWrap/>
            <w:vAlign w:val="bottom"/>
            <w:hideMark/>
          </w:tcPr>
          <w:p w14:paraId="253832A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664" w:type="dxa"/>
            <w:tcBorders>
              <w:top w:val="nil"/>
              <w:left w:val="nil"/>
              <w:bottom w:val="nil"/>
              <w:right w:val="nil"/>
            </w:tcBorders>
            <w:shd w:val="clear" w:color="000000" w:fill="FFFFFF"/>
            <w:noWrap/>
            <w:vAlign w:val="bottom"/>
            <w:hideMark/>
          </w:tcPr>
          <w:p w14:paraId="77FB5F3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61" w:type="dxa"/>
            <w:tcBorders>
              <w:top w:val="nil"/>
              <w:left w:val="nil"/>
              <w:bottom w:val="nil"/>
              <w:right w:val="single" w:sz="4" w:space="0" w:color="auto"/>
            </w:tcBorders>
            <w:shd w:val="clear" w:color="000000" w:fill="FFFFFF"/>
            <w:noWrap/>
            <w:vAlign w:val="bottom"/>
            <w:hideMark/>
          </w:tcPr>
          <w:p w14:paraId="0180D68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86" w:type="dxa"/>
            <w:tcBorders>
              <w:top w:val="nil"/>
              <w:left w:val="nil"/>
              <w:bottom w:val="nil"/>
              <w:right w:val="nil"/>
            </w:tcBorders>
            <w:shd w:val="clear" w:color="000000" w:fill="FFFFFF"/>
            <w:noWrap/>
            <w:vAlign w:val="bottom"/>
            <w:hideMark/>
          </w:tcPr>
          <w:p w14:paraId="46B334E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nil"/>
              <w:right w:val="nil"/>
            </w:tcBorders>
            <w:shd w:val="clear" w:color="000000" w:fill="FFFFFF"/>
            <w:noWrap/>
            <w:vAlign w:val="bottom"/>
            <w:hideMark/>
          </w:tcPr>
          <w:p w14:paraId="6400D09D"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86" w:type="dxa"/>
            <w:tcBorders>
              <w:top w:val="nil"/>
              <w:left w:val="nil"/>
              <w:bottom w:val="nil"/>
              <w:right w:val="nil"/>
            </w:tcBorders>
            <w:shd w:val="clear" w:color="000000" w:fill="FFFFFF"/>
            <w:noWrap/>
            <w:vAlign w:val="bottom"/>
            <w:hideMark/>
          </w:tcPr>
          <w:p w14:paraId="0E500EC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nil"/>
              <w:right w:val="single" w:sz="4" w:space="0" w:color="auto"/>
            </w:tcBorders>
            <w:shd w:val="clear" w:color="000000" w:fill="FFFFFF"/>
            <w:noWrap/>
            <w:vAlign w:val="bottom"/>
            <w:hideMark/>
          </w:tcPr>
          <w:p w14:paraId="30537F7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000000" w:fill="FFFFFF"/>
            <w:noWrap/>
            <w:vAlign w:val="bottom"/>
            <w:hideMark/>
          </w:tcPr>
          <w:p w14:paraId="0E4D1720" w14:textId="77777777" w:rsidR="001B2857" w:rsidRPr="001B2857" w:rsidRDefault="001B2857" w:rsidP="001B2857">
            <w:pPr>
              <w:spacing w:after="0" w:line="240" w:lineRule="auto"/>
              <w:jc w:val="center"/>
              <w:rPr>
                <w:rFonts w:eastAsia="Times New Roman"/>
                <w:b/>
                <w:bCs/>
                <w:sz w:val="16"/>
                <w:szCs w:val="16"/>
              </w:rPr>
            </w:pPr>
            <w:r w:rsidRPr="001B2857">
              <w:rPr>
                <w:rFonts w:eastAsia="Times New Roman"/>
                <w:b/>
                <w:bCs/>
                <w:sz w:val="16"/>
                <w:szCs w:val="16"/>
              </w:rPr>
              <w:t> </w:t>
            </w:r>
          </w:p>
        </w:tc>
        <w:tc>
          <w:tcPr>
            <w:tcW w:w="917" w:type="dxa"/>
            <w:tcBorders>
              <w:top w:val="nil"/>
              <w:left w:val="nil"/>
              <w:bottom w:val="nil"/>
              <w:right w:val="nil"/>
            </w:tcBorders>
            <w:shd w:val="clear" w:color="000000" w:fill="FFFFFF"/>
            <w:noWrap/>
            <w:vAlign w:val="bottom"/>
            <w:hideMark/>
          </w:tcPr>
          <w:p w14:paraId="3E7CF0E1" w14:textId="77777777" w:rsidR="001B2857" w:rsidRPr="001B2857" w:rsidRDefault="001B2857" w:rsidP="001B2857">
            <w:pPr>
              <w:spacing w:after="0" w:line="240" w:lineRule="auto"/>
              <w:jc w:val="center"/>
              <w:rPr>
                <w:rFonts w:eastAsia="Times New Roman"/>
                <w:b/>
                <w:bCs/>
                <w:sz w:val="16"/>
                <w:szCs w:val="16"/>
              </w:rPr>
            </w:pPr>
            <w:r w:rsidRPr="001B2857">
              <w:rPr>
                <w:rFonts w:eastAsia="Times New Roman"/>
                <w:b/>
                <w:bCs/>
                <w:sz w:val="16"/>
                <w:szCs w:val="16"/>
              </w:rPr>
              <w:t> </w:t>
            </w:r>
          </w:p>
        </w:tc>
        <w:tc>
          <w:tcPr>
            <w:tcW w:w="563" w:type="dxa"/>
            <w:tcBorders>
              <w:top w:val="nil"/>
              <w:left w:val="nil"/>
              <w:bottom w:val="nil"/>
              <w:right w:val="nil"/>
            </w:tcBorders>
            <w:shd w:val="clear" w:color="000000" w:fill="FFFFFF"/>
            <w:noWrap/>
            <w:vAlign w:val="bottom"/>
            <w:hideMark/>
          </w:tcPr>
          <w:p w14:paraId="5A31C1CD" w14:textId="77777777" w:rsidR="001B2857" w:rsidRPr="001B2857" w:rsidRDefault="001B2857" w:rsidP="001B2857">
            <w:pPr>
              <w:spacing w:after="0" w:line="240" w:lineRule="auto"/>
              <w:jc w:val="center"/>
              <w:rPr>
                <w:rFonts w:eastAsia="Times New Roman"/>
                <w:b/>
                <w:bCs/>
                <w:color w:val="008000"/>
                <w:sz w:val="16"/>
                <w:szCs w:val="16"/>
              </w:rPr>
            </w:pPr>
            <w:r w:rsidRPr="001B2857">
              <w:rPr>
                <w:rFonts w:eastAsia="Times New Roman"/>
                <w:b/>
                <w:bCs/>
                <w:color w:val="008000"/>
                <w:sz w:val="16"/>
                <w:szCs w:val="16"/>
              </w:rPr>
              <w:t> </w:t>
            </w:r>
          </w:p>
        </w:tc>
        <w:tc>
          <w:tcPr>
            <w:tcW w:w="917" w:type="dxa"/>
            <w:tcBorders>
              <w:top w:val="nil"/>
              <w:left w:val="nil"/>
              <w:bottom w:val="nil"/>
              <w:right w:val="nil"/>
            </w:tcBorders>
            <w:shd w:val="clear" w:color="000000" w:fill="FFFFFF"/>
            <w:noWrap/>
            <w:vAlign w:val="bottom"/>
            <w:hideMark/>
          </w:tcPr>
          <w:p w14:paraId="41E4BC0D" w14:textId="77777777" w:rsidR="001B2857" w:rsidRPr="001B2857" w:rsidRDefault="001B2857" w:rsidP="001B2857">
            <w:pPr>
              <w:spacing w:after="0" w:line="240" w:lineRule="auto"/>
              <w:jc w:val="center"/>
              <w:rPr>
                <w:rFonts w:eastAsia="Times New Roman"/>
                <w:b/>
                <w:bCs/>
                <w:color w:val="008000"/>
                <w:sz w:val="16"/>
                <w:szCs w:val="16"/>
              </w:rPr>
            </w:pPr>
            <w:r w:rsidRPr="001B2857">
              <w:rPr>
                <w:rFonts w:eastAsia="Times New Roman"/>
                <w:b/>
                <w:bCs/>
                <w:color w:val="008000"/>
                <w:sz w:val="16"/>
                <w:szCs w:val="16"/>
              </w:rPr>
              <w:t> </w:t>
            </w:r>
          </w:p>
        </w:tc>
      </w:tr>
      <w:tr w:rsidR="001B2857" w:rsidRPr="001B2857" w14:paraId="725039A4" w14:textId="77777777" w:rsidTr="001B2857">
        <w:trPr>
          <w:trHeight w:val="220"/>
        </w:trPr>
        <w:tc>
          <w:tcPr>
            <w:tcW w:w="1740" w:type="dxa"/>
            <w:tcBorders>
              <w:top w:val="single" w:sz="4" w:space="0" w:color="auto"/>
              <w:left w:val="single" w:sz="4" w:space="0" w:color="auto"/>
              <w:bottom w:val="nil"/>
              <w:right w:val="single" w:sz="4" w:space="0" w:color="auto"/>
            </w:tcBorders>
            <w:shd w:val="clear" w:color="000000" w:fill="FFFFFF"/>
            <w:noWrap/>
            <w:vAlign w:val="bottom"/>
            <w:hideMark/>
          </w:tcPr>
          <w:p w14:paraId="7F429418" w14:textId="77777777" w:rsidR="001B2857" w:rsidRPr="001B2857" w:rsidRDefault="001B2857" w:rsidP="001B2857">
            <w:pPr>
              <w:spacing w:after="0" w:line="240" w:lineRule="auto"/>
              <w:rPr>
                <w:rFonts w:eastAsia="Times New Roman"/>
                <w:color w:val="000000"/>
                <w:sz w:val="16"/>
                <w:szCs w:val="16"/>
                <w:u w:val="single"/>
              </w:rPr>
            </w:pPr>
            <w:r w:rsidRPr="001B2857">
              <w:rPr>
                <w:rFonts w:eastAsia="Times New Roman"/>
                <w:color w:val="000000"/>
                <w:sz w:val="16"/>
                <w:szCs w:val="16"/>
                <w:u w:val="single"/>
              </w:rPr>
              <w:t>Hospital 7</w:t>
            </w:r>
          </w:p>
        </w:tc>
        <w:tc>
          <w:tcPr>
            <w:tcW w:w="723" w:type="dxa"/>
            <w:tcBorders>
              <w:top w:val="single" w:sz="4" w:space="0" w:color="auto"/>
              <w:left w:val="nil"/>
              <w:bottom w:val="nil"/>
              <w:right w:val="nil"/>
            </w:tcBorders>
            <w:shd w:val="clear" w:color="000000" w:fill="FFFFFF"/>
            <w:noWrap/>
            <w:vAlign w:val="bottom"/>
            <w:hideMark/>
          </w:tcPr>
          <w:p w14:paraId="38386AB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37" w:type="dxa"/>
            <w:tcBorders>
              <w:top w:val="single" w:sz="4" w:space="0" w:color="auto"/>
              <w:left w:val="nil"/>
              <w:bottom w:val="nil"/>
              <w:right w:val="nil"/>
            </w:tcBorders>
            <w:shd w:val="clear" w:color="000000" w:fill="FFFFFF"/>
            <w:noWrap/>
            <w:vAlign w:val="bottom"/>
            <w:hideMark/>
          </w:tcPr>
          <w:p w14:paraId="676283A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3001" w:type="dxa"/>
            <w:gridSpan w:val="4"/>
            <w:tcBorders>
              <w:top w:val="single" w:sz="4" w:space="0" w:color="auto"/>
              <w:left w:val="single" w:sz="4" w:space="0" w:color="auto"/>
              <w:bottom w:val="nil"/>
              <w:right w:val="single" w:sz="4" w:space="0" w:color="000000"/>
            </w:tcBorders>
            <w:shd w:val="clear" w:color="000000" w:fill="FFFFFF"/>
            <w:noWrap/>
            <w:vAlign w:val="center"/>
            <w:hideMark/>
          </w:tcPr>
          <w:p w14:paraId="4962B9E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820" w:type="dxa"/>
            <w:gridSpan w:val="4"/>
            <w:tcBorders>
              <w:top w:val="single" w:sz="4" w:space="0" w:color="auto"/>
              <w:left w:val="nil"/>
              <w:bottom w:val="nil"/>
              <w:right w:val="single" w:sz="4" w:space="0" w:color="000000"/>
            </w:tcBorders>
            <w:shd w:val="clear" w:color="000000" w:fill="FFFFFF"/>
            <w:noWrap/>
            <w:vAlign w:val="center"/>
            <w:hideMark/>
          </w:tcPr>
          <w:p w14:paraId="6B837B6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960" w:type="dxa"/>
            <w:gridSpan w:val="4"/>
            <w:tcBorders>
              <w:top w:val="nil"/>
              <w:left w:val="nil"/>
              <w:bottom w:val="nil"/>
              <w:right w:val="nil"/>
            </w:tcBorders>
            <w:shd w:val="clear" w:color="000000" w:fill="FFFFFF"/>
            <w:noWrap/>
            <w:vAlign w:val="center"/>
            <w:hideMark/>
          </w:tcPr>
          <w:p w14:paraId="2E223B7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r>
      <w:tr w:rsidR="001B2857" w:rsidRPr="001B2857" w14:paraId="34C464C5"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0AC03A9F"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a. Full  model</w:t>
            </w:r>
          </w:p>
        </w:tc>
        <w:tc>
          <w:tcPr>
            <w:tcW w:w="723" w:type="dxa"/>
            <w:tcBorders>
              <w:top w:val="nil"/>
              <w:left w:val="nil"/>
              <w:bottom w:val="nil"/>
              <w:right w:val="nil"/>
            </w:tcBorders>
            <w:shd w:val="clear" w:color="000000" w:fill="FFFFFF"/>
            <w:noWrap/>
            <w:vAlign w:val="bottom"/>
            <w:hideMark/>
          </w:tcPr>
          <w:p w14:paraId="0B95AAED"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0.7</w:t>
            </w:r>
          </w:p>
        </w:tc>
        <w:tc>
          <w:tcPr>
            <w:tcW w:w="937" w:type="dxa"/>
            <w:tcBorders>
              <w:top w:val="nil"/>
              <w:left w:val="nil"/>
              <w:bottom w:val="nil"/>
              <w:right w:val="nil"/>
            </w:tcBorders>
            <w:shd w:val="clear" w:color="000000" w:fill="FFFFFF"/>
            <w:noWrap/>
            <w:vAlign w:val="bottom"/>
            <w:hideMark/>
          </w:tcPr>
          <w:p w14:paraId="07CAEC5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0.45</w:t>
            </w:r>
          </w:p>
        </w:tc>
        <w:tc>
          <w:tcPr>
            <w:tcW w:w="615" w:type="dxa"/>
            <w:tcBorders>
              <w:top w:val="nil"/>
              <w:left w:val="single" w:sz="4" w:space="0" w:color="auto"/>
              <w:bottom w:val="nil"/>
              <w:right w:val="nil"/>
            </w:tcBorders>
            <w:shd w:val="clear" w:color="000000" w:fill="FFFFFF"/>
            <w:noWrap/>
            <w:vAlign w:val="bottom"/>
            <w:hideMark/>
          </w:tcPr>
          <w:p w14:paraId="0ED884F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-4.1</w:t>
            </w:r>
          </w:p>
        </w:tc>
        <w:tc>
          <w:tcPr>
            <w:tcW w:w="861" w:type="dxa"/>
            <w:tcBorders>
              <w:top w:val="nil"/>
              <w:left w:val="nil"/>
              <w:bottom w:val="nil"/>
              <w:right w:val="nil"/>
            </w:tcBorders>
            <w:shd w:val="clear" w:color="000000" w:fill="FFFFFF"/>
            <w:noWrap/>
            <w:vAlign w:val="bottom"/>
            <w:hideMark/>
          </w:tcPr>
          <w:p w14:paraId="2371D1A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0.28</w:t>
            </w:r>
          </w:p>
        </w:tc>
        <w:tc>
          <w:tcPr>
            <w:tcW w:w="664" w:type="dxa"/>
            <w:tcBorders>
              <w:top w:val="nil"/>
              <w:left w:val="nil"/>
              <w:bottom w:val="nil"/>
              <w:right w:val="nil"/>
            </w:tcBorders>
            <w:shd w:val="clear" w:color="000000" w:fill="FFFFFF"/>
            <w:noWrap/>
            <w:vAlign w:val="bottom"/>
            <w:hideMark/>
          </w:tcPr>
          <w:p w14:paraId="60847F9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-0.73</w:t>
            </w:r>
          </w:p>
        </w:tc>
        <w:tc>
          <w:tcPr>
            <w:tcW w:w="861" w:type="dxa"/>
            <w:tcBorders>
              <w:top w:val="nil"/>
              <w:left w:val="nil"/>
              <w:bottom w:val="nil"/>
              <w:right w:val="single" w:sz="4" w:space="0" w:color="auto"/>
            </w:tcBorders>
            <w:shd w:val="clear" w:color="000000" w:fill="FFFFFF"/>
            <w:noWrap/>
            <w:vAlign w:val="bottom"/>
            <w:hideMark/>
          </w:tcPr>
          <w:p w14:paraId="561F4C6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0.45</w:t>
            </w:r>
          </w:p>
        </w:tc>
        <w:tc>
          <w:tcPr>
            <w:tcW w:w="586" w:type="dxa"/>
            <w:tcBorders>
              <w:top w:val="nil"/>
              <w:left w:val="nil"/>
              <w:bottom w:val="nil"/>
              <w:right w:val="nil"/>
            </w:tcBorders>
            <w:shd w:val="clear" w:color="000000" w:fill="FFFFFF"/>
            <w:noWrap/>
            <w:vAlign w:val="bottom"/>
            <w:hideMark/>
          </w:tcPr>
          <w:p w14:paraId="09C2B3A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2.28</w:t>
            </w:r>
          </w:p>
        </w:tc>
        <w:tc>
          <w:tcPr>
            <w:tcW w:w="824" w:type="dxa"/>
            <w:tcBorders>
              <w:top w:val="nil"/>
              <w:left w:val="nil"/>
              <w:bottom w:val="nil"/>
              <w:right w:val="nil"/>
            </w:tcBorders>
            <w:shd w:val="clear" w:color="000000" w:fill="FFFFFF"/>
            <w:noWrap/>
            <w:vAlign w:val="bottom"/>
            <w:hideMark/>
          </w:tcPr>
          <w:p w14:paraId="0D72FC4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0.35</w:t>
            </w:r>
          </w:p>
        </w:tc>
        <w:tc>
          <w:tcPr>
            <w:tcW w:w="586" w:type="dxa"/>
            <w:tcBorders>
              <w:top w:val="nil"/>
              <w:left w:val="nil"/>
              <w:bottom w:val="nil"/>
              <w:right w:val="nil"/>
            </w:tcBorders>
            <w:shd w:val="clear" w:color="000000" w:fill="FFFFFF"/>
            <w:noWrap/>
            <w:vAlign w:val="bottom"/>
            <w:hideMark/>
          </w:tcPr>
          <w:p w14:paraId="0F44741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-0.33</w:t>
            </w:r>
          </w:p>
        </w:tc>
        <w:tc>
          <w:tcPr>
            <w:tcW w:w="824" w:type="dxa"/>
            <w:tcBorders>
              <w:top w:val="nil"/>
              <w:left w:val="nil"/>
              <w:bottom w:val="nil"/>
              <w:right w:val="single" w:sz="4" w:space="0" w:color="auto"/>
            </w:tcBorders>
            <w:shd w:val="clear" w:color="000000" w:fill="FFFFFF"/>
            <w:noWrap/>
            <w:vAlign w:val="bottom"/>
            <w:hideMark/>
          </w:tcPr>
          <w:p w14:paraId="5025DFA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0.34</w:t>
            </w:r>
          </w:p>
        </w:tc>
        <w:tc>
          <w:tcPr>
            <w:tcW w:w="563" w:type="dxa"/>
            <w:tcBorders>
              <w:top w:val="nil"/>
              <w:left w:val="nil"/>
              <w:bottom w:val="nil"/>
              <w:right w:val="nil"/>
            </w:tcBorders>
            <w:shd w:val="clear" w:color="000000" w:fill="FFFFFF"/>
            <w:noWrap/>
            <w:vAlign w:val="bottom"/>
            <w:hideMark/>
          </w:tcPr>
          <w:p w14:paraId="5802194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nil"/>
              <w:right w:val="nil"/>
            </w:tcBorders>
            <w:shd w:val="clear" w:color="000000" w:fill="FFFFFF"/>
            <w:noWrap/>
            <w:vAlign w:val="bottom"/>
            <w:hideMark/>
          </w:tcPr>
          <w:p w14:paraId="6391A70A"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000000" w:fill="FFFFFF"/>
            <w:noWrap/>
            <w:vAlign w:val="bottom"/>
            <w:hideMark/>
          </w:tcPr>
          <w:p w14:paraId="65C2257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nil"/>
              <w:right w:val="nil"/>
            </w:tcBorders>
            <w:shd w:val="clear" w:color="000000" w:fill="FFFFFF"/>
            <w:noWrap/>
            <w:vAlign w:val="bottom"/>
            <w:hideMark/>
          </w:tcPr>
          <w:p w14:paraId="64232EB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r>
      <w:tr w:rsidR="001B2857" w:rsidRPr="001B2857" w14:paraId="4693F825"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6D5AB32E"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b. Parsimonious model</w:t>
            </w:r>
          </w:p>
        </w:tc>
        <w:tc>
          <w:tcPr>
            <w:tcW w:w="723" w:type="dxa"/>
            <w:tcBorders>
              <w:top w:val="nil"/>
              <w:left w:val="nil"/>
              <w:bottom w:val="nil"/>
              <w:right w:val="nil"/>
            </w:tcBorders>
            <w:shd w:val="clear" w:color="000000" w:fill="FFFFFF"/>
            <w:noWrap/>
            <w:vAlign w:val="bottom"/>
            <w:hideMark/>
          </w:tcPr>
          <w:p w14:paraId="4B98CED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-0.18</w:t>
            </w:r>
          </w:p>
        </w:tc>
        <w:tc>
          <w:tcPr>
            <w:tcW w:w="937" w:type="dxa"/>
            <w:tcBorders>
              <w:top w:val="nil"/>
              <w:left w:val="nil"/>
              <w:bottom w:val="nil"/>
              <w:right w:val="nil"/>
            </w:tcBorders>
            <w:shd w:val="clear" w:color="000000" w:fill="FFFFFF"/>
            <w:noWrap/>
            <w:vAlign w:val="bottom"/>
            <w:hideMark/>
          </w:tcPr>
          <w:p w14:paraId="4043F3E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&lt;0.001</w:t>
            </w:r>
          </w:p>
        </w:tc>
        <w:tc>
          <w:tcPr>
            <w:tcW w:w="615" w:type="dxa"/>
            <w:tcBorders>
              <w:top w:val="nil"/>
              <w:left w:val="single" w:sz="4" w:space="0" w:color="auto"/>
              <w:bottom w:val="nil"/>
              <w:right w:val="nil"/>
            </w:tcBorders>
            <w:shd w:val="clear" w:color="000000" w:fill="FFFFFF"/>
            <w:noWrap/>
            <w:vAlign w:val="bottom"/>
            <w:hideMark/>
          </w:tcPr>
          <w:p w14:paraId="09F1EBE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61" w:type="dxa"/>
            <w:tcBorders>
              <w:top w:val="nil"/>
              <w:left w:val="nil"/>
              <w:bottom w:val="nil"/>
              <w:right w:val="nil"/>
            </w:tcBorders>
            <w:shd w:val="clear" w:color="000000" w:fill="FFFFFF"/>
            <w:noWrap/>
            <w:vAlign w:val="bottom"/>
            <w:hideMark/>
          </w:tcPr>
          <w:p w14:paraId="20F3826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664" w:type="dxa"/>
            <w:tcBorders>
              <w:top w:val="nil"/>
              <w:left w:val="nil"/>
              <w:bottom w:val="nil"/>
              <w:right w:val="nil"/>
            </w:tcBorders>
            <w:shd w:val="clear" w:color="000000" w:fill="FFFFFF"/>
            <w:noWrap/>
            <w:vAlign w:val="bottom"/>
            <w:hideMark/>
          </w:tcPr>
          <w:p w14:paraId="38DDF3C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61" w:type="dxa"/>
            <w:tcBorders>
              <w:top w:val="nil"/>
              <w:left w:val="nil"/>
              <w:bottom w:val="nil"/>
              <w:right w:val="single" w:sz="4" w:space="0" w:color="auto"/>
            </w:tcBorders>
            <w:shd w:val="clear" w:color="000000" w:fill="FFFFFF"/>
            <w:noWrap/>
            <w:vAlign w:val="bottom"/>
            <w:hideMark/>
          </w:tcPr>
          <w:p w14:paraId="35DDA44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86" w:type="dxa"/>
            <w:tcBorders>
              <w:top w:val="nil"/>
              <w:left w:val="nil"/>
              <w:bottom w:val="nil"/>
              <w:right w:val="nil"/>
            </w:tcBorders>
            <w:shd w:val="clear" w:color="000000" w:fill="FFFFFF"/>
            <w:noWrap/>
            <w:vAlign w:val="bottom"/>
            <w:hideMark/>
          </w:tcPr>
          <w:p w14:paraId="12F5391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nil"/>
              <w:right w:val="nil"/>
            </w:tcBorders>
            <w:shd w:val="clear" w:color="000000" w:fill="FFFFFF"/>
            <w:noWrap/>
            <w:vAlign w:val="bottom"/>
            <w:hideMark/>
          </w:tcPr>
          <w:p w14:paraId="649B679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86" w:type="dxa"/>
            <w:tcBorders>
              <w:top w:val="nil"/>
              <w:left w:val="nil"/>
              <w:bottom w:val="nil"/>
              <w:right w:val="nil"/>
            </w:tcBorders>
            <w:shd w:val="clear" w:color="000000" w:fill="FFFFFF"/>
            <w:noWrap/>
            <w:vAlign w:val="bottom"/>
            <w:hideMark/>
          </w:tcPr>
          <w:p w14:paraId="38E1F5F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nil"/>
              <w:right w:val="single" w:sz="4" w:space="0" w:color="auto"/>
            </w:tcBorders>
            <w:shd w:val="clear" w:color="000000" w:fill="FFFFFF"/>
            <w:noWrap/>
            <w:vAlign w:val="bottom"/>
            <w:hideMark/>
          </w:tcPr>
          <w:p w14:paraId="4FA5734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000000" w:fill="FFFFFF"/>
            <w:noWrap/>
            <w:vAlign w:val="bottom"/>
            <w:hideMark/>
          </w:tcPr>
          <w:p w14:paraId="194411E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nil"/>
              <w:right w:val="nil"/>
            </w:tcBorders>
            <w:shd w:val="clear" w:color="000000" w:fill="FFFFFF"/>
            <w:noWrap/>
            <w:vAlign w:val="bottom"/>
            <w:hideMark/>
          </w:tcPr>
          <w:p w14:paraId="636FC41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000000" w:fill="FFFFFF"/>
            <w:noWrap/>
            <w:vAlign w:val="bottom"/>
            <w:hideMark/>
          </w:tcPr>
          <w:p w14:paraId="51C2021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nil"/>
              <w:right w:val="nil"/>
            </w:tcBorders>
            <w:shd w:val="clear" w:color="000000" w:fill="FFFFFF"/>
            <w:noWrap/>
            <w:vAlign w:val="bottom"/>
            <w:hideMark/>
          </w:tcPr>
          <w:p w14:paraId="1AD7097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r>
      <w:tr w:rsidR="001B2857" w:rsidRPr="001B2857" w14:paraId="21DC38D9" w14:textId="77777777" w:rsidTr="001B2857">
        <w:trPr>
          <w:trHeight w:val="220"/>
        </w:trPr>
        <w:tc>
          <w:tcPr>
            <w:tcW w:w="1740" w:type="dxa"/>
            <w:tcBorders>
              <w:top w:val="single" w:sz="4" w:space="0" w:color="auto"/>
              <w:left w:val="single" w:sz="4" w:space="0" w:color="auto"/>
              <w:bottom w:val="nil"/>
              <w:right w:val="single" w:sz="4" w:space="0" w:color="auto"/>
            </w:tcBorders>
            <w:shd w:val="clear" w:color="000000" w:fill="FFFFFF"/>
            <w:noWrap/>
            <w:vAlign w:val="bottom"/>
            <w:hideMark/>
          </w:tcPr>
          <w:p w14:paraId="35A38752" w14:textId="77777777" w:rsidR="001B2857" w:rsidRPr="001B2857" w:rsidRDefault="001B2857" w:rsidP="001B2857">
            <w:pPr>
              <w:spacing w:after="0" w:line="240" w:lineRule="auto"/>
              <w:rPr>
                <w:rFonts w:eastAsia="Times New Roman"/>
                <w:color w:val="000000"/>
                <w:sz w:val="16"/>
                <w:szCs w:val="16"/>
                <w:u w:val="single"/>
              </w:rPr>
            </w:pPr>
            <w:r w:rsidRPr="001B2857">
              <w:rPr>
                <w:rFonts w:eastAsia="Times New Roman"/>
                <w:color w:val="000000"/>
                <w:sz w:val="16"/>
                <w:szCs w:val="16"/>
                <w:u w:val="single"/>
              </w:rPr>
              <w:t>Hospital 4</w:t>
            </w:r>
          </w:p>
        </w:tc>
        <w:tc>
          <w:tcPr>
            <w:tcW w:w="723" w:type="dxa"/>
            <w:tcBorders>
              <w:top w:val="single" w:sz="4" w:space="0" w:color="auto"/>
              <w:left w:val="nil"/>
              <w:bottom w:val="nil"/>
              <w:right w:val="nil"/>
            </w:tcBorders>
            <w:shd w:val="clear" w:color="000000" w:fill="FFFFFF"/>
            <w:noWrap/>
            <w:vAlign w:val="bottom"/>
            <w:hideMark/>
          </w:tcPr>
          <w:p w14:paraId="5D8B337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37" w:type="dxa"/>
            <w:tcBorders>
              <w:top w:val="single" w:sz="4" w:space="0" w:color="auto"/>
              <w:left w:val="nil"/>
              <w:bottom w:val="nil"/>
              <w:right w:val="nil"/>
            </w:tcBorders>
            <w:shd w:val="clear" w:color="000000" w:fill="FFFFFF"/>
            <w:noWrap/>
            <w:vAlign w:val="bottom"/>
            <w:hideMark/>
          </w:tcPr>
          <w:p w14:paraId="40437FC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3001" w:type="dxa"/>
            <w:gridSpan w:val="4"/>
            <w:tcBorders>
              <w:top w:val="single" w:sz="4" w:space="0" w:color="auto"/>
              <w:left w:val="single" w:sz="4" w:space="0" w:color="auto"/>
              <w:bottom w:val="nil"/>
              <w:right w:val="single" w:sz="4" w:space="0" w:color="000000"/>
            </w:tcBorders>
            <w:shd w:val="clear" w:color="000000" w:fill="FFFFFF"/>
            <w:noWrap/>
            <w:vAlign w:val="center"/>
            <w:hideMark/>
          </w:tcPr>
          <w:p w14:paraId="7888E92D"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820" w:type="dxa"/>
            <w:gridSpan w:val="4"/>
            <w:tcBorders>
              <w:top w:val="single" w:sz="4" w:space="0" w:color="auto"/>
              <w:left w:val="nil"/>
              <w:bottom w:val="nil"/>
              <w:right w:val="single" w:sz="4" w:space="0" w:color="000000"/>
            </w:tcBorders>
            <w:shd w:val="clear" w:color="000000" w:fill="FFFFFF"/>
            <w:noWrap/>
            <w:vAlign w:val="center"/>
            <w:hideMark/>
          </w:tcPr>
          <w:p w14:paraId="376649ED"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960" w:type="dxa"/>
            <w:gridSpan w:val="4"/>
            <w:tcBorders>
              <w:top w:val="nil"/>
              <w:left w:val="nil"/>
              <w:bottom w:val="nil"/>
              <w:right w:val="nil"/>
            </w:tcBorders>
            <w:shd w:val="clear" w:color="000000" w:fill="FFFFFF"/>
            <w:noWrap/>
            <w:vAlign w:val="center"/>
            <w:hideMark/>
          </w:tcPr>
          <w:p w14:paraId="6A2ED63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r>
      <w:tr w:rsidR="001B2857" w:rsidRPr="001B2857" w14:paraId="3B5DD194"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187D99E7"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a. Full  model</w:t>
            </w:r>
          </w:p>
        </w:tc>
        <w:tc>
          <w:tcPr>
            <w:tcW w:w="723" w:type="dxa"/>
            <w:tcBorders>
              <w:top w:val="nil"/>
              <w:left w:val="nil"/>
              <w:bottom w:val="nil"/>
              <w:right w:val="nil"/>
            </w:tcBorders>
            <w:shd w:val="clear" w:color="000000" w:fill="FFFFFF"/>
            <w:noWrap/>
            <w:vAlign w:val="bottom"/>
            <w:hideMark/>
          </w:tcPr>
          <w:p w14:paraId="2585E7D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-0.49</w:t>
            </w:r>
          </w:p>
        </w:tc>
        <w:tc>
          <w:tcPr>
            <w:tcW w:w="937" w:type="dxa"/>
            <w:tcBorders>
              <w:top w:val="nil"/>
              <w:left w:val="nil"/>
              <w:bottom w:val="nil"/>
              <w:right w:val="nil"/>
            </w:tcBorders>
            <w:shd w:val="clear" w:color="000000" w:fill="FFFFFF"/>
            <w:noWrap/>
            <w:vAlign w:val="bottom"/>
            <w:hideMark/>
          </w:tcPr>
          <w:p w14:paraId="1D1B1FE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0.56</w:t>
            </w:r>
          </w:p>
        </w:tc>
        <w:tc>
          <w:tcPr>
            <w:tcW w:w="615" w:type="dxa"/>
            <w:tcBorders>
              <w:top w:val="nil"/>
              <w:left w:val="single" w:sz="4" w:space="0" w:color="auto"/>
              <w:bottom w:val="nil"/>
              <w:right w:val="nil"/>
            </w:tcBorders>
            <w:shd w:val="clear" w:color="000000" w:fill="FFFFFF"/>
            <w:noWrap/>
            <w:vAlign w:val="bottom"/>
            <w:hideMark/>
          </w:tcPr>
          <w:p w14:paraId="34A3DF1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-1.57</w:t>
            </w:r>
          </w:p>
        </w:tc>
        <w:tc>
          <w:tcPr>
            <w:tcW w:w="861" w:type="dxa"/>
            <w:tcBorders>
              <w:top w:val="nil"/>
              <w:left w:val="nil"/>
              <w:bottom w:val="nil"/>
              <w:right w:val="nil"/>
            </w:tcBorders>
            <w:shd w:val="clear" w:color="000000" w:fill="FFFFFF"/>
            <w:noWrap/>
            <w:vAlign w:val="bottom"/>
            <w:hideMark/>
          </w:tcPr>
          <w:p w14:paraId="0DB2976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0.74</w:t>
            </w:r>
          </w:p>
        </w:tc>
        <w:tc>
          <w:tcPr>
            <w:tcW w:w="664" w:type="dxa"/>
            <w:tcBorders>
              <w:top w:val="nil"/>
              <w:left w:val="nil"/>
              <w:bottom w:val="nil"/>
              <w:right w:val="nil"/>
            </w:tcBorders>
            <w:shd w:val="clear" w:color="000000" w:fill="FFFFFF"/>
            <w:noWrap/>
            <w:vAlign w:val="bottom"/>
            <w:hideMark/>
          </w:tcPr>
          <w:p w14:paraId="1768062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0.73</w:t>
            </w:r>
          </w:p>
        </w:tc>
        <w:tc>
          <w:tcPr>
            <w:tcW w:w="861" w:type="dxa"/>
            <w:tcBorders>
              <w:top w:val="nil"/>
              <w:left w:val="nil"/>
              <w:bottom w:val="nil"/>
              <w:right w:val="single" w:sz="4" w:space="0" w:color="auto"/>
            </w:tcBorders>
            <w:shd w:val="clear" w:color="000000" w:fill="FFFFFF"/>
            <w:noWrap/>
            <w:vAlign w:val="bottom"/>
            <w:hideMark/>
          </w:tcPr>
          <w:p w14:paraId="0CC163B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0.45</w:t>
            </w:r>
          </w:p>
        </w:tc>
        <w:tc>
          <w:tcPr>
            <w:tcW w:w="586" w:type="dxa"/>
            <w:tcBorders>
              <w:top w:val="nil"/>
              <w:left w:val="nil"/>
              <w:bottom w:val="nil"/>
              <w:right w:val="nil"/>
            </w:tcBorders>
            <w:shd w:val="clear" w:color="000000" w:fill="FFFFFF"/>
            <w:noWrap/>
            <w:vAlign w:val="bottom"/>
            <w:hideMark/>
          </w:tcPr>
          <w:p w14:paraId="721BDB0A"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-4.51</w:t>
            </w:r>
          </w:p>
        </w:tc>
        <w:tc>
          <w:tcPr>
            <w:tcW w:w="824" w:type="dxa"/>
            <w:tcBorders>
              <w:top w:val="nil"/>
              <w:left w:val="nil"/>
              <w:bottom w:val="nil"/>
              <w:right w:val="nil"/>
            </w:tcBorders>
            <w:shd w:val="clear" w:color="000000" w:fill="FFFFFF"/>
            <w:noWrap/>
            <w:vAlign w:val="bottom"/>
            <w:hideMark/>
          </w:tcPr>
          <w:p w14:paraId="31AF143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0.25</w:t>
            </w:r>
          </w:p>
        </w:tc>
        <w:tc>
          <w:tcPr>
            <w:tcW w:w="586" w:type="dxa"/>
            <w:tcBorders>
              <w:top w:val="nil"/>
              <w:left w:val="nil"/>
              <w:bottom w:val="nil"/>
              <w:right w:val="nil"/>
            </w:tcBorders>
            <w:shd w:val="clear" w:color="000000" w:fill="FFFFFF"/>
            <w:noWrap/>
            <w:vAlign w:val="bottom"/>
            <w:hideMark/>
          </w:tcPr>
          <w:p w14:paraId="24A7F02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-0.11</w:t>
            </w:r>
          </w:p>
        </w:tc>
        <w:tc>
          <w:tcPr>
            <w:tcW w:w="824" w:type="dxa"/>
            <w:tcBorders>
              <w:top w:val="nil"/>
              <w:left w:val="nil"/>
              <w:bottom w:val="nil"/>
              <w:right w:val="single" w:sz="4" w:space="0" w:color="auto"/>
            </w:tcBorders>
            <w:shd w:val="clear" w:color="000000" w:fill="FFFFFF"/>
            <w:noWrap/>
            <w:vAlign w:val="bottom"/>
            <w:hideMark/>
          </w:tcPr>
          <w:p w14:paraId="59B5D8E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0.86</w:t>
            </w:r>
          </w:p>
        </w:tc>
        <w:tc>
          <w:tcPr>
            <w:tcW w:w="563" w:type="dxa"/>
            <w:tcBorders>
              <w:top w:val="nil"/>
              <w:left w:val="nil"/>
              <w:bottom w:val="nil"/>
              <w:right w:val="nil"/>
            </w:tcBorders>
            <w:shd w:val="clear" w:color="000000" w:fill="FFFFFF"/>
            <w:noWrap/>
            <w:vAlign w:val="bottom"/>
            <w:hideMark/>
          </w:tcPr>
          <w:p w14:paraId="304EAE4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nil"/>
              <w:right w:val="nil"/>
            </w:tcBorders>
            <w:shd w:val="clear" w:color="000000" w:fill="FFFFFF"/>
            <w:noWrap/>
            <w:vAlign w:val="bottom"/>
            <w:hideMark/>
          </w:tcPr>
          <w:p w14:paraId="5580682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000000" w:fill="FFFFFF"/>
            <w:noWrap/>
            <w:vAlign w:val="bottom"/>
            <w:hideMark/>
          </w:tcPr>
          <w:p w14:paraId="3A2981C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nil"/>
              <w:right w:val="nil"/>
            </w:tcBorders>
            <w:shd w:val="clear" w:color="000000" w:fill="FFFFFF"/>
            <w:noWrap/>
            <w:vAlign w:val="bottom"/>
            <w:hideMark/>
          </w:tcPr>
          <w:p w14:paraId="6563A92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r>
      <w:tr w:rsidR="001B2857" w:rsidRPr="001B2857" w14:paraId="3D0EFB13" w14:textId="77777777" w:rsidTr="001B2857">
        <w:trPr>
          <w:trHeight w:val="220"/>
        </w:trPr>
        <w:tc>
          <w:tcPr>
            <w:tcW w:w="1740" w:type="dxa"/>
            <w:tcBorders>
              <w:top w:val="nil"/>
              <w:left w:val="single" w:sz="4" w:space="0" w:color="auto"/>
              <w:bottom w:val="single" w:sz="4" w:space="0" w:color="auto"/>
              <w:right w:val="single" w:sz="4" w:space="0" w:color="auto"/>
            </w:tcBorders>
            <w:shd w:val="clear" w:color="000000" w:fill="FFFFFF"/>
            <w:noWrap/>
            <w:vAlign w:val="bottom"/>
            <w:hideMark/>
          </w:tcPr>
          <w:p w14:paraId="193DF761"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b. Parsimonious model</w:t>
            </w:r>
          </w:p>
        </w:tc>
        <w:tc>
          <w:tcPr>
            <w:tcW w:w="723" w:type="dxa"/>
            <w:tcBorders>
              <w:top w:val="nil"/>
              <w:left w:val="nil"/>
              <w:bottom w:val="single" w:sz="4" w:space="0" w:color="auto"/>
              <w:right w:val="nil"/>
            </w:tcBorders>
            <w:shd w:val="clear" w:color="000000" w:fill="FFFFFF"/>
            <w:noWrap/>
            <w:vAlign w:val="bottom"/>
            <w:hideMark/>
          </w:tcPr>
          <w:p w14:paraId="79480B3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-0.19</w:t>
            </w:r>
          </w:p>
        </w:tc>
        <w:tc>
          <w:tcPr>
            <w:tcW w:w="937" w:type="dxa"/>
            <w:tcBorders>
              <w:top w:val="nil"/>
              <w:left w:val="nil"/>
              <w:bottom w:val="single" w:sz="4" w:space="0" w:color="auto"/>
              <w:right w:val="nil"/>
            </w:tcBorders>
            <w:shd w:val="clear" w:color="000000" w:fill="FFFFFF"/>
            <w:noWrap/>
            <w:vAlign w:val="bottom"/>
            <w:hideMark/>
          </w:tcPr>
          <w:p w14:paraId="5BE2578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0.011</w:t>
            </w:r>
          </w:p>
        </w:tc>
        <w:tc>
          <w:tcPr>
            <w:tcW w:w="615" w:type="dxa"/>
            <w:tcBorders>
              <w:top w:val="nil"/>
              <w:left w:val="single" w:sz="4" w:space="0" w:color="auto"/>
              <w:bottom w:val="single" w:sz="4" w:space="0" w:color="auto"/>
              <w:right w:val="nil"/>
            </w:tcBorders>
            <w:shd w:val="clear" w:color="000000" w:fill="FFFFFF"/>
            <w:noWrap/>
            <w:vAlign w:val="bottom"/>
            <w:hideMark/>
          </w:tcPr>
          <w:p w14:paraId="1544B24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61" w:type="dxa"/>
            <w:tcBorders>
              <w:top w:val="nil"/>
              <w:left w:val="nil"/>
              <w:bottom w:val="single" w:sz="4" w:space="0" w:color="auto"/>
              <w:right w:val="nil"/>
            </w:tcBorders>
            <w:shd w:val="clear" w:color="000000" w:fill="FFFFFF"/>
            <w:noWrap/>
            <w:vAlign w:val="bottom"/>
            <w:hideMark/>
          </w:tcPr>
          <w:p w14:paraId="07783EA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664" w:type="dxa"/>
            <w:tcBorders>
              <w:top w:val="nil"/>
              <w:left w:val="nil"/>
              <w:bottom w:val="single" w:sz="4" w:space="0" w:color="auto"/>
              <w:right w:val="nil"/>
            </w:tcBorders>
            <w:shd w:val="clear" w:color="000000" w:fill="FFFFFF"/>
            <w:noWrap/>
            <w:vAlign w:val="bottom"/>
            <w:hideMark/>
          </w:tcPr>
          <w:p w14:paraId="2B07BBD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61" w:type="dxa"/>
            <w:tcBorders>
              <w:top w:val="nil"/>
              <w:left w:val="nil"/>
              <w:bottom w:val="single" w:sz="4" w:space="0" w:color="auto"/>
              <w:right w:val="single" w:sz="4" w:space="0" w:color="auto"/>
            </w:tcBorders>
            <w:shd w:val="clear" w:color="000000" w:fill="FFFFFF"/>
            <w:noWrap/>
            <w:vAlign w:val="bottom"/>
            <w:hideMark/>
          </w:tcPr>
          <w:p w14:paraId="62BD418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86" w:type="dxa"/>
            <w:tcBorders>
              <w:top w:val="nil"/>
              <w:left w:val="nil"/>
              <w:bottom w:val="single" w:sz="4" w:space="0" w:color="auto"/>
              <w:right w:val="nil"/>
            </w:tcBorders>
            <w:shd w:val="clear" w:color="000000" w:fill="FFFFFF"/>
            <w:noWrap/>
            <w:vAlign w:val="bottom"/>
            <w:hideMark/>
          </w:tcPr>
          <w:p w14:paraId="1186C00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single" w:sz="4" w:space="0" w:color="auto"/>
              <w:right w:val="nil"/>
            </w:tcBorders>
            <w:shd w:val="clear" w:color="000000" w:fill="FFFFFF"/>
            <w:noWrap/>
            <w:vAlign w:val="bottom"/>
            <w:hideMark/>
          </w:tcPr>
          <w:p w14:paraId="79811E3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86" w:type="dxa"/>
            <w:tcBorders>
              <w:top w:val="nil"/>
              <w:left w:val="nil"/>
              <w:bottom w:val="single" w:sz="4" w:space="0" w:color="auto"/>
              <w:right w:val="nil"/>
            </w:tcBorders>
            <w:shd w:val="clear" w:color="000000" w:fill="FFFFFF"/>
            <w:noWrap/>
            <w:vAlign w:val="bottom"/>
            <w:hideMark/>
          </w:tcPr>
          <w:p w14:paraId="6971DA4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FCEF68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000000" w:fill="FFFFFF"/>
            <w:noWrap/>
            <w:vAlign w:val="bottom"/>
            <w:hideMark/>
          </w:tcPr>
          <w:p w14:paraId="51D5AAF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nil"/>
              <w:right w:val="nil"/>
            </w:tcBorders>
            <w:shd w:val="clear" w:color="000000" w:fill="FFFFFF"/>
            <w:noWrap/>
            <w:vAlign w:val="bottom"/>
            <w:hideMark/>
          </w:tcPr>
          <w:p w14:paraId="0D0C5F2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000000" w:fill="FFFFFF"/>
            <w:noWrap/>
            <w:vAlign w:val="bottom"/>
            <w:hideMark/>
          </w:tcPr>
          <w:p w14:paraId="2EAA64E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nil"/>
              <w:right w:val="nil"/>
            </w:tcBorders>
            <w:shd w:val="clear" w:color="000000" w:fill="FFFFFF"/>
            <w:noWrap/>
            <w:vAlign w:val="bottom"/>
            <w:hideMark/>
          </w:tcPr>
          <w:p w14:paraId="59EEE68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r>
    </w:tbl>
    <w:p w14:paraId="02C2D190" w14:textId="77777777" w:rsidR="001B2857" w:rsidRPr="001B2857" w:rsidRDefault="001B2857" w:rsidP="00C43F88"/>
    <w:p w14:paraId="06EE23A2" w14:textId="77777777" w:rsidR="00E6325B" w:rsidRPr="00591BFC" w:rsidRDefault="00E6325B" w:rsidP="00E6325B">
      <w:pPr>
        <w:pStyle w:val="Caption"/>
        <w:keepNext/>
        <w:spacing w:line="360" w:lineRule="auto"/>
      </w:pPr>
      <w:bookmarkStart w:id="231" w:name="_Toc308262409"/>
      <w:bookmarkStart w:id="232" w:name="_Toc311366675"/>
      <w:r w:rsidRPr="00591BFC">
        <w:t xml:space="preserve">Table </w:t>
      </w:r>
      <w:r w:rsidR="002149AD">
        <w:fldChar w:fldCharType="begin"/>
      </w:r>
      <w:r w:rsidR="002149AD">
        <w:instrText xml:space="preserve"> SEQ Table \* ARABIC </w:instrText>
      </w:r>
      <w:r w:rsidR="002149AD">
        <w:fldChar w:fldCharType="separate"/>
      </w:r>
      <w:r w:rsidR="00531379">
        <w:rPr>
          <w:noProof/>
        </w:rPr>
        <w:t>14</w:t>
      </w:r>
      <w:r w:rsidR="002149AD">
        <w:rPr>
          <w:noProof/>
        </w:rPr>
        <w:fldChar w:fldCharType="end"/>
      </w:r>
      <w:r w:rsidRPr="00591BFC">
        <w:t xml:space="preserve"> </w:t>
      </w:r>
      <w:r>
        <w:t>Results of segmented linear regression models for 1-year mortality</w:t>
      </w:r>
      <w:r w:rsidR="009D0596">
        <w:t xml:space="preserve"> for each hospital</w:t>
      </w:r>
      <w:bookmarkEnd w:id="231"/>
      <w:bookmarkEnd w:id="232"/>
    </w:p>
    <w:tbl>
      <w:tblPr>
        <w:tblW w:w="12180" w:type="dxa"/>
        <w:tblInd w:w="93" w:type="dxa"/>
        <w:tblLook w:val="04A0" w:firstRow="1" w:lastRow="0" w:firstColumn="1" w:lastColumn="0" w:noHBand="0" w:noVBand="1"/>
      </w:tblPr>
      <w:tblGrid>
        <w:gridCol w:w="1740"/>
        <w:gridCol w:w="689"/>
        <w:gridCol w:w="971"/>
        <w:gridCol w:w="623"/>
        <w:gridCol w:w="877"/>
        <w:gridCol w:w="623"/>
        <w:gridCol w:w="877"/>
        <w:gridCol w:w="586"/>
        <w:gridCol w:w="824"/>
        <w:gridCol w:w="586"/>
        <w:gridCol w:w="824"/>
        <w:gridCol w:w="563"/>
        <w:gridCol w:w="917"/>
        <w:gridCol w:w="563"/>
        <w:gridCol w:w="917"/>
      </w:tblGrid>
      <w:tr w:rsidR="001B2857" w:rsidRPr="001B2857" w14:paraId="537A4A16" w14:textId="77777777" w:rsidTr="001B2857">
        <w:trPr>
          <w:trHeight w:val="220"/>
        </w:trPr>
        <w:tc>
          <w:tcPr>
            <w:tcW w:w="1740" w:type="dxa"/>
            <w:tcBorders>
              <w:top w:val="single" w:sz="4" w:space="0" w:color="auto"/>
              <w:left w:val="single" w:sz="4" w:space="0" w:color="auto"/>
              <w:bottom w:val="nil"/>
              <w:right w:val="single" w:sz="4" w:space="0" w:color="auto"/>
            </w:tcBorders>
            <w:shd w:val="clear" w:color="auto" w:fill="auto"/>
            <w:noWrap/>
            <w:vAlign w:val="bottom"/>
            <w:hideMark/>
          </w:tcPr>
          <w:p w14:paraId="78D9B8AB"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 </w:t>
            </w:r>
          </w:p>
        </w:tc>
        <w:tc>
          <w:tcPr>
            <w:tcW w:w="16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38E7F82"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Baseline</w:t>
            </w:r>
          </w:p>
        </w:tc>
        <w:tc>
          <w:tcPr>
            <w:tcW w:w="300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CBE7179"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Intervention 1</w:t>
            </w:r>
          </w:p>
        </w:tc>
        <w:tc>
          <w:tcPr>
            <w:tcW w:w="28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114013A"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Intervention 2</w:t>
            </w:r>
          </w:p>
        </w:tc>
        <w:tc>
          <w:tcPr>
            <w:tcW w:w="296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77FF8D9"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Intervention 3</w:t>
            </w:r>
          </w:p>
        </w:tc>
      </w:tr>
      <w:tr w:rsidR="001B2857" w:rsidRPr="001B2857" w14:paraId="393A37BC" w14:textId="77777777" w:rsidTr="001B2857">
        <w:trPr>
          <w:trHeight w:val="220"/>
        </w:trPr>
        <w:tc>
          <w:tcPr>
            <w:tcW w:w="1740" w:type="dxa"/>
            <w:tcBorders>
              <w:top w:val="nil"/>
              <w:left w:val="single" w:sz="4" w:space="0" w:color="auto"/>
              <w:bottom w:val="nil"/>
              <w:right w:val="single" w:sz="4" w:space="0" w:color="auto"/>
            </w:tcBorders>
            <w:shd w:val="clear" w:color="auto" w:fill="auto"/>
            <w:noWrap/>
            <w:vAlign w:val="bottom"/>
            <w:hideMark/>
          </w:tcPr>
          <w:p w14:paraId="1579231C"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 </w:t>
            </w:r>
          </w:p>
        </w:tc>
        <w:tc>
          <w:tcPr>
            <w:tcW w:w="16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34498F9"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Baseline Trend</w:t>
            </w:r>
          </w:p>
        </w:tc>
        <w:tc>
          <w:tcPr>
            <w:tcW w:w="1500" w:type="dxa"/>
            <w:gridSpan w:val="2"/>
            <w:tcBorders>
              <w:top w:val="single" w:sz="4" w:space="0" w:color="auto"/>
              <w:left w:val="nil"/>
              <w:bottom w:val="single" w:sz="4" w:space="0" w:color="auto"/>
              <w:right w:val="nil"/>
            </w:tcBorders>
            <w:shd w:val="clear" w:color="auto" w:fill="auto"/>
            <w:noWrap/>
            <w:vAlign w:val="center"/>
            <w:hideMark/>
          </w:tcPr>
          <w:p w14:paraId="59AD8450"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Step change</w:t>
            </w:r>
          </w:p>
        </w:tc>
        <w:tc>
          <w:tcPr>
            <w:tcW w:w="1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0B9D491"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Slope change</w:t>
            </w:r>
          </w:p>
        </w:tc>
        <w:tc>
          <w:tcPr>
            <w:tcW w:w="1410" w:type="dxa"/>
            <w:gridSpan w:val="2"/>
            <w:tcBorders>
              <w:top w:val="single" w:sz="4" w:space="0" w:color="auto"/>
              <w:left w:val="nil"/>
              <w:bottom w:val="single" w:sz="4" w:space="0" w:color="auto"/>
              <w:right w:val="nil"/>
            </w:tcBorders>
            <w:shd w:val="clear" w:color="auto" w:fill="auto"/>
            <w:noWrap/>
            <w:vAlign w:val="center"/>
            <w:hideMark/>
          </w:tcPr>
          <w:p w14:paraId="241CA0E9"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Step change</w:t>
            </w:r>
          </w:p>
        </w:tc>
        <w:tc>
          <w:tcPr>
            <w:tcW w:w="1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955C336"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Slope change</w:t>
            </w:r>
          </w:p>
        </w:tc>
        <w:tc>
          <w:tcPr>
            <w:tcW w:w="1480" w:type="dxa"/>
            <w:gridSpan w:val="2"/>
            <w:tcBorders>
              <w:top w:val="single" w:sz="4" w:space="0" w:color="auto"/>
              <w:left w:val="nil"/>
              <w:bottom w:val="single" w:sz="4" w:space="0" w:color="auto"/>
              <w:right w:val="nil"/>
            </w:tcBorders>
            <w:shd w:val="clear" w:color="auto" w:fill="auto"/>
            <w:noWrap/>
            <w:vAlign w:val="center"/>
            <w:hideMark/>
          </w:tcPr>
          <w:p w14:paraId="6A2EF423"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Step change</w:t>
            </w:r>
          </w:p>
        </w:tc>
        <w:tc>
          <w:tcPr>
            <w:tcW w:w="1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658D6EE"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Slope change</w:t>
            </w:r>
          </w:p>
        </w:tc>
      </w:tr>
      <w:tr w:rsidR="001B2857" w:rsidRPr="001B2857" w14:paraId="7638DA23" w14:textId="77777777" w:rsidTr="001B2857">
        <w:trPr>
          <w:trHeight w:val="220"/>
        </w:trPr>
        <w:tc>
          <w:tcPr>
            <w:tcW w:w="1740" w:type="dxa"/>
            <w:tcBorders>
              <w:top w:val="nil"/>
              <w:left w:val="single" w:sz="4" w:space="0" w:color="auto"/>
              <w:bottom w:val="nil"/>
              <w:right w:val="single" w:sz="4" w:space="0" w:color="auto"/>
            </w:tcBorders>
            <w:shd w:val="clear" w:color="auto" w:fill="auto"/>
            <w:noWrap/>
            <w:vAlign w:val="bottom"/>
            <w:hideMark/>
          </w:tcPr>
          <w:p w14:paraId="097907E2"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 </w:t>
            </w:r>
          </w:p>
        </w:tc>
        <w:tc>
          <w:tcPr>
            <w:tcW w:w="689" w:type="dxa"/>
            <w:vMerge w:val="restart"/>
            <w:tcBorders>
              <w:top w:val="nil"/>
              <w:left w:val="single" w:sz="4" w:space="0" w:color="auto"/>
              <w:bottom w:val="single" w:sz="4" w:space="0" w:color="000000"/>
              <w:right w:val="nil"/>
            </w:tcBorders>
            <w:shd w:val="clear" w:color="auto" w:fill="auto"/>
            <w:noWrap/>
            <w:vAlign w:val="center"/>
            <w:hideMark/>
          </w:tcPr>
          <w:p w14:paraId="033021C0"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β1</w:t>
            </w:r>
          </w:p>
        </w:tc>
        <w:tc>
          <w:tcPr>
            <w:tcW w:w="971" w:type="dxa"/>
            <w:vMerge w:val="restart"/>
            <w:tcBorders>
              <w:top w:val="nil"/>
              <w:left w:val="nil"/>
              <w:bottom w:val="single" w:sz="4" w:space="0" w:color="000000"/>
              <w:right w:val="single" w:sz="4" w:space="0" w:color="auto"/>
            </w:tcBorders>
            <w:shd w:val="clear" w:color="auto" w:fill="auto"/>
            <w:noWrap/>
            <w:vAlign w:val="center"/>
            <w:hideMark/>
          </w:tcPr>
          <w:p w14:paraId="688B8283"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623" w:type="dxa"/>
            <w:vMerge w:val="restart"/>
            <w:tcBorders>
              <w:top w:val="nil"/>
              <w:left w:val="single" w:sz="4" w:space="0" w:color="auto"/>
              <w:bottom w:val="nil"/>
              <w:right w:val="nil"/>
            </w:tcBorders>
            <w:shd w:val="clear" w:color="auto" w:fill="auto"/>
            <w:noWrap/>
            <w:vAlign w:val="center"/>
            <w:hideMark/>
          </w:tcPr>
          <w:p w14:paraId="4B1ACB89"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β2</w:t>
            </w:r>
          </w:p>
        </w:tc>
        <w:tc>
          <w:tcPr>
            <w:tcW w:w="877" w:type="dxa"/>
            <w:vMerge w:val="restart"/>
            <w:tcBorders>
              <w:top w:val="nil"/>
              <w:left w:val="nil"/>
              <w:bottom w:val="nil"/>
              <w:right w:val="single" w:sz="4" w:space="0" w:color="auto"/>
            </w:tcBorders>
            <w:shd w:val="clear" w:color="auto" w:fill="auto"/>
            <w:noWrap/>
            <w:vAlign w:val="center"/>
            <w:hideMark/>
          </w:tcPr>
          <w:p w14:paraId="5DFF1F7C"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623" w:type="dxa"/>
            <w:vMerge w:val="restart"/>
            <w:tcBorders>
              <w:top w:val="nil"/>
              <w:left w:val="nil"/>
              <w:bottom w:val="nil"/>
              <w:right w:val="nil"/>
            </w:tcBorders>
            <w:shd w:val="clear" w:color="auto" w:fill="auto"/>
            <w:noWrap/>
            <w:vAlign w:val="center"/>
            <w:hideMark/>
          </w:tcPr>
          <w:p w14:paraId="1F67B449"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β3</w:t>
            </w:r>
          </w:p>
        </w:tc>
        <w:tc>
          <w:tcPr>
            <w:tcW w:w="877" w:type="dxa"/>
            <w:vMerge w:val="restart"/>
            <w:tcBorders>
              <w:top w:val="nil"/>
              <w:left w:val="nil"/>
              <w:bottom w:val="nil"/>
              <w:right w:val="nil"/>
            </w:tcBorders>
            <w:shd w:val="clear" w:color="auto" w:fill="auto"/>
            <w:noWrap/>
            <w:vAlign w:val="center"/>
            <w:hideMark/>
          </w:tcPr>
          <w:p w14:paraId="687C1EFF"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586" w:type="dxa"/>
            <w:vMerge w:val="restart"/>
            <w:tcBorders>
              <w:top w:val="nil"/>
              <w:left w:val="single" w:sz="4" w:space="0" w:color="auto"/>
              <w:bottom w:val="nil"/>
              <w:right w:val="nil"/>
            </w:tcBorders>
            <w:shd w:val="clear" w:color="auto" w:fill="auto"/>
            <w:noWrap/>
            <w:vAlign w:val="center"/>
            <w:hideMark/>
          </w:tcPr>
          <w:p w14:paraId="7CBE0B9A"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β4</w:t>
            </w:r>
          </w:p>
        </w:tc>
        <w:tc>
          <w:tcPr>
            <w:tcW w:w="824" w:type="dxa"/>
            <w:vMerge w:val="restart"/>
            <w:tcBorders>
              <w:top w:val="nil"/>
              <w:left w:val="nil"/>
              <w:bottom w:val="nil"/>
              <w:right w:val="nil"/>
            </w:tcBorders>
            <w:shd w:val="clear" w:color="auto" w:fill="auto"/>
            <w:noWrap/>
            <w:vAlign w:val="center"/>
            <w:hideMark/>
          </w:tcPr>
          <w:p w14:paraId="21D01386"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586" w:type="dxa"/>
            <w:vMerge w:val="restart"/>
            <w:tcBorders>
              <w:top w:val="nil"/>
              <w:left w:val="single" w:sz="4" w:space="0" w:color="auto"/>
              <w:bottom w:val="nil"/>
              <w:right w:val="nil"/>
            </w:tcBorders>
            <w:shd w:val="clear" w:color="auto" w:fill="auto"/>
            <w:noWrap/>
            <w:vAlign w:val="center"/>
            <w:hideMark/>
          </w:tcPr>
          <w:p w14:paraId="4689C9D4"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β5</w:t>
            </w:r>
          </w:p>
        </w:tc>
        <w:tc>
          <w:tcPr>
            <w:tcW w:w="824" w:type="dxa"/>
            <w:vMerge w:val="restart"/>
            <w:tcBorders>
              <w:top w:val="nil"/>
              <w:left w:val="nil"/>
              <w:bottom w:val="nil"/>
              <w:right w:val="single" w:sz="4" w:space="0" w:color="auto"/>
            </w:tcBorders>
            <w:shd w:val="clear" w:color="auto" w:fill="auto"/>
            <w:noWrap/>
            <w:vAlign w:val="center"/>
            <w:hideMark/>
          </w:tcPr>
          <w:p w14:paraId="2F10B52A"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563" w:type="dxa"/>
            <w:vMerge w:val="restart"/>
            <w:tcBorders>
              <w:top w:val="nil"/>
              <w:left w:val="single" w:sz="4" w:space="0" w:color="auto"/>
              <w:bottom w:val="nil"/>
              <w:right w:val="nil"/>
            </w:tcBorders>
            <w:shd w:val="clear" w:color="auto" w:fill="auto"/>
            <w:noWrap/>
            <w:vAlign w:val="center"/>
            <w:hideMark/>
          </w:tcPr>
          <w:p w14:paraId="2F02DC5C"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β6</w:t>
            </w:r>
          </w:p>
        </w:tc>
        <w:tc>
          <w:tcPr>
            <w:tcW w:w="917" w:type="dxa"/>
            <w:vMerge w:val="restart"/>
            <w:tcBorders>
              <w:top w:val="nil"/>
              <w:left w:val="nil"/>
              <w:bottom w:val="nil"/>
              <w:right w:val="nil"/>
            </w:tcBorders>
            <w:shd w:val="clear" w:color="auto" w:fill="auto"/>
            <w:noWrap/>
            <w:vAlign w:val="center"/>
            <w:hideMark/>
          </w:tcPr>
          <w:p w14:paraId="1BCC6F92"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c>
          <w:tcPr>
            <w:tcW w:w="563" w:type="dxa"/>
            <w:vMerge w:val="restart"/>
            <w:tcBorders>
              <w:top w:val="nil"/>
              <w:left w:val="single" w:sz="4" w:space="0" w:color="auto"/>
              <w:bottom w:val="nil"/>
              <w:right w:val="nil"/>
            </w:tcBorders>
            <w:shd w:val="clear" w:color="auto" w:fill="auto"/>
            <w:noWrap/>
            <w:vAlign w:val="center"/>
            <w:hideMark/>
          </w:tcPr>
          <w:p w14:paraId="0CE0E5B8"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β7</w:t>
            </w:r>
          </w:p>
        </w:tc>
        <w:tc>
          <w:tcPr>
            <w:tcW w:w="917" w:type="dxa"/>
            <w:vMerge w:val="restart"/>
            <w:tcBorders>
              <w:top w:val="nil"/>
              <w:left w:val="nil"/>
              <w:bottom w:val="nil"/>
              <w:right w:val="single" w:sz="4" w:space="0" w:color="auto"/>
            </w:tcBorders>
            <w:shd w:val="clear" w:color="auto" w:fill="auto"/>
            <w:noWrap/>
            <w:vAlign w:val="center"/>
            <w:hideMark/>
          </w:tcPr>
          <w:p w14:paraId="2AD987BB"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P-value</w:t>
            </w:r>
          </w:p>
        </w:tc>
      </w:tr>
      <w:tr w:rsidR="001B2857" w:rsidRPr="001B2857" w14:paraId="56A2AAFA" w14:textId="77777777" w:rsidTr="001B2857">
        <w:trPr>
          <w:trHeight w:val="220"/>
        </w:trPr>
        <w:tc>
          <w:tcPr>
            <w:tcW w:w="1740" w:type="dxa"/>
            <w:tcBorders>
              <w:top w:val="nil"/>
              <w:left w:val="single" w:sz="4" w:space="0" w:color="auto"/>
              <w:bottom w:val="nil"/>
              <w:right w:val="single" w:sz="4" w:space="0" w:color="auto"/>
            </w:tcBorders>
            <w:shd w:val="clear" w:color="auto" w:fill="auto"/>
            <w:noWrap/>
            <w:vAlign w:val="bottom"/>
            <w:hideMark/>
          </w:tcPr>
          <w:p w14:paraId="7E155C4F"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 </w:t>
            </w:r>
          </w:p>
        </w:tc>
        <w:tc>
          <w:tcPr>
            <w:tcW w:w="689" w:type="dxa"/>
            <w:vMerge/>
            <w:tcBorders>
              <w:top w:val="nil"/>
              <w:left w:val="single" w:sz="4" w:space="0" w:color="auto"/>
              <w:bottom w:val="single" w:sz="4" w:space="0" w:color="000000"/>
              <w:right w:val="nil"/>
            </w:tcBorders>
            <w:vAlign w:val="center"/>
            <w:hideMark/>
          </w:tcPr>
          <w:p w14:paraId="14833C9C" w14:textId="77777777" w:rsidR="001B2857" w:rsidRPr="001B2857" w:rsidRDefault="001B2857" w:rsidP="001B2857">
            <w:pPr>
              <w:spacing w:after="0" w:line="240" w:lineRule="auto"/>
              <w:rPr>
                <w:rFonts w:eastAsia="Times New Roman"/>
                <w:color w:val="000000"/>
                <w:sz w:val="16"/>
                <w:szCs w:val="16"/>
              </w:rPr>
            </w:pPr>
          </w:p>
        </w:tc>
        <w:tc>
          <w:tcPr>
            <w:tcW w:w="971" w:type="dxa"/>
            <w:vMerge/>
            <w:tcBorders>
              <w:top w:val="nil"/>
              <w:left w:val="nil"/>
              <w:bottom w:val="single" w:sz="4" w:space="0" w:color="000000"/>
              <w:right w:val="single" w:sz="4" w:space="0" w:color="auto"/>
            </w:tcBorders>
            <w:vAlign w:val="center"/>
            <w:hideMark/>
          </w:tcPr>
          <w:p w14:paraId="09B8F488" w14:textId="77777777" w:rsidR="001B2857" w:rsidRPr="001B2857" w:rsidRDefault="001B2857" w:rsidP="001B2857">
            <w:pPr>
              <w:spacing w:after="0" w:line="240" w:lineRule="auto"/>
              <w:rPr>
                <w:rFonts w:eastAsia="Times New Roman"/>
                <w:color w:val="000000"/>
                <w:sz w:val="16"/>
                <w:szCs w:val="16"/>
              </w:rPr>
            </w:pPr>
          </w:p>
        </w:tc>
        <w:tc>
          <w:tcPr>
            <w:tcW w:w="623" w:type="dxa"/>
            <w:vMerge/>
            <w:tcBorders>
              <w:top w:val="nil"/>
              <w:left w:val="single" w:sz="4" w:space="0" w:color="auto"/>
              <w:bottom w:val="nil"/>
              <w:right w:val="nil"/>
            </w:tcBorders>
            <w:vAlign w:val="center"/>
            <w:hideMark/>
          </w:tcPr>
          <w:p w14:paraId="1789C04D" w14:textId="77777777" w:rsidR="001B2857" w:rsidRPr="001B2857" w:rsidRDefault="001B2857" w:rsidP="001B2857">
            <w:pPr>
              <w:spacing w:after="0" w:line="240" w:lineRule="auto"/>
              <w:rPr>
                <w:rFonts w:eastAsia="Times New Roman"/>
                <w:color w:val="000000"/>
                <w:sz w:val="16"/>
                <w:szCs w:val="16"/>
              </w:rPr>
            </w:pPr>
          </w:p>
        </w:tc>
        <w:tc>
          <w:tcPr>
            <w:tcW w:w="877" w:type="dxa"/>
            <w:vMerge/>
            <w:tcBorders>
              <w:top w:val="nil"/>
              <w:left w:val="nil"/>
              <w:bottom w:val="nil"/>
              <w:right w:val="single" w:sz="4" w:space="0" w:color="auto"/>
            </w:tcBorders>
            <w:vAlign w:val="center"/>
            <w:hideMark/>
          </w:tcPr>
          <w:p w14:paraId="1AA31AF9" w14:textId="77777777" w:rsidR="001B2857" w:rsidRPr="001B2857" w:rsidRDefault="001B2857" w:rsidP="001B2857">
            <w:pPr>
              <w:spacing w:after="0" w:line="240" w:lineRule="auto"/>
              <w:rPr>
                <w:rFonts w:eastAsia="Times New Roman"/>
                <w:color w:val="000000"/>
                <w:sz w:val="16"/>
                <w:szCs w:val="16"/>
              </w:rPr>
            </w:pPr>
          </w:p>
        </w:tc>
        <w:tc>
          <w:tcPr>
            <w:tcW w:w="623" w:type="dxa"/>
            <w:vMerge/>
            <w:tcBorders>
              <w:top w:val="nil"/>
              <w:left w:val="nil"/>
              <w:bottom w:val="nil"/>
              <w:right w:val="nil"/>
            </w:tcBorders>
            <w:vAlign w:val="center"/>
            <w:hideMark/>
          </w:tcPr>
          <w:p w14:paraId="7E4E837E" w14:textId="77777777" w:rsidR="001B2857" w:rsidRPr="001B2857" w:rsidRDefault="001B2857" w:rsidP="001B2857">
            <w:pPr>
              <w:spacing w:after="0" w:line="240" w:lineRule="auto"/>
              <w:rPr>
                <w:rFonts w:eastAsia="Times New Roman"/>
                <w:color w:val="000000"/>
                <w:sz w:val="16"/>
                <w:szCs w:val="16"/>
              </w:rPr>
            </w:pPr>
          </w:p>
        </w:tc>
        <w:tc>
          <w:tcPr>
            <w:tcW w:w="877" w:type="dxa"/>
            <w:vMerge/>
            <w:tcBorders>
              <w:top w:val="nil"/>
              <w:left w:val="nil"/>
              <w:bottom w:val="nil"/>
              <w:right w:val="nil"/>
            </w:tcBorders>
            <w:vAlign w:val="center"/>
            <w:hideMark/>
          </w:tcPr>
          <w:p w14:paraId="25176C17" w14:textId="77777777" w:rsidR="001B2857" w:rsidRPr="001B2857" w:rsidRDefault="001B2857" w:rsidP="001B2857">
            <w:pPr>
              <w:spacing w:after="0" w:line="240" w:lineRule="auto"/>
              <w:rPr>
                <w:rFonts w:eastAsia="Times New Roman"/>
                <w:color w:val="000000"/>
                <w:sz w:val="16"/>
                <w:szCs w:val="16"/>
              </w:rPr>
            </w:pPr>
          </w:p>
        </w:tc>
        <w:tc>
          <w:tcPr>
            <w:tcW w:w="586" w:type="dxa"/>
            <w:vMerge/>
            <w:tcBorders>
              <w:top w:val="nil"/>
              <w:left w:val="single" w:sz="4" w:space="0" w:color="auto"/>
              <w:bottom w:val="nil"/>
              <w:right w:val="nil"/>
            </w:tcBorders>
            <w:vAlign w:val="center"/>
            <w:hideMark/>
          </w:tcPr>
          <w:p w14:paraId="0E9A76D1" w14:textId="77777777" w:rsidR="001B2857" w:rsidRPr="001B2857" w:rsidRDefault="001B2857" w:rsidP="001B2857">
            <w:pPr>
              <w:spacing w:after="0" w:line="240" w:lineRule="auto"/>
              <w:rPr>
                <w:rFonts w:eastAsia="Times New Roman"/>
                <w:color w:val="000000"/>
                <w:sz w:val="16"/>
                <w:szCs w:val="16"/>
              </w:rPr>
            </w:pPr>
          </w:p>
        </w:tc>
        <w:tc>
          <w:tcPr>
            <w:tcW w:w="824" w:type="dxa"/>
            <w:vMerge/>
            <w:tcBorders>
              <w:top w:val="nil"/>
              <w:left w:val="nil"/>
              <w:bottom w:val="nil"/>
              <w:right w:val="nil"/>
            </w:tcBorders>
            <w:vAlign w:val="center"/>
            <w:hideMark/>
          </w:tcPr>
          <w:p w14:paraId="56CCD5D7" w14:textId="77777777" w:rsidR="001B2857" w:rsidRPr="001B2857" w:rsidRDefault="001B2857" w:rsidP="001B2857">
            <w:pPr>
              <w:spacing w:after="0" w:line="240" w:lineRule="auto"/>
              <w:rPr>
                <w:rFonts w:eastAsia="Times New Roman"/>
                <w:color w:val="000000"/>
                <w:sz w:val="16"/>
                <w:szCs w:val="16"/>
              </w:rPr>
            </w:pPr>
          </w:p>
        </w:tc>
        <w:tc>
          <w:tcPr>
            <w:tcW w:w="586" w:type="dxa"/>
            <w:vMerge/>
            <w:tcBorders>
              <w:top w:val="nil"/>
              <w:left w:val="single" w:sz="4" w:space="0" w:color="auto"/>
              <w:bottom w:val="nil"/>
              <w:right w:val="nil"/>
            </w:tcBorders>
            <w:vAlign w:val="center"/>
            <w:hideMark/>
          </w:tcPr>
          <w:p w14:paraId="0B346F80" w14:textId="77777777" w:rsidR="001B2857" w:rsidRPr="001B2857" w:rsidRDefault="001B2857" w:rsidP="001B2857">
            <w:pPr>
              <w:spacing w:after="0" w:line="240" w:lineRule="auto"/>
              <w:rPr>
                <w:rFonts w:eastAsia="Times New Roman"/>
                <w:color w:val="000000"/>
                <w:sz w:val="16"/>
                <w:szCs w:val="16"/>
              </w:rPr>
            </w:pPr>
          </w:p>
        </w:tc>
        <w:tc>
          <w:tcPr>
            <w:tcW w:w="824" w:type="dxa"/>
            <w:vMerge/>
            <w:tcBorders>
              <w:top w:val="nil"/>
              <w:left w:val="nil"/>
              <w:bottom w:val="nil"/>
              <w:right w:val="single" w:sz="4" w:space="0" w:color="auto"/>
            </w:tcBorders>
            <w:vAlign w:val="center"/>
            <w:hideMark/>
          </w:tcPr>
          <w:p w14:paraId="75A64588" w14:textId="77777777" w:rsidR="001B2857" w:rsidRPr="001B2857" w:rsidRDefault="001B2857" w:rsidP="001B2857">
            <w:pPr>
              <w:spacing w:after="0" w:line="240" w:lineRule="auto"/>
              <w:rPr>
                <w:rFonts w:eastAsia="Times New Roman"/>
                <w:color w:val="000000"/>
                <w:sz w:val="16"/>
                <w:szCs w:val="16"/>
              </w:rPr>
            </w:pPr>
          </w:p>
        </w:tc>
        <w:tc>
          <w:tcPr>
            <w:tcW w:w="563" w:type="dxa"/>
            <w:vMerge/>
            <w:tcBorders>
              <w:top w:val="nil"/>
              <w:left w:val="single" w:sz="4" w:space="0" w:color="auto"/>
              <w:bottom w:val="nil"/>
              <w:right w:val="nil"/>
            </w:tcBorders>
            <w:vAlign w:val="center"/>
            <w:hideMark/>
          </w:tcPr>
          <w:p w14:paraId="06C66FEA" w14:textId="77777777" w:rsidR="001B2857" w:rsidRPr="001B2857" w:rsidRDefault="001B2857" w:rsidP="001B2857">
            <w:pPr>
              <w:spacing w:after="0" w:line="240" w:lineRule="auto"/>
              <w:rPr>
                <w:rFonts w:eastAsia="Times New Roman"/>
                <w:color w:val="000000"/>
                <w:sz w:val="16"/>
                <w:szCs w:val="16"/>
              </w:rPr>
            </w:pPr>
          </w:p>
        </w:tc>
        <w:tc>
          <w:tcPr>
            <w:tcW w:w="917" w:type="dxa"/>
            <w:vMerge/>
            <w:tcBorders>
              <w:top w:val="nil"/>
              <w:left w:val="nil"/>
              <w:bottom w:val="nil"/>
              <w:right w:val="nil"/>
            </w:tcBorders>
            <w:vAlign w:val="center"/>
            <w:hideMark/>
          </w:tcPr>
          <w:p w14:paraId="05C02114" w14:textId="77777777" w:rsidR="001B2857" w:rsidRPr="001B2857" w:rsidRDefault="001B2857" w:rsidP="001B2857">
            <w:pPr>
              <w:spacing w:after="0" w:line="240" w:lineRule="auto"/>
              <w:rPr>
                <w:rFonts w:eastAsia="Times New Roman"/>
                <w:color w:val="000000"/>
                <w:sz w:val="16"/>
                <w:szCs w:val="16"/>
              </w:rPr>
            </w:pPr>
          </w:p>
        </w:tc>
        <w:tc>
          <w:tcPr>
            <w:tcW w:w="563" w:type="dxa"/>
            <w:vMerge/>
            <w:tcBorders>
              <w:top w:val="nil"/>
              <w:left w:val="single" w:sz="4" w:space="0" w:color="auto"/>
              <w:bottom w:val="nil"/>
              <w:right w:val="nil"/>
            </w:tcBorders>
            <w:vAlign w:val="center"/>
            <w:hideMark/>
          </w:tcPr>
          <w:p w14:paraId="36C1B12A" w14:textId="77777777" w:rsidR="001B2857" w:rsidRPr="001B2857" w:rsidRDefault="001B2857" w:rsidP="001B2857">
            <w:pPr>
              <w:spacing w:after="0" w:line="240" w:lineRule="auto"/>
              <w:rPr>
                <w:rFonts w:eastAsia="Times New Roman"/>
                <w:color w:val="000000"/>
                <w:sz w:val="16"/>
                <w:szCs w:val="16"/>
              </w:rPr>
            </w:pPr>
          </w:p>
        </w:tc>
        <w:tc>
          <w:tcPr>
            <w:tcW w:w="917" w:type="dxa"/>
            <w:vMerge/>
            <w:tcBorders>
              <w:top w:val="nil"/>
              <w:left w:val="nil"/>
              <w:bottom w:val="nil"/>
              <w:right w:val="single" w:sz="4" w:space="0" w:color="auto"/>
            </w:tcBorders>
            <w:vAlign w:val="center"/>
            <w:hideMark/>
          </w:tcPr>
          <w:p w14:paraId="3FB67B3D" w14:textId="77777777" w:rsidR="001B2857" w:rsidRPr="001B2857" w:rsidRDefault="001B2857" w:rsidP="001B2857">
            <w:pPr>
              <w:spacing w:after="0" w:line="240" w:lineRule="auto"/>
              <w:rPr>
                <w:rFonts w:eastAsia="Times New Roman"/>
                <w:color w:val="000000"/>
                <w:sz w:val="16"/>
                <w:szCs w:val="16"/>
              </w:rPr>
            </w:pPr>
          </w:p>
        </w:tc>
      </w:tr>
      <w:tr w:rsidR="001B2857" w:rsidRPr="001B2857" w14:paraId="3E0421A2"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39860E2A" w14:textId="77777777" w:rsidR="001B2857" w:rsidRPr="001B2857" w:rsidRDefault="001B2857" w:rsidP="001B2857">
            <w:pPr>
              <w:spacing w:after="0" w:line="240" w:lineRule="auto"/>
              <w:rPr>
                <w:rFonts w:eastAsia="Times New Roman"/>
                <w:sz w:val="16"/>
                <w:szCs w:val="16"/>
                <w:u w:val="single"/>
              </w:rPr>
            </w:pPr>
            <w:r w:rsidRPr="001B2857">
              <w:rPr>
                <w:rFonts w:eastAsia="Times New Roman"/>
                <w:sz w:val="16"/>
                <w:szCs w:val="16"/>
                <w:u w:val="single"/>
              </w:rPr>
              <w:t>Hospital 10</w:t>
            </w:r>
          </w:p>
        </w:tc>
        <w:tc>
          <w:tcPr>
            <w:tcW w:w="689" w:type="dxa"/>
            <w:tcBorders>
              <w:top w:val="nil"/>
              <w:left w:val="nil"/>
              <w:bottom w:val="nil"/>
              <w:right w:val="nil"/>
            </w:tcBorders>
            <w:shd w:val="clear" w:color="auto" w:fill="auto"/>
            <w:noWrap/>
            <w:vAlign w:val="bottom"/>
            <w:hideMark/>
          </w:tcPr>
          <w:p w14:paraId="66DA36D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71" w:type="dxa"/>
            <w:tcBorders>
              <w:top w:val="nil"/>
              <w:left w:val="nil"/>
              <w:bottom w:val="nil"/>
              <w:right w:val="nil"/>
            </w:tcBorders>
            <w:shd w:val="clear" w:color="auto" w:fill="auto"/>
            <w:noWrap/>
            <w:vAlign w:val="bottom"/>
            <w:hideMark/>
          </w:tcPr>
          <w:p w14:paraId="5C762720" w14:textId="77777777" w:rsidR="001B2857" w:rsidRPr="001B2857" w:rsidRDefault="001B2857" w:rsidP="001B2857">
            <w:pPr>
              <w:spacing w:after="0" w:line="240" w:lineRule="auto"/>
              <w:jc w:val="center"/>
              <w:rPr>
                <w:rFonts w:eastAsia="Times New Roman"/>
                <w:sz w:val="16"/>
                <w:szCs w:val="16"/>
              </w:rPr>
            </w:pPr>
          </w:p>
        </w:tc>
        <w:tc>
          <w:tcPr>
            <w:tcW w:w="3000"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3BC7D4B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820" w:type="dxa"/>
            <w:gridSpan w:val="4"/>
            <w:tcBorders>
              <w:top w:val="single" w:sz="4" w:space="0" w:color="auto"/>
              <w:left w:val="nil"/>
              <w:bottom w:val="nil"/>
              <w:right w:val="single" w:sz="4" w:space="0" w:color="000000"/>
            </w:tcBorders>
            <w:shd w:val="clear" w:color="auto" w:fill="auto"/>
            <w:noWrap/>
            <w:vAlign w:val="center"/>
            <w:hideMark/>
          </w:tcPr>
          <w:p w14:paraId="7C390F8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960" w:type="dxa"/>
            <w:gridSpan w:val="4"/>
            <w:tcBorders>
              <w:top w:val="single" w:sz="4" w:space="0" w:color="auto"/>
              <w:left w:val="nil"/>
              <w:bottom w:val="nil"/>
              <w:right w:val="single" w:sz="4" w:space="0" w:color="000000"/>
            </w:tcBorders>
            <w:shd w:val="clear" w:color="auto" w:fill="auto"/>
            <w:noWrap/>
            <w:vAlign w:val="center"/>
            <w:hideMark/>
          </w:tcPr>
          <w:p w14:paraId="3415A91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r>
      <w:tr w:rsidR="001B2857" w:rsidRPr="001B2857" w14:paraId="178DD22E"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3F8B14A0" w14:textId="77777777" w:rsidR="001B2857" w:rsidRPr="001B2857" w:rsidRDefault="001B2857" w:rsidP="001B2857">
            <w:pPr>
              <w:spacing w:after="0" w:line="240" w:lineRule="auto"/>
              <w:rPr>
                <w:rFonts w:eastAsia="Times New Roman"/>
                <w:sz w:val="16"/>
                <w:szCs w:val="16"/>
              </w:rPr>
            </w:pPr>
            <w:r w:rsidRPr="001B2857">
              <w:rPr>
                <w:rFonts w:eastAsia="Times New Roman"/>
                <w:sz w:val="16"/>
                <w:szCs w:val="16"/>
              </w:rPr>
              <w:t>a. Full  model</w:t>
            </w:r>
          </w:p>
        </w:tc>
        <w:tc>
          <w:tcPr>
            <w:tcW w:w="689" w:type="dxa"/>
            <w:tcBorders>
              <w:top w:val="nil"/>
              <w:left w:val="nil"/>
              <w:bottom w:val="nil"/>
              <w:right w:val="nil"/>
            </w:tcBorders>
            <w:shd w:val="clear" w:color="auto" w:fill="auto"/>
            <w:noWrap/>
            <w:vAlign w:val="bottom"/>
            <w:hideMark/>
          </w:tcPr>
          <w:p w14:paraId="55A3109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0.43</w:t>
            </w:r>
          </w:p>
        </w:tc>
        <w:tc>
          <w:tcPr>
            <w:tcW w:w="971" w:type="dxa"/>
            <w:tcBorders>
              <w:top w:val="nil"/>
              <w:left w:val="nil"/>
              <w:bottom w:val="nil"/>
              <w:right w:val="nil"/>
            </w:tcBorders>
            <w:shd w:val="clear" w:color="auto" w:fill="auto"/>
            <w:noWrap/>
            <w:vAlign w:val="bottom"/>
            <w:hideMark/>
          </w:tcPr>
          <w:p w14:paraId="6BC17D1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0.22</w:t>
            </w:r>
          </w:p>
        </w:tc>
        <w:tc>
          <w:tcPr>
            <w:tcW w:w="623" w:type="dxa"/>
            <w:tcBorders>
              <w:top w:val="nil"/>
              <w:left w:val="single" w:sz="4" w:space="0" w:color="auto"/>
              <w:bottom w:val="nil"/>
              <w:right w:val="nil"/>
            </w:tcBorders>
            <w:shd w:val="clear" w:color="auto" w:fill="auto"/>
            <w:noWrap/>
            <w:vAlign w:val="bottom"/>
            <w:hideMark/>
          </w:tcPr>
          <w:p w14:paraId="78E82F8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-8.07</w:t>
            </w:r>
          </w:p>
        </w:tc>
        <w:tc>
          <w:tcPr>
            <w:tcW w:w="877" w:type="dxa"/>
            <w:tcBorders>
              <w:top w:val="nil"/>
              <w:left w:val="nil"/>
              <w:bottom w:val="nil"/>
              <w:right w:val="nil"/>
            </w:tcBorders>
            <w:shd w:val="clear" w:color="auto" w:fill="auto"/>
            <w:noWrap/>
            <w:vAlign w:val="bottom"/>
            <w:hideMark/>
          </w:tcPr>
          <w:p w14:paraId="7E73F7A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0.10</w:t>
            </w:r>
          </w:p>
        </w:tc>
        <w:tc>
          <w:tcPr>
            <w:tcW w:w="623" w:type="dxa"/>
            <w:tcBorders>
              <w:top w:val="nil"/>
              <w:left w:val="nil"/>
              <w:bottom w:val="nil"/>
              <w:right w:val="nil"/>
            </w:tcBorders>
            <w:shd w:val="clear" w:color="auto" w:fill="auto"/>
            <w:noWrap/>
            <w:vAlign w:val="bottom"/>
            <w:hideMark/>
          </w:tcPr>
          <w:p w14:paraId="41EFAE2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0.61</w:t>
            </w:r>
          </w:p>
        </w:tc>
        <w:tc>
          <w:tcPr>
            <w:tcW w:w="877" w:type="dxa"/>
            <w:tcBorders>
              <w:top w:val="nil"/>
              <w:left w:val="nil"/>
              <w:bottom w:val="nil"/>
              <w:right w:val="single" w:sz="4" w:space="0" w:color="auto"/>
            </w:tcBorders>
            <w:shd w:val="clear" w:color="auto" w:fill="auto"/>
            <w:noWrap/>
            <w:vAlign w:val="bottom"/>
            <w:hideMark/>
          </w:tcPr>
          <w:p w14:paraId="22F835A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0.56</w:t>
            </w:r>
          </w:p>
        </w:tc>
        <w:tc>
          <w:tcPr>
            <w:tcW w:w="586" w:type="dxa"/>
            <w:tcBorders>
              <w:top w:val="nil"/>
              <w:left w:val="nil"/>
              <w:bottom w:val="nil"/>
              <w:right w:val="nil"/>
            </w:tcBorders>
            <w:shd w:val="clear" w:color="auto" w:fill="auto"/>
            <w:noWrap/>
            <w:vAlign w:val="bottom"/>
            <w:hideMark/>
          </w:tcPr>
          <w:p w14:paraId="27301A3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-4.89</w:t>
            </w:r>
          </w:p>
        </w:tc>
        <w:tc>
          <w:tcPr>
            <w:tcW w:w="824" w:type="dxa"/>
            <w:tcBorders>
              <w:top w:val="nil"/>
              <w:left w:val="nil"/>
              <w:bottom w:val="nil"/>
              <w:right w:val="nil"/>
            </w:tcBorders>
            <w:shd w:val="clear" w:color="auto" w:fill="auto"/>
            <w:noWrap/>
            <w:vAlign w:val="bottom"/>
            <w:hideMark/>
          </w:tcPr>
          <w:p w14:paraId="7B69BCAA"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0.48</w:t>
            </w:r>
          </w:p>
        </w:tc>
        <w:tc>
          <w:tcPr>
            <w:tcW w:w="586" w:type="dxa"/>
            <w:tcBorders>
              <w:top w:val="nil"/>
              <w:left w:val="nil"/>
              <w:bottom w:val="nil"/>
              <w:right w:val="nil"/>
            </w:tcBorders>
            <w:shd w:val="clear" w:color="auto" w:fill="auto"/>
            <w:noWrap/>
            <w:vAlign w:val="bottom"/>
            <w:hideMark/>
          </w:tcPr>
          <w:p w14:paraId="2277B10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-2.76</w:t>
            </w:r>
          </w:p>
        </w:tc>
        <w:tc>
          <w:tcPr>
            <w:tcW w:w="824" w:type="dxa"/>
            <w:tcBorders>
              <w:top w:val="nil"/>
              <w:left w:val="nil"/>
              <w:bottom w:val="nil"/>
              <w:right w:val="single" w:sz="4" w:space="0" w:color="auto"/>
            </w:tcBorders>
            <w:shd w:val="clear" w:color="auto" w:fill="auto"/>
            <w:noWrap/>
            <w:vAlign w:val="bottom"/>
            <w:hideMark/>
          </w:tcPr>
          <w:p w14:paraId="64D0441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0.19</w:t>
            </w:r>
          </w:p>
        </w:tc>
        <w:tc>
          <w:tcPr>
            <w:tcW w:w="563" w:type="dxa"/>
            <w:tcBorders>
              <w:top w:val="nil"/>
              <w:left w:val="nil"/>
              <w:bottom w:val="nil"/>
              <w:right w:val="nil"/>
            </w:tcBorders>
            <w:shd w:val="clear" w:color="auto" w:fill="auto"/>
            <w:noWrap/>
            <w:vAlign w:val="bottom"/>
            <w:hideMark/>
          </w:tcPr>
          <w:p w14:paraId="24D2318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6.89</w:t>
            </w:r>
          </w:p>
        </w:tc>
        <w:tc>
          <w:tcPr>
            <w:tcW w:w="917" w:type="dxa"/>
            <w:tcBorders>
              <w:top w:val="nil"/>
              <w:left w:val="nil"/>
              <w:bottom w:val="nil"/>
              <w:right w:val="nil"/>
            </w:tcBorders>
            <w:shd w:val="clear" w:color="auto" w:fill="auto"/>
            <w:noWrap/>
            <w:vAlign w:val="bottom"/>
            <w:hideMark/>
          </w:tcPr>
          <w:p w14:paraId="2EC2E0D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0.36</w:t>
            </w:r>
          </w:p>
        </w:tc>
        <w:tc>
          <w:tcPr>
            <w:tcW w:w="563" w:type="dxa"/>
            <w:tcBorders>
              <w:top w:val="nil"/>
              <w:left w:val="nil"/>
              <w:bottom w:val="nil"/>
              <w:right w:val="nil"/>
            </w:tcBorders>
            <w:shd w:val="clear" w:color="auto" w:fill="auto"/>
            <w:noWrap/>
            <w:vAlign w:val="bottom"/>
            <w:hideMark/>
          </w:tcPr>
          <w:p w14:paraId="05382E9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2.08</w:t>
            </w:r>
          </w:p>
        </w:tc>
        <w:tc>
          <w:tcPr>
            <w:tcW w:w="917" w:type="dxa"/>
            <w:tcBorders>
              <w:top w:val="nil"/>
              <w:left w:val="nil"/>
              <w:bottom w:val="nil"/>
              <w:right w:val="single" w:sz="4" w:space="0" w:color="auto"/>
            </w:tcBorders>
            <w:shd w:val="clear" w:color="auto" w:fill="auto"/>
            <w:noWrap/>
            <w:vAlign w:val="bottom"/>
            <w:hideMark/>
          </w:tcPr>
          <w:p w14:paraId="575FF6D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0.29</w:t>
            </w:r>
          </w:p>
        </w:tc>
      </w:tr>
      <w:tr w:rsidR="001B2857" w:rsidRPr="001B2857" w14:paraId="1830DF52" w14:textId="77777777" w:rsidTr="001B2857">
        <w:trPr>
          <w:trHeight w:val="220"/>
        </w:trPr>
        <w:tc>
          <w:tcPr>
            <w:tcW w:w="1740" w:type="dxa"/>
            <w:tcBorders>
              <w:top w:val="nil"/>
              <w:left w:val="single" w:sz="4" w:space="0" w:color="auto"/>
              <w:bottom w:val="single" w:sz="4" w:space="0" w:color="auto"/>
              <w:right w:val="single" w:sz="4" w:space="0" w:color="auto"/>
            </w:tcBorders>
            <w:shd w:val="clear" w:color="000000" w:fill="FFFFFF"/>
            <w:noWrap/>
            <w:vAlign w:val="bottom"/>
            <w:hideMark/>
          </w:tcPr>
          <w:p w14:paraId="36C4DF0A" w14:textId="77777777" w:rsidR="001B2857" w:rsidRPr="001B2857" w:rsidRDefault="001B2857" w:rsidP="001B2857">
            <w:pPr>
              <w:spacing w:after="0" w:line="240" w:lineRule="auto"/>
              <w:rPr>
                <w:rFonts w:eastAsia="Times New Roman"/>
                <w:sz w:val="16"/>
                <w:szCs w:val="16"/>
              </w:rPr>
            </w:pPr>
            <w:r w:rsidRPr="001B2857">
              <w:rPr>
                <w:rFonts w:eastAsia="Times New Roman"/>
                <w:sz w:val="16"/>
                <w:szCs w:val="16"/>
              </w:rPr>
              <w:t>b. Parsimonious model</w:t>
            </w:r>
          </w:p>
        </w:tc>
        <w:tc>
          <w:tcPr>
            <w:tcW w:w="689" w:type="dxa"/>
            <w:tcBorders>
              <w:top w:val="nil"/>
              <w:left w:val="nil"/>
              <w:bottom w:val="single" w:sz="4" w:space="0" w:color="auto"/>
              <w:right w:val="nil"/>
            </w:tcBorders>
            <w:shd w:val="clear" w:color="auto" w:fill="auto"/>
            <w:noWrap/>
            <w:vAlign w:val="bottom"/>
            <w:hideMark/>
          </w:tcPr>
          <w:p w14:paraId="39AD628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-0.13</w:t>
            </w:r>
          </w:p>
        </w:tc>
        <w:tc>
          <w:tcPr>
            <w:tcW w:w="971" w:type="dxa"/>
            <w:tcBorders>
              <w:top w:val="nil"/>
              <w:left w:val="nil"/>
              <w:bottom w:val="single" w:sz="4" w:space="0" w:color="auto"/>
              <w:right w:val="nil"/>
            </w:tcBorders>
            <w:shd w:val="clear" w:color="auto" w:fill="auto"/>
            <w:noWrap/>
            <w:vAlign w:val="bottom"/>
            <w:hideMark/>
          </w:tcPr>
          <w:p w14:paraId="4BAA352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0.063</w:t>
            </w:r>
          </w:p>
        </w:tc>
        <w:tc>
          <w:tcPr>
            <w:tcW w:w="623" w:type="dxa"/>
            <w:tcBorders>
              <w:top w:val="nil"/>
              <w:left w:val="single" w:sz="4" w:space="0" w:color="auto"/>
              <w:bottom w:val="single" w:sz="4" w:space="0" w:color="auto"/>
              <w:right w:val="nil"/>
            </w:tcBorders>
            <w:shd w:val="clear" w:color="auto" w:fill="auto"/>
            <w:noWrap/>
            <w:vAlign w:val="bottom"/>
            <w:hideMark/>
          </w:tcPr>
          <w:p w14:paraId="5BC5FE0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77" w:type="dxa"/>
            <w:tcBorders>
              <w:top w:val="nil"/>
              <w:left w:val="nil"/>
              <w:bottom w:val="single" w:sz="4" w:space="0" w:color="auto"/>
              <w:right w:val="nil"/>
            </w:tcBorders>
            <w:shd w:val="clear" w:color="auto" w:fill="auto"/>
            <w:noWrap/>
            <w:vAlign w:val="bottom"/>
            <w:hideMark/>
          </w:tcPr>
          <w:p w14:paraId="55AEF26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623" w:type="dxa"/>
            <w:tcBorders>
              <w:top w:val="nil"/>
              <w:left w:val="nil"/>
              <w:bottom w:val="nil"/>
              <w:right w:val="nil"/>
            </w:tcBorders>
            <w:shd w:val="clear" w:color="auto" w:fill="auto"/>
            <w:noWrap/>
            <w:vAlign w:val="bottom"/>
            <w:hideMark/>
          </w:tcPr>
          <w:p w14:paraId="3395A15F" w14:textId="77777777" w:rsidR="001B2857" w:rsidRPr="001B2857" w:rsidRDefault="001B2857" w:rsidP="001B2857">
            <w:pPr>
              <w:spacing w:after="0" w:line="240" w:lineRule="auto"/>
              <w:rPr>
                <w:rFonts w:eastAsia="Times New Roman"/>
                <w:sz w:val="16"/>
                <w:szCs w:val="16"/>
              </w:rPr>
            </w:pPr>
          </w:p>
        </w:tc>
        <w:tc>
          <w:tcPr>
            <w:tcW w:w="877" w:type="dxa"/>
            <w:tcBorders>
              <w:top w:val="nil"/>
              <w:left w:val="nil"/>
              <w:bottom w:val="nil"/>
              <w:right w:val="nil"/>
            </w:tcBorders>
            <w:shd w:val="clear" w:color="auto" w:fill="auto"/>
            <w:noWrap/>
            <w:vAlign w:val="bottom"/>
            <w:hideMark/>
          </w:tcPr>
          <w:p w14:paraId="0E5C9873" w14:textId="77777777" w:rsidR="001B2857" w:rsidRPr="001B2857" w:rsidRDefault="001B2857" w:rsidP="001B2857">
            <w:pPr>
              <w:spacing w:after="0" w:line="240" w:lineRule="auto"/>
              <w:rPr>
                <w:rFonts w:eastAsia="Times New Roman"/>
                <w:sz w:val="16"/>
                <w:szCs w:val="16"/>
              </w:rPr>
            </w:pPr>
          </w:p>
        </w:tc>
        <w:tc>
          <w:tcPr>
            <w:tcW w:w="586" w:type="dxa"/>
            <w:tcBorders>
              <w:top w:val="nil"/>
              <w:left w:val="nil"/>
              <w:bottom w:val="nil"/>
              <w:right w:val="nil"/>
            </w:tcBorders>
            <w:shd w:val="clear" w:color="auto" w:fill="auto"/>
            <w:noWrap/>
            <w:vAlign w:val="bottom"/>
            <w:hideMark/>
          </w:tcPr>
          <w:p w14:paraId="11512C93" w14:textId="77777777" w:rsidR="001B2857" w:rsidRPr="001B2857" w:rsidRDefault="001B2857" w:rsidP="001B2857">
            <w:pPr>
              <w:spacing w:after="0" w:line="240" w:lineRule="auto"/>
              <w:rPr>
                <w:rFonts w:eastAsia="Times New Roman"/>
                <w:sz w:val="16"/>
                <w:szCs w:val="16"/>
              </w:rPr>
            </w:pPr>
          </w:p>
        </w:tc>
        <w:tc>
          <w:tcPr>
            <w:tcW w:w="824" w:type="dxa"/>
            <w:tcBorders>
              <w:top w:val="nil"/>
              <w:left w:val="nil"/>
              <w:bottom w:val="nil"/>
              <w:right w:val="nil"/>
            </w:tcBorders>
            <w:shd w:val="clear" w:color="auto" w:fill="auto"/>
            <w:noWrap/>
            <w:vAlign w:val="bottom"/>
            <w:hideMark/>
          </w:tcPr>
          <w:p w14:paraId="7227D11A" w14:textId="77777777" w:rsidR="001B2857" w:rsidRPr="001B2857" w:rsidRDefault="001B2857" w:rsidP="001B2857">
            <w:pPr>
              <w:spacing w:after="0" w:line="240" w:lineRule="auto"/>
              <w:rPr>
                <w:rFonts w:eastAsia="Times New Roman"/>
                <w:sz w:val="16"/>
                <w:szCs w:val="16"/>
              </w:rPr>
            </w:pPr>
          </w:p>
        </w:tc>
        <w:tc>
          <w:tcPr>
            <w:tcW w:w="586" w:type="dxa"/>
            <w:tcBorders>
              <w:top w:val="nil"/>
              <w:left w:val="nil"/>
              <w:bottom w:val="single" w:sz="4" w:space="0" w:color="auto"/>
              <w:right w:val="nil"/>
            </w:tcBorders>
            <w:shd w:val="clear" w:color="auto" w:fill="auto"/>
            <w:noWrap/>
            <w:vAlign w:val="bottom"/>
            <w:hideMark/>
          </w:tcPr>
          <w:p w14:paraId="7C8DBA25" w14:textId="77777777" w:rsidR="001B2857" w:rsidRPr="001B2857" w:rsidRDefault="001B2857" w:rsidP="001B2857">
            <w:pPr>
              <w:spacing w:after="0" w:line="240" w:lineRule="auto"/>
              <w:jc w:val="center"/>
              <w:rPr>
                <w:rFonts w:eastAsia="Times New Roman"/>
                <w:b/>
                <w:bCs/>
                <w:sz w:val="16"/>
                <w:szCs w:val="16"/>
              </w:rPr>
            </w:pPr>
            <w:r w:rsidRPr="001B2857">
              <w:rPr>
                <w:rFonts w:eastAsia="Times New Roman"/>
                <w:b/>
                <w:bCs/>
                <w:sz w:val="16"/>
                <w:szCs w:val="16"/>
              </w:rPr>
              <w:t> </w:t>
            </w:r>
          </w:p>
        </w:tc>
        <w:tc>
          <w:tcPr>
            <w:tcW w:w="824" w:type="dxa"/>
            <w:tcBorders>
              <w:top w:val="nil"/>
              <w:left w:val="nil"/>
              <w:bottom w:val="single" w:sz="4" w:space="0" w:color="auto"/>
              <w:right w:val="single" w:sz="4" w:space="0" w:color="auto"/>
            </w:tcBorders>
            <w:shd w:val="clear" w:color="auto" w:fill="auto"/>
            <w:noWrap/>
            <w:vAlign w:val="bottom"/>
            <w:hideMark/>
          </w:tcPr>
          <w:p w14:paraId="642B0644" w14:textId="77777777" w:rsidR="001B2857" w:rsidRPr="001B2857" w:rsidRDefault="001B2857" w:rsidP="001B2857">
            <w:pPr>
              <w:spacing w:after="0" w:line="240" w:lineRule="auto"/>
              <w:jc w:val="center"/>
              <w:rPr>
                <w:rFonts w:eastAsia="Times New Roman"/>
                <w:b/>
                <w:bCs/>
                <w:sz w:val="16"/>
                <w:szCs w:val="16"/>
              </w:rPr>
            </w:pPr>
            <w:r w:rsidRPr="001B2857">
              <w:rPr>
                <w:rFonts w:eastAsia="Times New Roman"/>
                <w:b/>
                <w:bCs/>
                <w:sz w:val="16"/>
                <w:szCs w:val="16"/>
              </w:rPr>
              <w:t> </w:t>
            </w:r>
          </w:p>
        </w:tc>
        <w:tc>
          <w:tcPr>
            <w:tcW w:w="563" w:type="dxa"/>
            <w:tcBorders>
              <w:top w:val="nil"/>
              <w:left w:val="nil"/>
              <w:bottom w:val="single" w:sz="4" w:space="0" w:color="auto"/>
              <w:right w:val="nil"/>
            </w:tcBorders>
            <w:shd w:val="clear" w:color="auto" w:fill="auto"/>
            <w:noWrap/>
            <w:vAlign w:val="bottom"/>
            <w:hideMark/>
          </w:tcPr>
          <w:p w14:paraId="619C3D0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17" w:type="dxa"/>
            <w:tcBorders>
              <w:top w:val="nil"/>
              <w:left w:val="nil"/>
              <w:bottom w:val="single" w:sz="4" w:space="0" w:color="auto"/>
              <w:right w:val="nil"/>
            </w:tcBorders>
            <w:shd w:val="clear" w:color="auto" w:fill="auto"/>
            <w:noWrap/>
            <w:vAlign w:val="bottom"/>
            <w:hideMark/>
          </w:tcPr>
          <w:p w14:paraId="41DE766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single" w:sz="4" w:space="0" w:color="auto"/>
              <w:right w:val="nil"/>
            </w:tcBorders>
            <w:shd w:val="clear" w:color="auto" w:fill="auto"/>
            <w:noWrap/>
            <w:vAlign w:val="bottom"/>
            <w:hideMark/>
          </w:tcPr>
          <w:p w14:paraId="0E716274" w14:textId="77777777" w:rsidR="001B2857" w:rsidRPr="001B2857" w:rsidRDefault="001B2857" w:rsidP="001B2857">
            <w:pPr>
              <w:spacing w:after="0" w:line="240" w:lineRule="auto"/>
              <w:jc w:val="center"/>
              <w:rPr>
                <w:rFonts w:eastAsia="Times New Roman"/>
                <w:b/>
                <w:bCs/>
                <w:sz w:val="16"/>
                <w:szCs w:val="16"/>
              </w:rPr>
            </w:pPr>
            <w:r w:rsidRPr="001B2857">
              <w:rPr>
                <w:rFonts w:eastAsia="Times New Roman"/>
                <w:b/>
                <w:bCs/>
                <w:sz w:val="16"/>
                <w:szCs w:val="16"/>
              </w:rPr>
              <w:t> </w:t>
            </w:r>
          </w:p>
        </w:tc>
        <w:tc>
          <w:tcPr>
            <w:tcW w:w="917" w:type="dxa"/>
            <w:tcBorders>
              <w:top w:val="nil"/>
              <w:left w:val="nil"/>
              <w:bottom w:val="single" w:sz="4" w:space="0" w:color="auto"/>
              <w:right w:val="single" w:sz="4" w:space="0" w:color="auto"/>
            </w:tcBorders>
            <w:shd w:val="clear" w:color="auto" w:fill="auto"/>
            <w:noWrap/>
            <w:vAlign w:val="bottom"/>
            <w:hideMark/>
          </w:tcPr>
          <w:p w14:paraId="2EDABA7B" w14:textId="77777777" w:rsidR="001B2857" w:rsidRPr="001B2857" w:rsidRDefault="001B2857" w:rsidP="001B2857">
            <w:pPr>
              <w:spacing w:after="0" w:line="240" w:lineRule="auto"/>
              <w:jc w:val="center"/>
              <w:rPr>
                <w:rFonts w:eastAsia="Times New Roman"/>
                <w:b/>
                <w:bCs/>
                <w:sz w:val="16"/>
                <w:szCs w:val="16"/>
              </w:rPr>
            </w:pPr>
            <w:r w:rsidRPr="001B2857">
              <w:rPr>
                <w:rFonts w:eastAsia="Times New Roman"/>
                <w:b/>
                <w:bCs/>
                <w:sz w:val="16"/>
                <w:szCs w:val="16"/>
              </w:rPr>
              <w:t> </w:t>
            </w:r>
          </w:p>
        </w:tc>
      </w:tr>
      <w:tr w:rsidR="001B2857" w:rsidRPr="001B2857" w14:paraId="664CAF7A"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25F41014" w14:textId="77777777" w:rsidR="001B2857" w:rsidRPr="001B2857" w:rsidRDefault="001B2857" w:rsidP="001B2857">
            <w:pPr>
              <w:spacing w:after="0" w:line="240" w:lineRule="auto"/>
              <w:rPr>
                <w:rFonts w:eastAsia="Times New Roman"/>
                <w:color w:val="000000"/>
                <w:sz w:val="16"/>
                <w:szCs w:val="16"/>
                <w:u w:val="single"/>
              </w:rPr>
            </w:pPr>
            <w:r w:rsidRPr="001B2857">
              <w:rPr>
                <w:rFonts w:eastAsia="Times New Roman"/>
                <w:color w:val="000000"/>
                <w:sz w:val="16"/>
                <w:szCs w:val="16"/>
                <w:u w:val="single"/>
              </w:rPr>
              <w:t>Hospital 8</w:t>
            </w:r>
          </w:p>
        </w:tc>
        <w:tc>
          <w:tcPr>
            <w:tcW w:w="689" w:type="dxa"/>
            <w:tcBorders>
              <w:top w:val="nil"/>
              <w:left w:val="nil"/>
              <w:bottom w:val="nil"/>
              <w:right w:val="nil"/>
            </w:tcBorders>
            <w:shd w:val="clear" w:color="auto" w:fill="auto"/>
            <w:noWrap/>
            <w:vAlign w:val="bottom"/>
            <w:hideMark/>
          </w:tcPr>
          <w:p w14:paraId="1F19871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71" w:type="dxa"/>
            <w:tcBorders>
              <w:top w:val="nil"/>
              <w:left w:val="nil"/>
              <w:bottom w:val="nil"/>
              <w:right w:val="nil"/>
            </w:tcBorders>
            <w:shd w:val="clear" w:color="auto" w:fill="auto"/>
            <w:noWrap/>
            <w:vAlign w:val="bottom"/>
            <w:hideMark/>
          </w:tcPr>
          <w:p w14:paraId="31603D3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3000"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541877B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820" w:type="dxa"/>
            <w:gridSpan w:val="4"/>
            <w:tcBorders>
              <w:top w:val="single" w:sz="4" w:space="0" w:color="auto"/>
              <w:left w:val="nil"/>
              <w:bottom w:val="nil"/>
              <w:right w:val="single" w:sz="4" w:space="0" w:color="000000"/>
            </w:tcBorders>
            <w:shd w:val="clear" w:color="auto" w:fill="auto"/>
            <w:noWrap/>
            <w:vAlign w:val="center"/>
            <w:hideMark/>
          </w:tcPr>
          <w:p w14:paraId="49B5651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960" w:type="dxa"/>
            <w:gridSpan w:val="4"/>
            <w:tcBorders>
              <w:top w:val="nil"/>
              <w:left w:val="nil"/>
              <w:bottom w:val="nil"/>
              <w:right w:val="nil"/>
            </w:tcBorders>
            <w:shd w:val="clear" w:color="auto" w:fill="auto"/>
            <w:noWrap/>
            <w:vAlign w:val="center"/>
            <w:hideMark/>
          </w:tcPr>
          <w:p w14:paraId="4EF34937" w14:textId="77777777" w:rsidR="001B2857" w:rsidRPr="001B2857" w:rsidRDefault="001B2857" w:rsidP="001B2857">
            <w:pPr>
              <w:spacing w:after="0" w:line="240" w:lineRule="auto"/>
              <w:jc w:val="center"/>
              <w:rPr>
                <w:rFonts w:eastAsia="Times New Roman"/>
                <w:sz w:val="16"/>
                <w:szCs w:val="16"/>
              </w:rPr>
            </w:pPr>
          </w:p>
        </w:tc>
      </w:tr>
      <w:tr w:rsidR="001B2857" w:rsidRPr="001B2857" w14:paraId="75C7904B"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26F4B5C3"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a. Full  model</w:t>
            </w:r>
          </w:p>
        </w:tc>
        <w:tc>
          <w:tcPr>
            <w:tcW w:w="689" w:type="dxa"/>
            <w:tcBorders>
              <w:top w:val="nil"/>
              <w:left w:val="nil"/>
              <w:bottom w:val="nil"/>
              <w:right w:val="nil"/>
            </w:tcBorders>
            <w:shd w:val="clear" w:color="auto" w:fill="auto"/>
            <w:noWrap/>
            <w:vAlign w:val="bottom"/>
            <w:hideMark/>
          </w:tcPr>
          <w:p w14:paraId="14EDB689"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-0.08</w:t>
            </w:r>
          </w:p>
        </w:tc>
        <w:tc>
          <w:tcPr>
            <w:tcW w:w="971" w:type="dxa"/>
            <w:tcBorders>
              <w:top w:val="nil"/>
              <w:left w:val="nil"/>
              <w:bottom w:val="nil"/>
              <w:right w:val="nil"/>
            </w:tcBorders>
            <w:shd w:val="clear" w:color="auto" w:fill="auto"/>
            <w:noWrap/>
            <w:vAlign w:val="bottom"/>
            <w:hideMark/>
          </w:tcPr>
          <w:p w14:paraId="7E805E30"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0.72</w:t>
            </w:r>
          </w:p>
        </w:tc>
        <w:tc>
          <w:tcPr>
            <w:tcW w:w="623" w:type="dxa"/>
            <w:tcBorders>
              <w:top w:val="nil"/>
              <w:left w:val="nil"/>
              <w:bottom w:val="nil"/>
              <w:right w:val="nil"/>
            </w:tcBorders>
            <w:shd w:val="clear" w:color="auto" w:fill="auto"/>
            <w:noWrap/>
            <w:vAlign w:val="bottom"/>
            <w:hideMark/>
          </w:tcPr>
          <w:p w14:paraId="1DAA4F07"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-1.64</w:t>
            </w:r>
          </w:p>
        </w:tc>
        <w:tc>
          <w:tcPr>
            <w:tcW w:w="877" w:type="dxa"/>
            <w:tcBorders>
              <w:top w:val="nil"/>
              <w:left w:val="nil"/>
              <w:bottom w:val="nil"/>
              <w:right w:val="nil"/>
            </w:tcBorders>
            <w:shd w:val="clear" w:color="auto" w:fill="auto"/>
            <w:noWrap/>
            <w:vAlign w:val="bottom"/>
            <w:hideMark/>
          </w:tcPr>
          <w:p w14:paraId="29A66F20"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0.66</w:t>
            </w:r>
          </w:p>
        </w:tc>
        <w:tc>
          <w:tcPr>
            <w:tcW w:w="623" w:type="dxa"/>
            <w:tcBorders>
              <w:top w:val="nil"/>
              <w:left w:val="nil"/>
              <w:bottom w:val="nil"/>
              <w:right w:val="nil"/>
            </w:tcBorders>
            <w:shd w:val="clear" w:color="auto" w:fill="auto"/>
            <w:noWrap/>
            <w:vAlign w:val="bottom"/>
            <w:hideMark/>
          </w:tcPr>
          <w:p w14:paraId="7101DF36"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-0.44</w:t>
            </w:r>
          </w:p>
        </w:tc>
        <w:tc>
          <w:tcPr>
            <w:tcW w:w="877" w:type="dxa"/>
            <w:tcBorders>
              <w:top w:val="nil"/>
              <w:left w:val="nil"/>
              <w:bottom w:val="nil"/>
              <w:right w:val="nil"/>
            </w:tcBorders>
            <w:shd w:val="clear" w:color="auto" w:fill="auto"/>
            <w:noWrap/>
            <w:vAlign w:val="bottom"/>
            <w:hideMark/>
          </w:tcPr>
          <w:p w14:paraId="6FDD0A7C"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0.36</w:t>
            </w:r>
          </w:p>
        </w:tc>
        <w:tc>
          <w:tcPr>
            <w:tcW w:w="586" w:type="dxa"/>
            <w:tcBorders>
              <w:top w:val="nil"/>
              <w:left w:val="single" w:sz="4" w:space="0" w:color="auto"/>
              <w:bottom w:val="nil"/>
              <w:right w:val="nil"/>
            </w:tcBorders>
            <w:shd w:val="clear" w:color="auto" w:fill="auto"/>
            <w:noWrap/>
            <w:vAlign w:val="bottom"/>
            <w:hideMark/>
          </w:tcPr>
          <w:p w14:paraId="0DE8183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nil"/>
              <w:right w:val="nil"/>
            </w:tcBorders>
            <w:shd w:val="clear" w:color="auto" w:fill="auto"/>
            <w:noWrap/>
            <w:vAlign w:val="bottom"/>
            <w:hideMark/>
          </w:tcPr>
          <w:p w14:paraId="1BF6598A" w14:textId="77777777" w:rsidR="001B2857" w:rsidRPr="001B2857" w:rsidRDefault="001B2857" w:rsidP="001B2857">
            <w:pPr>
              <w:spacing w:after="0" w:line="240" w:lineRule="auto"/>
              <w:jc w:val="center"/>
              <w:rPr>
                <w:rFonts w:eastAsia="Times New Roman"/>
                <w:sz w:val="16"/>
                <w:szCs w:val="16"/>
              </w:rPr>
            </w:pPr>
          </w:p>
        </w:tc>
        <w:tc>
          <w:tcPr>
            <w:tcW w:w="586" w:type="dxa"/>
            <w:tcBorders>
              <w:top w:val="nil"/>
              <w:left w:val="nil"/>
              <w:bottom w:val="nil"/>
              <w:right w:val="nil"/>
            </w:tcBorders>
            <w:shd w:val="clear" w:color="auto" w:fill="auto"/>
            <w:noWrap/>
            <w:vAlign w:val="bottom"/>
            <w:hideMark/>
          </w:tcPr>
          <w:p w14:paraId="54D5CF42" w14:textId="77777777" w:rsidR="001B2857" w:rsidRPr="001B2857" w:rsidRDefault="001B2857" w:rsidP="001B2857">
            <w:pPr>
              <w:spacing w:after="0" w:line="240" w:lineRule="auto"/>
              <w:jc w:val="center"/>
              <w:rPr>
                <w:rFonts w:eastAsia="Times New Roman"/>
                <w:sz w:val="16"/>
                <w:szCs w:val="16"/>
              </w:rPr>
            </w:pPr>
          </w:p>
        </w:tc>
        <w:tc>
          <w:tcPr>
            <w:tcW w:w="824" w:type="dxa"/>
            <w:tcBorders>
              <w:top w:val="nil"/>
              <w:left w:val="nil"/>
              <w:bottom w:val="nil"/>
              <w:right w:val="single" w:sz="4" w:space="0" w:color="auto"/>
            </w:tcBorders>
            <w:shd w:val="clear" w:color="auto" w:fill="auto"/>
            <w:noWrap/>
            <w:vAlign w:val="bottom"/>
            <w:hideMark/>
          </w:tcPr>
          <w:p w14:paraId="297D05C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auto" w:fill="auto"/>
            <w:noWrap/>
            <w:vAlign w:val="bottom"/>
            <w:hideMark/>
          </w:tcPr>
          <w:p w14:paraId="3C542F63" w14:textId="77777777" w:rsidR="001B2857" w:rsidRPr="001B2857" w:rsidRDefault="001B2857" w:rsidP="001B2857">
            <w:pPr>
              <w:spacing w:after="0" w:line="240" w:lineRule="auto"/>
              <w:jc w:val="center"/>
              <w:rPr>
                <w:rFonts w:eastAsia="Times New Roman"/>
                <w:sz w:val="16"/>
                <w:szCs w:val="16"/>
              </w:rPr>
            </w:pPr>
          </w:p>
        </w:tc>
        <w:tc>
          <w:tcPr>
            <w:tcW w:w="917" w:type="dxa"/>
            <w:tcBorders>
              <w:top w:val="nil"/>
              <w:left w:val="nil"/>
              <w:bottom w:val="nil"/>
              <w:right w:val="nil"/>
            </w:tcBorders>
            <w:shd w:val="clear" w:color="auto" w:fill="auto"/>
            <w:noWrap/>
            <w:vAlign w:val="bottom"/>
            <w:hideMark/>
          </w:tcPr>
          <w:p w14:paraId="04AABF5C" w14:textId="77777777" w:rsidR="001B2857" w:rsidRPr="001B2857" w:rsidRDefault="001B2857" w:rsidP="001B2857">
            <w:pPr>
              <w:spacing w:after="0" w:line="240" w:lineRule="auto"/>
              <w:jc w:val="center"/>
              <w:rPr>
                <w:rFonts w:eastAsia="Times New Roman"/>
                <w:sz w:val="16"/>
                <w:szCs w:val="16"/>
              </w:rPr>
            </w:pPr>
          </w:p>
        </w:tc>
        <w:tc>
          <w:tcPr>
            <w:tcW w:w="563" w:type="dxa"/>
            <w:tcBorders>
              <w:top w:val="nil"/>
              <w:left w:val="nil"/>
              <w:bottom w:val="nil"/>
              <w:right w:val="nil"/>
            </w:tcBorders>
            <w:shd w:val="clear" w:color="auto" w:fill="auto"/>
            <w:noWrap/>
            <w:vAlign w:val="bottom"/>
            <w:hideMark/>
          </w:tcPr>
          <w:p w14:paraId="257BF075" w14:textId="77777777" w:rsidR="001B2857" w:rsidRPr="001B2857" w:rsidRDefault="001B2857" w:rsidP="001B2857">
            <w:pPr>
              <w:spacing w:after="0" w:line="240" w:lineRule="auto"/>
              <w:jc w:val="center"/>
              <w:rPr>
                <w:rFonts w:eastAsia="Times New Roman"/>
                <w:sz w:val="16"/>
                <w:szCs w:val="16"/>
              </w:rPr>
            </w:pPr>
          </w:p>
        </w:tc>
        <w:tc>
          <w:tcPr>
            <w:tcW w:w="917" w:type="dxa"/>
            <w:tcBorders>
              <w:top w:val="nil"/>
              <w:left w:val="nil"/>
              <w:bottom w:val="nil"/>
              <w:right w:val="nil"/>
            </w:tcBorders>
            <w:shd w:val="clear" w:color="auto" w:fill="auto"/>
            <w:noWrap/>
            <w:vAlign w:val="bottom"/>
            <w:hideMark/>
          </w:tcPr>
          <w:p w14:paraId="1EC48FA6" w14:textId="77777777" w:rsidR="001B2857" w:rsidRPr="001B2857" w:rsidRDefault="001B2857" w:rsidP="001B2857">
            <w:pPr>
              <w:spacing w:after="0" w:line="240" w:lineRule="auto"/>
              <w:jc w:val="center"/>
              <w:rPr>
                <w:rFonts w:eastAsia="Times New Roman"/>
                <w:sz w:val="16"/>
                <w:szCs w:val="16"/>
              </w:rPr>
            </w:pPr>
          </w:p>
        </w:tc>
      </w:tr>
      <w:tr w:rsidR="001B2857" w:rsidRPr="001B2857" w14:paraId="76A4643A" w14:textId="77777777" w:rsidTr="001B2857">
        <w:trPr>
          <w:trHeight w:val="220"/>
        </w:trPr>
        <w:tc>
          <w:tcPr>
            <w:tcW w:w="1740" w:type="dxa"/>
            <w:tcBorders>
              <w:top w:val="nil"/>
              <w:left w:val="single" w:sz="4" w:space="0" w:color="auto"/>
              <w:bottom w:val="single" w:sz="4" w:space="0" w:color="auto"/>
              <w:right w:val="single" w:sz="4" w:space="0" w:color="auto"/>
            </w:tcBorders>
            <w:shd w:val="clear" w:color="000000" w:fill="FFFFFF"/>
            <w:noWrap/>
            <w:vAlign w:val="bottom"/>
            <w:hideMark/>
          </w:tcPr>
          <w:p w14:paraId="03F787E8"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b. Parsimonious model</w:t>
            </w:r>
          </w:p>
        </w:tc>
        <w:tc>
          <w:tcPr>
            <w:tcW w:w="689" w:type="dxa"/>
            <w:tcBorders>
              <w:top w:val="nil"/>
              <w:left w:val="nil"/>
              <w:bottom w:val="nil"/>
              <w:right w:val="nil"/>
            </w:tcBorders>
            <w:shd w:val="clear" w:color="auto" w:fill="auto"/>
            <w:noWrap/>
            <w:vAlign w:val="bottom"/>
            <w:hideMark/>
          </w:tcPr>
          <w:p w14:paraId="4A259018"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-0.31</w:t>
            </w:r>
          </w:p>
        </w:tc>
        <w:tc>
          <w:tcPr>
            <w:tcW w:w="971" w:type="dxa"/>
            <w:tcBorders>
              <w:top w:val="nil"/>
              <w:left w:val="nil"/>
              <w:bottom w:val="nil"/>
              <w:right w:val="nil"/>
            </w:tcBorders>
            <w:shd w:val="clear" w:color="auto" w:fill="auto"/>
            <w:noWrap/>
            <w:vAlign w:val="bottom"/>
            <w:hideMark/>
          </w:tcPr>
          <w:p w14:paraId="1E15C721" w14:textId="77777777" w:rsidR="001B2857" w:rsidRPr="001B2857" w:rsidRDefault="001B2857" w:rsidP="001B2857">
            <w:pPr>
              <w:spacing w:after="0" w:line="240" w:lineRule="auto"/>
              <w:jc w:val="center"/>
              <w:rPr>
                <w:rFonts w:eastAsia="Times New Roman"/>
                <w:color w:val="000000"/>
                <w:sz w:val="16"/>
                <w:szCs w:val="16"/>
              </w:rPr>
            </w:pPr>
            <w:r w:rsidRPr="001B2857">
              <w:rPr>
                <w:rFonts w:eastAsia="Times New Roman"/>
                <w:color w:val="000000"/>
                <w:sz w:val="16"/>
                <w:szCs w:val="16"/>
              </w:rPr>
              <w:t>0.003</w:t>
            </w:r>
          </w:p>
        </w:tc>
        <w:tc>
          <w:tcPr>
            <w:tcW w:w="623" w:type="dxa"/>
            <w:tcBorders>
              <w:top w:val="nil"/>
              <w:left w:val="nil"/>
              <w:bottom w:val="nil"/>
              <w:right w:val="nil"/>
            </w:tcBorders>
            <w:shd w:val="clear" w:color="auto" w:fill="auto"/>
            <w:noWrap/>
            <w:vAlign w:val="bottom"/>
            <w:hideMark/>
          </w:tcPr>
          <w:p w14:paraId="448511BB" w14:textId="77777777" w:rsidR="001B2857" w:rsidRPr="001B2857" w:rsidRDefault="001B2857" w:rsidP="001B2857">
            <w:pPr>
              <w:spacing w:after="0" w:line="240" w:lineRule="auto"/>
              <w:jc w:val="center"/>
              <w:rPr>
                <w:rFonts w:eastAsia="Times New Roman"/>
                <w:color w:val="000000"/>
                <w:sz w:val="16"/>
                <w:szCs w:val="16"/>
              </w:rPr>
            </w:pPr>
          </w:p>
        </w:tc>
        <w:tc>
          <w:tcPr>
            <w:tcW w:w="877" w:type="dxa"/>
            <w:tcBorders>
              <w:top w:val="nil"/>
              <w:left w:val="nil"/>
              <w:bottom w:val="nil"/>
              <w:right w:val="nil"/>
            </w:tcBorders>
            <w:shd w:val="clear" w:color="auto" w:fill="auto"/>
            <w:noWrap/>
            <w:vAlign w:val="bottom"/>
            <w:hideMark/>
          </w:tcPr>
          <w:p w14:paraId="40061D7B" w14:textId="77777777" w:rsidR="001B2857" w:rsidRPr="001B2857" w:rsidRDefault="001B2857" w:rsidP="001B2857">
            <w:pPr>
              <w:spacing w:after="0" w:line="240" w:lineRule="auto"/>
              <w:jc w:val="center"/>
              <w:rPr>
                <w:rFonts w:eastAsia="Times New Roman"/>
                <w:color w:val="000000"/>
                <w:sz w:val="16"/>
                <w:szCs w:val="16"/>
              </w:rPr>
            </w:pPr>
          </w:p>
        </w:tc>
        <w:tc>
          <w:tcPr>
            <w:tcW w:w="623" w:type="dxa"/>
            <w:tcBorders>
              <w:top w:val="nil"/>
              <w:left w:val="nil"/>
              <w:bottom w:val="nil"/>
              <w:right w:val="nil"/>
            </w:tcBorders>
            <w:shd w:val="clear" w:color="auto" w:fill="auto"/>
            <w:noWrap/>
            <w:vAlign w:val="bottom"/>
            <w:hideMark/>
          </w:tcPr>
          <w:p w14:paraId="45A5DCC3" w14:textId="77777777" w:rsidR="001B2857" w:rsidRPr="001B2857" w:rsidRDefault="001B2857" w:rsidP="001B2857">
            <w:pPr>
              <w:spacing w:after="0" w:line="240" w:lineRule="auto"/>
              <w:jc w:val="center"/>
              <w:rPr>
                <w:rFonts w:eastAsia="Times New Roman"/>
                <w:color w:val="000000"/>
                <w:sz w:val="16"/>
                <w:szCs w:val="16"/>
              </w:rPr>
            </w:pPr>
          </w:p>
        </w:tc>
        <w:tc>
          <w:tcPr>
            <w:tcW w:w="877" w:type="dxa"/>
            <w:tcBorders>
              <w:top w:val="nil"/>
              <w:left w:val="nil"/>
              <w:bottom w:val="nil"/>
              <w:right w:val="nil"/>
            </w:tcBorders>
            <w:shd w:val="clear" w:color="auto" w:fill="auto"/>
            <w:noWrap/>
            <w:vAlign w:val="bottom"/>
            <w:hideMark/>
          </w:tcPr>
          <w:p w14:paraId="0712FFF5" w14:textId="77777777" w:rsidR="001B2857" w:rsidRPr="001B2857" w:rsidRDefault="001B2857" w:rsidP="001B2857">
            <w:pPr>
              <w:spacing w:after="0" w:line="240" w:lineRule="auto"/>
              <w:jc w:val="center"/>
              <w:rPr>
                <w:rFonts w:eastAsia="Times New Roman"/>
                <w:color w:val="000000"/>
                <w:sz w:val="16"/>
                <w:szCs w:val="16"/>
              </w:rPr>
            </w:pPr>
          </w:p>
        </w:tc>
        <w:tc>
          <w:tcPr>
            <w:tcW w:w="586" w:type="dxa"/>
            <w:tcBorders>
              <w:top w:val="nil"/>
              <w:left w:val="single" w:sz="4" w:space="0" w:color="auto"/>
              <w:bottom w:val="nil"/>
              <w:right w:val="nil"/>
            </w:tcBorders>
            <w:shd w:val="clear" w:color="auto" w:fill="auto"/>
            <w:noWrap/>
            <w:vAlign w:val="bottom"/>
            <w:hideMark/>
          </w:tcPr>
          <w:p w14:paraId="7EF208A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nil"/>
              <w:right w:val="nil"/>
            </w:tcBorders>
            <w:shd w:val="clear" w:color="auto" w:fill="auto"/>
            <w:noWrap/>
            <w:vAlign w:val="bottom"/>
            <w:hideMark/>
          </w:tcPr>
          <w:p w14:paraId="264401A2" w14:textId="77777777" w:rsidR="001B2857" w:rsidRPr="001B2857" w:rsidRDefault="001B2857" w:rsidP="001B2857">
            <w:pPr>
              <w:spacing w:after="0" w:line="240" w:lineRule="auto"/>
              <w:jc w:val="center"/>
              <w:rPr>
                <w:rFonts w:eastAsia="Times New Roman"/>
                <w:sz w:val="16"/>
                <w:szCs w:val="16"/>
              </w:rPr>
            </w:pPr>
          </w:p>
        </w:tc>
        <w:tc>
          <w:tcPr>
            <w:tcW w:w="586" w:type="dxa"/>
            <w:tcBorders>
              <w:top w:val="nil"/>
              <w:left w:val="nil"/>
              <w:bottom w:val="nil"/>
              <w:right w:val="nil"/>
            </w:tcBorders>
            <w:shd w:val="clear" w:color="auto" w:fill="auto"/>
            <w:noWrap/>
            <w:vAlign w:val="bottom"/>
            <w:hideMark/>
          </w:tcPr>
          <w:p w14:paraId="19FF7899" w14:textId="77777777" w:rsidR="001B2857" w:rsidRPr="001B2857" w:rsidRDefault="001B2857" w:rsidP="001B2857">
            <w:pPr>
              <w:spacing w:after="0" w:line="240" w:lineRule="auto"/>
              <w:jc w:val="center"/>
              <w:rPr>
                <w:rFonts w:eastAsia="Times New Roman"/>
                <w:sz w:val="16"/>
                <w:szCs w:val="16"/>
              </w:rPr>
            </w:pPr>
          </w:p>
        </w:tc>
        <w:tc>
          <w:tcPr>
            <w:tcW w:w="824" w:type="dxa"/>
            <w:tcBorders>
              <w:top w:val="nil"/>
              <w:left w:val="nil"/>
              <w:bottom w:val="nil"/>
              <w:right w:val="single" w:sz="4" w:space="0" w:color="auto"/>
            </w:tcBorders>
            <w:shd w:val="clear" w:color="auto" w:fill="auto"/>
            <w:noWrap/>
            <w:vAlign w:val="bottom"/>
            <w:hideMark/>
          </w:tcPr>
          <w:p w14:paraId="78C249C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auto" w:fill="auto"/>
            <w:noWrap/>
            <w:vAlign w:val="bottom"/>
            <w:hideMark/>
          </w:tcPr>
          <w:p w14:paraId="5094C948" w14:textId="77777777" w:rsidR="001B2857" w:rsidRPr="001B2857" w:rsidRDefault="001B2857" w:rsidP="001B2857">
            <w:pPr>
              <w:spacing w:after="0" w:line="240" w:lineRule="auto"/>
              <w:jc w:val="center"/>
              <w:rPr>
                <w:rFonts w:eastAsia="Times New Roman"/>
                <w:sz w:val="16"/>
                <w:szCs w:val="16"/>
              </w:rPr>
            </w:pPr>
          </w:p>
        </w:tc>
        <w:tc>
          <w:tcPr>
            <w:tcW w:w="917" w:type="dxa"/>
            <w:tcBorders>
              <w:top w:val="nil"/>
              <w:left w:val="nil"/>
              <w:bottom w:val="nil"/>
              <w:right w:val="nil"/>
            </w:tcBorders>
            <w:shd w:val="clear" w:color="auto" w:fill="auto"/>
            <w:noWrap/>
            <w:vAlign w:val="bottom"/>
            <w:hideMark/>
          </w:tcPr>
          <w:p w14:paraId="76FAAA57" w14:textId="77777777" w:rsidR="001B2857" w:rsidRPr="001B2857" w:rsidRDefault="001B2857" w:rsidP="001B2857">
            <w:pPr>
              <w:spacing w:after="0" w:line="240" w:lineRule="auto"/>
              <w:jc w:val="center"/>
              <w:rPr>
                <w:rFonts w:eastAsia="Times New Roman"/>
                <w:sz w:val="16"/>
                <w:szCs w:val="16"/>
              </w:rPr>
            </w:pPr>
          </w:p>
        </w:tc>
        <w:tc>
          <w:tcPr>
            <w:tcW w:w="563" w:type="dxa"/>
            <w:tcBorders>
              <w:top w:val="nil"/>
              <w:left w:val="nil"/>
              <w:bottom w:val="nil"/>
              <w:right w:val="nil"/>
            </w:tcBorders>
            <w:shd w:val="clear" w:color="auto" w:fill="auto"/>
            <w:noWrap/>
            <w:vAlign w:val="bottom"/>
            <w:hideMark/>
          </w:tcPr>
          <w:p w14:paraId="0965CDFC" w14:textId="77777777" w:rsidR="001B2857" w:rsidRPr="001B2857" w:rsidRDefault="001B2857" w:rsidP="001B2857">
            <w:pPr>
              <w:spacing w:after="0" w:line="240" w:lineRule="auto"/>
              <w:jc w:val="center"/>
              <w:rPr>
                <w:rFonts w:eastAsia="Times New Roman"/>
                <w:sz w:val="16"/>
                <w:szCs w:val="16"/>
              </w:rPr>
            </w:pPr>
          </w:p>
        </w:tc>
        <w:tc>
          <w:tcPr>
            <w:tcW w:w="917" w:type="dxa"/>
            <w:tcBorders>
              <w:top w:val="nil"/>
              <w:left w:val="nil"/>
              <w:bottom w:val="nil"/>
              <w:right w:val="nil"/>
            </w:tcBorders>
            <w:shd w:val="clear" w:color="auto" w:fill="auto"/>
            <w:noWrap/>
            <w:vAlign w:val="bottom"/>
            <w:hideMark/>
          </w:tcPr>
          <w:p w14:paraId="219BF21F" w14:textId="77777777" w:rsidR="001B2857" w:rsidRPr="001B2857" w:rsidRDefault="001B2857" w:rsidP="001B2857">
            <w:pPr>
              <w:spacing w:after="0" w:line="240" w:lineRule="auto"/>
              <w:jc w:val="center"/>
              <w:rPr>
                <w:rFonts w:eastAsia="Times New Roman"/>
                <w:sz w:val="16"/>
                <w:szCs w:val="16"/>
              </w:rPr>
            </w:pPr>
          </w:p>
        </w:tc>
      </w:tr>
      <w:tr w:rsidR="001B2857" w:rsidRPr="001B2857" w14:paraId="42474472"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1BA60487" w14:textId="77777777" w:rsidR="001B2857" w:rsidRPr="001B2857" w:rsidRDefault="001B2857" w:rsidP="001B2857">
            <w:pPr>
              <w:spacing w:after="0" w:line="240" w:lineRule="auto"/>
              <w:rPr>
                <w:rFonts w:eastAsia="Times New Roman"/>
                <w:color w:val="000000"/>
                <w:sz w:val="16"/>
                <w:szCs w:val="16"/>
                <w:u w:val="single"/>
              </w:rPr>
            </w:pPr>
            <w:r w:rsidRPr="001B2857">
              <w:rPr>
                <w:rFonts w:eastAsia="Times New Roman"/>
                <w:color w:val="000000"/>
                <w:sz w:val="16"/>
                <w:szCs w:val="16"/>
                <w:u w:val="single"/>
              </w:rPr>
              <w:t>Hospital 2</w:t>
            </w:r>
          </w:p>
        </w:tc>
        <w:tc>
          <w:tcPr>
            <w:tcW w:w="689" w:type="dxa"/>
            <w:tcBorders>
              <w:top w:val="single" w:sz="4" w:space="0" w:color="auto"/>
              <w:left w:val="nil"/>
              <w:bottom w:val="nil"/>
              <w:right w:val="nil"/>
            </w:tcBorders>
            <w:shd w:val="clear" w:color="auto" w:fill="auto"/>
            <w:noWrap/>
            <w:vAlign w:val="bottom"/>
            <w:hideMark/>
          </w:tcPr>
          <w:p w14:paraId="4B08617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71" w:type="dxa"/>
            <w:tcBorders>
              <w:top w:val="single" w:sz="4" w:space="0" w:color="auto"/>
              <w:left w:val="nil"/>
              <w:bottom w:val="nil"/>
              <w:right w:val="nil"/>
            </w:tcBorders>
            <w:shd w:val="clear" w:color="auto" w:fill="auto"/>
            <w:noWrap/>
            <w:vAlign w:val="bottom"/>
            <w:hideMark/>
          </w:tcPr>
          <w:p w14:paraId="1B901BCD"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3000"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02874DD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820" w:type="dxa"/>
            <w:gridSpan w:val="4"/>
            <w:tcBorders>
              <w:top w:val="single" w:sz="4" w:space="0" w:color="auto"/>
              <w:left w:val="nil"/>
              <w:bottom w:val="nil"/>
              <w:right w:val="single" w:sz="4" w:space="0" w:color="000000"/>
            </w:tcBorders>
            <w:shd w:val="clear" w:color="auto" w:fill="auto"/>
            <w:noWrap/>
            <w:vAlign w:val="center"/>
            <w:hideMark/>
          </w:tcPr>
          <w:p w14:paraId="1BC1AD5D"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960" w:type="dxa"/>
            <w:gridSpan w:val="4"/>
            <w:tcBorders>
              <w:top w:val="nil"/>
              <w:left w:val="nil"/>
              <w:bottom w:val="nil"/>
              <w:right w:val="nil"/>
            </w:tcBorders>
            <w:shd w:val="clear" w:color="auto" w:fill="auto"/>
            <w:noWrap/>
            <w:vAlign w:val="center"/>
            <w:hideMark/>
          </w:tcPr>
          <w:p w14:paraId="7024791D" w14:textId="77777777" w:rsidR="001B2857" w:rsidRPr="001B2857" w:rsidRDefault="001B2857" w:rsidP="001B2857">
            <w:pPr>
              <w:spacing w:after="0" w:line="240" w:lineRule="auto"/>
              <w:jc w:val="center"/>
              <w:rPr>
                <w:rFonts w:eastAsia="Times New Roman"/>
                <w:sz w:val="16"/>
                <w:szCs w:val="16"/>
              </w:rPr>
            </w:pPr>
          </w:p>
        </w:tc>
      </w:tr>
      <w:tr w:rsidR="001B2857" w:rsidRPr="001B2857" w14:paraId="1073ADDC"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4319AD72"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a. Full  model</w:t>
            </w:r>
          </w:p>
        </w:tc>
        <w:tc>
          <w:tcPr>
            <w:tcW w:w="689" w:type="dxa"/>
            <w:tcBorders>
              <w:top w:val="nil"/>
              <w:left w:val="nil"/>
              <w:bottom w:val="nil"/>
              <w:right w:val="nil"/>
            </w:tcBorders>
            <w:shd w:val="clear" w:color="auto" w:fill="auto"/>
            <w:noWrap/>
            <w:vAlign w:val="bottom"/>
            <w:hideMark/>
          </w:tcPr>
          <w:p w14:paraId="4B1FB4B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0.74</w:t>
            </w:r>
          </w:p>
        </w:tc>
        <w:tc>
          <w:tcPr>
            <w:tcW w:w="971" w:type="dxa"/>
            <w:tcBorders>
              <w:top w:val="nil"/>
              <w:left w:val="nil"/>
              <w:bottom w:val="nil"/>
              <w:right w:val="nil"/>
            </w:tcBorders>
            <w:shd w:val="clear" w:color="auto" w:fill="auto"/>
            <w:noWrap/>
            <w:vAlign w:val="bottom"/>
            <w:hideMark/>
          </w:tcPr>
          <w:p w14:paraId="1A63F90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0.33</w:t>
            </w:r>
          </w:p>
        </w:tc>
        <w:tc>
          <w:tcPr>
            <w:tcW w:w="623" w:type="dxa"/>
            <w:tcBorders>
              <w:top w:val="nil"/>
              <w:left w:val="single" w:sz="4" w:space="0" w:color="auto"/>
              <w:bottom w:val="nil"/>
              <w:right w:val="nil"/>
            </w:tcBorders>
            <w:shd w:val="clear" w:color="auto" w:fill="auto"/>
            <w:noWrap/>
            <w:vAlign w:val="bottom"/>
            <w:hideMark/>
          </w:tcPr>
          <w:p w14:paraId="0855CF7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-6.99</w:t>
            </w:r>
          </w:p>
        </w:tc>
        <w:tc>
          <w:tcPr>
            <w:tcW w:w="877" w:type="dxa"/>
            <w:tcBorders>
              <w:top w:val="nil"/>
              <w:left w:val="nil"/>
              <w:bottom w:val="nil"/>
              <w:right w:val="nil"/>
            </w:tcBorders>
            <w:shd w:val="clear" w:color="auto" w:fill="auto"/>
            <w:noWrap/>
            <w:vAlign w:val="bottom"/>
            <w:hideMark/>
          </w:tcPr>
          <w:p w14:paraId="5F0427F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0.26</w:t>
            </w:r>
          </w:p>
        </w:tc>
        <w:tc>
          <w:tcPr>
            <w:tcW w:w="623" w:type="dxa"/>
            <w:tcBorders>
              <w:top w:val="nil"/>
              <w:left w:val="nil"/>
              <w:bottom w:val="nil"/>
              <w:right w:val="nil"/>
            </w:tcBorders>
            <w:shd w:val="clear" w:color="auto" w:fill="auto"/>
            <w:noWrap/>
            <w:vAlign w:val="bottom"/>
            <w:hideMark/>
          </w:tcPr>
          <w:p w14:paraId="3D7D5F7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-0.55</w:t>
            </w:r>
          </w:p>
        </w:tc>
        <w:tc>
          <w:tcPr>
            <w:tcW w:w="877" w:type="dxa"/>
            <w:tcBorders>
              <w:top w:val="nil"/>
              <w:left w:val="nil"/>
              <w:bottom w:val="nil"/>
              <w:right w:val="single" w:sz="4" w:space="0" w:color="auto"/>
            </w:tcBorders>
            <w:shd w:val="clear" w:color="auto" w:fill="auto"/>
            <w:noWrap/>
            <w:vAlign w:val="bottom"/>
            <w:hideMark/>
          </w:tcPr>
          <w:p w14:paraId="0DC3DE9A"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0.65</w:t>
            </w:r>
          </w:p>
        </w:tc>
        <w:tc>
          <w:tcPr>
            <w:tcW w:w="586" w:type="dxa"/>
            <w:tcBorders>
              <w:top w:val="nil"/>
              <w:left w:val="nil"/>
              <w:bottom w:val="nil"/>
              <w:right w:val="nil"/>
            </w:tcBorders>
            <w:shd w:val="clear" w:color="auto" w:fill="auto"/>
            <w:noWrap/>
            <w:vAlign w:val="bottom"/>
            <w:hideMark/>
          </w:tcPr>
          <w:p w14:paraId="2E3F7E4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-3.05</w:t>
            </w:r>
          </w:p>
        </w:tc>
        <w:tc>
          <w:tcPr>
            <w:tcW w:w="824" w:type="dxa"/>
            <w:tcBorders>
              <w:top w:val="nil"/>
              <w:left w:val="nil"/>
              <w:bottom w:val="nil"/>
              <w:right w:val="nil"/>
            </w:tcBorders>
            <w:shd w:val="clear" w:color="auto" w:fill="auto"/>
            <w:noWrap/>
            <w:vAlign w:val="bottom"/>
            <w:hideMark/>
          </w:tcPr>
          <w:p w14:paraId="54DC5CC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0.58</w:t>
            </w:r>
          </w:p>
        </w:tc>
        <w:tc>
          <w:tcPr>
            <w:tcW w:w="586" w:type="dxa"/>
            <w:tcBorders>
              <w:top w:val="nil"/>
              <w:left w:val="nil"/>
              <w:bottom w:val="nil"/>
              <w:right w:val="nil"/>
            </w:tcBorders>
            <w:shd w:val="clear" w:color="auto" w:fill="auto"/>
            <w:noWrap/>
            <w:vAlign w:val="bottom"/>
            <w:hideMark/>
          </w:tcPr>
          <w:p w14:paraId="24E1441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-0.43</w:t>
            </w:r>
          </w:p>
        </w:tc>
        <w:tc>
          <w:tcPr>
            <w:tcW w:w="824" w:type="dxa"/>
            <w:tcBorders>
              <w:top w:val="nil"/>
              <w:left w:val="nil"/>
              <w:bottom w:val="nil"/>
              <w:right w:val="single" w:sz="4" w:space="0" w:color="auto"/>
            </w:tcBorders>
            <w:shd w:val="clear" w:color="auto" w:fill="auto"/>
            <w:noWrap/>
            <w:vAlign w:val="bottom"/>
            <w:hideMark/>
          </w:tcPr>
          <w:p w14:paraId="70FD3C5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0.65</w:t>
            </w:r>
          </w:p>
        </w:tc>
        <w:tc>
          <w:tcPr>
            <w:tcW w:w="563" w:type="dxa"/>
            <w:tcBorders>
              <w:top w:val="nil"/>
              <w:left w:val="nil"/>
              <w:bottom w:val="nil"/>
              <w:right w:val="nil"/>
            </w:tcBorders>
            <w:shd w:val="clear" w:color="auto" w:fill="auto"/>
            <w:noWrap/>
            <w:vAlign w:val="bottom"/>
            <w:hideMark/>
          </w:tcPr>
          <w:p w14:paraId="3E0061E5" w14:textId="77777777" w:rsidR="001B2857" w:rsidRPr="001B2857" w:rsidRDefault="001B2857" w:rsidP="001B2857">
            <w:pPr>
              <w:spacing w:after="0" w:line="240" w:lineRule="auto"/>
              <w:jc w:val="center"/>
              <w:rPr>
                <w:rFonts w:eastAsia="Times New Roman"/>
                <w:sz w:val="16"/>
                <w:szCs w:val="16"/>
              </w:rPr>
            </w:pPr>
          </w:p>
        </w:tc>
        <w:tc>
          <w:tcPr>
            <w:tcW w:w="917" w:type="dxa"/>
            <w:tcBorders>
              <w:top w:val="nil"/>
              <w:left w:val="nil"/>
              <w:bottom w:val="nil"/>
              <w:right w:val="nil"/>
            </w:tcBorders>
            <w:shd w:val="clear" w:color="auto" w:fill="auto"/>
            <w:noWrap/>
            <w:vAlign w:val="bottom"/>
            <w:hideMark/>
          </w:tcPr>
          <w:p w14:paraId="2FB85FF1" w14:textId="77777777" w:rsidR="001B2857" w:rsidRPr="001B2857" w:rsidRDefault="001B2857" w:rsidP="001B2857">
            <w:pPr>
              <w:spacing w:after="0" w:line="240" w:lineRule="auto"/>
              <w:jc w:val="center"/>
              <w:rPr>
                <w:rFonts w:eastAsia="Times New Roman"/>
                <w:sz w:val="16"/>
                <w:szCs w:val="16"/>
              </w:rPr>
            </w:pPr>
          </w:p>
        </w:tc>
        <w:tc>
          <w:tcPr>
            <w:tcW w:w="563" w:type="dxa"/>
            <w:tcBorders>
              <w:top w:val="nil"/>
              <w:left w:val="nil"/>
              <w:bottom w:val="nil"/>
              <w:right w:val="nil"/>
            </w:tcBorders>
            <w:shd w:val="clear" w:color="auto" w:fill="auto"/>
            <w:noWrap/>
            <w:vAlign w:val="bottom"/>
            <w:hideMark/>
          </w:tcPr>
          <w:p w14:paraId="4F455A8B" w14:textId="77777777" w:rsidR="001B2857" w:rsidRPr="001B2857" w:rsidRDefault="001B2857" w:rsidP="001B2857">
            <w:pPr>
              <w:spacing w:after="0" w:line="240" w:lineRule="auto"/>
              <w:jc w:val="center"/>
              <w:rPr>
                <w:rFonts w:eastAsia="Times New Roman"/>
                <w:sz w:val="16"/>
                <w:szCs w:val="16"/>
              </w:rPr>
            </w:pPr>
          </w:p>
        </w:tc>
        <w:tc>
          <w:tcPr>
            <w:tcW w:w="917" w:type="dxa"/>
            <w:tcBorders>
              <w:top w:val="nil"/>
              <w:left w:val="nil"/>
              <w:bottom w:val="nil"/>
              <w:right w:val="nil"/>
            </w:tcBorders>
            <w:shd w:val="clear" w:color="auto" w:fill="auto"/>
            <w:noWrap/>
            <w:vAlign w:val="bottom"/>
            <w:hideMark/>
          </w:tcPr>
          <w:p w14:paraId="32AF76F7" w14:textId="77777777" w:rsidR="001B2857" w:rsidRPr="001B2857" w:rsidRDefault="001B2857" w:rsidP="001B2857">
            <w:pPr>
              <w:spacing w:after="0" w:line="240" w:lineRule="auto"/>
              <w:jc w:val="center"/>
              <w:rPr>
                <w:rFonts w:eastAsia="Times New Roman"/>
                <w:sz w:val="16"/>
                <w:szCs w:val="16"/>
              </w:rPr>
            </w:pPr>
          </w:p>
        </w:tc>
      </w:tr>
      <w:tr w:rsidR="001B2857" w:rsidRPr="001B2857" w14:paraId="486CA47F"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40E19961"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b. Parsimonious model</w:t>
            </w:r>
          </w:p>
        </w:tc>
        <w:tc>
          <w:tcPr>
            <w:tcW w:w="689" w:type="dxa"/>
            <w:tcBorders>
              <w:top w:val="nil"/>
              <w:left w:val="nil"/>
              <w:bottom w:val="nil"/>
              <w:right w:val="nil"/>
            </w:tcBorders>
            <w:shd w:val="clear" w:color="auto" w:fill="auto"/>
            <w:noWrap/>
            <w:vAlign w:val="bottom"/>
            <w:hideMark/>
          </w:tcPr>
          <w:p w14:paraId="29C5EA8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-0.26</w:t>
            </w:r>
          </w:p>
        </w:tc>
        <w:tc>
          <w:tcPr>
            <w:tcW w:w="971" w:type="dxa"/>
            <w:tcBorders>
              <w:top w:val="nil"/>
              <w:left w:val="nil"/>
              <w:bottom w:val="nil"/>
              <w:right w:val="nil"/>
            </w:tcBorders>
            <w:shd w:val="clear" w:color="auto" w:fill="auto"/>
            <w:noWrap/>
            <w:vAlign w:val="bottom"/>
            <w:hideMark/>
          </w:tcPr>
          <w:p w14:paraId="28C2A05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0.001</w:t>
            </w:r>
          </w:p>
        </w:tc>
        <w:tc>
          <w:tcPr>
            <w:tcW w:w="623" w:type="dxa"/>
            <w:tcBorders>
              <w:top w:val="nil"/>
              <w:left w:val="single" w:sz="4" w:space="0" w:color="auto"/>
              <w:bottom w:val="nil"/>
              <w:right w:val="nil"/>
            </w:tcBorders>
            <w:shd w:val="clear" w:color="auto" w:fill="auto"/>
            <w:noWrap/>
            <w:vAlign w:val="bottom"/>
            <w:hideMark/>
          </w:tcPr>
          <w:p w14:paraId="4D8E3A5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77" w:type="dxa"/>
            <w:tcBorders>
              <w:top w:val="nil"/>
              <w:left w:val="nil"/>
              <w:bottom w:val="nil"/>
              <w:right w:val="nil"/>
            </w:tcBorders>
            <w:shd w:val="clear" w:color="auto" w:fill="auto"/>
            <w:noWrap/>
            <w:vAlign w:val="bottom"/>
            <w:hideMark/>
          </w:tcPr>
          <w:p w14:paraId="6461FF4A" w14:textId="77777777" w:rsidR="001B2857" w:rsidRPr="001B2857" w:rsidRDefault="001B2857" w:rsidP="001B2857">
            <w:pPr>
              <w:spacing w:after="0" w:line="240" w:lineRule="auto"/>
              <w:jc w:val="center"/>
              <w:rPr>
                <w:rFonts w:eastAsia="Times New Roman"/>
                <w:sz w:val="16"/>
                <w:szCs w:val="16"/>
              </w:rPr>
            </w:pPr>
          </w:p>
        </w:tc>
        <w:tc>
          <w:tcPr>
            <w:tcW w:w="623" w:type="dxa"/>
            <w:tcBorders>
              <w:top w:val="nil"/>
              <w:left w:val="nil"/>
              <w:bottom w:val="nil"/>
              <w:right w:val="nil"/>
            </w:tcBorders>
            <w:shd w:val="clear" w:color="auto" w:fill="auto"/>
            <w:noWrap/>
            <w:vAlign w:val="bottom"/>
            <w:hideMark/>
          </w:tcPr>
          <w:p w14:paraId="1E8B9D3D" w14:textId="77777777" w:rsidR="001B2857" w:rsidRPr="001B2857" w:rsidRDefault="001B2857" w:rsidP="001B2857">
            <w:pPr>
              <w:spacing w:after="0" w:line="240" w:lineRule="auto"/>
              <w:jc w:val="center"/>
              <w:rPr>
                <w:rFonts w:eastAsia="Times New Roman"/>
                <w:sz w:val="16"/>
                <w:szCs w:val="16"/>
              </w:rPr>
            </w:pPr>
          </w:p>
        </w:tc>
        <w:tc>
          <w:tcPr>
            <w:tcW w:w="877" w:type="dxa"/>
            <w:tcBorders>
              <w:top w:val="nil"/>
              <w:left w:val="nil"/>
              <w:bottom w:val="nil"/>
              <w:right w:val="single" w:sz="4" w:space="0" w:color="auto"/>
            </w:tcBorders>
            <w:shd w:val="clear" w:color="auto" w:fill="auto"/>
            <w:noWrap/>
            <w:vAlign w:val="bottom"/>
            <w:hideMark/>
          </w:tcPr>
          <w:p w14:paraId="6D1C017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86" w:type="dxa"/>
            <w:tcBorders>
              <w:top w:val="nil"/>
              <w:left w:val="nil"/>
              <w:bottom w:val="nil"/>
              <w:right w:val="nil"/>
            </w:tcBorders>
            <w:shd w:val="clear" w:color="auto" w:fill="auto"/>
            <w:noWrap/>
            <w:vAlign w:val="bottom"/>
            <w:hideMark/>
          </w:tcPr>
          <w:p w14:paraId="6670A63D"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nil"/>
              <w:right w:val="nil"/>
            </w:tcBorders>
            <w:shd w:val="clear" w:color="auto" w:fill="auto"/>
            <w:noWrap/>
            <w:vAlign w:val="bottom"/>
            <w:hideMark/>
          </w:tcPr>
          <w:p w14:paraId="0AA66FF8" w14:textId="77777777" w:rsidR="001B2857" w:rsidRPr="001B2857" w:rsidRDefault="001B2857" w:rsidP="001B2857">
            <w:pPr>
              <w:spacing w:after="0" w:line="240" w:lineRule="auto"/>
              <w:jc w:val="center"/>
              <w:rPr>
                <w:rFonts w:eastAsia="Times New Roman"/>
                <w:sz w:val="16"/>
                <w:szCs w:val="16"/>
              </w:rPr>
            </w:pPr>
          </w:p>
        </w:tc>
        <w:tc>
          <w:tcPr>
            <w:tcW w:w="586" w:type="dxa"/>
            <w:tcBorders>
              <w:top w:val="nil"/>
              <w:left w:val="nil"/>
              <w:bottom w:val="nil"/>
              <w:right w:val="nil"/>
            </w:tcBorders>
            <w:shd w:val="clear" w:color="auto" w:fill="auto"/>
            <w:noWrap/>
            <w:vAlign w:val="bottom"/>
            <w:hideMark/>
          </w:tcPr>
          <w:p w14:paraId="2E222F99" w14:textId="77777777" w:rsidR="001B2857" w:rsidRPr="001B2857" w:rsidRDefault="001B2857" w:rsidP="001B2857">
            <w:pPr>
              <w:spacing w:after="0" w:line="240" w:lineRule="auto"/>
              <w:jc w:val="center"/>
              <w:rPr>
                <w:rFonts w:eastAsia="Times New Roman"/>
                <w:sz w:val="16"/>
                <w:szCs w:val="16"/>
              </w:rPr>
            </w:pPr>
          </w:p>
        </w:tc>
        <w:tc>
          <w:tcPr>
            <w:tcW w:w="824" w:type="dxa"/>
            <w:tcBorders>
              <w:top w:val="nil"/>
              <w:left w:val="nil"/>
              <w:bottom w:val="nil"/>
              <w:right w:val="single" w:sz="4" w:space="0" w:color="auto"/>
            </w:tcBorders>
            <w:shd w:val="clear" w:color="auto" w:fill="auto"/>
            <w:noWrap/>
            <w:vAlign w:val="bottom"/>
            <w:hideMark/>
          </w:tcPr>
          <w:p w14:paraId="7088C46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auto" w:fill="auto"/>
            <w:noWrap/>
            <w:vAlign w:val="bottom"/>
            <w:hideMark/>
          </w:tcPr>
          <w:p w14:paraId="49E318EE" w14:textId="77777777" w:rsidR="001B2857" w:rsidRPr="001B2857" w:rsidRDefault="001B2857" w:rsidP="001B2857">
            <w:pPr>
              <w:spacing w:after="0" w:line="240" w:lineRule="auto"/>
              <w:jc w:val="center"/>
              <w:rPr>
                <w:rFonts w:eastAsia="Times New Roman"/>
                <w:b/>
                <w:bCs/>
                <w:sz w:val="16"/>
                <w:szCs w:val="16"/>
              </w:rPr>
            </w:pPr>
          </w:p>
        </w:tc>
        <w:tc>
          <w:tcPr>
            <w:tcW w:w="917" w:type="dxa"/>
            <w:tcBorders>
              <w:top w:val="nil"/>
              <w:left w:val="nil"/>
              <w:bottom w:val="nil"/>
              <w:right w:val="nil"/>
            </w:tcBorders>
            <w:shd w:val="clear" w:color="auto" w:fill="auto"/>
            <w:noWrap/>
            <w:vAlign w:val="bottom"/>
            <w:hideMark/>
          </w:tcPr>
          <w:p w14:paraId="28402BD1" w14:textId="77777777" w:rsidR="001B2857" w:rsidRPr="001B2857" w:rsidRDefault="001B2857" w:rsidP="001B2857">
            <w:pPr>
              <w:spacing w:after="0" w:line="240" w:lineRule="auto"/>
              <w:jc w:val="center"/>
              <w:rPr>
                <w:rFonts w:eastAsia="Times New Roman"/>
                <w:b/>
                <w:bCs/>
                <w:sz w:val="16"/>
                <w:szCs w:val="16"/>
              </w:rPr>
            </w:pPr>
          </w:p>
        </w:tc>
        <w:tc>
          <w:tcPr>
            <w:tcW w:w="563" w:type="dxa"/>
            <w:tcBorders>
              <w:top w:val="nil"/>
              <w:left w:val="nil"/>
              <w:bottom w:val="nil"/>
              <w:right w:val="nil"/>
            </w:tcBorders>
            <w:shd w:val="clear" w:color="auto" w:fill="auto"/>
            <w:noWrap/>
            <w:vAlign w:val="bottom"/>
            <w:hideMark/>
          </w:tcPr>
          <w:p w14:paraId="40DDC419" w14:textId="77777777" w:rsidR="001B2857" w:rsidRPr="001B2857" w:rsidRDefault="001B2857" w:rsidP="001B2857">
            <w:pPr>
              <w:spacing w:after="0" w:line="240" w:lineRule="auto"/>
              <w:jc w:val="center"/>
              <w:rPr>
                <w:rFonts w:eastAsia="Times New Roman"/>
                <w:b/>
                <w:bCs/>
                <w:color w:val="008000"/>
                <w:sz w:val="16"/>
                <w:szCs w:val="16"/>
              </w:rPr>
            </w:pPr>
          </w:p>
        </w:tc>
        <w:tc>
          <w:tcPr>
            <w:tcW w:w="917" w:type="dxa"/>
            <w:tcBorders>
              <w:top w:val="nil"/>
              <w:left w:val="nil"/>
              <w:bottom w:val="nil"/>
              <w:right w:val="nil"/>
            </w:tcBorders>
            <w:shd w:val="clear" w:color="auto" w:fill="auto"/>
            <w:noWrap/>
            <w:vAlign w:val="bottom"/>
            <w:hideMark/>
          </w:tcPr>
          <w:p w14:paraId="16B8BE63" w14:textId="77777777" w:rsidR="001B2857" w:rsidRPr="001B2857" w:rsidRDefault="001B2857" w:rsidP="001B2857">
            <w:pPr>
              <w:spacing w:after="0" w:line="240" w:lineRule="auto"/>
              <w:jc w:val="center"/>
              <w:rPr>
                <w:rFonts w:eastAsia="Times New Roman"/>
                <w:b/>
                <w:bCs/>
                <w:color w:val="008000"/>
                <w:sz w:val="16"/>
                <w:szCs w:val="16"/>
              </w:rPr>
            </w:pPr>
          </w:p>
        </w:tc>
      </w:tr>
      <w:tr w:rsidR="001B2857" w:rsidRPr="001B2857" w14:paraId="00D37FF1" w14:textId="77777777" w:rsidTr="001B2857">
        <w:trPr>
          <w:trHeight w:val="220"/>
        </w:trPr>
        <w:tc>
          <w:tcPr>
            <w:tcW w:w="1740" w:type="dxa"/>
            <w:tcBorders>
              <w:top w:val="single" w:sz="4" w:space="0" w:color="auto"/>
              <w:left w:val="single" w:sz="4" w:space="0" w:color="auto"/>
              <w:bottom w:val="nil"/>
              <w:right w:val="single" w:sz="4" w:space="0" w:color="auto"/>
            </w:tcBorders>
            <w:shd w:val="clear" w:color="000000" w:fill="FFFFFF"/>
            <w:noWrap/>
            <w:vAlign w:val="bottom"/>
            <w:hideMark/>
          </w:tcPr>
          <w:p w14:paraId="0AEF6F63" w14:textId="77777777" w:rsidR="001B2857" w:rsidRPr="001B2857" w:rsidRDefault="001B2857" w:rsidP="001B2857">
            <w:pPr>
              <w:spacing w:after="0" w:line="240" w:lineRule="auto"/>
              <w:rPr>
                <w:rFonts w:eastAsia="Times New Roman"/>
                <w:color w:val="000000"/>
                <w:sz w:val="16"/>
                <w:szCs w:val="16"/>
                <w:u w:val="single"/>
              </w:rPr>
            </w:pPr>
            <w:r w:rsidRPr="001B2857">
              <w:rPr>
                <w:rFonts w:eastAsia="Times New Roman"/>
                <w:color w:val="000000"/>
                <w:sz w:val="16"/>
                <w:szCs w:val="16"/>
                <w:u w:val="single"/>
              </w:rPr>
              <w:t>Hospital 7</w:t>
            </w:r>
          </w:p>
        </w:tc>
        <w:tc>
          <w:tcPr>
            <w:tcW w:w="689" w:type="dxa"/>
            <w:tcBorders>
              <w:top w:val="single" w:sz="4" w:space="0" w:color="auto"/>
              <w:left w:val="nil"/>
              <w:bottom w:val="nil"/>
              <w:right w:val="nil"/>
            </w:tcBorders>
            <w:shd w:val="clear" w:color="auto" w:fill="auto"/>
            <w:noWrap/>
            <w:vAlign w:val="bottom"/>
            <w:hideMark/>
          </w:tcPr>
          <w:p w14:paraId="1E90D4E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71" w:type="dxa"/>
            <w:tcBorders>
              <w:top w:val="single" w:sz="4" w:space="0" w:color="auto"/>
              <w:left w:val="nil"/>
              <w:bottom w:val="nil"/>
              <w:right w:val="nil"/>
            </w:tcBorders>
            <w:shd w:val="clear" w:color="auto" w:fill="auto"/>
            <w:noWrap/>
            <w:vAlign w:val="bottom"/>
            <w:hideMark/>
          </w:tcPr>
          <w:p w14:paraId="354359C9"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3000"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73D847A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820" w:type="dxa"/>
            <w:gridSpan w:val="4"/>
            <w:tcBorders>
              <w:top w:val="single" w:sz="4" w:space="0" w:color="auto"/>
              <w:left w:val="nil"/>
              <w:bottom w:val="nil"/>
              <w:right w:val="single" w:sz="4" w:space="0" w:color="000000"/>
            </w:tcBorders>
            <w:shd w:val="clear" w:color="auto" w:fill="auto"/>
            <w:noWrap/>
            <w:vAlign w:val="center"/>
            <w:hideMark/>
          </w:tcPr>
          <w:p w14:paraId="4B412D5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960" w:type="dxa"/>
            <w:gridSpan w:val="4"/>
            <w:tcBorders>
              <w:top w:val="nil"/>
              <w:left w:val="nil"/>
              <w:bottom w:val="nil"/>
              <w:right w:val="nil"/>
            </w:tcBorders>
            <w:shd w:val="clear" w:color="auto" w:fill="auto"/>
            <w:noWrap/>
            <w:vAlign w:val="center"/>
            <w:hideMark/>
          </w:tcPr>
          <w:p w14:paraId="1E74C5C3" w14:textId="77777777" w:rsidR="001B2857" w:rsidRPr="001B2857" w:rsidRDefault="001B2857" w:rsidP="001B2857">
            <w:pPr>
              <w:spacing w:after="0" w:line="240" w:lineRule="auto"/>
              <w:jc w:val="center"/>
              <w:rPr>
                <w:rFonts w:eastAsia="Times New Roman"/>
                <w:sz w:val="16"/>
                <w:szCs w:val="16"/>
              </w:rPr>
            </w:pPr>
          </w:p>
        </w:tc>
      </w:tr>
      <w:tr w:rsidR="001B2857" w:rsidRPr="001B2857" w14:paraId="140AA476"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4CDFF992"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lastRenderedPageBreak/>
              <w:t>a. Full  model</w:t>
            </w:r>
          </w:p>
        </w:tc>
        <w:tc>
          <w:tcPr>
            <w:tcW w:w="689" w:type="dxa"/>
            <w:tcBorders>
              <w:top w:val="nil"/>
              <w:left w:val="nil"/>
              <w:bottom w:val="nil"/>
              <w:right w:val="nil"/>
            </w:tcBorders>
            <w:shd w:val="clear" w:color="auto" w:fill="auto"/>
            <w:noWrap/>
            <w:vAlign w:val="bottom"/>
            <w:hideMark/>
          </w:tcPr>
          <w:p w14:paraId="477638A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-0.29</w:t>
            </w:r>
          </w:p>
        </w:tc>
        <w:tc>
          <w:tcPr>
            <w:tcW w:w="971" w:type="dxa"/>
            <w:tcBorders>
              <w:top w:val="nil"/>
              <w:left w:val="nil"/>
              <w:bottom w:val="nil"/>
              <w:right w:val="nil"/>
            </w:tcBorders>
            <w:shd w:val="clear" w:color="auto" w:fill="auto"/>
            <w:noWrap/>
            <w:vAlign w:val="bottom"/>
            <w:hideMark/>
          </w:tcPr>
          <w:p w14:paraId="1D67F8B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0.8</w:t>
            </w:r>
          </w:p>
        </w:tc>
        <w:tc>
          <w:tcPr>
            <w:tcW w:w="623" w:type="dxa"/>
            <w:tcBorders>
              <w:top w:val="nil"/>
              <w:left w:val="single" w:sz="4" w:space="0" w:color="auto"/>
              <w:bottom w:val="nil"/>
              <w:right w:val="nil"/>
            </w:tcBorders>
            <w:shd w:val="clear" w:color="auto" w:fill="auto"/>
            <w:noWrap/>
            <w:vAlign w:val="bottom"/>
            <w:hideMark/>
          </w:tcPr>
          <w:p w14:paraId="38BE72F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-1.51</w:t>
            </w:r>
          </w:p>
        </w:tc>
        <w:tc>
          <w:tcPr>
            <w:tcW w:w="877" w:type="dxa"/>
            <w:tcBorders>
              <w:top w:val="nil"/>
              <w:left w:val="nil"/>
              <w:bottom w:val="nil"/>
              <w:right w:val="nil"/>
            </w:tcBorders>
            <w:shd w:val="clear" w:color="auto" w:fill="auto"/>
            <w:noWrap/>
            <w:vAlign w:val="bottom"/>
            <w:hideMark/>
          </w:tcPr>
          <w:p w14:paraId="7D4CE3FD"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0.75</w:t>
            </w:r>
          </w:p>
        </w:tc>
        <w:tc>
          <w:tcPr>
            <w:tcW w:w="623" w:type="dxa"/>
            <w:tcBorders>
              <w:top w:val="nil"/>
              <w:left w:val="nil"/>
              <w:bottom w:val="nil"/>
              <w:right w:val="nil"/>
            </w:tcBorders>
            <w:shd w:val="clear" w:color="auto" w:fill="auto"/>
            <w:noWrap/>
            <w:vAlign w:val="bottom"/>
            <w:hideMark/>
          </w:tcPr>
          <w:p w14:paraId="09D3499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0.12</w:t>
            </w:r>
          </w:p>
        </w:tc>
        <w:tc>
          <w:tcPr>
            <w:tcW w:w="877" w:type="dxa"/>
            <w:tcBorders>
              <w:top w:val="nil"/>
              <w:left w:val="nil"/>
              <w:bottom w:val="nil"/>
              <w:right w:val="single" w:sz="4" w:space="0" w:color="auto"/>
            </w:tcBorders>
            <w:shd w:val="clear" w:color="auto" w:fill="auto"/>
            <w:noWrap/>
            <w:vAlign w:val="bottom"/>
            <w:hideMark/>
          </w:tcPr>
          <w:p w14:paraId="09BACFE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0.92</w:t>
            </w:r>
          </w:p>
        </w:tc>
        <w:tc>
          <w:tcPr>
            <w:tcW w:w="586" w:type="dxa"/>
            <w:tcBorders>
              <w:top w:val="nil"/>
              <w:left w:val="nil"/>
              <w:bottom w:val="nil"/>
              <w:right w:val="nil"/>
            </w:tcBorders>
            <w:shd w:val="clear" w:color="auto" w:fill="auto"/>
            <w:noWrap/>
            <w:vAlign w:val="bottom"/>
            <w:hideMark/>
          </w:tcPr>
          <w:p w14:paraId="5EC633D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-1.51</w:t>
            </w:r>
          </w:p>
        </w:tc>
        <w:tc>
          <w:tcPr>
            <w:tcW w:w="824" w:type="dxa"/>
            <w:tcBorders>
              <w:top w:val="nil"/>
              <w:left w:val="nil"/>
              <w:bottom w:val="nil"/>
              <w:right w:val="nil"/>
            </w:tcBorders>
            <w:shd w:val="clear" w:color="auto" w:fill="auto"/>
            <w:noWrap/>
            <w:vAlign w:val="bottom"/>
            <w:hideMark/>
          </w:tcPr>
          <w:p w14:paraId="74BFD36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0.62</w:t>
            </w:r>
          </w:p>
        </w:tc>
        <w:tc>
          <w:tcPr>
            <w:tcW w:w="586" w:type="dxa"/>
            <w:tcBorders>
              <w:top w:val="nil"/>
              <w:left w:val="nil"/>
              <w:bottom w:val="nil"/>
              <w:right w:val="nil"/>
            </w:tcBorders>
            <w:shd w:val="clear" w:color="auto" w:fill="auto"/>
            <w:noWrap/>
            <w:vAlign w:val="bottom"/>
            <w:hideMark/>
          </w:tcPr>
          <w:p w14:paraId="7E1D68B5"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-0.06</w:t>
            </w:r>
          </w:p>
        </w:tc>
        <w:tc>
          <w:tcPr>
            <w:tcW w:w="824" w:type="dxa"/>
            <w:tcBorders>
              <w:top w:val="nil"/>
              <w:left w:val="nil"/>
              <w:bottom w:val="nil"/>
              <w:right w:val="single" w:sz="4" w:space="0" w:color="auto"/>
            </w:tcBorders>
            <w:shd w:val="clear" w:color="auto" w:fill="auto"/>
            <w:noWrap/>
            <w:vAlign w:val="bottom"/>
            <w:hideMark/>
          </w:tcPr>
          <w:p w14:paraId="4946EFC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0.89</w:t>
            </w:r>
          </w:p>
        </w:tc>
        <w:tc>
          <w:tcPr>
            <w:tcW w:w="563" w:type="dxa"/>
            <w:tcBorders>
              <w:top w:val="nil"/>
              <w:left w:val="nil"/>
              <w:bottom w:val="nil"/>
              <w:right w:val="nil"/>
            </w:tcBorders>
            <w:shd w:val="clear" w:color="auto" w:fill="auto"/>
            <w:noWrap/>
            <w:vAlign w:val="bottom"/>
            <w:hideMark/>
          </w:tcPr>
          <w:p w14:paraId="4168664D" w14:textId="77777777" w:rsidR="001B2857" w:rsidRPr="001B2857" w:rsidRDefault="001B2857" w:rsidP="001B2857">
            <w:pPr>
              <w:spacing w:after="0" w:line="240" w:lineRule="auto"/>
              <w:jc w:val="center"/>
              <w:rPr>
                <w:rFonts w:eastAsia="Times New Roman"/>
                <w:sz w:val="16"/>
                <w:szCs w:val="16"/>
              </w:rPr>
            </w:pPr>
          </w:p>
        </w:tc>
        <w:tc>
          <w:tcPr>
            <w:tcW w:w="917" w:type="dxa"/>
            <w:tcBorders>
              <w:top w:val="nil"/>
              <w:left w:val="nil"/>
              <w:bottom w:val="nil"/>
              <w:right w:val="nil"/>
            </w:tcBorders>
            <w:shd w:val="clear" w:color="auto" w:fill="auto"/>
            <w:noWrap/>
            <w:vAlign w:val="bottom"/>
            <w:hideMark/>
          </w:tcPr>
          <w:p w14:paraId="5D2971BC" w14:textId="77777777" w:rsidR="001B2857" w:rsidRPr="001B2857" w:rsidRDefault="001B2857" w:rsidP="001B2857">
            <w:pPr>
              <w:spacing w:after="0" w:line="240" w:lineRule="auto"/>
              <w:jc w:val="center"/>
              <w:rPr>
                <w:rFonts w:eastAsia="Times New Roman"/>
                <w:sz w:val="16"/>
                <w:szCs w:val="16"/>
              </w:rPr>
            </w:pPr>
          </w:p>
        </w:tc>
        <w:tc>
          <w:tcPr>
            <w:tcW w:w="563" w:type="dxa"/>
            <w:tcBorders>
              <w:top w:val="nil"/>
              <w:left w:val="nil"/>
              <w:bottom w:val="nil"/>
              <w:right w:val="nil"/>
            </w:tcBorders>
            <w:shd w:val="clear" w:color="auto" w:fill="auto"/>
            <w:noWrap/>
            <w:vAlign w:val="bottom"/>
            <w:hideMark/>
          </w:tcPr>
          <w:p w14:paraId="19FD2A5E" w14:textId="77777777" w:rsidR="001B2857" w:rsidRPr="001B2857" w:rsidRDefault="001B2857" w:rsidP="001B2857">
            <w:pPr>
              <w:spacing w:after="0" w:line="240" w:lineRule="auto"/>
              <w:jc w:val="center"/>
              <w:rPr>
                <w:rFonts w:eastAsia="Times New Roman"/>
                <w:sz w:val="16"/>
                <w:szCs w:val="16"/>
              </w:rPr>
            </w:pPr>
          </w:p>
        </w:tc>
        <w:tc>
          <w:tcPr>
            <w:tcW w:w="917" w:type="dxa"/>
            <w:tcBorders>
              <w:top w:val="nil"/>
              <w:left w:val="nil"/>
              <w:bottom w:val="nil"/>
              <w:right w:val="nil"/>
            </w:tcBorders>
            <w:shd w:val="clear" w:color="auto" w:fill="auto"/>
            <w:noWrap/>
            <w:vAlign w:val="bottom"/>
            <w:hideMark/>
          </w:tcPr>
          <w:p w14:paraId="204F0F4C" w14:textId="77777777" w:rsidR="001B2857" w:rsidRPr="001B2857" w:rsidRDefault="001B2857" w:rsidP="001B2857">
            <w:pPr>
              <w:spacing w:after="0" w:line="240" w:lineRule="auto"/>
              <w:jc w:val="center"/>
              <w:rPr>
                <w:rFonts w:eastAsia="Times New Roman"/>
                <w:sz w:val="16"/>
                <w:szCs w:val="16"/>
              </w:rPr>
            </w:pPr>
          </w:p>
        </w:tc>
      </w:tr>
      <w:tr w:rsidR="001B2857" w:rsidRPr="001B2857" w14:paraId="6A9C60FD"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77541223"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b. Parsimonious model</w:t>
            </w:r>
          </w:p>
        </w:tc>
        <w:tc>
          <w:tcPr>
            <w:tcW w:w="689" w:type="dxa"/>
            <w:tcBorders>
              <w:top w:val="nil"/>
              <w:left w:val="nil"/>
              <w:bottom w:val="nil"/>
              <w:right w:val="nil"/>
            </w:tcBorders>
            <w:shd w:val="clear" w:color="auto" w:fill="auto"/>
            <w:noWrap/>
            <w:vAlign w:val="bottom"/>
            <w:hideMark/>
          </w:tcPr>
          <w:p w14:paraId="6F48CFA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-0.32</w:t>
            </w:r>
          </w:p>
        </w:tc>
        <w:tc>
          <w:tcPr>
            <w:tcW w:w="971" w:type="dxa"/>
            <w:tcBorders>
              <w:top w:val="nil"/>
              <w:left w:val="nil"/>
              <w:bottom w:val="nil"/>
              <w:right w:val="nil"/>
            </w:tcBorders>
            <w:shd w:val="clear" w:color="auto" w:fill="auto"/>
            <w:noWrap/>
            <w:vAlign w:val="bottom"/>
            <w:hideMark/>
          </w:tcPr>
          <w:p w14:paraId="5753657A"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&lt;0.001</w:t>
            </w:r>
          </w:p>
        </w:tc>
        <w:tc>
          <w:tcPr>
            <w:tcW w:w="623" w:type="dxa"/>
            <w:tcBorders>
              <w:top w:val="nil"/>
              <w:left w:val="single" w:sz="4" w:space="0" w:color="auto"/>
              <w:bottom w:val="nil"/>
              <w:right w:val="nil"/>
            </w:tcBorders>
            <w:shd w:val="clear" w:color="auto" w:fill="auto"/>
            <w:noWrap/>
            <w:vAlign w:val="bottom"/>
            <w:hideMark/>
          </w:tcPr>
          <w:p w14:paraId="3568E67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77" w:type="dxa"/>
            <w:tcBorders>
              <w:top w:val="nil"/>
              <w:left w:val="nil"/>
              <w:bottom w:val="nil"/>
              <w:right w:val="nil"/>
            </w:tcBorders>
            <w:shd w:val="clear" w:color="auto" w:fill="auto"/>
            <w:noWrap/>
            <w:vAlign w:val="bottom"/>
            <w:hideMark/>
          </w:tcPr>
          <w:p w14:paraId="145F3C34" w14:textId="77777777" w:rsidR="001B2857" w:rsidRPr="001B2857" w:rsidRDefault="001B2857" w:rsidP="001B2857">
            <w:pPr>
              <w:spacing w:after="0" w:line="240" w:lineRule="auto"/>
              <w:jc w:val="center"/>
              <w:rPr>
                <w:rFonts w:eastAsia="Times New Roman"/>
                <w:sz w:val="16"/>
                <w:szCs w:val="16"/>
              </w:rPr>
            </w:pPr>
          </w:p>
        </w:tc>
        <w:tc>
          <w:tcPr>
            <w:tcW w:w="623" w:type="dxa"/>
            <w:tcBorders>
              <w:top w:val="nil"/>
              <w:left w:val="nil"/>
              <w:bottom w:val="nil"/>
              <w:right w:val="nil"/>
            </w:tcBorders>
            <w:shd w:val="clear" w:color="auto" w:fill="auto"/>
            <w:noWrap/>
            <w:vAlign w:val="bottom"/>
            <w:hideMark/>
          </w:tcPr>
          <w:p w14:paraId="249554DC" w14:textId="77777777" w:rsidR="001B2857" w:rsidRPr="001B2857" w:rsidRDefault="001B2857" w:rsidP="001B2857">
            <w:pPr>
              <w:spacing w:after="0" w:line="240" w:lineRule="auto"/>
              <w:jc w:val="center"/>
              <w:rPr>
                <w:rFonts w:eastAsia="Times New Roman"/>
                <w:sz w:val="16"/>
                <w:szCs w:val="16"/>
              </w:rPr>
            </w:pPr>
          </w:p>
        </w:tc>
        <w:tc>
          <w:tcPr>
            <w:tcW w:w="877" w:type="dxa"/>
            <w:tcBorders>
              <w:top w:val="nil"/>
              <w:left w:val="nil"/>
              <w:bottom w:val="nil"/>
              <w:right w:val="single" w:sz="4" w:space="0" w:color="auto"/>
            </w:tcBorders>
            <w:shd w:val="clear" w:color="auto" w:fill="auto"/>
            <w:noWrap/>
            <w:vAlign w:val="bottom"/>
            <w:hideMark/>
          </w:tcPr>
          <w:p w14:paraId="0FE537B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86" w:type="dxa"/>
            <w:tcBorders>
              <w:top w:val="nil"/>
              <w:left w:val="nil"/>
              <w:bottom w:val="nil"/>
              <w:right w:val="nil"/>
            </w:tcBorders>
            <w:shd w:val="clear" w:color="auto" w:fill="auto"/>
            <w:noWrap/>
            <w:vAlign w:val="bottom"/>
            <w:hideMark/>
          </w:tcPr>
          <w:p w14:paraId="67973F5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nil"/>
              <w:right w:val="nil"/>
            </w:tcBorders>
            <w:shd w:val="clear" w:color="auto" w:fill="auto"/>
            <w:noWrap/>
            <w:vAlign w:val="bottom"/>
            <w:hideMark/>
          </w:tcPr>
          <w:p w14:paraId="3066FBD3" w14:textId="77777777" w:rsidR="001B2857" w:rsidRPr="001B2857" w:rsidRDefault="001B2857" w:rsidP="001B2857">
            <w:pPr>
              <w:spacing w:after="0" w:line="240" w:lineRule="auto"/>
              <w:jc w:val="center"/>
              <w:rPr>
                <w:rFonts w:eastAsia="Times New Roman"/>
                <w:sz w:val="16"/>
                <w:szCs w:val="16"/>
              </w:rPr>
            </w:pPr>
          </w:p>
        </w:tc>
        <w:tc>
          <w:tcPr>
            <w:tcW w:w="586" w:type="dxa"/>
            <w:tcBorders>
              <w:top w:val="nil"/>
              <w:left w:val="nil"/>
              <w:bottom w:val="nil"/>
              <w:right w:val="nil"/>
            </w:tcBorders>
            <w:shd w:val="clear" w:color="auto" w:fill="auto"/>
            <w:noWrap/>
            <w:vAlign w:val="bottom"/>
            <w:hideMark/>
          </w:tcPr>
          <w:p w14:paraId="79D79F19" w14:textId="77777777" w:rsidR="001B2857" w:rsidRPr="001B2857" w:rsidRDefault="001B2857" w:rsidP="001B2857">
            <w:pPr>
              <w:spacing w:after="0" w:line="240" w:lineRule="auto"/>
              <w:jc w:val="center"/>
              <w:rPr>
                <w:rFonts w:eastAsia="Times New Roman"/>
                <w:sz w:val="16"/>
                <w:szCs w:val="16"/>
              </w:rPr>
            </w:pPr>
          </w:p>
        </w:tc>
        <w:tc>
          <w:tcPr>
            <w:tcW w:w="824" w:type="dxa"/>
            <w:tcBorders>
              <w:top w:val="nil"/>
              <w:left w:val="nil"/>
              <w:bottom w:val="nil"/>
              <w:right w:val="single" w:sz="4" w:space="0" w:color="auto"/>
            </w:tcBorders>
            <w:shd w:val="clear" w:color="auto" w:fill="auto"/>
            <w:noWrap/>
            <w:vAlign w:val="bottom"/>
            <w:hideMark/>
          </w:tcPr>
          <w:p w14:paraId="5FFF6CE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auto" w:fill="auto"/>
            <w:noWrap/>
            <w:vAlign w:val="bottom"/>
            <w:hideMark/>
          </w:tcPr>
          <w:p w14:paraId="6502C132" w14:textId="77777777" w:rsidR="001B2857" w:rsidRPr="001B2857" w:rsidRDefault="001B2857" w:rsidP="001B2857">
            <w:pPr>
              <w:spacing w:after="0" w:line="240" w:lineRule="auto"/>
              <w:jc w:val="center"/>
              <w:rPr>
                <w:rFonts w:eastAsia="Times New Roman"/>
                <w:sz w:val="16"/>
                <w:szCs w:val="16"/>
              </w:rPr>
            </w:pPr>
          </w:p>
        </w:tc>
        <w:tc>
          <w:tcPr>
            <w:tcW w:w="917" w:type="dxa"/>
            <w:tcBorders>
              <w:top w:val="nil"/>
              <w:left w:val="nil"/>
              <w:bottom w:val="nil"/>
              <w:right w:val="nil"/>
            </w:tcBorders>
            <w:shd w:val="clear" w:color="auto" w:fill="auto"/>
            <w:noWrap/>
            <w:vAlign w:val="bottom"/>
            <w:hideMark/>
          </w:tcPr>
          <w:p w14:paraId="35BA9A18" w14:textId="77777777" w:rsidR="001B2857" w:rsidRPr="001B2857" w:rsidRDefault="001B2857" w:rsidP="001B2857">
            <w:pPr>
              <w:spacing w:after="0" w:line="240" w:lineRule="auto"/>
              <w:jc w:val="center"/>
              <w:rPr>
                <w:rFonts w:eastAsia="Times New Roman"/>
                <w:sz w:val="16"/>
                <w:szCs w:val="16"/>
              </w:rPr>
            </w:pPr>
          </w:p>
        </w:tc>
        <w:tc>
          <w:tcPr>
            <w:tcW w:w="563" w:type="dxa"/>
            <w:tcBorders>
              <w:top w:val="nil"/>
              <w:left w:val="nil"/>
              <w:bottom w:val="nil"/>
              <w:right w:val="nil"/>
            </w:tcBorders>
            <w:shd w:val="clear" w:color="auto" w:fill="auto"/>
            <w:noWrap/>
            <w:vAlign w:val="bottom"/>
            <w:hideMark/>
          </w:tcPr>
          <w:p w14:paraId="52B65905" w14:textId="77777777" w:rsidR="001B2857" w:rsidRPr="001B2857" w:rsidRDefault="001B2857" w:rsidP="001B2857">
            <w:pPr>
              <w:spacing w:after="0" w:line="240" w:lineRule="auto"/>
              <w:jc w:val="center"/>
              <w:rPr>
                <w:rFonts w:eastAsia="Times New Roman"/>
                <w:sz w:val="16"/>
                <w:szCs w:val="16"/>
              </w:rPr>
            </w:pPr>
          </w:p>
        </w:tc>
        <w:tc>
          <w:tcPr>
            <w:tcW w:w="917" w:type="dxa"/>
            <w:tcBorders>
              <w:top w:val="nil"/>
              <w:left w:val="nil"/>
              <w:bottom w:val="nil"/>
              <w:right w:val="nil"/>
            </w:tcBorders>
            <w:shd w:val="clear" w:color="auto" w:fill="auto"/>
            <w:noWrap/>
            <w:vAlign w:val="bottom"/>
            <w:hideMark/>
          </w:tcPr>
          <w:p w14:paraId="3881E78A" w14:textId="77777777" w:rsidR="001B2857" w:rsidRPr="001B2857" w:rsidRDefault="001B2857" w:rsidP="001B2857">
            <w:pPr>
              <w:spacing w:after="0" w:line="240" w:lineRule="auto"/>
              <w:jc w:val="center"/>
              <w:rPr>
                <w:rFonts w:eastAsia="Times New Roman"/>
                <w:sz w:val="16"/>
                <w:szCs w:val="16"/>
              </w:rPr>
            </w:pPr>
          </w:p>
        </w:tc>
      </w:tr>
      <w:tr w:rsidR="001B2857" w:rsidRPr="001B2857" w14:paraId="4D54BF54" w14:textId="77777777" w:rsidTr="001B2857">
        <w:trPr>
          <w:trHeight w:val="220"/>
        </w:trPr>
        <w:tc>
          <w:tcPr>
            <w:tcW w:w="1740" w:type="dxa"/>
            <w:tcBorders>
              <w:top w:val="single" w:sz="4" w:space="0" w:color="auto"/>
              <w:left w:val="single" w:sz="4" w:space="0" w:color="auto"/>
              <w:bottom w:val="nil"/>
              <w:right w:val="single" w:sz="4" w:space="0" w:color="auto"/>
            </w:tcBorders>
            <w:shd w:val="clear" w:color="000000" w:fill="FFFFFF"/>
            <w:noWrap/>
            <w:vAlign w:val="bottom"/>
            <w:hideMark/>
          </w:tcPr>
          <w:p w14:paraId="0C41AB2C" w14:textId="77777777" w:rsidR="001B2857" w:rsidRPr="001B2857" w:rsidRDefault="001B2857" w:rsidP="001B2857">
            <w:pPr>
              <w:spacing w:after="0" w:line="240" w:lineRule="auto"/>
              <w:rPr>
                <w:rFonts w:eastAsia="Times New Roman"/>
                <w:color w:val="000000"/>
                <w:sz w:val="16"/>
                <w:szCs w:val="16"/>
                <w:u w:val="single"/>
              </w:rPr>
            </w:pPr>
            <w:r w:rsidRPr="001B2857">
              <w:rPr>
                <w:rFonts w:eastAsia="Times New Roman"/>
                <w:color w:val="000000"/>
                <w:sz w:val="16"/>
                <w:szCs w:val="16"/>
                <w:u w:val="single"/>
              </w:rPr>
              <w:t>Hospital 4</w:t>
            </w:r>
          </w:p>
        </w:tc>
        <w:tc>
          <w:tcPr>
            <w:tcW w:w="689" w:type="dxa"/>
            <w:tcBorders>
              <w:top w:val="single" w:sz="4" w:space="0" w:color="auto"/>
              <w:left w:val="nil"/>
              <w:bottom w:val="nil"/>
              <w:right w:val="nil"/>
            </w:tcBorders>
            <w:shd w:val="clear" w:color="auto" w:fill="auto"/>
            <w:noWrap/>
            <w:vAlign w:val="bottom"/>
            <w:hideMark/>
          </w:tcPr>
          <w:p w14:paraId="4E50619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971" w:type="dxa"/>
            <w:tcBorders>
              <w:top w:val="single" w:sz="4" w:space="0" w:color="auto"/>
              <w:left w:val="nil"/>
              <w:bottom w:val="nil"/>
              <w:right w:val="nil"/>
            </w:tcBorders>
            <w:shd w:val="clear" w:color="auto" w:fill="auto"/>
            <w:noWrap/>
            <w:vAlign w:val="bottom"/>
            <w:hideMark/>
          </w:tcPr>
          <w:p w14:paraId="7CBDD1CC"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3000"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1926726D"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820" w:type="dxa"/>
            <w:gridSpan w:val="4"/>
            <w:tcBorders>
              <w:top w:val="single" w:sz="4" w:space="0" w:color="auto"/>
              <w:left w:val="nil"/>
              <w:bottom w:val="nil"/>
              <w:right w:val="single" w:sz="4" w:space="0" w:color="000000"/>
            </w:tcBorders>
            <w:shd w:val="clear" w:color="auto" w:fill="auto"/>
            <w:noWrap/>
            <w:vAlign w:val="center"/>
            <w:hideMark/>
          </w:tcPr>
          <w:p w14:paraId="7300880D"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2960" w:type="dxa"/>
            <w:gridSpan w:val="4"/>
            <w:tcBorders>
              <w:top w:val="nil"/>
              <w:left w:val="nil"/>
              <w:bottom w:val="nil"/>
              <w:right w:val="nil"/>
            </w:tcBorders>
            <w:shd w:val="clear" w:color="auto" w:fill="auto"/>
            <w:noWrap/>
            <w:vAlign w:val="center"/>
            <w:hideMark/>
          </w:tcPr>
          <w:p w14:paraId="76704D5C" w14:textId="77777777" w:rsidR="001B2857" w:rsidRPr="001B2857" w:rsidRDefault="001B2857" w:rsidP="001B2857">
            <w:pPr>
              <w:spacing w:after="0" w:line="240" w:lineRule="auto"/>
              <w:jc w:val="center"/>
              <w:rPr>
                <w:rFonts w:eastAsia="Times New Roman"/>
                <w:sz w:val="16"/>
                <w:szCs w:val="16"/>
              </w:rPr>
            </w:pPr>
          </w:p>
        </w:tc>
      </w:tr>
      <w:tr w:rsidR="001B2857" w:rsidRPr="001B2857" w14:paraId="43692DFA" w14:textId="77777777" w:rsidTr="001B2857">
        <w:trPr>
          <w:trHeight w:val="220"/>
        </w:trPr>
        <w:tc>
          <w:tcPr>
            <w:tcW w:w="1740" w:type="dxa"/>
            <w:tcBorders>
              <w:top w:val="nil"/>
              <w:left w:val="single" w:sz="4" w:space="0" w:color="auto"/>
              <w:bottom w:val="nil"/>
              <w:right w:val="single" w:sz="4" w:space="0" w:color="auto"/>
            </w:tcBorders>
            <w:shd w:val="clear" w:color="000000" w:fill="FFFFFF"/>
            <w:noWrap/>
            <w:vAlign w:val="bottom"/>
            <w:hideMark/>
          </w:tcPr>
          <w:p w14:paraId="473CCB90"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a. Full  model</w:t>
            </w:r>
          </w:p>
        </w:tc>
        <w:tc>
          <w:tcPr>
            <w:tcW w:w="689" w:type="dxa"/>
            <w:tcBorders>
              <w:top w:val="nil"/>
              <w:left w:val="nil"/>
              <w:bottom w:val="nil"/>
              <w:right w:val="nil"/>
            </w:tcBorders>
            <w:shd w:val="clear" w:color="auto" w:fill="auto"/>
            <w:noWrap/>
            <w:vAlign w:val="bottom"/>
            <w:hideMark/>
          </w:tcPr>
          <w:p w14:paraId="025A292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-0.36</w:t>
            </w:r>
          </w:p>
        </w:tc>
        <w:tc>
          <w:tcPr>
            <w:tcW w:w="971" w:type="dxa"/>
            <w:tcBorders>
              <w:top w:val="nil"/>
              <w:left w:val="nil"/>
              <w:bottom w:val="nil"/>
              <w:right w:val="nil"/>
            </w:tcBorders>
            <w:shd w:val="clear" w:color="auto" w:fill="auto"/>
            <w:noWrap/>
            <w:vAlign w:val="bottom"/>
            <w:hideMark/>
          </w:tcPr>
          <w:p w14:paraId="57EAA9B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0.79</w:t>
            </w:r>
          </w:p>
        </w:tc>
        <w:tc>
          <w:tcPr>
            <w:tcW w:w="623" w:type="dxa"/>
            <w:tcBorders>
              <w:top w:val="nil"/>
              <w:left w:val="single" w:sz="4" w:space="0" w:color="auto"/>
              <w:bottom w:val="nil"/>
              <w:right w:val="nil"/>
            </w:tcBorders>
            <w:shd w:val="clear" w:color="auto" w:fill="auto"/>
            <w:noWrap/>
            <w:vAlign w:val="bottom"/>
            <w:hideMark/>
          </w:tcPr>
          <w:p w14:paraId="607CDF4A"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-3.02</w:t>
            </w:r>
          </w:p>
        </w:tc>
        <w:tc>
          <w:tcPr>
            <w:tcW w:w="877" w:type="dxa"/>
            <w:tcBorders>
              <w:top w:val="nil"/>
              <w:left w:val="nil"/>
              <w:bottom w:val="nil"/>
              <w:right w:val="nil"/>
            </w:tcBorders>
            <w:shd w:val="clear" w:color="auto" w:fill="auto"/>
            <w:noWrap/>
            <w:vAlign w:val="bottom"/>
            <w:hideMark/>
          </w:tcPr>
          <w:p w14:paraId="318F119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0.7</w:t>
            </w:r>
          </w:p>
        </w:tc>
        <w:tc>
          <w:tcPr>
            <w:tcW w:w="623" w:type="dxa"/>
            <w:tcBorders>
              <w:top w:val="nil"/>
              <w:left w:val="nil"/>
              <w:bottom w:val="nil"/>
              <w:right w:val="nil"/>
            </w:tcBorders>
            <w:shd w:val="clear" w:color="auto" w:fill="auto"/>
            <w:noWrap/>
            <w:vAlign w:val="bottom"/>
            <w:hideMark/>
          </w:tcPr>
          <w:p w14:paraId="58A3BE4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0.22</w:t>
            </w:r>
          </w:p>
        </w:tc>
        <w:tc>
          <w:tcPr>
            <w:tcW w:w="877" w:type="dxa"/>
            <w:tcBorders>
              <w:top w:val="nil"/>
              <w:left w:val="nil"/>
              <w:bottom w:val="nil"/>
              <w:right w:val="single" w:sz="4" w:space="0" w:color="auto"/>
            </w:tcBorders>
            <w:shd w:val="clear" w:color="auto" w:fill="auto"/>
            <w:noWrap/>
            <w:vAlign w:val="bottom"/>
            <w:hideMark/>
          </w:tcPr>
          <w:p w14:paraId="1CC7888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0.89</w:t>
            </w:r>
          </w:p>
        </w:tc>
        <w:tc>
          <w:tcPr>
            <w:tcW w:w="586" w:type="dxa"/>
            <w:tcBorders>
              <w:top w:val="nil"/>
              <w:left w:val="nil"/>
              <w:bottom w:val="nil"/>
              <w:right w:val="nil"/>
            </w:tcBorders>
            <w:shd w:val="clear" w:color="auto" w:fill="auto"/>
            <w:noWrap/>
            <w:vAlign w:val="bottom"/>
            <w:hideMark/>
          </w:tcPr>
          <w:p w14:paraId="2DCC871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2.01</w:t>
            </w:r>
          </w:p>
        </w:tc>
        <w:tc>
          <w:tcPr>
            <w:tcW w:w="824" w:type="dxa"/>
            <w:tcBorders>
              <w:top w:val="nil"/>
              <w:left w:val="nil"/>
              <w:bottom w:val="nil"/>
              <w:right w:val="nil"/>
            </w:tcBorders>
            <w:shd w:val="clear" w:color="auto" w:fill="auto"/>
            <w:noWrap/>
            <w:vAlign w:val="bottom"/>
            <w:hideMark/>
          </w:tcPr>
          <w:p w14:paraId="1A6863F7"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0.74</w:t>
            </w:r>
          </w:p>
        </w:tc>
        <w:tc>
          <w:tcPr>
            <w:tcW w:w="586" w:type="dxa"/>
            <w:tcBorders>
              <w:top w:val="nil"/>
              <w:left w:val="nil"/>
              <w:bottom w:val="nil"/>
              <w:right w:val="nil"/>
            </w:tcBorders>
            <w:shd w:val="clear" w:color="auto" w:fill="auto"/>
            <w:noWrap/>
            <w:vAlign w:val="bottom"/>
            <w:hideMark/>
          </w:tcPr>
          <w:p w14:paraId="31CFBAF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-0.25</w:t>
            </w:r>
          </w:p>
        </w:tc>
        <w:tc>
          <w:tcPr>
            <w:tcW w:w="824" w:type="dxa"/>
            <w:tcBorders>
              <w:top w:val="nil"/>
              <w:left w:val="nil"/>
              <w:bottom w:val="nil"/>
              <w:right w:val="single" w:sz="4" w:space="0" w:color="auto"/>
            </w:tcBorders>
            <w:shd w:val="clear" w:color="auto" w:fill="auto"/>
            <w:noWrap/>
            <w:vAlign w:val="bottom"/>
            <w:hideMark/>
          </w:tcPr>
          <w:p w14:paraId="0943A2F2"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0.79</w:t>
            </w:r>
          </w:p>
        </w:tc>
        <w:tc>
          <w:tcPr>
            <w:tcW w:w="563" w:type="dxa"/>
            <w:tcBorders>
              <w:top w:val="nil"/>
              <w:left w:val="nil"/>
              <w:bottom w:val="nil"/>
              <w:right w:val="nil"/>
            </w:tcBorders>
            <w:shd w:val="clear" w:color="auto" w:fill="auto"/>
            <w:noWrap/>
            <w:vAlign w:val="bottom"/>
            <w:hideMark/>
          </w:tcPr>
          <w:p w14:paraId="02CEC6E7" w14:textId="77777777" w:rsidR="001B2857" w:rsidRPr="001B2857" w:rsidRDefault="001B2857" w:rsidP="001B2857">
            <w:pPr>
              <w:spacing w:after="0" w:line="240" w:lineRule="auto"/>
              <w:jc w:val="center"/>
              <w:rPr>
                <w:rFonts w:eastAsia="Times New Roman"/>
                <w:sz w:val="16"/>
                <w:szCs w:val="16"/>
              </w:rPr>
            </w:pPr>
          </w:p>
        </w:tc>
        <w:tc>
          <w:tcPr>
            <w:tcW w:w="917" w:type="dxa"/>
            <w:tcBorders>
              <w:top w:val="nil"/>
              <w:left w:val="nil"/>
              <w:bottom w:val="nil"/>
              <w:right w:val="nil"/>
            </w:tcBorders>
            <w:shd w:val="clear" w:color="auto" w:fill="auto"/>
            <w:noWrap/>
            <w:vAlign w:val="bottom"/>
            <w:hideMark/>
          </w:tcPr>
          <w:p w14:paraId="51B14D1B" w14:textId="77777777" w:rsidR="001B2857" w:rsidRPr="001B2857" w:rsidRDefault="001B2857" w:rsidP="001B2857">
            <w:pPr>
              <w:spacing w:after="0" w:line="240" w:lineRule="auto"/>
              <w:jc w:val="center"/>
              <w:rPr>
                <w:rFonts w:eastAsia="Times New Roman"/>
                <w:sz w:val="16"/>
                <w:szCs w:val="16"/>
              </w:rPr>
            </w:pPr>
          </w:p>
        </w:tc>
        <w:tc>
          <w:tcPr>
            <w:tcW w:w="563" w:type="dxa"/>
            <w:tcBorders>
              <w:top w:val="nil"/>
              <w:left w:val="nil"/>
              <w:bottom w:val="nil"/>
              <w:right w:val="nil"/>
            </w:tcBorders>
            <w:shd w:val="clear" w:color="auto" w:fill="auto"/>
            <w:noWrap/>
            <w:vAlign w:val="bottom"/>
            <w:hideMark/>
          </w:tcPr>
          <w:p w14:paraId="19E7DFB4" w14:textId="77777777" w:rsidR="001B2857" w:rsidRPr="001B2857" w:rsidRDefault="001B2857" w:rsidP="001B2857">
            <w:pPr>
              <w:spacing w:after="0" w:line="240" w:lineRule="auto"/>
              <w:jc w:val="center"/>
              <w:rPr>
                <w:rFonts w:eastAsia="Times New Roman"/>
                <w:sz w:val="16"/>
                <w:szCs w:val="16"/>
              </w:rPr>
            </w:pPr>
          </w:p>
        </w:tc>
        <w:tc>
          <w:tcPr>
            <w:tcW w:w="917" w:type="dxa"/>
            <w:tcBorders>
              <w:top w:val="nil"/>
              <w:left w:val="nil"/>
              <w:bottom w:val="nil"/>
              <w:right w:val="nil"/>
            </w:tcBorders>
            <w:shd w:val="clear" w:color="auto" w:fill="auto"/>
            <w:noWrap/>
            <w:vAlign w:val="bottom"/>
            <w:hideMark/>
          </w:tcPr>
          <w:p w14:paraId="6F7DAD2B" w14:textId="77777777" w:rsidR="001B2857" w:rsidRPr="001B2857" w:rsidRDefault="001B2857" w:rsidP="001B2857">
            <w:pPr>
              <w:spacing w:after="0" w:line="240" w:lineRule="auto"/>
              <w:jc w:val="center"/>
              <w:rPr>
                <w:rFonts w:eastAsia="Times New Roman"/>
                <w:sz w:val="16"/>
                <w:szCs w:val="16"/>
              </w:rPr>
            </w:pPr>
          </w:p>
        </w:tc>
      </w:tr>
      <w:tr w:rsidR="001B2857" w:rsidRPr="001B2857" w14:paraId="64A548C1" w14:textId="77777777" w:rsidTr="001B2857">
        <w:trPr>
          <w:trHeight w:val="220"/>
        </w:trPr>
        <w:tc>
          <w:tcPr>
            <w:tcW w:w="1740" w:type="dxa"/>
            <w:tcBorders>
              <w:top w:val="nil"/>
              <w:left w:val="single" w:sz="4" w:space="0" w:color="auto"/>
              <w:bottom w:val="single" w:sz="4" w:space="0" w:color="auto"/>
              <w:right w:val="single" w:sz="4" w:space="0" w:color="auto"/>
            </w:tcBorders>
            <w:shd w:val="clear" w:color="000000" w:fill="FFFFFF"/>
            <w:noWrap/>
            <w:vAlign w:val="bottom"/>
            <w:hideMark/>
          </w:tcPr>
          <w:p w14:paraId="3515A444" w14:textId="77777777" w:rsidR="001B2857" w:rsidRPr="001B2857" w:rsidRDefault="001B2857" w:rsidP="001B2857">
            <w:pPr>
              <w:spacing w:after="0" w:line="240" w:lineRule="auto"/>
              <w:rPr>
                <w:rFonts w:eastAsia="Times New Roman"/>
                <w:color w:val="000000"/>
                <w:sz w:val="16"/>
                <w:szCs w:val="16"/>
              </w:rPr>
            </w:pPr>
            <w:r w:rsidRPr="001B2857">
              <w:rPr>
                <w:rFonts w:eastAsia="Times New Roman"/>
                <w:color w:val="000000"/>
                <w:sz w:val="16"/>
                <w:szCs w:val="16"/>
              </w:rPr>
              <w:t>b. Parsimonious model</w:t>
            </w:r>
          </w:p>
        </w:tc>
        <w:tc>
          <w:tcPr>
            <w:tcW w:w="689" w:type="dxa"/>
            <w:tcBorders>
              <w:top w:val="nil"/>
              <w:left w:val="nil"/>
              <w:bottom w:val="single" w:sz="4" w:space="0" w:color="auto"/>
              <w:right w:val="nil"/>
            </w:tcBorders>
            <w:shd w:val="clear" w:color="auto" w:fill="auto"/>
            <w:noWrap/>
            <w:vAlign w:val="bottom"/>
            <w:hideMark/>
          </w:tcPr>
          <w:p w14:paraId="1A4B936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-0.3</w:t>
            </w:r>
          </w:p>
        </w:tc>
        <w:tc>
          <w:tcPr>
            <w:tcW w:w="971" w:type="dxa"/>
            <w:tcBorders>
              <w:top w:val="nil"/>
              <w:left w:val="nil"/>
              <w:bottom w:val="single" w:sz="4" w:space="0" w:color="auto"/>
              <w:right w:val="nil"/>
            </w:tcBorders>
            <w:shd w:val="clear" w:color="auto" w:fill="auto"/>
            <w:noWrap/>
            <w:vAlign w:val="bottom"/>
            <w:hideMark/>
          </w:tcPr>
          <w:p w14:paraId="6061BF70"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0.01</w:t>
            </w:r>
          </w:p>
        </w:tc>
        <w:tc>
          <w:tcPr>
            <w:tcW w:w="623" w:type="dxa"/>
            <w:tcBorders>
              <w:top w:val="nil"/>
              <w:left w:val="single" w:sz="4" w:space="0" w:color="auto"/>
              <w:bottom w:val="single" w:sz="4" w:space="0" w:color="auto"/>
              <w:right w:val="nil"/>
            </w:tcBorders>
            <w:shd w:val="clear" w:color="auto" w:fill="auto"/>
            <w:noWrap/>
            <w:vAlign w:val="bottom"/>
            <w:hideMark/>
          </w:tcPr>
          <w:p w14:paraId="20FA054E"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77" w:type="dxa"/>
            <w:tcBorders>
              <w:top w:val="nil"/>
              <w:left w:val="nil"/>
              <w:bottom w:val="single" w:sz="4" w:space="0" w:color="auto"/>
              <w:right w:val="nil"/>
            </w:tcBorders>
            <w:shd w:val="clear" w:color="auto" w:fill="auto"/>
            <w:noWrap/>
            <w:vAlign w:val="bottom"/>
            <w:hideMark/>
          </w:tcPr>
          <w:p w14:paraId="32AA3E1B"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623" w:type="dxa"/>
            <w:tcBorders>
              <w:top w:val="nil"/>
              <w:left w:val="nil"/>
              <w:bottom w:val="single" w:sz="4" w:space="0" w:color="auto"/>
              <w:right w:val="nil"/>
            </w:tcBorders>
            <w:shd w:val="clear" w:color="auto" w:fill="auto"/>
            <w:noWrap/>
            <w:vAlign w:val="bottom"/>
            <w:hideMark/>
          </w:tcPr>
          <w:p w14:paraId="481D5133"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77" w:type="dxa"/>
            <w:tcBorders>
              <w:top w:val="nil"/>
              <w:left w:val="nil"/>
              <w:bottom w:val="single" w:sz="4" w:space="0" w:color="auto"/>
              <w:right w:val="single" w:sz="4" w:space="0" w:color="auto"/>
            </w:tcBorders>
            <w:shd w:val="clear" w:color="auto" w:fill="auto"/>
            <w:noWrap/>
            <w:vAlign w:val="bottom"/>
            <w:hideMark/>
          </w:tcPr>
          <w:p w14:paraId="27C0DEA1"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86" w:type="dxa"/>
            <w:tcBorders>
              <w:top w:val="nil"/>
              <w:left w:val="nil"/>
              <w:bottom w:val="single" w:sz="4" w:space="0" w:color="auto"/>
              <w:right w:val="nil"/>
            </w:tcBorders>
            <w:shd w:val="clear" w:color="auto" w:fill="auto"/>
            <w:noWrap/>
            <w:vAlign w:val="bottom"/>
            <w:hideMark/>
          </w:tcPr>
          <w:p w14:paraId="2D299CCF"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single" w:sz="4" w:space="0" w:color="auto"/>
              <w:right w:val="nil"/>
            </w:tcBorders>
            <w:shd w:val="clear" w:color="auto" w:fill="auto"/>
            <w:noWrap/>
            <w:vAlign w:val="bottom"/>
            <w:hideMark/>
          </w:tcPr>
          <w:p w14:paraId="30716E44"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86" w:type="dxa"/>
            <w:tcBorders>
              <w:top w:val="nil"/>
              <w:left w:val="nil"/>
              <w:bottom w:val="single" w:sz="4" w:space="0" w:color="auto"/>
              <w:right w:val="nil"/>
            </w:tcBorders>
            <w:shd w:val="clear" w:color="auto" w:fill="auto"/>
            <w:noWrap/>
            <w:vAlign w:val="bottom"/>
            <w:hideMark/>
          </w:tcPr>
          <w:p w14:paraId="0AA001F8"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824" w:type="dxa"/>
            <w:tcBorders>
              <w:top w:val="nil"/>
              <w:left w:val="nil"/>
              <w:bottom w:val="single" w:sz="4" w:space="0" w:color="auto"/>
              <w:right w:val="single" w:sz="4" w:space="0" w:color="auto"/>
            </w:tcBorders>
            <w:shd w:val="clear" w:color="auto" w:fill="auto"/>
            <w:noWrap/>
            <w:vAlign w:val="bottom"/>
            <w:hideMark/>
          </w:tcPr>
          <w:p w14:paraId="377843B6" w14:textId="77777777" w:rsidR="001B2857" w:rsidRPr="001B2857" w:rsidRDefault="001B2857" w:rsidP="001B2857">
            <w:pPr>
              <w:spacing w:after="0" w:line="240" w:lineRule="auto"/>
              <w:jc w:val="center"/>
              <w:rPr>
                <w:rFonts w:eastAsia="Times New Roman"/>
                <w:sz w:val="16"/>
                <w:szCs w:val="16"/>
              </w:rPr>
            </w:pPr>
            <w:r w:rsidRPr="001B2857">
              <w:rPr>
                <w:rFonts w:eastAsia="Times New Roman"/>
                <w:sz w:val="16"/>
                <w:szCs w:val="16"/>
              </w:rPr>
              <w:t> </w:t>
            </w:r>
          </w:p>
        </w:tc>
        <w:tc>
          <w:tcPr>
            <w:tcW w:w="563" w:type="dxa"/>
            <w:tcBorders>
              <w:top w:val="nil"/>
              <w:left w:val="nil"/>
              <w:bottom w:val="nil"/>
              <w:right w:val="nil"/>
            </w:tcBorders>
            <w:shd w:val="clear" w:color="auto" w:fill="auto"/>
            <w:noWrap/>
            <w:vAlign w:val="bottom"/>
            <w:hideMark/>
          </w:tcPr>
          <w:p w14:paraId="1BCA74F0" w14:textId="77777777" w:rsidR="001B2857" w:rsidRPr="001B2857" w:rsidRDefault="001B2857" w:rsidP="001B2857">
            <w:pPr>
              <w:spacing w:after="0" w:line="240" w:lineRule="auto"/>
              <w:jc w:val="center"/>
              <w:rPr>
                <w:rFonts w:eastAsia="Times New Roman"/>
                <w:sz w:val="16"/>
                <w:szCs w:val="16"/>
              </w:rPr>
            </w:pPr>
          </w:p>
        </w:tc>
        <w:tc>
          <w:tcPr>
            <w:tcW w:w="917" w:type="dxa"/>
            <w:tcBorders>
              <w:top w:val="nil"/>
              <w:left w:val="nil"/>
              <w:bottom w:val="nil"/>
              <w:right w:val="nil"/>
            </w:tcBorders>
            <w:shd w:val="clear" w:color="auto" w:fill="auto"/>
            <w:noWrap/>
            <w:vAlign w:val="bottom"/>
            <w:hideMark/>
          </w:tcPr>
          <w:p w14:paraId="40F4CA2B" w14:textId="77777777" w:rsidR="001B2857" w:rsidRPr="001B2857" w:rsidRDefault="001B2857" w:rsidP="001B2857">
            <w:pPr>
              <w:spacing w:after="0" w:line="240" w:lineRule="auto"/>
              <w:jc w:val="center"/>
              <w:rPr>
                <w:rFonts w:eastAsia="Times New Roman"/>
                <w:sz w:val="16"/>
                <w:szCs w:val="16"/>
              </w:rPr>
            </w:pPr>
          </w:p>
        </w:tc>
        <w:tc>
          <w:tcPr>
            <w:tcW w:w="563" w:type="dxa"/>
            <w:tcBorders>
              <w:top w:val="nil"/>
              <w:left w:val="nil"/>
              <w:bottom w:val="nil"/>
              <w:right w:val="nil"/>
            </w:tcBorders>
            <w:shd w:val="clear" w:color="auto" w:fill="auto"/>
            <w:noWrap/>
            <w:vAlign w:val="bottom"/>
            <w:hideMark/>
          </w:tcPr>
          <w:p w14:paraId="09FCA931" w14:textId="77777777" w:rsidR="001B2857" w:rsidRPr="001B2857" w:rsidRDefault="001B2857" w:rsidP="001B2857">
            <w:pPr>
              <w:spacing w:after="0" w:line="240" w:lineRule="auto"/>
              <w:jc w:val="center"/>
              <w:rPr>
                <w:rFonts w:eastAsia="Times New Roman"/>
                <w:sz w:val="16"/>
                <w:szCs w:val="16"/>
              </w:rPr>
            </w:pPr>
          </w:p>
        </w:tc>
        <w:tc>
          <w:tcPr>
            <w:tcW w:w="917" w:type="dxa"/>
            <w:tcBorders>
              <w:top w:val="nil"/>
              <w:left w:val="nil"/>
              <w:bottom w:val="nil"/>
              <w:right w:val="nil"/>
            </w:tcBorders>
            <w:shd w:val="clear" w:color="auto" w:fill="auto"/>
            <w:noWrap/>
            <w:vAlign w:val="bottom"/>
            <w:hideMark/>
          </w:tcPr>
          <w:p w14:paraId="3CF380E9" w14:textId="77777777" w:rsidR="001B2857" w:rsidRPr="001B2857" w:rsidRDefault="001B2857" w:rsidP="001B2857">
            <w:pPr>
              <w:spacing w:after="0" w:line="240" w:lineRule="auto"/>
              <w:jc w:val="center"/>
              <w:rPr>
                <w:rFonts w:eastAsia="Times New Roman"/>
                <w:sz w:val="16"/>
                <w:szCs w:val="16"/>
              </w:rPr>
            </w:pPr>
          </w:p>
        </w:tc>
      </w:tr>
    </w:tbl>
    <w:p w14:paraId="33E4F359" w14:textId="77777777" w:rsidR="00C13186" w:rsidRPr="00C13186" w:rsidRDefault="00C13186" w:rsidP="00C43F88"/>
    <w:p w14:paraId="71587200" w14:textId="77777777" w:rsidR="00C13186" w:rsidRDefault="00C13186" w:rsidP="00E86771">
      <w:pPr>
        <w:pStyle w:val="Heading2"/>
        <w:spacing w:line="360" w:lineRule="auto"/>
        <w:rPr>
          <w:rFonts w:ascii="Calibri" w:hAnsi="Calibri"/>
          <w:lang w:val="en-GB"/>
        </w:rPr>
      </w:pPr>
    </w:p>
    <w:p w14:paraId="691A4D94" w14:textId="77777777" w:rsidR="00700F87" w:rsidRDefault="00700F87" w:rsidP="00E86771">
      <w:pPr>
        <w:pStyle w:val="Heading2"/>
        <w:spacing w:line="360" w:lineRule="auto"/>
        <w:rPr>
          <w:rFonts w:ascii="Calibri" w:hAnsi="Calibri"/>
          <w:lang w:val="en-GB"/>
        </w:rPr>
        <w:sectPr w:rsidR="00700F87" w:rsidSect="00B9202B">
          <w:pgSz w:w="16840" w:h="11900" w:orient="landscape"/>
          <w:pgMar w:top="1440" w:right="1440" w:bottom="1440" w:left="1440" w:header="708" w:footer="708" w:gutter="0"/>
          <w:cols w:space="708"/>
          <w:docGrid w:linePitch="360"/>
        </w:sectPr>
      </w:pPr>
    </w:p>
    <w:p w14:paraId="311F100B" w14:textId="25D29CBB" w:rsidR="00CF2E21" w:rsidRPr="00591BFC" w:rsidRDefault="00CF2E21" w:rsidP="00E86771">
      <w:pPr>
        <w:pStyle w:val="Heading2"/>
        <w:spacing w:line="360" w:lineRule="auto"/>
        <w:rPr>
          <w:rFonts w:ascii="Calibri" w:hAnsi="Calibri"/>
          <w:lang w:val="en-GB"/>
        </w:rPr>
      </w:pPr>
      <w:bookmarkStart w:id="233" w:name="_Toc308300765"/>
      <w:bookmarkStart w:id="234" w:name="_Toc311366572"/>
      <w:r w:rsidRPr="00591BFC">
        <w:rPr>
          <w:rFonts w:ascii="Calibri" w:hAnsi="Calibri"/>
          <w:lang w:val="en-GB"/>
        </w:rPr>
        <w:lastRenderedPageBreak/>
        <w:t>Discussion</w:t>
      </w:r>
      <w:bookmarkEnd w:id="233"/>
      <w:bookmarkEnd w:id="234"/>
    </w:p>
    <w:p w14:paraId="0FB73158" w14:textId="77777777" w:rsidR="00CF2E21" w:rsidRPr="00591BFC" w:rsidRDefault="00CF2E21" w:rsidP="00E86771">
      <w:pPr>
        <w:pStyle w:val="Heading3"/>
        <w:spacing w:line="360" w:lineRule="auto"/>
        <w:rPr>
          <w:rFonts w:ascii="Calibri" w:hAnsi="Calibri"/>
          <w:lang w:val="en-GB"/>
        </w:rPr>
      </w:pPr>
      <w:bookmarkStart w:id="235" w:name="_Toc308300766"/>
      <w:bookmarkStart w:id="236" w:name="_Toc311366573"/>
      <w:r w:rsidRPr="00591BFC">
        <w:rPr>
          <w:rFonts w:ascii="Calibri" w:hAnsi="Calibri"/>
          <w:lang w:val="en-GB"/>
        </w:rPr>
        <w:t>Main findings</w:t>
      </w:r>
      <w:bookmarkEnd w:id="235"/>
      <w:bookmarkEnd w:id="236"/>
    </w:p>
    <w:p w14:paraId="01ECAB0E" w14:textId="6A65523A" w:rsidR="00CF2E21" w:rsidRPr="00591BFC" w:rsidRDefault="00CF2E21" w:rsidP="00E86771">
      <w:pPr>
        <w:spacing w:line="360" w:lineRule="auto"/>
      </w:pPr>
      <w:r w:rsidRPr="00591BFC">
        <w:t>Within this study we observed an overall decline in mortality after primary hip fracture across the region as a whole from financial years 2003-2011. Despite this increased survivorship following primary hip fracture, rates of second hip fracture remained relatively stable across the region. It was demonstrated from pooling estimates by intervention type that the introduction and/or expansion of orthogeriatric and FLS models of care was significantly associated with reduced post-hip fracture mortality. An alternative way of expressing this beneficial impact is using the number needed to treat</w:t>
      </w:r>
      <w:hyperlink w:anchor="_ENREF_105" w:tooltip="Altman, 1999 #1165" w:history="1">
        <w:r w:rsidR="00B24FEE">
          <w:fldChar w:fldCharType="begin"/>
        </w:r>
        <w:r w:rsidR="00B24FEE">
          <w:instrText xml:space="preserve"> ADDIN EN.CITE &lt;EndNote&gt;&lt;Cite&gt;&lt;Author&gt;Altman&lt;/Author&gt;&lt;Year&gt;1999&lt;/Year&gt;&lt;RecNum&gt;1165&lt;/RecNum&gt;&lt;DisplayText&gt;&lt;style face="superscript"&gt;105&lt;/style&gt;&lt;/DisplayText&gt;&lt;record&gt;&lt;rec-number&gt;1165&lt;/rec-number&gt;&lt;foreign-keys&gt;&lt;key app="EN" db-id="sxpszd2ti9dx04ewefrvfp5bpf5faazszr9p" timestamp="1435666991"&gt;1165&lt;/key&gt;&lt;/foreign-keys&gt;&lt;ref-type name="Journal Article"&gt;17&lt;/ref-type&gt;&lt;contributors&gt;&lt;authors&gt;&lt;author&gt;Altman, D. G.&lt;/author&gt;&lt;author&gt;Andersen, P. K.&lt;/author&gt;&lt;/authors&gt;&lt;/contributors&gt;&lt;auth-address&gt;Imperial Cancer Research Group Medical Statistics Group, Centre for Statistics in Medicine, Institute of Health Sciences, Headington, Oxford OX3 7LF. d.altman@icrf.icnet.uk&lt;/auth-address&gt;&lt;titles&gt;&lt;title&gt;Calculating the number needed to treat for trials where the outcome is time to an event&lt;/title&gt;&lt;secondary-title&gt;BMJ&lt;/secondary-title&gt;&lt;/titles&gt;&lt;periodical&gt;&lt;full-title&gt;BMJ&lt;/full-title&gt;&lt;/periodical&gt;&lt;pages&gt;1492-5&lt;/pages&gt;&lt;volume&gt;319&lt;/volume&gt;&lt;number&gt;7223&lt;/number&gt;&lt;edition&gt;1999/12/03&lt;/edition&gt;&lt;keywords&gt;&lt;keyword&gt;*Clinical Trials as Topic&lt;/keyword&gt;&lt;keyword&gt;Data Collection&lt;/keyword&gt;&lt;keyword&gt;Prognosis&lt;/keyword&gt;&lt;keyword&gt;Proportional Hazards Models&lt;/keyword&gt;&lt;keyword&gt;*Sample Size&lt;/keyword&gt;&lt;keyword&gt;Survival Analysis&lt;/keyword&gt;&lt;/keywords&gt;&lt;dates&gt;&lt;year&gt;1999&lt;/year&gt;&lt;pub-dates&gt;&lt;date&gt;Dec 4&lt;/date&gt;&lt;/pub-dates&gt;&lt;/dates&gt;&lt;isbn&gt;0959-8138 (Print)&amp;#xD;0959-535X (Linking)&lt;/isbn&gt;&lt;accession-num&gt;10582940&lt;/accession-num&gt;&lt;urls&gt;&lt;related-urls&gt;&lt;url&gt;http://www.ncbi.nlm.nih.gov/pubmed/10582940&lt;/url&gt;&lt;/related-urls&gt;&lt;/urls&gt;&lt;custom2&gt;1117211&lt;/custom2&gt;&lt;language&gt;eng&lt;/language&gt;&lt;/record&gt;&lt;/Cite&gt;&lt;/EndNote&gt;</w:instrText>
        </w:r>
        <w:r w:rsidR="00B24FEE">
          <w:fldChar w:fldCharType="separate"/>
        </w:r>
        <w:r w:rsidR="00B24FEE" w:rsidRPr="00B24FEE">
          <w:rPr>
            <w:noProof/>
            <w:vertAlign w:val="superscript"/>
          </w:rPr>
          <w:t>105</w:t>
        </w:r>
        <w:r w:rsidR="00B24FEE">
          <w:fldChar w:fldCharType="end"/>
        </w:r>
      </w:hyperlink>
      <w:r w:rsidR="00A35954" w:rsidRPr="00591BFC">
        <w:t xml:space="preserve">, </w:t>
      </w:r>
      <w:r w:rsidRPr="00591BFC">
        <w:t xml:space="preserve">which is the number of hip fracture patients needing to be treated following an intervention in order to prevent one excess death compared to service delivery as it was before the intervention. Assuming a pre-intervention survival of 90% at 30-days and using the pooled estimates of intervention impact, the number of patients needed to treat to avoid 1 excess death at 30-days after a service model intervention is 12 and 17 for orthogeriatric and FLS type interventions respectively. However, </w:t>
      </w:r>
      <w:r w:rsidR="00A35954" w:rsidRPr="00591BFC">
        <w:t>neither orthogeriatric nor</w:t>
      </w:r>
      <w:r w:rsidRPr="00591BFC">
        <w:t xml:space="preserve"> FLS interventions here evaluated, either individually or pooled by type had any significant impact on time to second hip fracture. </w:t>
      </w:r>
    </w:p>
    <w:p w14:paraId="6F6AE065" w14:textId="77777777" w:rsidR="00CF2E21" w:rsidRPr="00591BFC" w:rsidRDefault="00CF2E21" w:rsidP="00E86771">
      <w:pPr>
        <w:spacing w:line="360" w:lineRule="auto"/>
        <w:rPr>
          <w:i/>
        </w:rPr>
      </w:pPr>
    </w:p>
    <w:p w14:paraId="722F7841" w14:textId="77777777" w:rsidR="00CF2E21" w:rsidRPr="00591BFC" w:rsidRDefault="00CF2E21" w:rsidP="00E86771">
      <w:pPr>
        <w:pStyle w:val="Heading3"/>
        <w:spacing w:line="360" w:lineRule="auto"/>
        <w:rPr>
          <w:rFonts w:ascii="Calibri" w:hAnsi="Calibri"/>
          <w:lang w:val="en-GB"/>
        </w:rPr>
      </w:pPr>
      <w:bookmarkStart w:id="237" w:name="_Toc308300767"/>
      <w:bookmarkStart w:id="238" w:name="_Toc311366574"/>
      <w:r w:rsidRPr="00591BFC">
        <w:rPr>
          <w:rFonts w:ascii="Calibri" w:hAnsi="Calibri"/>
          <w:lang w:val="en-GB"/>
        </w:rPr>
        <w:t>Mortality</w:t>
      </w:r>
      <w:bookmarkEnd w:id="237"/>
      <w:bookmarkEnd w:id="238"/>
    </w:p>
    <w:p w14:paraId="2225463C" w14:textId="19B4D998" w:rsidR="00CF2E21" w:rsidRPr="00591BFC" w:rsidRDefault="00CF2E21" w:rsidP="00E86771">
      <w:pPr>
        <w:spacing w:line="360" w:lineRule="auto"/>
      </w:pPr>
      <w:r w:rsidRPr="00591BFC">
        <w:t>We found the average annual proportion of primary hip fracture patients dying within 30-days and 1-year to be 9.5% and 29.8% respectively, which is consistent to previous reports in a similar population</w:t>
      </w:r>
      <w:r w:rsidR="00B24FEE">
        <w:fldChar w:fldCharType="begin">
          <w:fldData xml:space="preserve">PEVuZE5vdGU+PENpdGU+PEF1dGhvcj5Sb2NoZTwvQXV0aG9yPjxZZWFyPjIwMDU8L1llYXI+PFJl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</w:fldData>
        </w:fldChar>
      </w:r>
      <w:r w:rsidR="00B24FEE">
        <w:instrText xml:space="preserve"> ADDIN EN.CITE </w:instrText>
      </w:r>
      <w:r w:rsidR="00B24FEE">
        <w:fldChar w:fldCharType="begin">
          <w:fldData xml:space="preserve">PEVuZE5vdGU+PENpdGU+PEF1dGhvcj5Sb2NoZTwvQXV0aG9yPjxZZWFyPjIwMDU8L1llYXI+PFJl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</w:fldData>
        </w:fldChar>
      </w:r>
      <w:r w:rsidR="00B24FEE">
        <w:instrText xml:space="preserve"> ADDIN EN.CITE.DATA </w:instrText>
      </w:r>
      <w:r w:rsidR="00B24FEE">
        <w:fldChar w:fldCharType="end"/>
      </w:r>
      <w:r w:rsidR="00B24FEE">
        <w:fldChar w:fldCharType="separate"/>
      </w:r>
      <w:hyperlink w:anchor="_ENREF_106" w:tooltip="Roche, 2005 #1174" w:history="1">
        <w:r w:rsidR="00B24FEE" w:rsidRPr="00B24FEE">
          <w:rPr>
            <w:noProof/>
            <w:vertAlign w:val="superscript"/>
          </w:rPr>
          <w:t>106</w:t>
        </w:r>
      </w:hyperlink>
      <w:r w:rsidR="00B24FEE" w:rsidRPr="00B24FEE">
        <w:rPr>
          <w:noProof/>
          <w:vertAlign w:val="superscript"/>
        </w:rPr>
        <w:t xml:space="preserve"> </w:t>
      </w:r>
      <w:hyperlink w:anchor="_ENREF_107" w:tooltip="Roberts, 2003 #1175" w:history="1">
        <w:r w:rsidR="00B24FEE" w:rsidRPr="00B24FEE">
          <w:rPr>
            <w:noProof/>
            <w:vertAlign w:val="superscript"/>
          </w:rPr>
          <w:t>107</w:t>
        </w:r>
      </w:hyperlink>
      <w:r w:rsidR="00B24FEE">
        <w:fldChar w:fldCharType="end"/>
      </w:r>
      <w:r w:rsidRPr="00591BFC">
        <w:t>. The overall downward trend in mortality after hip fracture here identified between 2003-2011 is also consistent with previous findings</w:t>
      </w:r>
      <w:hyperlink w:anchor="_ENREF_108" w:tooltip="Wu, 2011 #1181" w:history="1">
        <w:r w:rsidR="00B24FEE">
          <w:fldChar w:fldCharType="begin">
            <w:fldData xml:space="preserve">PEVuZE5vdGU+PENpdGU+PEF1dGhvcj5XdTwvQXV0aG9yPjxZZWFyPjIwMTE8L1llYXI+PFJlY051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</w:fldData>
          </w:fldChar>
        </w:r>
        <w:r w:rsidR="00B24FEE">
          <w:instrText xml:space="preserve"> ADDIN EN.CITE </w:instrText>
        </w:r>
        <w:r w:rsidR="00B24FEE">
          <w:fldChar w:fldCharType="begin">
            <w:fldData xml:space="preserve">PEVuZE5vdGU+PENpdGU+PEF1dGhvcj5XdTwvQXV0aG9yPjxZZWFyPjIwMTE8L1llYXI+PFJlY051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</w:fldData>
          </w:fldChar>
        </w:r>
        <w:r w:rsidR="00B24FEE">
          <w:instrText xml:space="preserve"> ADDIN EN.CITE.DATA </w:instrText>
        </w:r>
        <w:r w:rsidR="00B24FEE">
          <w:fldChar w:fldCharType="end"/>
        </w:r>
        <w:r w:rsidR="00B24FEE">
          <w:fldChar w:fldCharType="separate"/>
        </w:r>
        <w:r w:rsidR="00B24FEE" w:rsidRPr="00B24FEE">
          <w:rPr>
            <w:noProof/>
            <w:vertAlign w:val="superscript"/>
          </w:rPr>
          <w:t>108</w:t>
        </w:r>
        <w:r w:rsidR="00B24FEE">
          <w:fldChar w:fldCharType="end"/>
        </w:r>
      </w:hyperlink>
      <w:r w:rsidR="00794852" w:rsidRPr="00591BFC">
        <w:t>.</w:t>
      </w:r>
    </w:p>
    <w:p w14:paraId="0B041F93" w14:textId="77777777" w:rsidR="00CF2E21" w:rsidRPr="00591BFC" w:rsidRDefault="00CF2E21" w:rsidP="00E86771">
      <w:pPr>
        <w:spacing w:line="360" w:lineRule="auto"/>
      </w:pPr>
    </w:p>
    <w:p w14:paraId="383C1196" w14:textId="0F942131" w:rsidR="00CF2E21" w:rsidRPr="00591BFC" w:rsidRDefault="00CF2E21" w:rsidP="00E86771">
      <w:pPr>
        <w:spacing w:line="360" w:lineRule="auto"/>
      </w:pPr>
      <w:r w:rsidRPr="00591BFC">
        <w:t xml:space="preserve">The beneficial impact on mortality following the introduction and/or expansion of an orthogeriatric model of care, as found </w:t>
      </w:r>
      <w:r w:rsidR="00794852" w:rsidRPr="00591BFC">
        <w:t>here,</w:t>
      </w:r>
      <w:r w:rsidRPr="00591BFC">
        <w:t xml:space="preserve"> is a plausible finding given our knowledge of specific details of changes to models of care identified from the pre-analysis service evaluation. For example, it was reported in hospital 8 that the appointment of an orthogeriatric clinical lead for hip fracture care meant 90% of patients were seen pre-operatively for optimisation for surgery. Likewise the service evaluation identified that the appointment of a second orthogeriatrician in hospital 2 was reported to have led to hip fracture patients being taken to theatre quicker and in better condition. These are likely to be important factors given previous evidence that trauma related complications play a key role in post-hip fracture mortality</w:t>
      </w:r>
      <w:hyperlink w:anchor="_ENREF_109" w:tooltip="Vestergaard, 2007 #1187" w:history="1">
        <w:r w:rsidR="00B24FEE">
          <w:fldChar w:fldCharType="begin"/>
        </w:r>
        <w:r w:rsidR="00B24FEE">
          <w:instrText xml:space="preserve"> ADDIN EN.CITE &lt;EndNote&gt;&lt;Cite&gt;&lt;Author&gt;Vestergaard&lt;/Author&gt;&lt;Year&gt;2007&lt;/Year&gt;&lt;RecNum&gt;1187&lt;/RecNum&gt;&lt;DisplayText&gt;&lt;style face="superscript"&gt;109&lt;/style&gt;&lt;/DisplayText&gt;&lt;record&gt;&lt;rec-number&gt;1187&lt;/rec-number&gt;&lt;foreign-keys&gt;&lt;key app="EN" db-id="sxpszd2ti9dx04ewefrvfp5bpf5faazszr9p" timestamp="1435667176"&gt;1187&lt;/key&gt;&lt;/foreign-keys&gt;&lt;ref-type name="Journal Article"&gt;17&lt;/ref-type&gt;&lt;contributors&gt;&lt;authors&gt;&lt;author&gt;Vestergaard, P.&lt;/author&gt;&lt;author&gt;Rejnmark, L.&lt;/author&gt;&lt;author&gt;Mosekilde, L.&lt;/author&gt;&lt;/authors&gt;&lt;/contributors&gt;&lt;auth-address&gt;Department of Endocrinology and Metabolism C, Aarhus Amtssygehus, Aarhus University Hospital, Aarhus, Denmark. p-vest@post4.tele.dk&lt;/auth-address&gt;&lt;titles&gt;&lt;title&gt;Increased mortality in patients with a hip fracture-effect of pre-morbid conditions and post-fracture complications&lt;/title&gt;&lt;secondary-title&gt;Osteoporos Int&lt;/secondary-title&gt;&lt;/titles&gt;&lt;periodical&gt;&lt;full-title&gt;Osteoporos Int&lt;/full-title&gt;&lt;/periodical&gt;&lt;pages&gt;1583-93&lt;/pages&gt;&lt;volume&gt;18&lt;/volume&gt;&lt;number&gt;12&lt;/number&gt;&lt;edition&gt;2007/06/15&lt;/edition&gt;&lt;keywords&gt;&lt;keyword&gt;Age Distribution&lt;/keyword&gt;&lt;keyword&gt;Aged&lt;/keyword&gt;&lt;keyword&gt;Aged, 80 and over&lt;/keyword&gt;&lt;keyword&gt;Denmark/epidemiology&lt;/keyword&gt;&lt;keyword&gt;Epidemiologic Methods&lt;/keyword&gt;&lt;keyword&gt;Female&lt;/keyword&gt;&lt;keyword&gt;Hip Fractures/complications/*mortality&lt;/keyword&gt;&lt;keyword&gt;Humans&lt;/keyword&gt;&lt;keyword&gt;Male&lt;/keyword&gt;&lt;keyword&gt;Middle Aged&lt;/keyword&gt;&lt;keyword&gt;Socioeconomic Factors&lt;/keyword&gt;&lt;/keywords&gt;&lt;dates&gt;&lt;year&gt;2007&lt;/year&gt;&lt;pub-dates&gt;&lt;date&gt;Dec&lt;/date&gt;&lt;/pub-dates&gt;&lt;/dates&gt;&lt;isbn&gt;0937-941X (Print)&amp;#xD;0937-941X (Linking)&lt;/isbn&gt;&lt;accession-num&gt;17566814&lt;/accession-num&gt;&lt;urls&gt;&lt;related-urls&gt;&lt;url&gt;http://www.ncbi.nlm.nih.gov/pubmed/17566814&lt;/url&gt;&lt;/related-urls&gt;&lt;/urls&gt;&lt;electronic-resource-num&gt;10.1007/s00198-007-0403-3&lt;/electronic-resource-num&gt;&lt;language&gt;eng&lt;/language&gt;&lt;/record&gt;&lt;/Cite&gt;&lt;/EndNote&gt;</w:instrText>
        </w:r>
        <w:r w:rsidR="00B24FEE">
          <w:fldChar w:fldCharType="separate"/>
        </w:r>
        <w:r w:rsidR="00B24FEE" w:rsidRPr="00B24FEE">
          <w:rPr>
            <w:noProof/>
            <w:vertAlign w:val="superscript"/>
          </w:rPr>
          <w:t>109</w:t>
        </w:r>
        <w:r w:rsidR="00B24FEE">
          <w:fldChar w:fldCharType="end"/>
        </w:r>
      </w:hyperlink>
      <w:r w:rsidRPr="00591BFC">
        <w:t>, and that earlier surgery is associated with lower risk of death</w:t>
      </w:r>
      <w:hyperlink w:anchor="_ENREF_110" w:tooltip="Simunovic, 2010 #1188" w:history="1">
        <w:r w:rsidR="00B24FEE">
          <w:fldChar w:fldCharType="begin">
            <w:fldData xml:space="preserve">PEVuZE5vdGU+PENpdGU+PEF1dGhvcj5TaW11bm92aWM8L0F1dGhvcj48WWVhcj4yMDEwPC9ZZWFy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</w:fldData>
          </w:fldChar>
        </w:r>
        <w:r w:rsidR="00B24FEE">
          <w:instrText xml:space="preserve"> ADDIN EN.CITE </w:instrText>
        </w:r>
        <w:r w:rsidR="00B24FEE">
          <w:fldChar w:fldCharType="begin">
            <w:fldData xml:space="preserve">PEVuZE5vdGU+PENpdGU+PEF1dGhvcj5TaW11bm92aWM8L0F1dGhvcj48WWVhcj4yMDEwPC9ZZWFy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</w:fldData>
          </w:fldChar>
        </w:r>
        <w:r w:rsidR="00B24FEE">
          <w:instrText xml:space="preserve"> ADDIN EN.CITE.DATA </w:instrText>
        </w:r>
        <w:r w:rsidR="00B24FEE">
          <w:fldChar w:fldCharType="end"/>
        </w:r>
        <w:r w:rsidR="00B24FEE">
          <w:fldChar w:fldCharType="separate"/>
        </w:r>
        <w:r w:rsidR="00B24FEE" w:rsidRPr="00B24FEE">
          <w:rPr>
            <w:noProof/>
            <w:vertAlign w:val="superscript"/>
          </w:rPr>
          <w:t>110</w:t>
        </w:r>
        <w:r w:rsidR="00B24FEE">
          <w:fldChar w:fldCharType="end"/>
        </w:r>
      </w:hyperlink>
      <w:r w:rsidR="00794852" w:rsidRPr="00591BFC">
        <w:t xml:space="preserve">. </w:t>
      </w:r>
      <w:r w:rsidRPr="00591BFC">
        <w:t xml:space="preserve">A recent study similarly reported that hospitals with orthogeriatric services were found to have significantly </w:t>
      </w:r>
      <w:r w:rsidRPr="00591BFC">
        <w:lastRenderedPageBreak/>
        <w:t>lower mortality after hip fracture compared to hospitals without such services</w:t>
      </w:r>
      <w:hyperlink w:anchor="_ENREF_91" w:tooltip="Zeltzer, 2014 #1147" w:history="1">
        <w:r w:rsidR="00B24FEE">
          <w:fldChar w:fldCharType="begin">
            <w:fldData xml:space="preserve">PEVuZE5vdGU+PENpdGU+PEF1dGhvcj5aZWx0emVyPC9BdXRob3I+PFllYXI+MjAxNDwvWWVhcj48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</w:fldData>
          </w:fldChar>
        </w:r>
        <w:r w:rsidR="00B24FEE">
          <w:instrText xml:space="preserve"> ADDIN EN.CITE </w:instrText>
        </w:r>
        <w:r w:rsidR="00B24FEE">
          <w:fldChar w:fldCharType="begin">
            <w:fldData xml:space="preserve">PEVuZE5vdGU+PENpdGU+PEF1dGhvcj5aZWx0emVyPC9BdXRob3I+PFllYXI+MjAxNDwvWWVhcj48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</w:fldData>
          </w:fldChar>
        </w:r>
        <w:r w:rsidR="00B24FEE">
          <w:instrText xml:space="preserve"> ADDIN EN.CITE.DATA </w:instrText>
        </w:r>
        <w:r w:rsidR="00B24FEE">
          <w:fldChar w:fldCharType="end"/>
        </w:r>
        <w:r w:rsidR="00B24FEE">
          <w:fldChar w:fldCharType="separate"/>
        </w:r>
        <w:r w:rsidR="00B24FEE" w:rsidRPr="00B24FEE">
          <w:rPr>
            <w:noProof/>
            <w:vertAlign w:val="superscript"/>
          </w:rPr>
          <w:t>91</w:t>
        </w:r>
        <w:r w:rsidR="00B24FEE">
          <w:fldChar w:fldCharType="end"/>
        </w:r>
      </w:hyperlink>
      <w:r w:rsidRPr="00591BFC">
        <w:t>, and findings from randomised controlled trials</w:t>
      </w:r>
      <w:r w:rsidR="00314B75">
        <w:t xml:space="preserve"> (RCTs)</w:t>
      </w:r>
      <w:r w:rsidRPr="00591BFC">
        <w:t xml:space="preserve"> also demonstrate the benefits of geriatric hip fracture care on delirium</w:t>
      </w:r>
      <w:hyperlink w:anchor="_ENREF_111" w:tooltip="Marcantonio, 2001 #1189" w:history="1">
        <w:r w:rsidR="00B24FEE">
          <w:fldChar w:fldCharType="begin">
            <w:fldData xml:space="preserve">PEVuZE5vdGU+PENpdGU+PEF1dGhvcj5NYXJjYW50b25pbzwvQXV0aG9yPjxZZWFyPjIwMDE8L1ll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=
</w:fldData>
          </w:fldChar>
        </w:r>
        <w:r w:rsidR="00B24FEE">
          <w:instrText xml:space="preserve"> ADDIN EN.CITE </w:instrText>
        </w:r>
        <w:r w:rsidR="00B24FEE">
          <w:fldChar w:fldCharType="begin">
            <w:fldData xml:space="preserve">PEVuZE5vdGU+PENpdGU+PEF1dGhvcj5NYXJjYW50b25pbzwvQXV0aG9yPjxZZWFyPjIwMDE8L1ll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=
</w:fldData>
          </w:fldChar>
        </w:r>
        <w:r w:rsidR="00B24FEE">
          <w:instrText xml:space="preserve"> ADDIN EN.CITE.DATA </w:instrText>
        </w:r>
        <w:r w:rsidR="00B24FEE">
          <w:fldChar w:fldCharType="end"/>
        </w:r>
        <w:r w:rsidR="00B24FEE">
          <w:fldChar w:fldCharType="separate"/>
        </w:r>
        <w:r w:rsidR="00B24FEE" w:rsidRPr="00B24FEE">
          <w:rPr>
            <w:noProof/>
            <w:vertAlign w:val="superscript"/>
          </w:rPr>
          <w:t>111</w:t>
        </w:r>
        <w:r w:rsidR="00B24FEE">
          <w:fldChar w:fldCharType="end"/>
        </w:r>
      </w:hyperlink>
      <w:r w:rsidRPr="00591BFC">
        <w:t xml:space="preserve"> and mortality</w:t>
      </w:r>
      <w:hyperlink w:anchor="_ENREF_112" w:tooltip="Vidan, 2005 #1190" w:history="1">
        <w:r w:rsidR="00B24FEE">
          <w:fldChar w:fldCharType="begin"/>
        </w:r>
        <w:r w:rsidR="00B24FEE">
          <w:instrText xml:space="preserve"> ADDIN EN.CITE &lt;EndNote&gt;&lt;Cite&gt;&lt;Author&gt;Vidan&lt;/Author&gt;&lt;Year&gt;2005&lt;/Year&gt;&lt;RecNum&gt;1190&lt;/RecNum&gt;&lt;DisplayText&gt;&lt;style face="superscript"&gt;112&lt;/style&gt;&lt;/DisplayText&gt;&lt;record&gt;&lt;rec-number&gt;1190&lt;/rec-number&gt;&lt;foreign-keys&gt;&lt;key app="EN" db-id="sxpszd2ti9dx04ewefrvfp5bpf5faazszr9p" timestamp="1435667377"&gt;1190&lt;/key&gt;&lt;/foreign-keys&gt;&lt;ref-type name="Journal Article"&gt;17&lt;/ref-type&gt;&lt;contributors&gt;&lt;authors&gt;&lt;author&gt;Vidan, M.&lt;/author&gt;&lt;author&gt;Serra, J. A.&lt;/author&gt;&lt;author&gt;Moreno, C.&lt;/author&gt;&lt;author&gt;Riquelme, G.&lt;/author&gt;&lt;author&gt;Ortiz, J.&lt;/author&gt;&lt;/authors&gt;&lt;/contributors&gt;&lt;auth-address&gt;Department of Geriatric Medicine, Hospital General Universitario Gregorio Maranon, Madrid, Spain. mvidan.hgugm@salud.madrid.org&lt;/auth-address&gt;&lt;titles&gt;&lt;title&gt;Efficacy of a comprehensive geriatric intervention in older patients hospitalized for hip fracture: a randomized, controlled trial&lt;/title&gt;&lt;secondary-title&gt;J Am Geriatr Soc&lt;/secondary-title&gt;&lt;/titles&gt;&lt;periodical&gt;&lt;full-title&gt;J Am Geriatr Soc&lt;/full-title&gt;&lt;/periodical&gt;&lt;pages&gt;1476-82&lt;/pages&gt;&lt;volume&gt;53&lt;/volume&gt;&lt;number&gt;9&lt;/number&gt;&lt;edition&gt;2005/09/03&lt;/edition&gt;&lt;keywords&gt;&lt;keyword&gt;Aged&lt;/keyword&gt;&lt;keyword&gt;Female&lt;/keyword&gt;&lt;keyword&gt;*Health Services for the Aged&lt;/keyword&gt;&lt;keyword&gt;Hip Fractures/complications/mortality/rehabilitation/*therapy&lt;/keyword&gt;&lt;keyword&gt;Hospitalization&lt;/keyword&gt;&lt;keyword&gt;Humans&lt;/keyword&gt;&lt;keyword&gt;Length of Stay&lt;/keyword&gt;&lt;keyword&gt;Male&lt;/keyword&gt;&lt;keyword&gt;*Patient Care Team&lt;/keyword&gt;&lt;keyword&gt;Treatment Outcome&lt;/keyword&gt;&lt;/keywords&gt;&lt;dates&gt;&lt;year&gt;2005&lt;/year&gt;&lt;pub-dates&gt;&lt;date&gt;Sep&lt;/date&gt;&lt;/pub-dates&gt;&lt;/dates&gt;&lt;isbn&gt;0002-8614 (Print)&amp;#xD;0002-8614 (Linking)&lt;/isbn&gt;&lt;accession-num&gt;16137275&lt;/accession-num&gt;&lt;urls&gt;&lt;related-urls&gt;&lt;url&gt;http://www.ncbi.nlm.nih.gov/pubmed/16137275&lt;/url&gt;&lt;/related-urls&gt;&lt;/urls&gt;&lt;electronic-resource-num&gt;JGS53466 [pii]&amp;#xD;10.1111/j.1532-5415.2005.53466.x&lt;/electronic-resource-num&gt;&lt;language&gt;eng&lt;/language&gt;&lt;/record&gt;&lt;/Cite&gt;&lt;/EndNote&gt;</w:instrText>
        </w:r>
        <w:r w:rsidR="00B24FEE">
          <w:fldChar w:fldCharType="separate"/>
        </w:r>
        <w:r w:rsidR="00B24FEE" w:rsidRPr="00B24FEE">
          <w:rPr>
            <w:noProof/>
            <w:vertAlign w:val="superscript"/>
          </w:rPr>
          <w:t>112</w:t>
        </w:r>
        <w:r w:rsidR="00B24FEE">
          <w:fldChar w:fldCharType="end"/>
        </w:r>
      </w:hyperlink>
      <w:r w:rsidRPr="00591BFC">
        <w:t xml:space="preserve">. </w:t>
      </w:r>
      <w:r w:rsidR="0084586A">
        <w:t xml:space="preserve">It should also be noted that later on in Chapter 6 of this report, using national level data from the CPRD database, there was a </w:t>
      </w:r>
      <w:r w:rsidR="0084586A" w:rsidRPr="0084586A">
        <w:t>reduction in 30-day mortality (but not 1-year mortality) between Oct 2007 and Sept 2008 (publication of the BOA blue book and NICE technological appraisal 161)</w:t>
      </w:r>
      <w:r w:rsidR="0084586A">
        <w:t>. T</w:t>
      </w:r>
      <w:r w:rsidR="0084586A" w:rsidRPr="0084586A">
        <w:t>here are hospitals (4, 5, 8 and 10) where interventions occur at around the time of, or after publication of the</w:t>
      </w:r>
      <w:r w:rsidR="0084586A">
        <w:t>se</w:t>
      </w:r>
      <w:r w:rsidR="0084586A" w:rsidRPr="0084586A">
        <w:t xml:space="preserve"> guidelines. </w:t>
      </w:r>
      <w:r w:rsidR="0084586A">
        <w:t>It is possible that</w:t>
      </w:r>
      <w:r w:rsidR="0084586A" w:rsidRPr="0084586A">
        <w:t xml:space="preserve"> in these hospitals, some of the changes made to the service models may be a reflection of the guidance and adherence to them.</w:t>
      </w:r>
      <w:r w:rsidRPr="00591BFC">
        <w:t xml:space="preserve"> Our findings are in keeping with the UK NICE clinical guidelines, which recommend orthogeriatric assessment and continued review of patients admitted with hip fracture</w:t>
      </w:r>
      <w:hyperlink w:anchor="_ENREF_3" w:tooltip="Chesser, 2011 #1" w:history="1">
        <w:r w:rsidR="00B24FEE">
          <w:fldChar w:fldCharType="begin"/>
        </w:r>
        <w:r w:rsidR="00B24FEE">
          <w:instrText xml:space="preserve"> ADDIN EN.CITE &lt;EndNote&gt;&lt;Cite&gt;&lt;Author&gt;Chesser&lt;/Author&gt;&lt;Year&gt;2011&lt;/Year&gt;&lt;RecNum&gt;1&lt;/RecNum&gt;&lt;DisplayText&gt;&lt;style face="superscript"&gt;3&lt;/style&gt;&lt;/DisplayText&gt;&lt;record&gt;&lt;rec-number&gt;1&lt;/rec-number&gt;&lt;foreign-keys&gt;&lt;key app="EN" db-id="sxpszd2ti9dx04ewefrvfp5bpf5faazszr9p" timestamp="0"&gt;1&lt;/key&gt;&lt;/foreign-keys&gt;&lt;ref-type name="Journal Article"&gt;17&lt;/ref-type&gt;&lt;contributors&gt;&lt;authors&gt;&lt;author&gt;Chesser, T. J. S.&lt;/author&gt;&lt;author&gt;Handley, R.&lt;/author&gt;&lt;author&gt;Swift, C.&lt;/author&gt;&lt;/authors&gt;&lt;/contributors&gt;&lt;titles&gt;&lt;title&gt;New NICE guideline to improve outcomes for hip fracture patients&lt;/title&gt;&lt;secondary-title&gt;Injury&lt;/secondary-title&gt;&lt;/titles&gt;&lt;periodical&gt;&lt;full-title&gt;Injury&lt;/full-title&gt;&lt;/periodical&gt;&lt;pages&gt;727-729&lt;/pages&gt;&lt;volume&gt;42&lt;/volume&gt;&lt;number&gt;8&lt;/number&gt;&lt;dates&gt;&lt;year&gt;2011&lt;/year&gt;&lt;/dates&gt;&lt;publisher&gt;Elsevier&lt;/publisher&gt;&lt;isbn&gt;0020-1383&lt;/isbn&gt;&lt;urls&gt;&lt;related-urls&gt;&lt;url&gt;http://linkinghub.elsevier.com/retrieve/pii/S0020138311002385?showall=true&lt;/url&gt;&lt;/related-urls&gt;&lt;/urls&gt;&lt;/record&gt;&lt;/Cite&gt;&lt;Cite&gt;&lt;Author&gt;Chesser&lt;/Author&gt;&lt;Year&gt;2011&lt;/Year&gt;&lt;RecNum&gt;1&lt;/RecNum&gt;&lt;record&gt;&lt;rec-number&gt;1&lt;/rec-number&gt;&lt;foreign-keys&gt;&lt;key app="EN" db-id="sxpszd2ti9dx04ewefrvfp5bpf5faazszr9p" timestamp="0"&gt;1&lt;/key&gt;&lt;/foreign-keys&gt;&lt;ref-type name="Journal Article"&gt;17&lt;/ref-type&gt;&lt;contributors&gt;&lt;authors&gt;&lt;author&gt;Chesser, T. J. S.&lt;/author&gt;&lt;author&gt;Handley, R.&lt;/author&gt;&lt;author&gt;Swift, C.&lt;/author&gt;&lt;/authors&gt;&lt;/contributors&gt;&lt;titles&gt;&lt;title&gt;New NICE guideline to improve outcomes for hip fracture patients&lt;/title&gt;&lt;secondary-title&gt;Injury&lt;/secondary-title&gt;&lt;/titles&gt;&lt;periodical&gt;&lt;full-title&gt;Injury&lt;/full-title&gt;&lt;/periodical&gt;&lt;pages&gt;727-729&lt;/pages&gt;&lt;volume&gt;42&lt;/volume&gt;&lt;number&gt;8&lt;/number&gt;&lt;dates&gt;&lt;year&gt;2011&lt;/year&gt;&lt;/dates&gt;&lt;publisher&gt;Elsevier&lt;/publisher&gt;&lt;isbn&gt;0020-1383&lt;/isbn&gt;&lt;urls&gt;&lt;related-urls&gt;&lt;url&gt;http://linkinghub.elsevier.com/retrieve/pii/S0020138311002385?showall=true&lt;/url&gt;&lt;/related-urls&gt;&lt;/urls&gt;&lt;/record&gt;&lt;/Cite&gt;&lt;/EndNote&gt;</w:instrText>
        </w:r>
        <w:r w:rsidR="00B24FEE">
          <w:fldChar w:fldCharType="separate"/>
        </w:r>
        <w:r w:rsidR="00B24FEE" w:rsidRPr="00B24FEE">
          <w:rPr>
            <w:noProof/>
            <w:vertAlign w:val="superscript"/>
          </w:rPr>
          <w:t>3</w:t>
        </w:r>
        <w:r w:rsidR="00B24FEE">
          <w:fldChar w:fldCharType="end"/>
        </w:r>
      </w:hyperlink>
      <w:r w:rsidRPr="00591BFC">
        <w:t xml:space="preserve"> and the British Orthopaedic Association’s publication ‘the care of patients with fragility fracture’ which states that “senior medical input - from a consultant orthogeriatrician… …is now essential in the good care of fragility fracture patients”</w:t>
      </w:r>
      <w:hyperlink w:anchor="_ENREF_1" w:tooltip="British Orthopaedic Association, 2007 #25" w:history="1">
        <w:r w:rsidR="00B24FEE">
          <w:fldChar w:fldCharType="begin"/>
        </w:r>
        <w:r w:rsidR="00B24FEE">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fldChar w:fldCharType="separate"/>
        </w:r>
        <w:r w:rsidR="00B24FEE" w:rsidRPr="00B24FEE">
          <w:rPr>
            <w:noProof/>
            <w:vertAlign w:val="superscript"/>
          </w:rPr>
          <w:t>1</w:t>
        </w:r>
        <w:r w:rsidR="00B24FEE">
          <w:fldChar w:fldCharType="end"/>
        </w:r>
      </w:hyperlink>
      <w:r w:rsidR="00794852" w:rsidRPr="00591BFC">
        <w:t>.</w:t>
      </w:r>
    </w:p>
    <w:p w14:paraId="737B7065" w14:textId="77777777" w:rsidR="00CF2E21" w:rsidRPr="00591BFC" w:rsidRDefault="00CF2E21" w:rsidP="00E86771">
      <w:pPr>
        <w:spacing w:line="360" w:lineRule="auto"/>
      </w:pPr>
    </w:p>
    <w:p w14:paraId="6193C8C7" w14:textId="619E4565" w:rsidR="00CF2E21" w:rsidRPr="00591BFC" w:rsidRDefault="00CF2E21" w:rsidP="00E86771">
      <w:pPr>
        <w:spacing w:line="360" w:lineRule="auto"/>
      </w:pPr>
      <w:r w:rsidRPr="00591BFC">
        <w:t>The reasons for a significant decrease in mortality following the introduction and/or expansion of a FLS model of care are not as clear as for the orthogeriatric model. An environment of better co-ordination of multi-disciplinary care with better communication between staff following the introduction and/or expansion of an FLS is likely to play a role. Also, the comprehensive assessment and inspection of routine bloods and medical history that an osteoporosis nurse specialist carries out may contribute to the identification of secondary diseases and comorbidities. Furthermore, patients receiving Zoledronic acid have previously been shown to be at a reduced risk of death</w:t>
      </w:r>
      <w:hyperlink w:anchor="_ENREF_113" w:tooltip="Lyles, 2007 #24" w:history="1">
        <w:r w:rsidR="00B24FEE">
          <w:fldChar w:fldCharType="begin">
            <w:fldData xml:space="preserve">PEVuZE5vdGU+PENpdGU+PEF1dGhvcj5MeWxlczwvQXV0aG9yPjxZZWFyPjIwMDc8L1llYXI+PFJl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</w:fldData>
          </w:fldChar>
        </w:r>
        <w:r w:rsidR="00B24FEE">
          <w:instrText xml:space="preserve"> ADDIN EN.CITE </w:instrText>
        </w:r>
        <w:r w:rsidR="00B24FEE">
          <w:fldChar w:fldCharType="begin">
            <w:fldData xml:space="preserve">PEVuZE5vdGU+PENpdGU+PEF1dGhvcj5MeWxlczwvQXV0aG9yPjxZZWFyPjIwMDc8L1llYXI+PFJl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</w:fldData>
          </w:fldChar>
        </w:r>
        <w:r w:rsidR="00B24FEE">
          <w:instrText xml:space="preserve"> ADDIN EN.CITE.DATA </w:instrText>
        </w:r>
        <w:r w:rsidR="00B24FEE">
          <w:fldChar w:fldCharType="end"/>
        </w:r>
        <w:r w:rsidR="00B24FEE">
          <w:fldChar w:fldCharType="separate"/>
        </w:r>
        <w:r w:rsidR="00B24FEE" w:rsidRPr="00B24FEE">
          <w:rPr>
            <w:noProof/>
            <w:vertAlign w:val="superscript"/>
          </w:rPr>
          <w:t>113</w:t>
        </w:r>
        <w:r w:rsidR="00B24FEE">
          <w:fldChar w:fldCharType="end"/>
        </w:r>
      </w:hyperlink>
      <w:r w:rsidRPr="00591BFC">
        <w:t xml:space="preserve"> , with a much greater reduction than could be solely attributed to lower fracture incidence on treatment</w:t>
      </w:r>
      <w:hyperlink w:anchor="_ENREF_114" w:tooltip="Colon-Emeric, 2010 #1191" w:history="1">
        <w:r w:rsidR="00B24FEE">
          <w:fldChar w:fldCharType="begin"/>
        </w:r>
        <w:r w:rsidR="00B24FEE">
          <w:instrText xml:space="preserve"> ADDIN EN.CITE &lt;EndNote&gt;&lt;Cite&gt;&lt;Author&gt;Colon-Emeric&lt;/Author&gt;&lt;Year&gt;2010&lt;/Year&gt;&lt;RecNum&gt;1191&lt;/RecNum&gt;&lt;DisplayText&gt;&lt;style face="superscript"&gt;114&lt;/style&gt;&lt;/DisplayText&gt;&lt;record&gt;&lt;rec-number&gt;1191&lt;/rec-number&gt;&lt;foreign-keys&gt;&lt;key app="EN" db-id="sxpszd2ti9dx04ewefrvfp5bpf5faazszr9p" timestamp="1435667434"&gt;1191&lt;/key&gt;&lt;/foreign-keys&gt;&lt;ref-type name="Journal Article"&gt;17&lt;/ref-type&gt;&lt;contributors&gt;&lt;authors&gt;&lt;author&gt;Colon-Emeric, C. S.&lt;/author&gt;&lt;author&gt;Mesenbrink, P.&lt;/author&gt;&lt;author&gt;Lyles, K. W.&lt;/author&gt;&lt;author&gt;Pieper, C. F.&lt;/author&gt;&lt;author&gt;Boonen, S.&lt;/author&gt;&lt;author&gt;Delmas, P.&lt;/author&gt;&lt;author&gt;Eriksen, E. F.&lt;/author&gt;&lt;author&gt;Magaziner, J.&lt;/author&gt;&lt;/authors&gt;&lt;/contributors&gt;&lt;auth-address&gt;Duke University Medical Center, Durham, NC 27710, USA. colon001@mc.duke.edu&lt;/auth-address&gt;&lt;titles&gt;&lt;title&gt;Potential mediators of the mortality reduction with zoledronic acid after hip fracture&lt;/title&gt;&lt;secondary-title&gt;J Bone Miner Res&lt;/secondary-title&gt;&lt;/titles&gt;&lt;periodical&gt;&lt;full-title&gt;J Bone Miner Res&lt;/full-title&gt;&lt;/periodical&gt;&lt;pages&gt;91-7&lt;/pages&gt;&lt;volume&gt;25&lt;/volume&gt;&lt;number&gt;1&lt;/number&gt;&lt;edition&gt;2009/07/08&lt;/edition&gt;&lt;keywords&gt;&lt;keyword&gt;Aged&lt;/keyword&gt;&lt;keyword&gt;Aged, 80 and over&lt;/keyword&gt;&lt;keyword&gt;Bone Density Conservation Agents/*therapeutic use&lt;/keyword&gt;&lt;keyword&gt;Cause of Death&lt;/keyword&gt;&lt;keyword&gt;Diphosphonates/*therapeutic use&lt;/keyword&gt;&lt;keyword&gt;Female&lt;/keyword&gt;&lt;keyword&gt;Hip Fractures/*drug therapy/*mortality&lt;/keyword&gt;&lt;keyword&gt;Humans&lt;/keyword&gt;&lt;keyword&gt;Imidazoles/*therapeutic use&lt;/keyword&gt;&lt;keyword&gt;Incidence&lt;/keyword&gt;&lt;keyword&gt;Male&lt;/keyword&gt;&lt;keyword&gt;Middle Aged&lt;/keyword&gt;&lt;keyword&gt;Placebos&lt;/keyword&gt;&lt;keyword&gt;Risk Factors&lt;/keyword&gt;&lt;keyword&gt;United States/epidemiology&lt;/keyword&gt;&lt;/keywords&gt;&lt;dates&gt;&lt;year&gt;2010&lt;/year&gt;&lt;pub-dates&gt;&lt;date&gt;Jan&lt;/date&gt;&lt;/pub-dates&gt;&lt;/dates&gt;&lt;isbn&gt;1523-4681 (Electronic)&amp;#xD;0884-0431 (Linking)&lt;/isbn&gt;&lt;accession-num&gt;19580467&lt;/accession-num&gt;&lt;urls&gt;&lt;related-urls&gt;&lt;url&gt;http://www.ncbi.nlm.nih.gov/pubmed/19580467&lt;/url&gt;&lt;/related-urls&gt;&lt;/urls&gt;&lt;electronic-resource-num&gt;10.1359/jbmr.090704&lt;/electronic-resource-num&gt;&lt;language&gt;eng&lt;/language&gt;&lt;/record&gt;&lt;/Cite&gt;&lt;/EndNote&gt;</w:instrText>
        </w:r>
        <w:r w:rsidR="00B24FEE">
          <w:fldChar w:fldCharType="separate"/>
        </w:r>
        <w:r w:rsidR="00B24FEE" w:rsidRPr="00B24FEE">
          <w:rPr>
            <w:noProof/>
            <w:vertAlign w:val="superscript"/>
          </w:rPr>
          <w:t>114</w:t>
        </w:r>
        <w:r w:rsidR="00B24FEE">
          <w:fldChar w:fldCharType="end"/>
        </w:r>
      </w:hyperlink>
      <w:r w:rsidRPr="00591BFC">
        <w:t>. The mechanisms that mediate the remainder of the drugs effect on mortality are not known</w:t>
      </w:r>
      <w:hyperlink w:anchor="_ENREF_114" w:tooltip="Colon-Emeric, 2010 #1191" w:history="1">
        <w:r w:rsidR="00B24FEE">
          <w:fldChar w:fldCharType="begin"/>
        </w:r>
        <w:r w:rsidR="00B24FEE">
          <w:instrText xml:space="preserve"> ADDIN EN.CITE &lt;EndNote&gt;&lt;Cite&gt;&lt;Author&gt;Colon-Emeric&lt;/Author&gt;&lt;Year&gt;2010&lt;/Year&gt;&lt;RecNum&gt;1191&lt;/RecNum&gt;&lt;DisplayText&gt;&lt;style face="superscript"&gt;114&lt;/style&gt;&lt;/DisplayText&gt;&lt;record&gt;&lt;rec-number&gt;1191&lt;/rec-number&gt;&lt;foreign-keys&gt;&lt;key app="EN" db-id="sxpszd2ti9dx04ewefrvfp5bpf5faazszr9p" timestamp="1435667434"&gt;1191&lt;/key&gt;&lt;/foreign-keys&gt;&lt;ref-type name="Journal Article"&gt;17&lt;/ref-type&gt;&lt;contributors&gt;&lt;authors&gt;&lt;author&gt;Colon-Emeric, C. S.&lt;/author&gt;&lt;author&gt;Mesenbrink, P.&lt;/author&gt;&lt;author&gt;Lyles, K. W.&lt;/author&gt;&lt;author&gt;Pieper, C. F.&lt;/author&gt;&lt;author&gt;Boonen, S.&lt;/author&gt;&lt;author&gt;Delmas, P.&lt;/author&gt;&lt;author&gt;Eriksen, E. F.&lt;/author&gt;&lt;author&gt;Magaziner, J.&lt;/author&gt;&lt;/authors&gt;&lt;/contributors&gt;&lt;auth-address&gt;Duke University Medical Center, Durham, NC 27710, USA. colon001@mc.duke.edu&lt;/auth-address&gt;&lt;titles&gt;&lt;title&gt;Potential mediators of the mortality reduction with zoledronic acid after hip fracture&lt;/title&gt;&lt;secondary-title&gt;J Bone Miner Res&lt;/secondary-title&gt;&lt;/titles&gt;&lt;periodical&gt;&lt;full-title&gt;J Bone Miner Res&lt;/full-title&gt;&lt;/periodical&gt;&lt;pages&gt;91-7&lt;/pages&gt;&lt;volume&gt;25&lt;/volume&gt;&lt;number&gt;1&lt;/number&gt;&lt;edition&gt;2009/07/08&lt;/edition&gt;&lt;keywords&gt;&lt;keyword&gt;Aged&lt;/keyword&gt;&lt;keyword&gt;Aged, 80 and over&lt;/keyword&gt;&lt;keyword&gt;Bone Density Conservation Agents/*therapeutic use&lt;/keyword&gt;&lt;keyword&gt;Cause of Death&lt;/keyword&gt;&lt;keyword&gt;Diphosphonates/*therapeutic use&lt;/keyword&gt;&lt;keyword&gt;Female&lt;/keyword&gt;&lt;keyword&gt;Hip Fractures/*drug therapy/*mortality&lt;/keyword&gt;&lt;keyword&gt;Humans&lt;/keyword&gt;&lt;keyword&gt;Imidazoles/*therapeutic use&lt;/keyword&gt;&lt;keyword&gt;Incidence&lt;/keyword&gt;&lt;keyword&gt;Male&lt;/keyword&gt;&lt;keyword&gt;Middle Aged&lt;/keyword&gt;&lt;keyword&gt;Placebos&lt;/keyword&gt;&lt;keyword&gt;Risk Factors&lt;/keyword&gt;&lt;keyword&gt;United States/epidemiology&lt;/keyword&gt;&lt;/keywords&gt;&lt;dates&gt;&lt;year&gt;2010&lt;/year&gt;&lt;pub-dates&gt;&lt;date&gt;Jan&lt;/date&gt;&lt;/pub-dates&gt;&lt;/dates&gt;&lt;isbn&gt;1523-4681 (Electronic)&amp;#xD;0884-0431 (Linking)&lt;/isbn&gt;&lt;accession-num&gt;19580467&lt;/accession-num&gt;&lt;urls&gt;&lt;related-urls&gt;&lt;url&gt;http://www.ncbi.nlm.nih.gov/pubmed/19580467&lt;/url&gt;&lt;/related-urls&gt;&lt;/urls&gt;&lt;electronic-resource-num&gt;10.1359/jbmr.090704&lt;/electronic-resource-num&gt;&lt;language&gt;eng&lt;/language&gt;&lt;/record&gt;&lt;/Cite&gt;&lt;/EndNote&gt;</w:instrText>
        </w:r>
        <w:r w:rsidR="00B24FEE">
          <w:fldChar w:fldCharType="separate"/>
        </w:r>
        <w:r w:rsidR="00B24FEE" w:rsidRPr="00B24FEE">
          <w:rPr>
            <w:noProof/>
            <w:vertAlign w:val="superscript"/>
          </w:rPr>
          <w:t>114</w:t>
        </w:r>
        <w:r w:rsidR="00B24FEE">
          <w:fldChar w:fldCharType="end"/>
        </w:r>
      </w:hyperlink>
      <w:r w:rsidR="00794852" w:rsidRPr="00591BFC">
        <w:t xml:space="preserve"> </w:t>
      </w:r>
      <w:r w:rsidRPr="00591BFC">
        <w:t>. Given that treatment recommendation is within the remit of the FLS it may be that this is a contributory factor in the process in reduced long-term mortality. It is also likely that introducing or expanding an FLS entails wider underlying changes to service delivery that could also contribute to the reduction in morality following the implementation of change. Similar to our findings here, implementation of osteoporosis guidelines by a fracture nurse has previously been shown to be associated with a 33%</w:t>
      </w:r>
      <w:r w:rsidR="00B24FEE">
        <w:fldChar w:fldCharType="begin">
          <w:fldData xml:space="preserve">PEVuZE5vdGU+PENpdGU+PEF1dGhvcj5IdW50amVuczwvQXV0aG9yPjxZZWFyPjIwMTE8L1llYXI+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</w:fldData>
        </w:fldChar>
      </w:r>
      <w:r w:rsidR="00B24FEE">
        <w:instrText xml:space="preserve"> ADDIN EN.CITE </w:instrText>
      </w:r>
      <w:r w:rsidR="00B24FEE">
        <w:fldChar w:fldCharType="begin">
          <w:fldData xml:space="preserve">PEVuZE5vdGU+PENpdGU+PEF1dGhvcj5IdW50amVuczwvQXV0aG9yPjxZZWFyPjIwMTE8L1llYXI+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</w:fldData>
        </w:fldChar>
      </w:r>
      <w:r w:rsidR="00B24FEE">
        <w:instrText xml:space="preserve"> ADDIN EN.CITE.DATA </w:instrText>
      </w:r>
      <w:r w:rsidR="00B24FEE">
        <w:fldChar w:fldCharType="end"/>
      </w:r>
      <w:r w:rsidR="00B24FEE">
        <w:fldChar w:fldCharType="separate"/>
      </w:r>
      <w:hyperlink w:anchor="_ENREF_98" w:tooltip="Huntjens, 2011 #1151" w:history="1">
        <w:r w:rsidR="00B24FEE" w:rsidRPr="00B24FEE">
          <w:rPr>
            <w:noProof/>
            <w:vertAlign w:val="superscript"/>
          </w:rPr>
          <w:t>98</w:t>
        </w:r>
      </w:hyperlink>
      <w:r w:rsidR="00B24FEE" w:rsidRPr="00B24FEE">
        <w:rPr>
          <w:noProof/>
          <w:vertAlign w:val="superscript"/>
        </w:rPr>
        <w:t xml:space="preserve"> </w:t>
      </w:r>
      <w:hyperlink w:anchor="_ENREF_115" w:tooltip="Huntjens, 2015 #1241" w:history="1">
        <w:r w:rsidR="00B24FEE" w:rsidRPr="00B24FEE">
          <w:rPr>
            <w:noProof/>
            <w:vertAlign w:val="superscript"/>
          </w:rPr>
          <w:t>115</w:t>
        </w:r>
      </w:hyperlink>
      <w:r w:rsidR="00B24FEE">
        <w:fldChar w:fldCharType="end"/>
      </w:r>
      <w:r w:rsidRPr="00591BFC">
        <w:t xml:space="preserve"> reduction in post fracture mortality following any index fragility fracture, there prompting the conclusion that measures to prevent fractures also reduce mortality</w:t>
      </w:r>
      <w:hyperlink w:anchor="_ENREF_98" w:tooltip="Huntjens, 2011 #1151" w:history="1">
        <w:r w:rsidR="00B24FEE">
          <w:fldChar w:fldCharType="begin">
            <w:fldData xml:space="preserve">PEVuZE5vdGU+PENpdGU+PEF1dGhvcj5IdW50amVuczwvQXV0aG9yPjxZZWFyPjIwMTE8L1llYXI+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</w:fldData>
          </w:fldChar>
        </w:r>
        <w:r w:rsidR="00B24FEE">
          <w:instrText xml:space="preserve"> ADDIN EN.CITE </w:instrText>
        </w:r>
        <w:r w:rsidR="00B24FEE">
          <w:fldChar w:fldCharType="begin">
            <w:fldData xml:space="preserve">PEVuZE5vdGU+PENpdGU+PEF1dGhvcj5IdW50amVuczwvQXV0aG9yPjxZZWFyPjIwMTE8L1llYXI+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</w:fldData>
          </w:fldChar>
        </w:r>
        <w:r w:rsidR="00B24FEE">
          <w:instrText xml:space="preserve"> ADDIN EN.CITE.DATA </w:instrText>
        </w:r>
        <w:r w:rsidR="00B24FEE">
          <w:fldChar w:fldCharType="end"/>
        </w:r>
        <w:r w:rsidR="00B24FEE">
          <w:fldChar w:fldCharType="separate"/>
        </w:r>
        <w:r w:rsidR="00B24FEE" w:rsidRPr="00B24FEE">
          <w:rPr>
            <w:noProof/>
            <w:vertAlign w:val="superscript"/>
          </w:rPr>
          <w:t>98</w:t>
        </w:r>
        <w:r w:rsidR="00B24FEE">
          <w:fldChar w:fldCharType="end"/>
        </w:r>
      </w:hyperlink>
      <w:r w:rsidRPr="00591BFC">
        <w:t xml:space="preserve">. </w:t>
      </w:r>
    </w:p>
    <w:p w14:paraId="7D8A5E52" w14:textId="77777777" w:rsidR="00CF2E21" w:rsidRPr="00591BFC" w:rsidRDefault="00CF2E21" w:rsidP="00E86771">
      <w:pPr>
        <w:spacing w:line="360" w:lineRule="auto"/>
      </w:pPr>
    </w:p>
    <w:p w14:paraId="40515C6F" w14:textId="77777777" w:rsidR="00CF2E21" w:rsidRPr="00591BFC" w:rsidRDefault="00CF2E21" w:rsidP="00E86771">
      <w:pPr>
        <w:pStyle w:val="Heading3"/>
        <w:spacing w:line="360" w:lineRule="auto"/>
        <w:rPr>
          <w:rFonts w:ascii="Calibri" w:hAnsi="Calibri"/>
          <w:lang w:val="en-GB"/>
        </w:rPr>
      </w:pPr>
      <w:bookmarkStart w:id="239" w:name="_Toc308300768"/>
      <w:bookmarkStart w:id="240" w:name="_Toc311366575"/>
      <w:r w:rsidRPr="00591BFC">
        <w:rPr>
          <w:rFonts w:ascii="Calibri" w:hAnsi="Calibri"/>
          <w:lang w:val="en-GB"/>
        </w:rPr>
        <w:lastRenderedPageBreak/>
        <w:t xml:space="preserve">Second </w:t>
      </w:r>
      <w:r w:rsidR="005855BF" w:rsidRPr="00591BFC">
        <w:rPr>
          <w:rFonts w:ascii="Calibri" w:hAnsi="Calibri"/>
          <w:lang w:val="en-GB"/>
        </w:rPr>
        <w:t>h</w:t>
      </w:r>
      <w:r w:rsidRPr="00591BFC">
        <w:rPr>
          <w:rFonts w:ascii="Calibri" w:hAnsi="Calibri"/>
          <w:lang w:val="en-GB"/>
        </w:rPr>
        <w:t>ip fracture</w:t>
      </w:r>
      <w:bookmarkEnd w:id="239"/>
      <w:bookmarkEnd w:id="240"/>
    </w:p>
    <w:p w14:paraId="0C53F6DA" w14:textId="22050F7E" w:rsidR="00CF2E21" w:rsidRPr="00591BFC" w:rsidRDefault="00CF2E21" w:rsidP="00E86771">
      <w:pPr>
        <w:spacing w:line="360" w:lineRule="auto"/>
      </w:pPr>
      <w:r w:rsidRPr="00591BFC">
        <w:t>We report here an average annual direct age and sex standardised proportion of 4.2% for second hip fracture within 2 years from a primary hip fracture. This is in accord with previous studies</w:t>
      </w:r>
      <w:r w:rsidR="00B24FEE">
        <w:fldChar w:fldCharType="begin">
          <w:fldData xml:space="preserve">PEVuZE5vdGU+PENpdGU+PEF1dGhvcj5MYXdyZW5jZTwvQXV0aG9yPjxZZWFyPjIwMTA8L1llYXI+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</w:fldData>
        </w:fldChar>
      </w:r>
      <w:r w:rsidR="00B24FEE">
        <w:instrText xml:space="preserve"> ADDIN EN.CITE </w:instrText>
      </w:r>
      <w:r w:rsidR="00B24FEE">
        <w:fldChar w:fldCharType="begin">
          <w:fldData xml:space="preserve">PEVuZE5vdGU+PENpdGU+PEF1dGhvcj5MYXdyZW5jZTwvQXV0aG9yPjxZZWFyPjIwMTA8L1llYXI+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</w:fldData>
        </w:fldChar>
      </w:r>
      <w:r w:rsidR="00B24FEE">
        <w:instrText xml:space="preserve"> ADDIN EN.CITE.DATA </w:instrText>
      </w:r>
      <w:r w:rsidR="00B24FEE">
        <w:fldChar w:fldCharType="end"/>
      </w:r>
      <w:r w:rsidR="00B24FEE">
        <w:fldChar w:fldCharType="separate"/>
      </w:r>
      <w:hyperlink w:anchor="_ENREF_116" w:tooltip="Lawrence, 2010 #1192" w:history="1">
        <w:r w:rsidR="00B24FEE" w:rsidRPr="00B24FEE">
          <w:rPr>
            <w:noProof/>
            <w:vertAlign w:val="superscript"/>
          </w:rPr>
          <w:t>116</w:t>
        </w:r>
      </w:hyperlink>
      <w:r w:rsidR="00B24FEE" w:rsidRPr="00B24FEE">
        <w:rPr>
          <w:noProof/>
          <w:vertAlign w:val="superscript"/>
        </w:rPr>
        <w:t xml:space="preserve"> </w:t>
      </w:r>
      <w:hyperlink w:anchor="_ENREF_117" w:tooltip="Chapurlat, 2003 #1193" w:history="1">
        <w:r w:rsidR="00B24FEE" w:rsidRPr="00B24FEE">
          <w:rPr>
            <w:noProof/>
            <w:vertAlign w:val="superscript"/>
          </w:rPr>
          <w:t>117</w:t>
        </w:r>
      </w:hyperlink>
      <w:r w:rsidR="00B24FEE">
        <w:fldChar w:fldCharType="end"/>
      </w:r>
      <w:r w:rsidRPr="00591BFC">
        <w:t xml:space="preserve"> </w:t>
      </w:r>
      <w:hyperlink w:anchor="_ENREF_118" w:tooltip="Melton, 1982 #1195" w:history="1">
        <w:r w:rsidR="00B24FEE">
          <w:fldChar w:fldCharType="begin"/>
        </w:r>
        <w:r w:rsidR="00B24FEE">
          <w:instrText xml:space="preserve"> ADDIN EN.CITE &lt;EndNote&gt;&lt;Cite&gt;&lt;Author&gt;Melton&lt;/Author&gt;&lt;Year&gt;1982&lt;/Year&gt;&lt;RecNum&gt;1195&lt;/RecNum&gt;&lt;DisplayText&gt;&lt;style face="superscript"&gt;118&lt;/style&gt;&lt;/DisplayText&gt;&lt;record&gt;&lt;rec-number&gt;1195&lt;/rec-number&gt;&lt;foreign-keys&gt;&lt;key app="EN" db-id="sxpszd2ti9dx04ewefrvfp5bpf5faazszr9p" timestamp="1435667551"&gt;1195&lt;/key&gt;&lt;/foreign-keys&gt;&lt;ref-type name="Journal Article"&gt;17&lt;/ref-type&gt;&lt;contributors&gt;&lt;authors&gt;&lt;author&gt;Melton, L. J., 3rd&lt;/author&gt;&lt;author&gt;Ilstrup, D. M.&lt;/author&gt;&lt;author&gt;Beckenbaugh, R. D.&lt;/author&gt;&lt;author&gt;Riggs, B. L.&lt;/author&gt;&lt;/authors&gt;&lt;/contributors&gt;&lt;titles&gt;&lt;title&gt;Hip fracture recurrence. A population-based study&lt;/title&gt;&lt;secondary-title&gt;Clin Orthop Relat Res&lt;/secondary-title&gt;&lt;/titles&gt;&lt;periodical&gt;&lt;full-title&gt;Clin Orthop Relat Res&lt;/full-title&gt;&lt;/periodical&gt;&lt;pages&gt;131-8&lt;/pages&gt;&lt;number&gt;167&lt;/number&gt;&lt;edition&gt;1982/07/01&lt;/edition&gt;&lt;keywords&gt;&lt;keyword&gt;Actuarial Analysis&lt;/keyword&gt;&lt;keyword&gt;Age Factors&lt;/keyword&gt;&lt;keyword&gt;Aged&lt;/keyword&gt;&lt;keyword&gt;Female&lt;/keyword&gt;&lt;keyword&gt;Hip Fractures/*epidemiology&lt;/keyword&gt;&lt;keyword&gt;Humans&lt;/keyword&gt;&lt;keyword&gt;Male&lt;/keyword&gt;&lt;keyword&gt;Middle Aged&lt;/keyword&gt;&lt;keyword&gt;Minnesota&lt;/keyword&gt;&lt;keyword&gt;Recurrence&lt;/keyword&gt;&lt;keyword&gt;Risk&lt;/keyword&gt;&lt;keyword&gt;Sex Factors&lt;/keyword&gt;&lt;keyword&gt;Time Factors&lt;/keyword&gt;&lt;/keywords&gt;&lt;dates&gt;&lt;year&gt;1982&lt;/year&gt;&lt;pub-dates&gt;&lt;date&gt;Jul&lt;/date&gt;&lt;/pub-dates&gt;&lt;/dates&gt;&lt;isbn&gt;0009-921X (Print)&amp;#xD;0009-921X (Linking)&lt;/isbn&gt;&lt;accession-num&gt;7094454&lt;/accession-num&gt;&lt;urls&gt;&lt;related-urls&gt;&lt;url&gt;http://www.ncbi.nlm.nih.gov/pubmed/7094454&lt;/url&gt;&lt;/related-urls&gt;&lt;/urls&gt;&lt;language&gt;eng&lt;/language&gt;&lt;/record&gt;&lt;/Cite&gt;&lt;/EndNote&gt;</w:instrText>
        </w:r>
        <w:r w:rsidR="00B24FEE">
          <w:fldChar w:fldCharType="separate"/>
        </w:r>
        <w:r w:rsidR="00B24FEE" w:rsidRPr="00B24FEE">
          <w:rPr>
            <w:noProof/>
            <w:vertAlign w:val="superscript"/>
          </w:rPr>
          <w:t>118</w:t>
        </w:r>
        <w:r w:rsidR="00B24FEE">
          <w:fldChar w:fldCharType="end"/>
        </w:r>
      </w:hyperlink>
      <w:r w:rsidRPr="00591BFC">
        <w:t>, although direct comparisons are difficult due to different lengths of follow-up time used. We found the regional incidence of re-fracture remained stable during the study period (</w:t>
      </w:r>
      <w:r w:rsidR="000D4504">
        <w:fldChar w:fldCharType="begin"/>
      </w:r>
      <w:r w:rsidR="000D4504">
        <w:instrText xml:space="preserve"> REF _Ref423011032 \h </w:instrText>
      </w:r>
      <w:r w:rsidR="000D4504">
        <w:fldChar w:fldCharType="separate"/>
      </w:r>
      <w:r w:rsidR="006C06F9" w:rsidRPr="00591BFC">
        <w:t xml:space="preserve">Figure </w:t>
      </w:r>
      <w:r w:rsidR="006C06F9">
        <w:rPr>
          <w:noProof/>
        </w:rPr>
        <w:t>6</w:t>
      </w:r>
      <w:r w:rsidR="000D4504">
        <w:fldChar w:fldCharType="end"/>
      </w:r>
      <w:r w:rsidRPr="00591BFC">
        <w:t>), consistent with a recent analysis of trend in second hip fracture in Olmsted County, Minnesota</w:t>
      </w:r>
      <w:hyperlink w:anchor="_ENREF_8" w:tooltip="Melton, 2009 #36" w:history="1">
        <w:r w:rsidR="00B24FEE">
          <w:fldChar w:fldCharType="begin"/>
        </w:r>
        <w:r w:rsidR="00B24FEE">
          <w:instrText xml:space="preserve"> ADDIN EN.CITE &lt;EndNote&gt;&lt;Cite&gt;&lt;Author&gt;Melton&lt;/Author&gt;&lt;Year&gt;2009&lt;/Year&gt;&lt;RecNum&gt;36&lt;/RecNum&gt;&lt;DisplayText&gt;&lt;style face="superscript"&gt;8&lt;/style&gt;&lt;/DisplayText&gt;&lt;record&gt;&lt;rec-number&gt;36&lt;/rec-number&gt;&lt;foreign-keys&gt;&lt;key app="EN" db-id="sxpszd2ti9dx04ewefrvfp5bpf5faazszr9p" timestamp="0"&gt;36&lt;/key&gt;&lt;/foreign-keys&gt;&lt;ref-type name="Journal Article"&gt;17&lt;/ref-type&gt;&lt;contributors&gt;&lt;authors&gt;&lt;author&gt;Melton, L.&lt;/author&gt;&lt;author&gt;Kearns, A.&lt;/author&gt;&lt;author&gt;Atkinson, E.&lt;/author&gt;&lt;author&gt;Bolander, M.&lt;/author&gt;&lt;author&gt;Achenbach, S.&lt;/author&gt;&lt;author&gt;Huddleston, J.&lt;/author&gt;&lt;author&gt;Therneau, T.&lt;/author&gt;&lt;author&gt;Leibson, C.&lt;/author&gt;&lt;/authors&gt;&lt;/contributors&gt;&lt;titles&gt;&lt;title&gt;Secular trends in hip fracture incidence and recurrence&lt;/title&gt;&lt;secondary-title&gt;Osteoporosis International&lt;/secondary-title&gt;&lt;/titles&gt;&lt;pages&gt;687-694&lt;/pages&gt;&lt;volume&gt;20&lt;/volume&gt;&lt;number&gt;5&lt;/number&gt;&lt;keywords&gt;&lt;keyword&gt;Medicine&lt;/keyword&gt;&lt;/keywords&gt;&lt;dates&gt;&lt;year&gt;2009&lt;/year&gt;&lt;/dates&gt;&lt;publisher&gt;Springer London&lt;/publisher&gt;&lt;isbn&gt;0937-941X&lt;/isbn&gt;&lt;urls&gt;&lt;related-urls&gt;&lt;url&gt;http://dx.doi.org/10.1007/s00198-008-0742-8&lt;/url&gt;&lt;/related-urls&gt;&lt;/urls&gt;&lt;electronic-resource-num&gt;10.1007/s00198-008-0742-8&lt;/electronic-resource-num&gt;&lt;/record&gt;&lt;/Cite&gt;&lt;/EndNote&gt;</w:instrText>
        </w:r>
        <w:r w:rsidR="00B24FEE">
          <w:fldChar w:fldCharType="separate"/>
        </w:r>
        <w:r w:rsidR="00B24FEE" w:rsidRPr="00B24FEE">
          <w:rPr>
            <w:noProof/>
            <w:vertAlign w:val="superscript"/>
          </w:rPr>
          <w:t>8</w:t>
        </w:r>
        <w:r w:rsidR="00B24FEE">
          <w:fldChar w:fldCharType="end"/>
        </w:r>
      </w:hyperlink>
      <w:r w:rsidRPr="00591BFC">
        <w:t>.</w:t>
      </w:r>
    </w:p>
    <w:p w14:paraId="0C31CB96" w14:textId="77777777" w:rsidR="00CF2E21" w:rsidRPr="00591BFC" w:rsidRDefault="00CF2E21" w:rsidP="00E86771">
      <w:pPr>
        <w:spacing w:line="360" w:lineRule="auto"/>
      </w:pPr>
    </w:p>
    <w:p w14:paraId="6D5BEA6B" w14:textId="61EA84C1" w:rsidR="00CF2E21" w:rsidRPr="00591BFC" w:rsidRDefault="00CF2E21" w:rsidP="00E86771">
      <w:pPr>
        <w:spacing w:line="360" w:lineRule="auto"/>
      </w:pPr>
      <w:r w:rsidRPr="00591BFC">
        <w:t xml:space="preserve">Within this context, the </w:t>
      </w:r>
      <w:r w:rsidR="004D147C" w:rsidRPr="00591BFC">
        <w:t>BOA</w:t>
      </w:r>
      <w:r w:rsidRPr="00591BFC">
        <w:t xml:space="preserve">’s publication ‘the care of patients with fragility fracture’ states that the most effective healthcare solution for fracture patients is the </w:t>
      </w:r>
      <w:r w:rsidR="004D147C" w:rsidRPr="00591BFC">
        <w:t>FLS</w:t>
      </w:r>
      <w:r w:rsidRPr="00591BFC">
        <w:t>, routinely delivered by a Nurse Specialist supported by a lead clinician in osteoporosis</w:t>
      </w:r>
      <w:hyperlink w:anchor="_ENREF_1" w:tooltip="British Orthopaedic Association, 2007 #25" w:history="1">
        <w:r w:rsidR="00B24FEE">
          <w:fldChar w:fldCharType="begin"/>
        </w:r>
        <w:r w:rsidR="00B24FEE">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fldChar w:fldCharType="separate"/>
        </w:r>
        <w:r w:rsidR="00B24FEE" w:rsidRPr="00B24FEE">
          <w:rPr>
            <w:noProof/>
            <w:vertAlign w:val="superscript"/>
          </w:rPr>
          <w:t>1</w:t>
        </w:r>
        <w:r w:rsidR="00B24FEE">
          <w:fldChar w:fldCharType="end"/>
        </w:r>
      </w:hyperlink>
      <w:r w:rsidRPr="00591BFC">
        <w:t xml:space="preserve">. In a review of coordinator-based systems for secondary fracture prevention, Marsh </w:t>
      </w:r>
      <w:r w:rsidRPr="00591BFC">
        <w:rPr>
          <w:i/>
        </w:rPr>
        <w:t>et al</w:t>
      </w:r>
      <w:r w:rsidR="00992D01" w:rsidRPr="00591BFC">
        <w:t>.</w:t>
      </w:r>
      <w:r w:rsidRPr="00591BFC">
        <w:t xml:space="preserve"> reported that such systems appeared to be able to overcome barriers to osteoporosis intervention and treatment in fragility fracture patients</w:t>
      </w:r>
      <w:hyperlink w:anchor="_ENREF_10" w:tooltip="Marsh, 2011 #18" w:history="1">
        <w:r w:rsidR="00B24FEE">
          <w:fldChar w:fldCharType="begin"/>
        </w:r>
        <w:r w:rsidR="00B24FEE">
          <w:instrText xml:space="preserve"> ADDIN EN.CITE &lt;EndNote&gt;&lt;Cite&gt;&lt;Author&gt;Marsh&lt;/Author&gt;&lt;Year&gt;2011&lt;/Year&gt;&lt;RecNum&gt;18&lt;/RecNum&gt;&lt;DisplayText&gt;&lt;style face="superscript"&gt;10&lt;/style&gt;&lt;/DisplayText&gt;&lt;record&gt;&lt;rec-number&gt;18&lt;/rec-number&gt;&lt;foreign-keys&gt;&lt;key app="EN" db-id="sxpszd2ti9dx04ewefrvfp5bpf5faazszr9p" timestamp="0"&gt;18&lt;/key&gt;&lt;/foreign-keys&gt;&lt;ref-type name="Journal Article"&gt;17&lt;/ref-type&gt;&lt;contributors&gt;&lt;authors&gt;&lt;author&gt;Marsh, D.&lt;/author&gt;&lt;author&gt;Åkesson, K.&lt;/author&gt;&lt;author&gt;Beaton, D.&lt;/author&gt;&lt;author&gt;Bogoch, E.&lt;/author&gt;&lt;author&gt;Boonen, S.&lt;/author&gt;&lt;author&gt;Brandi, M. L.&lt;/author&gt;&lt;author&gt;McLellan, A.&lt;/author&gt;&lt;author&gt;Mitchell, P.&lt;/author&gt;&lt;author&gt;Sale, J.&lt;/author&gt;&lt;author&gt;Wahl, D.&lt;/author&gt;&lt;/authors&gt;&lt;/contributors&gt;&lt;titles&gt;&lt;title&gt;Coordinator-based systems for secondary prevention in fragility fracture patients&lt;/title&gt;&lt;secondary-title&gt;Osteoporosis International&lt;/secondary-title&gt;&lt;/titles&gt;&lt;pages&gt;2051-2065&lt;/pages&gt;&lt;volume&gt;22&lt;/volume&gt;&lt;number&gt;7&lt;/number&gt;&lt;keywords&gt;&lt;keyword&gt;Medicine&lt;/keyword&gt;&lt;/keywords&gt;&lt;dates&gt;&lt;year&gt;2011&lt;/year&gt;&lt;/dates&gt;&lt;publisher&gt;Springer London&lt;/publisher&gt;&lt;isbn&gt;0937-941X&lt;/isbn&gt;&lt;urls&gt;&lt;related-urls&gt;&lt;url&gt;http://dx.doi.org/10.1007/s00198-011-1642-x&lt;/url&gt;&lt;/related-urls&gt;&lt;/urls&gt;&lt;electronic-resource-num&gt;10.1007/s00198-011-1642-x&lt;/electronic-resource-num&gt;&lt;/record&gt;&lt;/Cite&gt;&lt;/EndNote&gt;</w:instrText>
        </w:r>
        <w:r w:rsidR="00B24FEE">
          <w:fldChar w:fldCharType="separate"/>
        </w:r>
        <w:r w:rsidR="00B24FEE" w:rsidRPr="00B24FEE">
          <w:rPr>
            <w:noProof/>
            <w:vertAlign w:val="superscript"/>
          </w:rPr>
          <w:t>10</w:t>
        </w:r>
        <w:r w:rsidR="00B24FEE">
          <w:fldChar w:fldCharType="end"/>
        </w:r>
      </w:hyperlink>
      <w:r w:rsidRPr="00591BFC">
        <w:t>. It is surprising therefore to find a null effect on hip re-fracture risk following the introduction or expansion of an orthogeriatric or FLS model of care. One reason may be because of patient’s inadequate adherence to prescribed therapies. During the period of the study, the FLSs analysed focused on identification, investigation and initiation of bone therapy leaving monitoring to primary care services. However, the adherence of patients within the NHS primary care services is poor, at less than 40% by 12 months</w:t>
      </w:r>
      <w:hyperlink w:anchor="_ENREF_119" w:tooltip="Li, 2012 #1197" w:history="1">
        <w:r w:rsidR="00B24FEE">
          <w:fldChar w:fldCharType="begin">
            <w:fldData xml:space="preserve">PEVuZE5vdGU+PENpdGU+PEF1dGhvcj5MaTwvQXV0aG9yPjxZZWFyPjIwMTI8L1llYXI+PFJlY051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</w:fldData>
          </w:fldChar>
        </w:r>
        <w:r w:rsidR="00B24FEE">
          <w:instrText xml:space="preserve"> ADDIN EN.CITE </w:instrText>
        </w:r>
        <w:r w:rsidR="00B24FEE">
          <w:fldChar w:fldCharType="begin">
            <w:fldData xml:space="preserve">PEVuZE5vdGU+PENpdGU+PEF1dGhvcj5MaTwvQXV0aG9yPjxZZWFyPjIwMTI8L1llYXI+PFJlY051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</w:fldData>
          </w:fldChar>
        </w:r>
        <w:r w:rsidR="00B24FEE">
          <w:instrText xml:space="preserve"> ADDIN EN.CITE.DATA </w:instrText>
        </w:r>
        <w:r w:rsidR="00B24FEE">
          <w:fldChar w:fldCharType="end"/>
        </w:r>
        <w:r w:rsidR="00B24FEE">
          <w:fldChar w:fldCharType="separate"/>
        </w:r>
        <w:r w:rsidR="00B24FEE" w:rsidRPr="00B24FEE">
          <w:rPr>
            <w:noProof/>
            <w:vertAlign w:val="superscript"/>
          </w:rPr>
          <w:t>119</w:t>
        </w:r>
        <w:r w:rsidR="00B24FEE">
          <w:fldChar w:fldCharType="end"/>
        </w:r>
      </w:hyperlink>
      <w:r w:rsidR="00992D01" w:rsidRPr="00591BFC">
        <w:t xml:space="preserve">. </w:t>
      </w:r>
      <w:r w:rsidRPr="00591BFC">
        <w:t>This highlights the importance of incorporating monitoring within the FLS scope to reliably close the secondary prevention care gap. Compounding this issue is that the earliest demonstrated time to anti-osteoporosis treatment efficacy in terms of hip fracture risk reduction is 6-36 months</w:t>
      </w:r>
      <w:hyperlink w:anchor="_ENREF_120" w:tooltip="Inderjeeth, 2012 #1198" w:history="1">
        <w:r w:rsidR="00B24FEE">
          <w:fldChar w:fldCharType="begin"/>
        </w:r>
        <w:r w:rsidR="00B24FEE">
          <w:instrText xml:space="preserve"> ADDIN EN.CITE &lt;EndNote&gt;&lt;Cite&gt;&lt;Author&gt;Inderjeeth&lt;/Author&gt;&lt;Year&gt;2012&lt;/Year&gt;&lt;RecNum&gt;1198&lt;/RecNum&gt;&lt;DisplayText&gt;&lt;style face="superscript"&gt;120&lt;/style&gt;&lt;/DisplayText&gt;&lt;record&gt;&lt;rec-number&gt;1198&lt;/rec-number&gt;&lt;foreign-keys&gt;&lt;key app="EN" db-id="sxpszd2ti9dx04ewefrvfp5bpf5faazszr9p" timestamp="1435667662"&gt;1198&lt;/key&gt;&lt;/foreign-keys&gt;&lt;ref-type name="Journal Article"&gt;17&lt;/ref-type&gt;&lt;contributors&gt;&lt;authors&gt;&lt;author&gt;Inderjeeth, C. A.&lt;/author&gt;&lt;author&gt;Chan, K.&lt;/author&gt;&lt;author&gt;Kwan, K.&lt;/author&gt;&lt;author&gt;Lai, M.&lt;/author&gt;&lt;/authors&gt;&lt;/contributors&gt;&lt;auth-address&gt;Area Rehabilitation and Aged Care, North Metropolitan Health Service, University of Western Australia, Hospital Avenue, Nedlands, Perth, WA, 6009, Australia. charles.inderjeeth@health.wa.gov.au&lt;/auth-address&gt;&lt;titles&gt;&lt;title&gt;Time to onset of efficacy in fracture reduction with current anti-osteoporosis treatments&lt;/title&gt;&lt;secondary-title&gt;J Bone Miner Metab&lt;/secondary-title&gt;&lt;/titles&gt;&lt;periodical&gt;&lt;full-title&gt;J Bone Miner Metab&lt;/full-title&gt;&lt;/periodical&gt;&lt;pages&gt;493-503&lt;/pages&gt;&lt;volume&gt;30&lt;/volume&gt;&lt;number&gt;5&lt;/number&gt;&lt;edition&gt;2012/05/31&lt;/edition&gt;&lt;keywords&gt;&lt;keyword&gt;Bone Density Conservation Agents/*therapeutic use&lt;/keyword&gt;&lt;keyword&gt;Fractures, Bone/*drug therapy/pathology&lt;/keyword&gt;&lt;keyword&gt;Humans&lt;/keyword&gt;&lt;keyword&gt;Osteoporosis/*drug therapy/pathology&lt;/keyword&gt;&lt;/keywords&gt;&lt;dates&gt;&lt;year&gt;2012&lt;/year&gt;&lt;pub-dates&gt;&lt;date&gt;Sep&lt;/date&gt;&lt;/pub-dates&gt;&lt;/dates&gt;&lt;isbn&gt;1435-5604 (Electronic)&amp;#xD;0914-8779 (Linking)&lt;/isbn&gt;&lt;accession-num&gt;22643863&lt;/accession-num&gt;&lt;urls&gt;&lt;related-urls&gt;&lt;url&gt;http://www.ncbi.nlm.nih.gov/pubmed/22643863&lt;/url&gt;&lt;/related-urls&gt;&lt;/urls&gt;&lt;electronic-resource-num&gt;10.1007/s00774-012-0349-1&lt;/electronic-resource-num&gt;&lt;language&gt;eng&lt;/language&gt;&lt;/record&gt;&lt;/Cite&gt;&lt;/EndNote&gt;</w:instrText>
        </w:r>
        <w:r w:rsidR="00B24FEE">
          <w:fldChar w:fldCharType="separate"/>
        </w:r>
        <w:r w:rsidR="00B24FEE" w:rsidRPr="00B24FEE">
          <w:rPr>
            <w:noProof/>
            <w:vertAlign w:val="superscript"/>
          </w:rPr>
          <w:t>120</w:t>
        </w:r>
        <w:r w:rsidR="00B24FEE">
          <w:fldChar w:fldCharType="end"/>
        </w:r>
      </w:hyperlink>
      <w:r w:rsidRPr="00591BFC">
        <w:t>. Specifically, Zoledronic acid has been shown to reduce clinical fracture risk after hip fracture only after 12 months</w:t>
      </w:r>
      <w:hyperlink w:anchor="_ENREF_113" w:tooltip="Lyles, 2007 #24" w:history="1">
        <w:r w:rsidR="00B24FEE">
          <w:fldChar w:fldCharType="begin"/>
        </w:r>
        <w:r w:rsidR="00B24FEE">
          <w:instrText xml:space="preserve"> ADDIN EN.CITE &lt;EndNote&gt;&lt;Cite&gt;&lt;Author&gt;Lyles&lt;/Author&gt;&lt;Year&gt;2007&lt;/Year&gt;&lt;RecNum&gt;24&lt;/RecNum&gt;&lt;DisplayText&gt;&lt;style face="superscript"&gt;113&lt;/style&gt;&lt;/DisplayText&gt;&lt;record&gt;&lt;rec-number&gt;24&lt;/rec-number&gt;&lt;foreign-keys&gt;&lt;key app="EN" db-id="sxpszd2ti9dx04ewefrvfp5bpf5faazszr9p" timestamp="0"&gt;24&lt;/key&gt;&lt;/foreign-keys&gt;&lt;ref-type name="Journal Article"&gt;17&lt;/ref-type&gt;&lt;contributors&gt;&lt;authors&gt;&lt;author&gt;Lyles, Kenneth W.&lt;/author&gt;&lt;author&gt;Col√≥n-Emeric, Cathleen S.&lt;/author&gt;&lt;author&gt;Magaziner, Jay S.&lt;/author&gt;&lt;author&gt;Adachi, Jonathan D.&lt;/author&gt;&lt;author&gt;Pieper, Carl F.&lt;/author&gt;&lt;author&gt;Mautalen, Carlos&lt;/author&gt;&lt;author&gt;Hyldstrup, Lars&lt;/author&gt;&lt;author&gt;Recknor, Chris&lt;/author&gt;&lt;author&gt;Nordsletten, Lars&lt;/author&gt;&lt;author&gt;Moore, Kathy A.&lt;/author&gt;&lt;author&gt;Lavecchia, Catherine&lt;/author&gt;&lt;author&gt;Zhang, Jie&lt;/author&gt;&lt;author&gt;Mesenbrink, Peter&lt;/author&gt;&lt;author&gt;Hodgson, Patricia K.&lt;/author&gt;&lt;author&gt;Abrams, Ken&lt;/author&gt;&lt;author&gt;Orloff, John J.&lt;/author&gt;&lt;author&gt;Horowitz, Zebulun&lt;/author&gt;&lt;author&gt;Eriksen, Erik Fink&lt;/author&gt;&lt;author&gt;Boonen, Steven&lt;/author&gt;&lt;/authors&gt;&lt;/contributors&gt;&lt;titles&gt;&lt;title&gt;Zoledronic Acid and Clinical Fractures and Mortality after Hip Fracture&lt;/title&gt;&lt;secondary-title&gt;New England Journal of Medicine&lt;/secondary-title&gt;&lt;/titles&gt;&lt;pages&gt;1799-1809&lt;/pages&gt;&lt;volume&gt;357&lt;/volume&gt;&lt;number&gt;18&lt;/number&gt;&lt;dates&gt;&lt;year&gt;2007&lt;/year&gt;&lt;/dates&gt;&lt;urls&gt;&lt;related-urls&gt;&lt;url&gt;http://dx.doi.org/10.1056/NEJMoa074941&lt;/url&gt;&lt;/related-urls&gt;&lt;/urls&gt;&lt;electronic-resource-num&gt;10.1056/NEJMoa074941&lt;/electronic-resource-num&gt;&lt;/record&gt;&lt;/Cite&gt;&lt;/EndNote&gt;</w:instrText>
        </w:r>
        <w:r w:rsidR="00B24FEE">
          <w:fldChar w:fldCharType="separate"/>
        </w:r>
        <w:r w:rsidR="00B24FEE" w:rsidRPr="00B24FEE">
          <w:rPr>
            <w:noProof/>
            <w:vertAlign w:val="superscript"/>
          </w:rPr>
          <w:t>113</w:t>
        </w:r>
        <w:r w:rsidR="00B24FEE">
          <w:fldChar w:fldCharType="end"/>
        </w:r>
      </w:hyperlink>
      <w:r w:rsidRPr="00591BFC">
        <w:t>. In the present analysis, 35% and 63% of second hip fractures within 2-years occurred within the first 6 and 12 months respectively. This is consistent with the clinical audit of the FLS programme at Glasgow</w:t>
      </w:r>
      <w:hyperlink w:anchor="_ENREF_121" w:tooltip="Langridge, 2007 #544" w:history="1">
        <w:r w:rsidR="00B24FEE">
          <w:fldChar w:fldCharType="begin">
            <w:fldData xml:space="preserve">PEVuZE5vdGU+PENpdGU+PEF1dGhvcj5MYW5ncmlkZ2U8L0F1dGhvcj48WWVhcj4yMDA3PC9ZZWFy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</w:fldData>
          </w:fldChar>
        </w:r>
        <w:r w:rsidR="00B24FEE">
          <w:instrText xml:space="preserve"> ADDIN EN.CITE </w:instrText>
        </w:r>
        <w:r w:rsidR="00B24FEE">
          <w:fldChar w:fldCharType="begin">
            <w:fldData xml:space="preserve">PEVuZE5vdGU+PENpdGU+PEF1dGhvcj5MYW5ncmlkZ2U8L0F1dGhvcj48WWVhcj4yMDA3PC9ZZWFy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</w:fldData>
          </w:fldChar>
        </w:r>
        <w:r w:rsidR="00B24FEE">
          <w:instrText xml:space="preserve"> ADDIN EN.CITE.DATA </w:instrText>
        </w:r>
        <w:r w:rsidR="00B24FEE">
          <w:fldChar w:fldCharType="end"/>
        </w:r>
        <w:r w:rsidR="00B24FEE">
          <w:fldChar w:fldCharType="separate"/>
        </w:r>
        <w:r w:rsidR="00B24FEE" w:rsidRPr="00B24FEE">
          <w:rPr>
            <w:noProof/>
            <w:vertAlign w:val="superscript"/>
          </w:rPr>
          <w:t>121</w:t>
        </w:r>
        <w:r w:rsidR="00B24FEE">
          <w:fldChar w:fldCharType="end"/>
        </w:r>
      </w:hyperlink>
      <w:r w:rsidRPr="00591BFC">
        <w:t>, and an extraordinarily high risk of early second hip fracture in a large Danish study</w:t>
      </w:r>
      <w:hyperlink w:anchor="_ENREF_122" w:tooltip="Nymark, 2006 #1199" w:history="1">
        <w:r w:rsidR="00B24FEE">
          <w:fldChar w:fldCharType="begin"/>
        </w:r>
        <w:r w:rsidR="00B24FEE">
          <w:instrText xml:space="preserve"> ADDIN EN.CITE &lt;EndNote&gt;&lt;Cite&gt;&lt;Author&gt;Nymark&lt;/Author&gt;&lt;Year&gt;2006&lt;/Year&gt;&lt;RecNum&gt;1199&lt;/RecNum&gt;&lt;DisplayText&gt;&lt;style face="superscript"&gt;122&lt;/style&gt;&lt;/DisplayText&gt;&lt;record&gt;&lt;rec-number&gt;1199&lt;/rec-number&gt;&lt;foreign-keys&gt;&lt;key app="EN" db-id="sxpszd2ti9dx04ewefrvfp5bpf5faazszr9p" timestamp="1435667703"&gt;1199&lt;/key&gt;&lt;/foreign-keys&gt;&lt;ref-type name="Journal Article"&gt;17&lt;/ref-type&gt;&lt;contributors&gt;&lt;authors&gt;&lt;author&gt;Nymark, T.&lt;/author&gt;&lt;author&gt;Lauritsen, J. M.&lt;/author&gt;&lt;author&gt;Ovesen, O.&lt;/author&gt;&lt;author&gt;Rock, N. D.&lt;/author&gt;&lt;author&gt;Jeune, B.&lt;/author&gt;&lt;/authors&gt;&lt;/contributors&gt;&lt;auth-address&gt;Department of Orthopaedics, Odense University Hospital, Sdr. Boulevard 29, 5000 Odense C, Denmark. tine.nymark@ouh.fyns-amt.uk&lt;/auth-address&gt;&lt;titles&gt;&lt;title&gt;Short time-frame from first to second hip fracture in the Funen County Hip Fracture Study&lt;/title&gt;&lt;secondary-title&gt;Osteoporos Int&lt;/secondary-title&gt;&lt;/titles&gt;&lt;periodical&gt;&lt;full-title&gt;Osteoporos Int&lt;/full-title&gt;&lt;/periodical&gt;&lt;pages&gt;1353-7&lt;/pages&gt;&lt;volume&gt;17&lt;/volume&gt;&lt;number&gt;9&lt;/number&gt;&lt;edition&gt;2006/07/11&lt;/edition&gt;&lt;keywords&gt;&lt;keyword&gt;Age Distribution&lt;/keyword&gt;&lt;keyword&gt;Aged&lt;/keyword&gt;&lt;keyword&gt;Aged, 80 and over&lt;/keyword&gt;&lt;keyword&gt;Denmark/epidemiology&lt;/keyword&gt;&lt;keyword&gt;Female&lt;/keyword&gt;&lt;keyword&gt;Frail Elderly/statistics &amp;amp; numerical data&lt;/keyword&gt;&lt;keyword&gt;Hip Fractures/*epidemiology&lt;/keyword&gt;&lt;keyword&gt;Humans&lt;/keyword&gt;&lt;keyword&gt;Incidence&lt;/keyword&gt;&lt;keyword&gt;Male&lt;/keyword&gt;&lt;keyword&gt;Middle Aged&lt;/keyword&gt;&lt;keyword&gt;Recurrence&lt;/keyword&gt;&lt;keyword&gt;Registries&lt;/keyword&gt;&lt;keyword&gt;Sex Factors&lt;/keyword&gt;&lt;keyword&gt;Time Factors&lt;/keyword&gt;&lt;/keywords&gt;&lt;dates&gt;&lt;year&gt;2006&lt;/year&gt;&lt;/dates&gt;&lt;isbn&gt;0937-941X (Print)&amp;#xD;0937-941X (Linking)&lt;/isbn&gt;&lt;accession-num&gt;16823545&lt;/accession-num&gt;&lt;urls&gt;&lt;related-urls&gt;&lt;url&gt;http://www.ncbi.nlm.nih.gov/pubmed/16823545&lt;/url&gt;&lt;/related-urls&gt;&lt;/urls&gt;&lt;electronic-resource-num&gt;10.1007/s00198-006-0125-y&lt;/electronic-resource-num&gt;&lt;language&gt;eng&lt;/language&gt;&lt;/record&gt;&lt;/Cite&gt;&lt;/EndNote&gt;</w:instrText>
        </w:r>
        <w:r w:rsidR="00B24FEE">
          <w:fldChar w:fldCharType="separate"/>
        </w:r>
        <w:r w:rsidR="00B24FEE" w:rsidRPr="00B24FEE">
          <w:rPr>
            <w:noProof/>
            <w:vertAlign w:val="superscript"/>
          </w:rPr>
          <w:t>122</w:t>
        </w:r>
        <w:r w:rsidR="00B24FEE">
          <w:fldChar w:fldCharType="end"/>
        </w:r>
      </w:hyperlink>
      <w:r w:rsidRPr="00591BFC">
        <w:t>. The high rate of early re-fracture combined with the delayed onset of fracture risk reduction associated with therapies recommended or dispensed within the orthogeriatric and FLS models of care here studied may have contributed to our finding of no impact on re-fracture risk. In order to detect whether the interventions had an impact on longer term re-fracture risk, we carried out a post-hoc analysis of second hip fracture risk, where extended follow up was used (where possible) and a time-varying hazards model to focus only on risk in the second and third years after a primary hip fracture. However, no significant changes in pooled estimates were found. Data on treatment initiation and adherence was not available in the HES dataset</w:t>
      </w:r>
      <w:r w:rsidRPr="00591BFC" w:rsidDel="00291F32">
        <w:t xml:space="preserve"> </w:t>
      </w:r>
      <w:r w:rsidRPr="00591BFC">
        <w:t>and therefore this issue could no</w:t>
      </w:r>
      <w:r w:rsidR="000D4504">
        <w:t>t be further investigated here.</w:t>
      </w:r>
    </w:p>
    <w:p w14:paraId="7A3CFC29" w14:textId="6312EE81" w:rsidR="00CF2E21" w:rsidRPr="00591BFC" w:rsidRDefault="00CF2E21" w:rsidP="00E86771">
      <w:pPr>
        <w:spacing w:line="360" w:lineRule="auto"/>
      </w:pPr>
      <w:r w:rsidRPr="00591BFC">
        <w:lastRenderedPageBreak/>
        <w:t>It has been noted that risk of subsequent fracture after hip fracture can be offset by increased post-fracture mortality</w:t>
      </w:r>
      <w:hyperlink w:anchor="_ENREF_123" w:tooltip="Curtis, 2010 #1202" w:history="1">
        <w:r w:rsidR="00B24FEE">
          <w:fldChar w:fldCharType="begin">
            <w:fldData xml:space="preserve">PEVuZE5vdGU+PENpdGU+PEF1dGhvcj5DdXJ0aXM8L0F1dGhvcj48WWVhcj4yMDEwPC9ZZWFyPjxS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</w:fldData>
          </w:fldChar>
        </w:r>
        <w:r w:rsidR="00B24FEE">
          <w:instrText xml:space="preserve"> ADDIN EN.CITE </w:instrText>
        </w:r>
        <w:r w:rsidR="00B24FEE">
          <w:fldChar w:fldCharType="begin">
            <w:fldData xml:space="preserve">PEVuZE5vdGU+PENpdGU+PEF1dGhvcj5DdXJ0aXM8L0F1dGhvcj48WWVhcj4yMDEwPC9ZZWFyPjxS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</w:fldData>
          </w:fldChar>
        </w:r>
        <w:r w:rsidR="00B24FEE">
          <w:instrText xml:space="preserve"> ADDIN EN.CITE.DATA </w:instrText>
        </w:r>
        <w:r w:rsidR="00B24FEE">
          <w:fldChar w:fldCharType="end"/>
        </w:r>
        <w:r w:rsidR="00B24FEE">
          <w:fldChar w:fldCharType="separate"/>
        </w:r>
        <w:r w:rsidR="00B24FEE" w:rsidRPr="00B24FEE">
          <w:rPr>
            <w:noProof/>
            <w:vertAlign w:val="superscript"/>
          </w:rPr>
          <w:t>123</w:t>
        </w:r>
        <w:r w:rsidR="00B24FEE">
          <w:fldChar w:fldCharType="end"/>
        </w:r>
      </w:hyperlink>
      <w:r w:rsidRPr="00591BFC">
        <w:t>, which has elsewhere been used to explain increasing re-fracture trends during 2000-2010</w:t>
      </w:r>
      <w:hyperlink w:anchor="_ENREF_124" w:tooltip="Gibson-Smith, 2014 #1209" w:history="1">
        <w:r w:rsidR="00B24FEE">
          <w:fldChar w:fldCharType="begin"/>
        </w:r>
        <w:r w:rsidR="00B24FEE">
          <w:instrText xml:space="preserve"> ADDIN EN.CITE &lt;EndNote&gt;&lt;Cite&gt;&lt;Author&gt;Gibson-Smith&lt;/Author&gt;&lt;Year&gt;2014&lt;/Year&gt;&lt;RecNum&gt;1209&lt;/RecNum&gt;&lt;DisplayText&gt;&lt;style face="superscript"&gt;124&lt;/style&gt;&lt;/DisplayText&gt;&lt;record&gt;&lt;rec-number&gt;1209&lt;/rec-number&gt;&lt;foreign-keys&gt;&lt;key app="EN" db-id="sxpszd2ti9dx04ewefrvfp5bpf5faazszr9p" timestamp="1435667862"&gt;1209&lt;/key&gt;&lt;/foreign-keys&gt;&lt;ref-type name="Journal Article"&gt;17&lt;/ref-type&gt;&lt;contributors&gt;&lt;authors&gt;&lt;author&gt;Gibson-Smith, D.&lt;/author&gt;&lt;author&gt;Klop, C.&lt;/author&gt;&lt;author&gt;Elders, P. J.&lt;/author&gt;&lt;author&gt;Welsing, P. M.&lt;/author&gt;&lt;author&gt;van Schoor, N.&lt;/author&gt;&lt;author&gt;Leufkens, H. G.&lt;/author&gt;&lt;author&gt;Harvey, N. C.&lt;/author&gt;&lt;author&gt;van Staa, T. P.&lt;/author&gt;&lt;author&gt;de Vries, F.&lt;/author&gt;&lt;/authors&gt;&lt;/contributors&gt;&lt;auth-address&gt;Utrecht Institute for Pharmaceutical Sciences, Utrecht University, Utrecht, The Netherlands.&lt;/auth-address&gt;&lt;titles&gt;&lt;title&gt;The risk of major and any (non-hip) fragility fracture after hip fracture in the United Kingdom: 2000-2010&lt;/title&gt;&lt;secondary-title&gt;Osteoporos Int&lt;/secondary-title&gt;&lt;/titles&gt;&lt;periodical&gt;&lt;full-title&gt;Osteoporos Int&lt;/full-title&gt;&lt;/periodical&gt;&lt;pages&gt;2555-63&lt;/pages&gt;&lt;volume&gt;25&lt;/volume&gt;&lt;number&gt;11&lt;/number&gt;&lt;edition&gt;2014/07/09&lt;/edition&gt;&lt;dates&gt;&lt;year&gt;2014&lt;/year&gt;&lt;pub-dates&gt;&lt;date&gt;Nov&lt;/date&gt;&lt;/pub-dates&gt;&lt;/dates&gt;&lt;isbn&gt;1433-2965 (Electronic)&amp;#xD;0937-941X (Linking)&lt;/isbn&gt;&lt;accession-num&gt;25001987&lt;/accession-num&gt;&lt;urls&gt;&lt;related-urls&gt;&lt;url&gt;http://www.ncbi.nlm.nih.gov/pubmed/25001987&lt;/url&gt;&lt;/related-urls&gt;&lt;/urls&gt;&lt;electronic-resource-num&gt;10.1007/s00198-014-2799-x&lt;/electronic-resource-num&gt;&lt;language&gt;eng&lt;/language&gt;&lt;/record&gt;&lt;/Cite&gt;&lt;/EndNote&gt;</w:instrText>
        </w:r>
        <w:r w:rsidR="00B24FEE">
          <w:fldChar w:fldCharType="separate"/>
        </w:r>
        <w:r w:rsidR="00B24FEE" w:rsidRPr="00B24FEE">
          <w:rPr>
            <w:noProof/>
            <w:vertAlign w:val="superscript"/>
          </w:rPr>
          <w:t>124</w:t>
        </w:r>
        <w:r w:rsidR="00B24FEE">
          <w:fldChar w:fldCharType="end"/>
        </w:r>
      </w:hyperlink>
      <w:r w:rsidR="00992D01" w:rsidRPr="00591BFC">
        <w:t>.</w:t>
      </w:r>
      <w:r w:rsidRPr="00591BFC">
        <w:t xml:space="preserve"> It is possible this dependency of fracture risk on mortality may be a contributory factor to the lack of beneficial impact on second fracture rate here observed. Given the overall ensuing improvement in survival after the introduction and/or expansion of orthogeriatric and FLS models of care, re-fracture risk would be expected to increase over the period of time from which excess mortality was reduced.</w:t>
      </w:r>
    </w:p>
    <w:p w14:paraId="10A2A350" w14:textId="6EE7A366" w:rsidR="00CF2E21" w:rsidRPr="00591BFC" w:rsidRDefault="00CF2E21" w:rsidP="00E86771">
      <w:pPr>
        <w:spacing w:line="360" w:lineRule="auto"/>
      </w:pPr>
      <w:r w:rsidRPr="00591BFC">
        <w:t>To our knowledge this is the first study to evaluate orthogeriatric or FLS models of care in terms of impact on hip re-fracture rate after hip fracture. Our finding of no impact may seem surprising given the positive results from the Kaiser Southern California Healthy Bones Program (Kaiser SCAL) study</w:t>
      </w:r>
      <w:hyperlink w:anchor="_ENREF_93" w:tooltip="Dell, 2008 #39" w:history="1">
        <w:r w:rsidR="00B24FEE">
          <w:fldChar w:fldCharType="begin"/>
        </w:r>
        <w:r w:rsidR="00B24FEE">
          <w:instrText xml:space="preserve"> ADDIN EN.CITE &lt;EndNote&gt;&lt;Cite&gt;&lt;Author&gt;Dell&lt;/Author&gt;&lt;Year&gt;2008&lt;/Year&gt;&lt;RecNum&gt;39&lt;/RecNum&gt;&lt;DisplayText&gt;&lt;style face="superscript"&gt;93&lt;/style&gt;&lt;/DisplayText&gt;&lt;record&gt;&lt;rec-number&gt;39&lt;/rec-number&gt;&lt;foreign-keys&gt;&lt;key app="EN" db-id="sxpszd2ti9dx04ewefrvfp5bpf5faazszr9p" timestamp="0"&gt;39&lt;/key&gt;&lt;/foreign-keys&gt;&lt;ref-type name="Journal Article"&gt;17&lt;/ref-type&gt;&lt;contributors&gt;&lt;authors&gt;&lt;author&gt;Dell, R. Greene, D. Schelkun, S. R. Williams, K.&lt;/author&gt;&lt;/authors&gt;&lt;/contributors&gt;&lt;titles&gt;&lt;title&gt;Osteoporosis disease management: the role of the orthopaedic surgeon&lt;/title&gt;&lt;secondary-title&gt;J Bone Joint Surg Am&lt;/secondary-title&gt;&lt;short-title&gt;MEDLINE&lt;/short-title&gt;&lt;/titles&gt;&lt;periodical&gt;&lt;full-title&gt;J Bone Joint Surg Am&lt;/full-title&gt;&lt;/periodical&gt;&lt;pages&gt;188-94&lt;/pages&gt;&lt;volume&gt;90&lt;/volume&gt;&lt;number&gt;Suppl 4&lt;/number&gt;&lt;dates&gt;&lt;year&gt;2008&lt;/year&gt;&lt;/dates&gt;&lt;urls&gt;&lt;pdf-urls&gt;&lt;url&gt;Dell, Richard&lt;/url&gt;&lt;url&gt;Greene, Denise&lt;/url&gt;&lt;url&gt;Schelkun, Steven R&lt;/url&gt;&lt;url&gt;Williams, Kathy&lt;/url&gt;&lt;/pdf-urls&gt;&lt;/urls&gt;&lt;remote-database-name&gt;Ovid MEDLINE(R)&lt;/remote-database-name&gt;&lt;remote-database-provider&gt;2008 Nov&lt;/remote-database-provider&gt;&lt;/record&gt;&lt;/Cite&gt;&lt;/EndNote&gt;</w:instrText>
        </w:r>
        <w:r w:rsidR="00B24FEE">
          <w:fldChar w:fldCharType="separate"/>
        </w:r>
        <w:r w:rsidR="00B24FEE" w:rsidRPr="00B24FEE">
          <w:rPr>
            <w:noProof/>
            <w:vertAlign w:val="superscript"/>
          </w:rPr>
          <w:t>93</w:t>
        </w:r>
        <w:r w:rsidR="00B24FEE">
          <w:fldChar w:fldCharType="end"/>
        </w:r>
      </w:hyperlink>
      <w:r w:rsidRPr="00591BFC">
        <w:t xml:space="preserve">. Kaiser SCAL reported an overall 37% reduction in hip fracture rate associated with the introduction of intensive champion-led multi-disciplinary osteoporosis disease management programmes across 11 medical centres. Key differences in study design between the Kaiser SCAL study and our own may account for the dissimilar findings, notably their consideration of all hip fractures rather than only re-fracture and that the authors estimated the exponential rise in hip fractures for 2006 from observed rates in </w:t>
      </w:r>
      <w:r w:rsidRPr="00591BFC">
        <w:rPr>
          <w:bCs/>
        </w:rPr>
        <w:t>1997-9.</w:t>
      </w:r>
      <w:r w:rsidRPr="00591BFC">
        <w:t xml:space="preserve"> Furthermore, the Kaiser SCAL programme took place in a highly integrated setting where members received &gt;95% of all medical care at the centres involved in the programme.</w:t>
      </w:r>
    </w:p>
    <w:p w14:paraId="4A5FF5A0" w14:textId="2E01FD4E" w:rsidR="00CF2E21" w:rsidRPr="00591BFC" w:rsidRDefault="00CF2E21" w:rsidP="00E86771">
      <w:pPr>
        <w:spacing w:line="360" w:lineRule="auto"/>
      </w:pPr>
      <w:r w:rsidRPr="00591BFC">
        <w:t>Implementation of osteoporosis and fall prevention guidelines has also been reported to be associated with a significant reduction in subsequent fracture risk after a non-vertebral index fragility fracture</w:t>
      </w:r>
      <w:hyperlink w:anchor="_ENREF_98" w:tooltip="Huntjens, 2011 #1151" w:history="1">
        <w:r w:rsidR="00B24FEE">
          <w:fldChar w:fldCharType="begin">
            <w:fldData xml:space="preserve">PEVuZE5vdGU+PENpdGU+PEF1dGhvcj5IdW50amVuczwvQXV0aG9yPjxZZWFyPjIwMTE8L1llYXI+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</w:fldData>
          </w:fldChar>
        </w:r>
        <w:r w:rsidR="00B24FEE">
          <w:instrText xml:space="preserve"> ADDIN EN.CITE </w:instrText>
        </w:r>
        <w:r w:rsidR="00B24FEE">
          <w:fldChar w:fldCharType="begin">
            <w:fldData xml:space="preserve">PEVuZE5vdGU+PENpdGU+PEF1dGhvcj5IdW50amVuczwvQXV0aG9yPjxZZWFyPjIwMTE8L1llYXI+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</w:fldData>
          </w:fldChar>
        </w:r>
        <w:r w:rsidR="00B24FEE">
          <w:instrText xml:space="preserve"> ADDIN EN.CITE.DATA </w:instrText>
        </w:r>
        <w:r w:rsidR="00B24FEE">
          <w:fldChar w:fldCharType="end"/>
        </w:r>
        <w:r w:rsidR="00B24FEE">
          <w:fldChar w:fldCharType="separate"/>
        </w:r>
        <w:r w:rsidR="00B24FEE" w:rsidRPr="00B24FEE">
          <w:rPr>
            <w:noProof/>
            <w:vertAlign w:val="superscript"/>
          </w:rPr>
          <w:t>98</w:t>
        </w:r>
        <w:r w:rsidR="00B24FEE">
          <w:fldChar w:fldCharType="end"/>
        </w:r>
      </w:hyperlink>
      <w:r w:rsidRPr="00591BFC">
        <w:t xml:space="preserve">. Similarly, fracture patients receiving care within the intervention programme at Concord Repatriation General Hospital (Sydney, Australia) were found to be at 80% reduced risk of subsequent fracture compared to patients electing standard care </w:t>
      </w:r>
      <w:hyperlink w:anchor="_ENREF_26" w:tooltip="Lih, 2011 #54" w:history="1">
        <w:r w:rsidR="00B24FEE">
          <w:fldChar w:fldCharType="begin"/>
        </w:r>
        <w:r w:rsidR="00B24FEE">
          <w:instrText xml:space="preserve"> ADDIN EN.CITE &lt;EndNote&gt;&lt;Cite&gt;&lt;Author&gt;Lih&lt;/Author&gt;&lt;Year&gt;2011&lt;/Year&gt;&lt;RecNum&gt;54&lt;/RecNum&gt;&lt;DisplayText&gt;&lt;style face="superscript"&gt;26&lt;/style&gt;&lt;/DisplayText&gt;&lt;record&gt;&lt;rec-number&gt;54&lt;/rec-number&gt;&lt;foreign-keys&gt;&lt;key app="EN" db-id="sxpszd2ti9dx04ewefrvfp5bpf5faazszr9p" timestamp="0"&gt;54&lt;/key&gt;&lt;/foreign-keys&gt;&lt;ref-type name="Journal Article"&gt;17&lt;/ref-type&gt;&lt;contributors&gt;&lt;authors&gt;&lt;author&gt;Lih, A.&lt;/author&gt;&lt;author&gt;Nandapalan, H.&lt;/author&gt;&lt;author&gt;Kim, M.&lt;/author&gt;&lt;author&gt;Yap, C.&lt;/author&gt;&lt;author&gt;Lee, P.&lt;/author&gt;&lt;author&gt;Ganda, K.&lt;/author&gt;&lt;author&gt;Seibel, M.&lt;/author&gt;&lt;/authors&gt;&lt;/contributors&gt;&lt;titles&gt;&lt;title&gt;Targeted intervention reduces refracture rates in patients with incident non-vertebral osteoporotic fractures: a 4-year prospective controlled study&lt;/title&gt;&lt;secondary-title&gt;Osteoporosis International&lt;/secondary-title&gt;&lt;/titles&gt;&lt;pages&gt;849-858&lt;/pages&gt;&lt;volume&gt;22&lt;/volume&gt;&lt;number&gt;3&lt;/number&gt;&lt;keywords&gt;&lt;keyword&gt;Medicine&lt;/keyword&gt;&lt;/keywords&gt;&lt;dates&gt;&lt;year&gt;2011&lt;/year&gt;&lt;/dates&gt;&lt;publisher&gt;Springer London&lt;/publisher&gt;&lt;isbn&gt;0937-941X&lt;/isbn&gt;&lt;urls&gt;&lt;related-urls&gt;&lt;url&gt;http://dx.doi.org/10.1007/s00198-010-1477-x&lt;/url&gt;&lt;/related-urls&gt;&lt;/urls&gt;&lt;electronic-resource-num&gt;10.1007/s00198-010-1477-x&lt;/electronic-resource-num&gt;&lt;/record&gt;&lt;/Cite&gt;&lt;/EndNote&gt;</w:instrText>
        </w:r>
        <w:r w:rsidR="00B24FEE">
          <w:fldChar w:fldCharType="separate"/>
        </w:r>
        <w:r w:rsidR="00B24FEE" w:rsidRPr="00B24FEE">
          <w:rPr>
            <w:noProof/>
            <w:vertAlign w:val="superscript"/>
          </w:rPr>
          <w:t>26</w:t>
        </w:r>
        <w:r w:rsidR="00B24FEE">
          <w:fldChar w:fldCharType="end"/>
        </w:r>
      </w:hyperlink>
      <w:r w:rsidRPr="00591BFC">
        <w:t>. It is likely however that a proportion of the difference reported reflects selection bias with worse co-morbidities in those who did not attend and better health-seeking behaviour in those that did (95% remained on initial treatment throughout the study period). It is also important to note that these previous analyses considered re-fracture after any index fragility non-vertebral fracture as oppose</w:t>
      </w:r>
      <w:r w:rsidR="000D4504">
        <w:t>d to our focus on hip fracture.</w:t>
      </w:r>
    </w:p>
    <w:p w14:paraId="5E5ED27D" w14:textId="77777777" w:rsidR="00CF2E21" w:rsidRPr="00591BFC" w:rsidRDefault="00CF2E21" w:rsidP="00E86771">
      <w:pPr>
        <w:pStyle w:val="Heading3"/>
        <w:spacing w:line="360" w:lineRule="auto"/>
        <w:rPr>
          <w:rFonts w:ascii="Calibri" w:hAnsi="Calibri"/>
          <w:lang w:val="en-GB"/>
        </w:rPr>
      </w:pPr>
      <w:bookmarkStart w:id="241" w:name="_Toc308300769"/>
      <w:bookmarkStart w:id="242" w:name="_Toc311366576"/>
      <w:r w:rsidRPr="00591BFC">
        <w:rPr>
          <w:rFonts w:ascii="Calibri" w:hAnsi="Calibri"/>
          <w:lang w:val="en-GB"/>
        </w:rPr>
        <w:t>Strengths and limitations</w:t>
      </w:r>
      <w:bookmarkEnd w:id="241"/>
      <w:bookmarkEnd w:id="242"/>
    </w:p>
    <w:p w14:paraId="76BDFDAB" w14:textId="77777777" w:rsidR="00CF2E21" w:rsidRPr="00591BFC" w:rsidRDefault="00CF2E21" w:rsidP="00E86771">
      <w:pPr>
        <w:spacing w:line="360" w:lineRule="auto"/>
      </w:pPr>
      <w:r w:rsidRPr="00591BFC">
        <w:t xml:space="preserve">A major strength of the present analysis is the use of a natural experimental design where each hospital acted as its own control in a before-after impact analysis. The comprehensive nature of the HES database allowed for case mix adjustment to estimates of intervention impact and thereby aiding transparency of such comparisons over the time course through the controlling for age, sex and Charlson comorbidities index. Clinical audit findings provided detailed descriptions of all major </w:t>
      </w:r>
      <w:r w:rsidRPr="00591BFC">
        <w:lastRenderedPageBreak/>
        <w:t xml:space="preserve">changes to service delivery of post-hip fracture care and secondary fracture prevention during the study period in each relevant hospital, enabling the timing and nature of each intervention to be described a-priori. Our definition of primary hip fracture was robust and addressed the possibility of erroneously identifying re-admissions as second hip fractures by only counting second hip fractures sustained in a separate CIPS and after 30 days after the primary admission. </w:t>
      </w:r>
    </w:p>
    <w:p w14:paraId="71B9776A" w14:textId="77777777" w:rsidR="00CF2E21" w:rsidRPr="00591BFC" w:rsidRDefault="00CF2E21" w:rsidP="00E86771">
      <w:pPr>
        <w:spacing w:line="360" w:lineRule="auto"/>
      </w:pPr>
    </w:p>
    <w:p w14:paraId="732705BB" w14:textId="77777777" w:rsidR="00CF2E21" w:rsidRPr="00591BFC" w:rsidRDefault="00CF2E21" w:rsidP="00E86771">
      <w:pPr>
        <w:spacing w:line="360" w:lineRule="auto"/>
        <w:rPr>
          <w:color w:val="C0504D"/>
        </w:rPr>
      </w:pPr>
      <w:r w:rsidRPr="00591BFC">
        <w:t>A main limitation of our analysis is that confounding events coinciding with the interventions of interest here evaluated cannot be ruled out.  We consider this is unlikely given the estimated impact on each health outcome was consistent across hospitals and for interventions that occurred at different time points over the study period. Secular trend may also have introduced bias into impact estimates, however this issue was addressed by excluding from analyses those estimates of impact for interventions that were preceded by a significant trend in the respective health outcome (two estimates of impact on 1-year mortality were hence excluded). While we have pooled service model interventions according to a broad definition of either orthogeriatric or FLS models of care, further aspects of these interventions were subject to variation and were not able to be included, such as processes used to case find, DXA scanning and the undertaking of falls prevention. While such details were not controlled for in analyses, details of each intervention are provided (</w:t>
      </w:r>
      <w:r w:rsidR="00B36F9D" w:rsidRPr="00591BFC">
        <w:rPr>
          <w:i/>
        </w:rPr>
        <w:t>A</w:t>
      </w:r>
      <w:r w:rsidR="009573AF" w:rsidRPr="00591BFC">
        <w:rPr>
          <w:i/>
        </w:rPr>
        <w:t>ppendi</w:t>
      </w:r>
      <w:r w:rsidR="00B36F9D" w:rsidRPr="00591BFC">
        <w:rPr>
          <w:i/>
        </w:rPr>
        <w:t>ces</w:t>
      </w:r>
      <w:r w:rsidR="009573AF" w:rsidRPr="00591BFC">
        <w:rPr>
          <w:i/>
        </w:rPr>
        <w:t xml:space="preserve"> </w:t>
      </w:r>
      <w:r w:rsidR="00B36F9D" w:rsidRPr="00591BFC">
        <w:rPr>
          <w:i/>
        </w:rPr>
        <w:t>5-8</w:t>
      </w:r>
      <w:r w:rsidRPr="00591BFC">
        <w:t xml:space="preserve">). We were also unable to compare at the patient level, rates of </w:t>
      </w:r>
      <w:r w:rsidR="00C748C7" w:rsidRPr="00591BFC">
        <w:t>diagnostic</w:t>
      </w:r>
      <w:r w:rsidRPr="00591BFC">
        <w:t xml:space="preserve"> testing and </w:t>
      </w:r>
      <w:r w:rsidR="00C748C7" w:rsidRPr="00591BFC">
        <w:t>medication</w:t>
      </w:r>
      <w:r w:rsidRPr="00591BFC">
        <w:t xml:space="preserve"> use. It also needs to be noted that</w:t>
      </w:r>
      <w:r w:rsidRPr="00591BFC">
        <w:rPr>
          <w:color w:val="C0504D"/>
        </w:rPr>
        <w:t xml:space="preserve"> </w:t>
      </w:r>
      <w:r w:rsidRPr="00591BFC">
        <w:t>given our concentration on health outcomes after hip fracture in this evaluation, our findings may not reflect the effectiveness of models of care among patients having sustained a non-hip fragility fracture.</w:t>
      </w:r>
      <w:r w:rsidR="002F4678">
        <w:t xml:space="preserve"> </w:t>
      </w:r>
      <w:r w:rsidR="002F4678" w:rsidRPr="002F4678">
        <w:t xml:space="preserve">A limitation is that routine hospital admissions data is collected for administrative rather than research purposes and concerns have been raised over the completeness and accuracy of such data. Lastly, HES data underestimates the total number of </w:t>
      </w:r>
      <w:r w:rsidR="002F4678">
        <w:t>admissions</w:t>
      </w:r>
      <w:r w:rsidR="002F4678" w:rsidRPr="002F4678">
        <w:t xml:space="preserve"> by excluding a minority of privately funded </w:t>
      </w:r>
      <w:r w:rsidR="002F4678">
        <w:t>procedures</w:t>
      </w:r>
      <w:r w:rsidR="002F4678" w:rsidRPr="002F4678">
        <w:t xml:space="preserve">, but this unlikely to bias the observed results.  </w:t>
      </w:r>
    </w:p>
    <w:p w14:paraId="3B13CA40" w14:textId="77777777" w:rsidR="00CF2E21" w:rsidRPr="00591BFC" w:rsidRDefault="00CF2E21" w:rsidP="00E86771">
      <w:pPr>
        <w:spacing w:line="360" w:lineRule="auto"/>
      </w:pPr>
    </w:p>
    <w:p w14:paraId="0142C1B6" w14:textId="77777777" w:rsidR="00CF2E21" w:rsidRPr="00591BFC" w:rsidRDefault="00CF2E21" w:rsidP="00E86771">
      <w:pPr>
        <w:pStyle w:val="Heading3"/>
        <w:spacing w:line="360" w:lineRule="auto"/>
        <w:rPr>
          <w:rFonts w:ascii="Calibri" w:hAnsi="Calibri"/>
          <w:lang w:val="en-GB"/>
        </w:rPr>
      </w:pPr>
      <w:bookmarkStart w:id="243" w:name="_Toc308300770"/>
      <w:bookmarkStart w:id="244" w:name="_Toc311366577"/>
      <w:r w:rsidRPr="00591BFC">
        <w:rPr>
          <w:rFonts w:ascii="Calibri" w:hAnsi="Calibri"/>
          <w:lang w:val="en-GB"/>
        </w:rPr>
        <w:t>Conclusions</w:t>
      </w:r>
      <w:bookmarkEnd w:id="243"/>
      <w:bookmarkEnd w:id="244"/>
    </w:p>
    <w:p w14:paraId="790E0907" w14:textId="6CF134E5" w:rsidR="00CF2E21" w:rsidRPr="00DB4F65" w:rsidRDefault="00CF2E21" w:rsidP="00E86771">
      <w:pPr>
        <w:spacing w:line="360" w:lineRule="auto"/>
        <w:rPr>
          <w:b/>
        </w:rPr>
      </w:pPr>
      <w:r w:rsidRPr="00591BFC">
        <w:t xml:space="preserve">In conclusion, this study provides evidence that the introduction and/or expansion of orthogeriatric and FLS models of care </w:t>
      </w:r>
      <w:r w:rsidR="00591D08">
        <w:t>are associated with</w:t>
      </w:r>
      <w:r w:rsidR="00591D08" w:rsidRPr="00591BFC">
        <w:t xml:space="preserve"> </w:t>
      </w:r>
      <w:r w:rsidRPr="00591BFC">
        <w:t>a large beneficial effect on subsequent mortality after hip fracture. There was no evidence for a reduction in second hip fracture rate, but the effect on non-hip fracture remains unanswered, as these outcomes cannot be ascertained within the secondary care setting of this study.</w:t>
      </w:r>
    </w:p>
    <w:p w14:paraId="2431AFA0" w14:textId="77777777" w:rsidR="009B1A50" w:rsidRPr="00591BFC" w:rsidRDefault="009B1A50" w:rsidP="00E86771">
      <w:pPr>
        <w:pStyle w:val="Heading1"/>
        <w:spacing w:line="360" w:lineRule="auto"/>
        <w:rPr>
          <w:rFonts w:ascii="Calibri" w:hAnsi="Calibri"/>
          <w:lang w:val="en-GB"/>
        </w:rPr>
      </w:pPr>
      <w:bookmarkStart w:id="245" w:name="_Toc308300771"/>
      <w:bookmarkStart w:id="246" w:name="_Toc311366578"/>
      <w:r w:rsidRPr="00591BFC">
        <w:rPr>
          <w:rFonts w:ascii="Calibri" w:hAnsi="Calibri"/>
          <w:lang w:val="en-GB"/>
        </w:rPr>
        <w:lastRenderedPageBreak/>
        <w:t xml:space="preserve">Chapter </w:t>
      </w:r>
      <w:r w:rsidR="00BB67BB" w:rsidRPr="00591BFC">
        <w:rPr>
          <w:rFonts w:ascii="Calibri" w:hAnsi="Calibri"/>
          <w:lang w:val="en-GB"/>
        </w:rPr>
        <w:t>6</w:t>
      </w:r>
      <w:r w:rsidRPr="00591BFC">
        <w:rPr>
          <w:rFonts w:ascii="Calibri" w:hAnsi="Calibri"/>
          <w:lang w:val="en-GB"/>
        </w:rPr>
        <w:t xml:space="preserve"> Effect of national guidelines on rates of hip fracture, non-hip fracture and life expectancy using national datasets</w:t>
      </w:r>
      <w:bookmarkEnd w:id="245"/>
      <w:bookmarkEnd w:id="246"/>
    </w:p>
    <w:p w14:paraId="212B43D3" w14:textId="77777777" w:rsidR="009B1A50" w:rsidRPr="00591BFC" w:rsidRDefault="009B1A50" w:rsidP="00E86771">
      <w:pPr>
        <w:spacing w:line="360" w:lineRule="auto"/>
      </w:pPr>
    </w:p>
    <w:p w14:paraId="13D5C00F" w14:textId="77777777" w:rsidR="00514F6A" w:rsidRPr="00275217" w:rsidRDefault="00514F6A" w:rsidP="00E86771">
      <w:pPr>
        <w:pStyle w:val="Heading2"/>
        <w:spacing w:line="360" w:lineRule="auto"/>
      </w:pPr>
      <w:bookmarkStart w:id="247" w:name="_Toc418859302"/>
      <w:bookmarkStart w:id="248" w:name="_Toc308300772"/>
      <w:bookmarkStart w:id="249" w:name="_Toc311366579"/>
      <w:r w:rsidRPr="00275217">
        <w:t>Introduction</w:t>
      </w:r>
      <w:bookmarkEnd w:id="247"/>
      <w:bookmarkEnd w:id="248"/>
      <w:bookmarkEnd w:id="249"/>
    </w:p>
    <w:p w14:paraId="0A35C117" w14:textId="5A0C50CC" w:rsidR="002F22E9" w:rsidRPr="002F22E9" w:rsidRDefault="002F22E9" w:rsidP="00591278">
      <w:pPr>
        <w:spacing w:line="360" w:lineRule="auto"/>
      </w:pPr>
      <w:bookmarkStart w:id="250" w:name="_Toc418859304"/>
      <w:r w:rsidRPr="002F22E9">
        <w:t>For patients admitted with a fragility fracture of the hip, there remains wide variation in clinical outcomes including mortality between sites even after case mix adjustment</w:t>
      </w:r>
      <w:hyperlink w:anchor="_ENREF_17" w:tooltip="Johansen, 2013 #73" w:history="1">
        <w:r w:rsidR="00B24FEE">
          <w:fldChar w:fldCharType="begin"/>
        </w:r>
        <w:r w:rsidR="00B24FEE">
          <w:instrText xml:space="preserve"> ADDIN EN.CITE &lt;EndNote&gt;&lt;Cite&gt;&lt;Author&gt;Johansen&lt;/Author&gt;&lt;Year&gt;2013&lt;/Year&gt;&lt;RecNum&gt;73&lt;/RecNum&gt;&lt;DisplayText&gt;&lt;style face="superscript"&gt;17&lt;/style&gt;&lt;/DisplayText&gt;&lt;record&gt;&lt;rec-number&gt;73&lt;/rec-number&gt;&lt;foreign-keys&gt;&lt;key app="EN" db-id="sxpszd2ti9dx04ewefrvfp5bpf5faazszr9p" timestamp="0"&gt;73&lt;/key&gt;&lt;/foreign-keys&gt;&lt;ref-type name="Report"&gt;27&lt;/ref-type&gt;&lt;contributors&gt;&lt;authors&gt;&lt;author&gt;Johansen, A.&lt;/author&gt;&lt;author&gt;Wakeman, R.&lt;/author&gt;&lt;author&gt;Boulton, C.&lt;/author&gt;&lt;author&gt;Plant, F.&lt;/author&gt;&lt;author&gt;Roberts, J.&lt;/author&gt;&lt;author&gt;Williams, A.&lt;/author&gt;&lt;/authors&gt;&lt;/contributors&gt;&lt;titles&gt;&lt;title&gt;National Hip Fracture Database. National report 2013&lt;/title&gt;&lt;/titles&gt;&lt;dates&gt;&lt;year&gt;2013&lt;/year&gt;&lt;/dates&gt;&lt;urls&gt;&lt;/urls&gt;&lt;/record&gt;&lt;/Cite&gt;&lt;/EndNote&gt;</w:instrText>
        </w:r>
        <w:r w:rsidR="00B24FEE">
          <w:fldChar w:fldCharType="separate"/>
        </w:r>
        <w:r w:rsidR="00B24FEE" w:rsidRPr="00B24FEE">
          <w:rPr>
            <w:noProof/>
            <w:vertAlign w:val="superscript"/>
          </w:rPr>
          <w:t>17</w:t>
        </w:r>
        <w:r w:rsidR="00B24FEE">
          <w:fldChar w:fldCharType="end"/>
        </w:r>
      </w:hyperlink>
      <w:r w:rsidRPr="002F22E9">
        <w:t>. The purpose of clinical guidelines is to inform decision making to deliver high value health care across the health care system and minimi</w:t>
      </w:r>
      <w:r w:rsidR="001F0197">
        <w:t>s</w:t>
      </w:r>
      <w:r w:rsidRPr="002F22E9">
        <w:t>e deleterious variations. Guidelines are based on evidence and then take into account feasibil</w:t>
      </w:r>
      <w:r w:rsidR="00522C0F">
        <w:t>i</w:t>
      </w:r>
      <w:r w:rsidRPr="002F22E9">
        <w:t>ty, equity and politics to develop policy and national guidance</w:t>
      </w:r>
      <w:hyperlink w:anchor="_ENREF_125" w:tooltip="Whitworth, 2006 #1106" w:history="1">
        <w:r w:rsidR="00B24FEE">
          <w:fldChar w:fldCharType="begin"/>
        </w:r>
        <w:r w:rsidR="00B24FEE">
          <w:instrText xml:space="preserve"> ADDIN EN.CITE &lt;EndNote&gt;&lt;Cite&gt;&lt;Author&gt;Whitworth&lt;/Author&gt;&lt;Year&gt;2006&lt;/Year&gt;&lt;RecNum&gt;1106&lt;/RecNum&gt;&lt;DisplayText&gt;&lt;style face="superscript"&gt;125&lt;/style&gt;&lt;/DisplayText&gt;&lt;record&gt;&lt;rec-number&gt;1106&lt;/rec-number&gt;&lt;foreign-keys&gt;&lt;key app="EN" db-id="sxpszd2ti9dx04ewefrvfp5bpf5faazszr9p" timestamp="1435657711"&gt;1106&lt;/key&gt;&lt;/foreign-keys&gt;&lt;ref-type name="Journal Article"&gt;17&lt;/ref-type&gt;&lt;contributors&gt;&lt;authors&gt;&lt;author&gt;Whitworth, J. A.&lt;/author&gt;&lt;/authors&gt;&lt;/contributors&gt;&lt;titles&gt;&lt;title&gt;Best practices in use of research evidence to inform health decisions&lt;/title&gt;&lt;secondary-title&gt;Health Res Policy Syst&lt;/secondary-title&gt;&lt;/titles&gt;&lt;periodical&gt;&lt;full-title&gt;Health Res Policy Syst&lt;/full-title&gt;&lt;/periodical&gt;&lt;pages&gt;11&lt;/pages&gt;&lt;volume&gt;4&lt;/volume&gt;&lt;edition&gt;2006/11/23&lt;/edition&gt;&lt;dates&gt;&lt;year&gt;2006&lt;/year&gt;&lt;/dates&gt;&lt;isbn&gt;1478-4505 (Electronic)&amp;#xD;1478-4505 (Linking)&lt;/isbn&gt;&lt;accession-num&gt;17116253&lt;/accession-num&gt;&lt;urls&gt;&lt;related-urls&gt;&lt;url&gt;http://www.ncbi.nlm.nih.gov/pubmed/17116253&lt;/url&gt;&lt;/related-urls&gt;&lt;/urls&gt;&lt;custom2&gt;1665444&lt;/custom2&gt;&lt;electronic-resource-num&gt;1478-4505-4-11 [pii]&amp;#xD;10.1186/1478-4505-4-11&lt;/electronic-resource-num&gt;&lt;language&gt;eng&lt;/language&gt;&lt;/record&gt;&lt;/Cite&gt;&lt;/EndNote&gt;</w:instrText>
        </w:r>
        <w:r w:rsidR="00B24FEE">
          <w:fldChar w:fldCharType="separate"/>
        </w:r>
        <w:r w:rsidR="00B24FEE" w:rsidRPr="00B24FEE">
          <w:rPr>
            <w:noProof/>
            <w:vertAlign w:val="superscript"/>
          </w:rPr>
          <w:t>125</w:t>
        </w:r>
        <w:r w:rsidR="00B24FEE">
          <w:fldChar w:fldCharType="end"/>
        </w:r>
      </w:hyperlink>
      <w:r w:rsidRPr="002F22E9">
        <w:t>. In the UK, secondary prevention of fracture is underutili</w:t>
      </w:r>
      <w:r w:rsidR="001F0197">
        <w:t>s</w:t>
      </w:r>
      <w:r w:rsidRPr="002F22E9">
        <w:t>ed and widely neglected</w:t>
      </w:r>
      <w:hyperlink w:anchor="_ENREF_1" w:tooltip="British Orthopaedic Association, 2007 #25" w:history="1">
        <w:r w:rsidR="00B24FEE">
          <w:fldChar w:fldCharType="begin"/>
        </w:r>
        <w:r w:rsidR="00B24FEE">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fldChar w:fldCharType="separate"/>
        </w:r>
        <w:r w:rsidR="00B24FEE" w:rsidRPr="00B24FEE">
          <w:rPr>
            <w:noProof/>
            <w:vertAlign w:val="superscript"/>
          </w:rPr>
          <w:t>1</w:t>
        </w:r>
        <w:r w:rsidR="00B24FEE">
          <w:fldChar w:fldCharType="end"/>
        </w:r>
      </w:hyperlink>
      <w:r w:rsidRPr="002F22E9">
        <w:t>.</w:t>
      </w:r>
      <w:r w:rsidR="000D4504">
        <w:t xml:space="preserve"> </w:t>
      </w:r>
      <w:r w:rsidRPr="002F22E9">
        <w:t xml:space="preserve">One of the metrics for the success of a guideline is its effect on important clinical outcomes. </w:t>
      </w:r>
    </w:p>
    <w:p w14:paraId="4B3D4754" w14:textId="2B76209C" w:rsidR="002F22E9" w:rsidRDefault="002F22E9" w:rsidP="00591278">
      <w:pPr>
        <w:spacing w:line="360" w:lineRule="auto"/>
      </w:pPr>
      <w:r w:rsidRPr="002F22E9">
        <w:t>Over the past decade guidance from a number of professional bodies has been published for the management of hip fracture patients (BOA Blue Book</w:t>
      </w:r>
      <w:hyperlink w:anchor="_ENREF_1" w:tooltip="British Orthopaedic Association, 2007 #25" w:history="1">
        <w:r w:rsidR="00B24FEE">
          <w:fldChar w:fldCharType="begin"/>
        </w:r>
        <w:r w:rsidR="00B24FEE">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fldChar w:fldCharType="separate"/>
        </w:r>
        <w:r w:rsidR="00B24FEE" w:rsidRPr="00B24FEE">
          <w:rPr>
            <w:noProof/>
            <w:vertAlign w:val="superscript"/>
          </w:rPr>
          <w:t>1</w:t>
        </w:r>
        <w:r w:rsidR="00B24FEE">
          <w:fldChar w:fldCharType="end"/>
        </w:r>
      </w:hyperlink>
      <w:r w:rsidRPr="002F22E9">
        <w:t>, SIGN</w:t>
      </w:r>
      <w:hyperlink w:anchor="_ENREF_14" w:tooltip="Scottish Intercollegiate Guidelines Network, 2009 #26" w:history="1">
        <w:r w:rsidR="00B24FEE">
          <w:fldChar w:fldCharType="begin"/>
        </w:r>
        <w:r w:rsidR="00B24FEE">
          <w:instrText xml:space="preserve"> ADDIN EN.CITE &lt;EndNote&gt;&lt;Cite&gt;&lt;Author&gt;Scottish Intercollegiate Guidelines Network&lt;/Author&gt;&lt;Year&gt;2009&lt;/Year&gt;&lt;RecNum&gt;26&lt;/RecNum&gt;&lt;DisplayText&gt;&lt;style face="superscript"&gt;14&lt;/style&gt;&lt;/DisplayText&gt;&lt;record&gt;&lt;rec-number&gt;26&lt;/rec-number&gt;&lt;foreign-keys&gt;&lt;key app="EN" db-id="sxpszd2ti9dx04ewefrvfp5bpf5faazszr9p" timestamp="0"&gt;26&lt;/key&gt;&lt;/foreign-keys&gt;&lt;ref-type name="Report"&gt;27&lt;/ref-type&gt;&lt;contributors&gt;&lt;authors&gt;&lt;author&gt;Scottish Intercollegiate Guidelines Network,&lt;/author&gt;&lt;/authors&gt;&lt;/contributors&gt;&lt;titles&gt;&lt;title&gt;Management of hip fracture in older patients.  A national clinical guideline 111.&lt;/title&gt;&lt;/titles&gt;&lt;dates&gt;&lt;year&gt;2009&lt;/year&gt;&lt;/dates&gt;&lt;urls&gt;&lt;/urls&gt;&lt;/record&gt;&lt;/Cite&gt;&lt;/EndNote&gt;</w:instrText>
        </w:r>
        <w:r w:rsidR="00B24FEE">
          <w:fldChar w:fldCharType="separate"/>
        </w:r>
        <w:r w:rsidR="00B24FEE" w:rsidRPr="00B24FEE">
          <w:rPr>
            <w:noProof/>
            <w:vertAlign w:val="superscript"/>
          </w:rPr>
          <w:t>14</w:t>
        </w:r>
        <w:r w:rsidR="00B24FEE">
          <w:fldChar w:fldCharType="end"/>
        </w:r>
      </w:hyperlink>
      <w:r w:rsidRPr="002F22E9">
        <w:t>, NICE</w:t>
      </w:r>
      <w:r w:rsidR="00B24FEE">
        <w:fldChar w:fldCharType="begin"/>
      </w:r>
      <w:r w:rsidR="00B24FEE">
        <w:instrText xml:space="preserve"> ADDIN EN.CITE &lt;EndNote&gt;&lt;Cite&gt;&lt;Author&gt;NICE&lt;/Author&gt;&lt;Year&gt;2004&lt;/Year&gt;&lt;RecNum&gt;30&lt;/RecNum&gt;&lt;DisplayText&gt;&lt;style face="superscript"&gt;13 15&lt;/style&gt;&lt;/DisplayText&gt;&lt;record&gt;&lt;rec-number&gt;30&lt;/rec-number&gt;&lt;foreign-keys&gt;&lt;key app="EN" db-id="sxpszd2ti9dx04ewefrvfp5bpf5faazszr9p" timestamp="0"&gt;30&lt;/key&gt;&lt;/foreign-keys&gt;&lt;ref-type name="Report"&gt;27&lt;/ref-type&gt;&lt;contributors&gt;&lt;authors&gt;&lt;author&gt;NICE,&lt;/author&gt;&lt;/authors&gt;&lt;/contributors&gt;&lt;titles&gt;&lt;title&gt;Clinical guideline 21.  Clinical practice guideline for the assessment and prevention of falls in older people&lt;/title&gt;&lt;/titles&gt;&lt;dates&gt;&lt;year&gt;2004&lt;/year&gt;&lt;/dates&gt;&lt;urls&gt;&lt;/urls&gt;&lt;/record&gt;&lt;/Cite&gt;&lt;Cite&gt;&lt;Author&gt;NICE&lt;/Author&gt;&lt;Year&gt;2008&lt;/Year&gt;&lt;RecNum&gt;29&lt;/RecNum&gt;&lt;record&gt;&lt;rec-number&gt;29&lt;/rec-number&gt;&lt;foreign-keys&gt;&lt;key app="EN" db-id="sxpszd2ti9dx04ewefrvfp5bpf5faazszr9p" timestamp="0"&gt;29&lt;/key&gt;&lt;/foreign-keys&gt;&lt;ref-type name="Report"&gt;27&lt;/ref-type&gt;&lt;contributors&gt;&lt;authors&gt;&lt;author&gt;NICE,&lt;/author&gt;&lt;/authors&gt;&lt;/contributors&gt;&lt;titles&gt;&lt;title&gt;Technology appraisal (TA) 161.  Osteoporosis - secondary prevention including strontium ranelate&lt;/title&gt;&lt;/titles&gt;&lt;dates&gt;&lt;year&gt;2008&lt;/year&gt;&lt;/dates&gt;&lt;urls&gt;&lt;/urls&gt;&lt;/record&gt;&lt;/Cite&gt;&lt;/EndNote&gt;</w:instrText>
      </w:r>
      <w:r w:rsidR="00B24FEE">
        <w:fldChar w:fldCharType="separate"/>
      </w:r>
      <w:hyperlink w:anchor="_ENREF_13" w:tooltip="NICE, 2008 #29" w:history="1">
        <w:r w:rsidR="00B24FEE" w:rsidRPr="00B24FEE">
          <w:rPr>
            <w:noProof/>
            <w:vertAlign w:val="superscript"/>
          </w:rPr>
          <w:t>13</w:t>
        </w:r>
      </w:hyperlink>
      <w:r w:rsidR="00B24FEE" w:rsidRPr="00B24FEE">
        <w:rPr>
          <w:noProof/>
          <w:vertAlign w:val="superscript"/>
        </w:rPr>
        <w:t xml:space="preserve"> </w:t>
      </w:r>
      <w:hyperlink w:anchor="_ENREF_15" w:tooltip="NICE, 2004 #30" w:history="1">
        <w:r w:rsidR="00B24FEE" w:rsidRPr="00B24FEE">
          <w:rPr>
            <w:noProof/>
            <w:vertAlign w:val="superscript"/>
          </w:rPr>
          <w:t>15</w:t>
        </w:r>
      </w:hyperlink>
      <w:r w:rsidR="00B24FEE">
        <w:fldChar w:fldCharType="end"/>
      </w:r>
      <w:r w:rsidR="00482EEE">
        <w:t>)</w:t>
      </w:r>
      <w:r w:rsidRPr="002F22E9">
        <w:t>. NICE technology appraisal guidelines TA160/161</w:t>
      </w:r>
      <w:hyperlink w:anchor="_ENREF_13" w:tooltip="NICE, 2008 #29" w:history="1">
        <w:r w:rsidR="00B24FEE">
          <w:fldChar w:fldCharType="begin"/>
        </w:r>
        <w:r w:rsidR="00B24FEE">
          <w:instrText xml:space="preserve"> ADDIN EN.CITE &lt;EndNote&gt;&lt;Cite&gt;&lt;Author&gt;NICE&lt;/Author&gt;&lt;Year&gt;2008&lt;/Year&gt;&lt;RecNum&gt;29&lt;/RecNum&gt;&lt;DisplayText&gt;&lt;style face="superscript"&gt;13&lt;/style&gt;&lt;/DisplayText&gt;&lt;record&gt;&lt;rec-number&gt;29&lt;/rec-number&gt;&lt;foreign-keys&gt;&lt;key app="EN" db-id="sxpszd2ti9dx04ewefrvfp5bpf5faazszr9p" timestamp="0"&gt;29&lt;/key&gt;&lt;/foreign-keys&gt;&lt;ref-type name="Report"&gt;27&lt;/ref-type&gt;&lt;contributors&gt;&lt;authors&gt;&lt;author&gt;NICE,&lt;/author&gt;&lt;/authors&gt;&lt;/contributors&gt;&lt;titles&gt;&lt;title&gt;Technology appraisal (TA) 161.  Osteoporosis - secondary prevention including strontium ranelate&lt;/title&gt;&lt;/titles&gt;&lt;dates&gt;&lt;year&gt;2008&lt;/year&gt;&lt;/dates&gt;&lt;urls&gt;&lt;/urls&gt;&lt;/record&gt;&lt;/Cite&gt;&lt;/EndNote&gt;</w:instrText>
        </w:r>
        <w:r w:rsidR="00B24FEE">
          <w:fldChar w:fldCharType="separate"/>
        </w:r>
        <w:r w:rsidR="00B24FEE" w:rsidRPr="00B24FEE">
          <w:rPr>
            <w:noProof/>
            <w:vertAlign w:val="superscript"/>
          </w:rPr>
          <w:t>13</w:t>
        </w:r>
        <w:r w:rsidR="00B24FEE">
          <w:fldChar w:fldCharType="end"/>
        </w:r>
      </w:hyperlink>
      <w:r w:rsidRPr="002F22E9">
        <w:t xml:space="preserve"> are related to the effectiveness of bone protection therapy and CG21 falls prevention</w:t>
      </w:r>
      <w:hyperlink w:anchor="_ENREF_15" w:tooltip="NICE, 2004 #30" w:history="1">
        <w:r w:rsidR="00B24FEE">
          <w:fldChar w:fldCharType="begin"/>
        </w:r>
        <w:r w:rsidR="00B24FEE">
          <w:instrText xml:space="preserve"> ADDIN EN.CITE &lt;EndNote&gt;&lt;Cite&gt;&lt;Author&gt;NICE&lt;/Author&gt;&lt;Year&gt;2004&lt;/Year&gt;&lt;RecNum&gt;30&lt;/RecNum&gt;&lt;DisplayText&gt;&lt;style face="superscript"&gt;15&lt;/style&gt;&lt;/DisplayText&gt;&lt;record&gt;&lt;rec-number&gt;30&lt;/rec-number&gt;&lt;foreign-keys&gt;&lt;key app="EN" db-id="sxpszd2ti9dx04ewefrvfp5bpf5faazszr9p" timestamp="0"&gt;30&lt;/key&gt;&lt;/foreign-keys&gt;&lt;ref-type name="Report"&gt;27&lt;/ref-type&gt;&lt;contributors&gt;&lt;authors&gt;&lt;author&gt;NICE,&lt;/author&gt;&lt;/authors&gt;&lt;/contributors&gt;&lt;titles&gt;&lt;title&gt;Clinical guideline 21.  Clinical practice guideline for the assessment and prevention of falls in older people&lt;/title&gt;&lt;/titles&gt;&lt;dates&gt;&lt;year&gt;2004&lt;/year&gt;&lt;/dates&gt;&lt;urls&gt;&lt;/urls&gt;&lt;/record&gt;&lt;/Cite&gt;&lt;/EndNote&gt;</w:instrText>
        </w:r>
        <w:r w:rsidR="00B24FEE">
          <w:fldChar w:fldCharType="separate"/>
        </w:r>
        <w:r w:rsidR="00B24FEE" w:rsidRPr="00B24FEE">
          <w:rPr>
            <w:noProof/>
            <w:vertAlign w:val="superscript"/>
          </w:rPr>
          <w:t>15</w:t>
        </w:r>
        <w:r w:rsidR="00B24FEE">
          <w:fldChar w:fldCharType="end"/>
        </w:r>
      </w:hyperlink>
      <w:r w:rsidRPr="002F22E9">
        <w:t>. Audits by the National Hip Fracture Database</w:t>
      </w:r>
      <w:hyperlink w:anchor="_ENREF_38" w:tooltip="Currie, 2011 #4" w:history="1">
        <w:r w:rsidR="00B24FEE">
          <w:fldChar w:fldCharType="begin"/>
        </w:r>
        <w:r w:rsidR="00B24FEE">
          <w:instrText xml:space="preserve"> ADDIN EN.CITE &lt;EndNote&gt;&lt;Cite&gt;&lt;Author&gt;Currie&lt;/Author&gt;&lt;Year&gt;2011&lt;/Year&gt;&lt;RecNum&gt;4&lt;/RecNum&gt;&lt;DisplayText&gt;&lt;style face="superscript"&gt;38&lt;/style&gt;&lt;/DisplayText&gt;&lt;record&gt;&lt;rec-number&gt;4&lt;/rec-number&gt;&lt;foreign-keys&gt;&lt;key app="EN" db-id="sxpszd2ti9dx04ewefrvfp5bpf5faazszr9p" timestamp="0"&gt;4&lt;/key&gt;&lt;/foreign-keys&gt;&lt;ref-type name="Report"&gt;27&lt;/ref-type&gt;&lt;contributors&gt;&lt;authors&gt;&lt;author&gt;Currie, C. Partridge, M. Plant, F. Roberts, J. Wakeman, R. Williams, A.&lt;/author&gt;&lt;/authors&gt;&lt;/contributors&gt;&lt;titles&gt;&lt;title&gt;The National Hip Fracture Database National Report 2011&lt;/title&gt;&lt;/titles&gt;&lt;dates&gt;&lt;year&gt;2011&lt;/year&gt;&lt;/dates&gt;&lt;urls&gt;&lt;/urls&gt;&lt;/record&gt;&lt;/Cite&gt;&lt;/EndNote&gt;</w:instrText>
        </w:r>
        <w:r w:rsidR="00B24FEE">
          <w:fldChar w:fldCharType="separate"/>
        </w:r>
        <w:r w:rsidR="00B24FEE" w:rsidRPr="00B24FEE">
          <w:rPr>
            <w:noProof/>
            <w:vertAlign w:val="superscript"/>
          </w:rPr>
          <w:t>38</w:t>
        </w:r>
        <w:r w:rsidR="00B24FEE">
          <w:fldChar w:fldCharType="end"/>
        </w:r>
      </w:hyperlink>
      <w:r w:rsidRPr="002F22E9">
        <w:t xml:space="preserve"> and the Royal College of Physicians Audit</w:t>
      </w:r>
      <w:hyperlink w:anchor="_ENREF_18" w:tooltip="Royal College of Physicians, 2009 #31" w:history="1">
        <w:r w:rsidR="00B24FEE">
          <w:fldChar w:fldCharType="begin"/>
        </w:r>
        <w:r w:rsidR="00B24FEE">
          <w:instrText xml:space="preserve"> ADDIN EN.CITE &lt;EndNote&gt;&lt;Cite&gt;&lt;Author&gt;Royal College of Physicians&lt;/Author&gt;&lt;Year&gt;2009&lt;/Year&gt;&lt;RecNum&gt;31&lt;/RecNum&gt;&lt;DisplayText&gt;&lt;style face="superscript"&gt;18&lt;/style&gt;&lt;/DisplayText&gt;&lt;record&gt;&lt;rec-number&gt;31&lt;/rec-number&gt;&lt;foreign-keys&gt;&lt;key app="EN" db-id="sxpszd2ti9dx04ewefrvfp5bpf5faazszr9p" timestamp="0"&gt;31&lt;/key&gt;&lt;/foreign-keys&gt;&lt;ref-type name="Report"&gt;27&lt;/ref-type&gt;&lt;contributors&gt;&lt;authors&gt;&lt;author&gt;Royal College of Physicians,&lt;/author&gt;&lt;/authors&gt;&lt;/contributors&gt;&lt;titles&gt;&lt;title&gt;National audit of the organisation of services for falls and bone health for older people&lt;/title&gt;&lt;/titles&gt;&lt;dates&gt;&lt;year&gt;2009&lt;/year&gt;&lt;/dates&gt;&lt;urls&gt;&lt;/urls&gt;&lt;/record&gt;&lt;/Cite&gt;&lt;/EndNote&gt;</w:instrText>
        </w:r>
        <w:r w:rsidR="00B24FEE">
          <w:fldChar w:fldCharType="separate"/>
        </w:r>
        <w:r w:rsidR="00B24FEE" w:rsidRPr="00B24FEE">
          <w:rPr>
            <w:noProof/>
            <w:vertAlign w:val="superscript"/>
          </w:rPr>
          <w:t>18</w:t>
        </w:r>
        <w:r w:rsidR="00B24FEE">
          <w:fldChar w:fldCharType="end"/>
        </w:r>
      </w:hyperlink>
      <w:r w:rsidRPr="002F22E9">
        <w:t xml:space="preserve"> suggests the situation is improving, but still inadequate, such that prior to discharge only 66% of hip fracture patients were on bone protection medication and 81% received a falls assessment</w:t>
      </w:r>
      <w:hyperlink w:anchor="_ENREF_38" w:tooltip="Currie, 2011 #4" w:history="1">
        <w:r w:rsidR="00B24FEE">
          <w:fldChar w:fldCharType="begin"/>
        </w:r>
        <w:r w:rsidR="00B24FEE">
          <w:instrText xml:space="preserve"> ADDIN EN.CITE &lt;EndNote&gt;&lt;Cite&gt;&lt;Author&gt;Currie&lt;/Author&gt;&lt;Year&gt;2011&lt;/Year&gt;&lt;RecNum&gt;4&lt;/RecNum&gt;&lt;DisplayText&gt;&lt;style face="superscript"&gt;38&lt;/style&gt;&lt;/DisplayText&gt;&lt;record&gt;&lt;rec-number&gt;4&lt;/rec-number&gt;&lt;foreign-keys&gt;&lt;key app="EN" db-id="sxpszd2ti9dx04ewefrvfp5bpf5faazszr9p" timestamp="0"&gt;4&lt;/key&gt;&lt;/foreign-keys&gt;&lt;ref-type name="Report"&gt;27&lt;/ref-type&gt;&lt;contributors&gt;&lt;authors&gt;&lt;author&gt;Currie, C. Partridge, M. Plant, F. Roberts, J. Wakeman, R. Williams, A.&lt;/author&gt;&lt;/authors&gt;&lt;/contributors&gt;&lt;titles&gt;&lt;title&gt;The National Hip Fracture Database National Report 2011&lt;/title&gt;&lt;/titles&gt;&lt;dates&gt;&lt;year&gt;2011&lt;/year&gt;&lt;/dates&gt;&lt;urls&gt;&lt;/urls&gt;&lt;/record&gt;&lt;/Cite&gt;&lt;/EndNote&gt;</w:instrText>
        </w:r>
        <w:r w:rsidR="00B24FEE">
          <w:fldChar w:fldCharType="separate"/>
        </w:r>
        <w:r w:rsidR="00B24FEE" w:rsidRPr="00B24FEE">
          <w:rPr>
            <w:noProof/>
            <w:vertAlign w:val="superscript"/>
          </w:rPr>
          <w:t>38</w:t>
        </w:r>
        <w:r w:rsidR="00B24FEE">
          <w:fldChar w:fldCharType="end"/>
        </w:r>
      </w:hyperlink>
      <w:r w:rsidRPr="002F22E9">
        <w:t>.</w:t>
      </w:r>
    </w:p>
    <w:p w14:paraId="01B1188E" w14:textId="77777777" w:rsidR="00514F6A" w:rsidRPr="00275217" w:rsidRDefault="00514F6A" w:rsidP="00E86771">
      <w:pPr>
        <w:pStyle w:val="Heading3"/>
        <w:spacing w:line="360" w:lineRule="auto"/>
      </w:pPr>
      <w:bookmarkStart w:id="251" w:name="_Toc308300773"/>
      <w:bookmarkStart w:id="252" w:name="_Toc311366580"/>
      <w:r w:rsidRPr="00275217">
        <w:t>Aim</w:t>
      </w:r>
      <w:bookmarkEnd w:id="250"/>
      <w:bookmarkEnd w:id="251"/>
      <w:bookmarkEnd w:id="252"/>
      <w:r w:rsidRPr="00275217">
        <w:t xml:space="preserve"> </w:t>
      </w:r>
    </w:p>
    <w:p w14:paraId="0207BDEE" w14:textId="77777777" w:rsidR="00514F6A" w:rsidRPr="00591BFC" w:rsidRDefault="00514F6A" w:rsidP="00866F8C">
      <w:pPr>
        <w:spacing w:line="360" w:lineRule="auto"/>
      </w:pPr>
      <w:r w:rsidRPr="00591BFC">
        <w:t>Using an interrupted time series approach we will examine the effect national guidelines have had on altering trends in re-fracture rates, life expectancy (30-day and 1-year) and proportion of patients taking bone strengthening drugs within 1-year after fracture</w:t>
      </w:r>
    </w:p>
    <w:p w14:paraId="7E0E0BBB" w14:textId="77777777" w:rsidR="00514F6A" w:rsidRPr="00591BFC" w:rsidRDefault="00514F6A" w:rsidP="00E86771">
      <w:pPr>
        <w:spacing w:line="360" w:lineRule="auto"/>
      </w:pPr>
    </w:p>
    <w:p w14:paraId="7BE50594" w14:textId="77777777" w:rsidR="00514F6A" w:rsidRPr="00470C42" w:rsidRDefault="00514F6A" w:rsidP="00470C42">
      <w:pPr>
        <w:pStyle w:val="Heading2"/>
        <w:spacing w:line="360" w:lineRule="auto"/>
        <w:rPr>
          <w:lang w:val="en-GB"/>
        </w:rPr>
      </w:pPr>
      <w:bookmarkStart w:id="253" w:name="_Toc418859305"/>
      <w:bookmarkStart w:id="254" w:name="_Toc308300774"/>
      <w:bookmarkStart w:id="255" w:name="_Toc311366581"/>
      <w:r w:rsidRPr="00E814C1">
        <w:t>Methods</w:t>
      </w:r>
      <w:bookmarkEnd w:id="253"/>
      <w:bookmarkEnd w:id="254"/>
      <w:bookmarkEnd w:id="255"/>
    </w:p>
    <w:p w14:paraId="1C13F2AF" w14:textId="77777777" w:rsidR="00514F6A" w:rsidRPr="00E814C1" w:rsidRDefault="00514F6A" w:rsidP="00E86771">
      <w:pPr>
        <w:pStyle w:val="Heading3"/>
        <w:spacing w:line="360" w:lineRule="auto"/>
      </w:pPr>
      <w:bookmarkStart w:id="256" w:name="_Toc308300775"/>
      <w:bookmarkStart w:id="257" w:name="_Toc311366582"/>
      <w:r w:rsidRPr="00E814C1">
        <w:t>Data sources</w:t>
      </w:r>
      <w:bookmarkEnd w:id="256"/>
      <w:bookmarkEnd w:id="257"/>
    </w:p>
    <w:p w14:paraId="4451D70D" w14:textId="77777777" w:rsidR="00514F6A" w:rsidRPr="00591BFC" w:rsidRDefault="00514F6A" w:rsidP="00E86771">
      <w:pPr>
        <w:spacing w:line="360" w:lineRule="auto"/>
      </w:pPr>
      <w:r w:rsidRPr="00591BFC">
        <w:t xml:space="preserve">The dataset used for this analysis was extracted from the Clinical Practice Research Database (CPRD), which constitutes </w:t>
      </w:r>
      <w:r w:rsidR="00E86771">
        <w:t xml:space="preserve">computerised medical records for over 8% of the UK population </w:t>
      </w:r>
      <w:r w:rsidRPr="00591BFC">
        <w:t>chosen to be representative of the wider UK population. We used linked Office for National Statistics data to obtain information on mortality.</w:t>
      </w:r>
    </w:p>
    <w:p w14:paraId="12B3DF66" w14:textId="77777777" w:rsidR="00514F6A" w:rsidRPr="00275217" w:rsidRDefault="00514F6A" w:rsidP="00E86771">
      <w:pPr>
        <w:pStyle w:val="Heading3"/>
        <w:spacing w:line="360" w:lineRule="auto"/>
      </w:pPr>
      <w:bookmarkStart w:id="258" w:name="_Toc308300776"/>
      <w:bookmarkStart w:id="259" w:name="_Toc311366583"/>
      <w:r w:rsidRPr="00275217">
        <w:lastRenderedPageBreak/>
        <w:t>Patients</w:t>
      </w:r>
      <w:bookmarkEnd w:id="258"/>
      <w:bookmarkEnd w:id="259"/>
    </w:p>
    <w:p w14:paraId="198DFF15" w14:textId="77777777" w:rsidR="00514F6A" w:rsidRPr="00591BFC" w:rsidRDefault="00514F6A" w:rsidP="00E86771">
      <w:pPr>
        <w:spacing w:line="360" w:lineRule="auto"/>
      </w:pPr>
      <w:r w:rsidRPr="00591BFC">
        <w:t>From the CPRD we identified index hip fracture cases occurring between 1</w:t>
      </w:r>
      <w:r w:rsidRPr="00591BFC">
        <w:rPr>
          <w:vertAlign w:val="superscript"/>
        </w:rPr>
        <w:t>st</w:t>
      </w:r>
      <w:r w:rsidRPr="00591BFC">
        <w:t xml:space="preserve"> April 1999 and 31</w:t>
      </w:r>
      <w:r w:rsidRPr="00591BFC">
        <w:rPr>
          <w:vertAlign w:val="superscript"/>
        </w:rPr>
        <w:t>st</w:t>
      </w:r>
      <w:r w:rsidRPr="00591BFC">
        <w:t xml:space="preserve"> March 2013 - as defined as patients with no previous hip fracture in the preceding three years. Patients with less than three years from registration into a participating GP practice were therefore not included. A list of the READ codes used is included</w:t>
      </w:r>
      <w:r w:rsidR="00DB47E2" w:rsidRPr="00591BFC">
        <w:t xml:space="preserve"> </w:t>
      </w:r>
      <w:r w:rsidR="00FD0338" w:rsidRPr="00591BFC">
        <w:t xml:space="preserve">as </w:t>
      </w:r>
      <w:r w:rsidR="00B36F9D" w:rsidRPr="00591BFC">
        <w:rPr>
          <w:i/>
        </w:rPr>
        <w:t>A</w:t>
      </w:r>
      <w:r w:rsidR="00FD0338" w:rsidRPr="00591BFC">
        <w:rPr>
          <w:i/>
        </w:rPr>
        <w:t>ppendix</w:t>
      </w:r>
      <w:r w:rsidR="00DB47E2" w:rsidRPr="00591BFC">
        <w:rPr>
          <w:i/>
        </w:rPr>
        <w:t xml:space="preserve"> </w:t>
      </w:r>
      <w:r w:rsidR="00B36F9D" w:rsidRPr="00591BFC">
        <w:rPr>
          <w:i/>
        </w:rPr>
        <w:t>3</w:t>
      </w:r>
      <w:r w:rsidRPr="00591BFC">
        <w:t>. Patients below 50 years of age were excluded, as were patients registered in a GP practice outside England or Wales as we only had ONS data for these countries and the NICE guidelines here evaluated were not implemented in Scotland or Northern Ireland.</w:t>
      </w:r>
    </w:p>
    <w:p w14:paraId="777F96DA" w14:textId="77777777" w:rsidR="00514F6A" w:rsidRPr="00E814C1" w:rsidRDefault="00514F6A" w:rsidP="00E86771">
      <w:pPr>
        <w:pStyle w:val="Heading3"/>
        <w:spacing w:line="360" w:lineRule="auto"/>
      </w:pPr>
      <w:bookmarkStart w:id="260" w:name="_Toc308300777"/>
      <w:bookmarkStart w:id="261" w:name="_Toc311366584"/>
      <w:r w:rsidRPr="00E814C1">
        <w:t>Selection of controls:</w:t>
      </w:r>
      <w:bookmarkEnd w:id="260"/>
      <w:bookmarkEnd w:id="261"/>
    </w:p>
    <w:p w14:paraId="74CB1B4F" w14:textId="77777777" w:rsidR="00514F6A" w:rsidRPr="00591BFC" w:rsidRDefault="00514F6A" w:rsidP="00E86771">
      <w:pPr>
        <w:spacing w:line="360" w:lineRule="auto"/>
        <w:rPr>
          <w:sz w:val="24"/>
          <w:u w:val="single"/>
        </w:rPr>
      </w:pPr>
      <w:r w:rsidRPr="00591BFC">
        <w:rPr>
          <w:szCs w:val="20"/>
        </w:rPr>
        <w:t>Each hip fracture case was matched to two control patients without a READ code for a hip fracture on age (within 1 year), sex and GP practice and who were registered at the practice at the index date of the matched patient with hip fracture.</w:t>
      </w:r>
    </w:p>
    <w:p w14:paraId="2EE3981E" w14:textId="77777777" w:rsidR="00514F6A" w:rsidRPr="00E814C1" w:rsidRDefault="00514F6A" w:rsidP="00E86771">
      <w:pPr>
        <w:pStyle w:val="Heading3"/>
        <w:spacing w:line="360" w:lineRule="auto"/>
      </w:pPr>
      <w:bookmarkStart w:id="262" w:name="_Toc308300778"/>
      <w:bookmarkStart w:id="263" w:name="_Toc311366585"/>
      <w:r w:rsidRPr="00E814C1">
        <w:t>Interventions</w:t>
      </w:r>
      <w:bookmarkEnd w:id="262"/>
      <w:bookmarkEnd w:id="263"/>
    </w:p>
    <w:p w14:paraId="6C4F7875" w14:textId="7BBD6789" w:rsidR="00514F6A" w:rsidRPr="00591BFC" w:rsidRDefault="00514F6A" w:rsidP="00E86771">
      <w:pPr>
        <w:spacing w:line="360" w:lineRule="auto"/>
      </w:pPr>
      <w:r w:rsidRPr="00591BFC">
        <w:t>The interventions here analysed were key national guidelines published within the study period and were identified prior to statistical analysis. Five specific guidelines were evaluated: NICE clinical guideline 21 (Nov 2004)</w:t>
      </w:r>
      <w:hyperlink w:anchor="_ENREF_15" w:tooltip="NICE, 2004 #30" w:history="1">
        <w:r w:rsidR="00B24FEE">
          <w:fldChar w:fldCharType="begin"/>
        </w:r>
        <w:r w:rsidR="00B24FEE">
          <w:instrText xml:space="preserve"> ADDIN EN.CITE &lt;EndNote&gt;&lt;Cite&gt;&lt;Author&gt;NICE&lt;/Author&gt;&lt;Year&gt;2004&lt;/Year&gt;&lt;RecNum&gt;30&lt;/RecNum&gt;&lt;DisplayText&gt;&lt;style face="superscript"&gt;15&lt;/style&gt;&lt;/DisplayText&gt;&lt;record&gt;&lt;rec-number&gt;30&lt;/rec-number&gt;&lt;foreign-keys&gt;&lt;key app="EN" db-id="sxpszd2ti9dx04ewefrvfp5bpf5faazszr9p" timestamp="0"&gt;30&lt;/key&gt;&lt;/foreign-keys&gt;&lt;ref-type name="Report"&gt;27&lt;/ref-type&gt;&lt;contributors&gt;&lt;authors&gt;&lt;author&gt;NICE,&lt;/author&gt;&lt;/authors&gt;&lt;/contributors&gt;&lt;titles&gt;&lt;title&gt;Clinical guideline 21.  Clinical practice guideline for the assessment and prevention of falls in older people&lt;/title&gt;&lt;/titles&gt;&lt;dates&gt;&lt;year&gt;2004&lt;/year&gt;&lt;/dates&gt;&lt;urls&gt;&lt;/urls&gt;&lt;/record&gt;&lt;/Cite&gt;&lt;/EndNote&gt;</w:instrText>
        </w:r>
        <w:r w:rsidR="00B24FEE">
          <w:fldChar w:fldCharType="separate"/>
        </w:r>
        <w:r w:rsidR="00B24FEE" w:rsidRPr="00B24FEE">
          <w:rPr>
            <w:noProof/>
            <w:vertAlign w:val="superscript"/>
          </w:rPr>
          <w:t>15</w:t>
        </w:r>
        <w:r w:rsidR="00B24FEE">
          <w:fldChar w:fldCharType="end"/>
        </w:r>
      </w:hyperlink>
      <w:r w:rsidRPr="00591BFC">
        <w:t xml:space="preserve">, NICE technological appraisal </w:t>
      </w:r>
      <w:r w:rsidR="00EA4F54">
        <w:t xml:space="preserve">87 </w:t>
      </w:r>
      <w:r w:rsidRPr="00591BFC">
        <w:t>(Jan 2005)</w:t>
      </w:r>
      <w:hyperlink w:anchor="_ENREF_33" w:tooltip="NICE, 2005 #51" w:history="1">
        <w:r w:rsidR="00B24FEE">
          <w:fldChar w:fldCharType="begin"/>
        </w:r>
        <w:r w:rsidR="00B24FEE">
          <w:instrText xml:space="preserve"> ADDIN EN.CITE &lt;EndNote&gt;&lt;Cite&gt;&lt;Author&gt;NICE&lt;/Author&gt;&lt;Year&gt;2005&lt;/Year&gt;&lt;RecNum&gt;51&lt;/RecNum&gt;&lt;DisplayText&gt;&lt;style face="superscript"&gt;33&lt;/style&gt;&lt;/DisplayText&gt;&lt;record&gt;&lt;rec-number&gt;51&lt;/rec-number&gt;&lt;foreign-keys&gt;&lt;key app="EN" db-id="sxpszd2ti9dx04ewefrvfp5bpf5faazszr9p" timestamp="0"&gt;51&lt;/key&gt;&lt;/foreign-keys&gt;&lt;ref-type name="Report"&gt;27&lt;/ref-type&gt;&lt;contributors&gt;&lt;authors&gt;&lt;author&gt;NICE,&lt;/author&gt;&lt;/authors&gt;&lt;/contributors&gt;&lt;titles&gt;&lt;title&gt;NICE Technology Appraisal 87: Bisphosphonates (alendronate, etidonate or risedronate), selective oestrogen receptor modulators (raloxifene) and parathyroid hormone (teriparatide) for the secondary prevention of osteoporotic fragility fractures in post menopausal women&lt;/title&gt;&lt;/titles&gt;&lt;dates&gt;&lt;year&gt;2005&lt;/year&gt;&lt;/dates&gt;&lt;urls&gt;&lt;/urls&gt;&lt;/record&gt;&lt;/Cite&gt;&lt;/EndNote&gt;</w:instrText>
        </w:r>
        <w:r w:rsidR="00B24FEE">
          <w:fldChar w:fldCharType="separate"/>
        </w:r>
        <w:r w:rsidR="00B24FEE" w:rsidRPr="00B24FEE">
          <w:rPr>
            <w:noProof/>
            <w:vertAlign w:val="superscript"/>
          </w:rPr>
          <w:t>33</w:t>
        </w:r>
        <w:r w:rsidR="00B24FEE">
          <w:fldChar w:fldCharType="end"/>
        </w:r>
      </w:hyperlink>
      <w:r w:rsidRPr="00591BFC">
        <w:t>, BOA blue book (Sep 2007)</w:t>
      </w:r>
      <w:hyperlink w:anchor="_ENREF_1" w:tooltip="British Orthopaedic Association, 2007 #25" w:history="1">
        <w:r w:rsidR="00B24FEE">
          <w:fldChar w:fldCharType="begin"/>
        </w:r>
        <w:r w:rsidR="00B24FEE">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fldChar w:fldCharType="separate"/>
        </w:r>
        <w:r w:rsidR="00B24FEE" w:rsidRPr="00B24FEE">
          <w:rPr>
            <w:noProof/>
            <w:vertAlign w:val="superscript"/>
          </w:rPr>
          <w:t>1</w:t>
        </w:r>
        <w:r w:rsidR="00B24FEE">
          <w:fldChar w:fldCharType="end"/>
        </w:r>
      </w:hyperlink>
      <w:r w:rsidRPr="00591BFC">
        <w:t>, NICE technological appraisal 161 (Oct 2008)</w:t>
      </w:r>
      <w:hyperlink w:anchor="_ENREF_13" w:tooltip="NICE, 2008 #29" w:history="1">
        <w:r w:rsidR="00B24FEE">
          <w:fldChar w:fldCharType="begin"/>
        </w:r>
        <w:r w:rsidR="00B24FEE">
          <w:instrText xml:space="preserve"> ADDIN EN.CITE &lt;EndNote&gt;&lt;Cite&gt;&lt;Author&gt;NICE&lt;/Author&gt;&lt;Year&gt;2008&lt;/Year&gt;&lt;RecNum&gt;29&lt;/RecNum&gt;&lt;DisplayText&gt;&lt;style face="superscript"&gt;13&lt;/style&gt;&lt;/DisplayText&gt;&lt;record&gt;&lt;rec-number&gt;29&lt;/rec-number&gt;&lt;foreign-keys&gt;&lt;key app="EN" db-id="sxpszd2ti9dx04ewefrvfp5bpf5faazszr9p" timestamp="0"&gt;29&lt;/key&gt;&lt;/foreign-keys&gt;&lt;ref-type name="Report"&gt;27&lt;/ref-type&gt;&lt;contributors&gt;&lt;authors&gt;&lt;author&gt;NICE,&lt;/author&gt;&lt;/authors&gt;&lt;/contributors&gt;&lt;titles&gt;&lt;title&gt;Technology appraisal (TA) 161.  Osteoporosis - secondary prevention including strontium ranelate&lt;/title&gt;&lt;/titles&gt;&lt;dates&gt;&lt;year&gt;2008&lt;/year&gt;&lt;/dates&gt;&lt;urls&gt;&lt;/urls&gt;&lt;/record&gt;&lt;/Cite&gt;&lt;/EndNote&gt;</w:instrText>
        </w:r>
        <w:r w:rsidR="00B24FEE">
          <w:fldChar w:fldCharType="separate"/>
        </w:r>
        <w:r w:rsidR="00B24FEE" w:rsidRPr="00B24FEE">
          <w:rPr>
            <w:noProof/>
            <w:vertAlign w:val="superscript"/>
          </w:rPr>
          <w:t>13</w:t>
        </w:r>
        <w:r w:rsidR="00B24FEE">
          <w:fldChar w:fldCharType="end"/>
        </w:r>
      </w:hyperlink>
      <w:r w:rsidRPr="00591BFC">
        <w:t xml:space="preserve"> and Best Practice Tariff for inpatient hip fracture care (Apr 2010). The time points of these interventions are displayed in </w:t>
      </w:r>
      <w:r w:rsidRPr="00591BFC">
        <w:fldChar w:fldCharType="begin"/>
      </w:r>
      <w:r w:rsidRPr="00591BFC">
        <w:instrText xml:space="preserve"> REF _Ref423338567 \h </w:instrText>
      </w:r>
      <w:r w:rsidR="00E814C1" w:rsidRPr="00591BFC">
        <w:instrText xml:space="preserve"> \* MERGEFORMAT </w:instrText>
      </w:r>
      <w:r w:rsidRPr="00591BFC">
        <w:fldChar w:fldCharType="separate"/>
      </w:r>
      <w:r w:rsidR="00345A4D">
        <w:t xml:space="preserve">Figure </w:t>
      </w:r>
      <w:r w:rsidR="00345A4D">
        <w:rPr>
          <w:noProof/>
        </w:rPr>
        <w:t>12</w:t>
      </w:r>
      <w:r w:rsidRPr="00591BFC">
        <w:fldChar w:fldCharType="end"/>
      </w:r>
      <w:r w:rsidRPr="00591BFC">
        <w:t>.</w:t>
      </w:r>
    </w:p>
    <w:p w14:paraId="3B0DB5D8" w14:textId="77777777" w:rsidR="00514F6A" w:rsidRPr="00591BFC" w:rsidRDefault="002149AD" w:rsidP="00E86771">
      <w:pPr>
        <w:spacing w:line="360" w:lineRule="auto"/>
      </w:pPr>
      <w:r>
        <w:rPr>
          <w:noProof/>
        </w:rPr>
        <w:pict w14:anchorId="65688DD9">
          <v:shapetype id="_x0000_t202" coordsize="21600,21600" o:spt="202" path="m,l,21600r21600,l21600,xe">
            <v:stroke joinstyle="miter"/>
            <v:path gradientshapeok="t" o:connecttype="rect"/>
          </v:shapetype>
          <v:shape id="_x0000_s1045" type="#_x0000_t202" style="position:absolute;margin-left:0;margin-top:223.65pt;width:325.35pt;height:21pt;z-index:251653120;mso-position-horizontal-relative:text;mso-position-vertical-relative:text" stroked="f">
            <v:textbox style="mso-next-textbox:#_x0000_s1045;mso-fit-shape-to-text:t" inset="0,0,0,0">
              <w:txbxContent>
                <w:p w14:paraId="7170DFE4" w14:textId="5707C276" w:rsidR="00AB59D4" w:rsidRPr="00361196" w:rsidRDefault="00AB59D4" w:rsidP="00514F6A">
                  <w:pPr>
                    <w:pStyle w:val="Caption"/>
                    <w:rPr>
                      <w:rFonts w:ascii="Times New Roman" w:hAnsi="Times New Roman"/>
                    </w:rPr>
                  </w:pPr>
                  <w:bookmarkStart w:id="264" w:name="_Ref423338567"/>
                  <w:bookmarkStart w:id="265" w:name="_Toc424650323"/>
                  <w:r>
                    <w:t xml:space="preserve">Figure </w:t>
                  </w:r>
                  <w:r w:rsidR="002149AD">
                    <w:fldChar w:fldCharType="begin"/>
                  </w:r>
                  <w:r w:rsidR="002149AD">
                    <w:instrText xml:space="preserve"> SEQ Figure \* ARABIC </w:instrText>
                  </w:r>
                  <w:r w:rsidR="002149AD">
                    <w:fldChar w:fldCharType="separate"/>
                  </w:r>
                  <w:r>
                    <w:rPr>
                      <w:noProof/>
                    </w:rPr>
                    <w:t>12</w:t>
                  </w:r>
                  <w:r w:rsidR="002149AD">
                    <w:rPr>
                      <w:noProof/>
                    </w:rPr>
                    <w:fldChar w:fldCharType="end"/>
                  </w:r>
                  <w:bookmarkEnd w:id="264"/>
                  <w:r>
                    <w:t xml:space="preserve"> Time points of interest over study period</w:t>
                  </w:r>
                  <w:bookmarkEnd w:id="265"/>
                </w:p>
              </w:txbxContent>
            </v:textbox>
          </v:shape>
        </w:pict>
      </w:r>
      <w:r>
        <w:pict w14:anchorId="7716AA8D">
          <v:shape id="_x0000_i1036" type="#_x0000_t75" style="width:325.5pt;height:218.55pt;mso-position-horizontal-relative:char;mso-position-vertical-relative:line">
            <v:imagedata r:id="rId23" o:title="" croptop="4983f"/>
          </v:shape>
        </w:pict>
      </w:r>
    </w:p>
    <w:p w14:paraId="1805F557" w14:textId="77777777" w:rsidR="00CA13CA" w:rsidRDefault="00CA13CA" w:rsidP="00E86771">
      <w:pPr>
        <w:spacing w:line="360" w:lineRule="auto"/>
      </w:pPr>
    </w:p>
    <w:p w14:paraId="37A1C43A" w14:textId="77777777" w:rsidR="00335967" w:rsidRPr="00591BFC" w:rsidRDefault="00335967" w:rsidP="00E86771">
      <w:pPr>
        <w:spacing w:line="360" w:lineRule="auto"/>
      </w:pPr>
      <w:r w:rsidRPr="00591BFC">
        <w:t>The interventions can be divided into two broad groups, those with a sole pharmacological content an</w:t>
      </w:r>
      <w:r w:rsidR="00EA4F54">
        <w:t>d those with service delivery/</w:t>
      </w:r>
      <w:r w:rsidRPr="00591BFC">
        <w:t xml:space="preserve">falls interventions. </w:t>
      </w:r>
    </w:p>
    <w:p w14:paraId="53F1B2B2" w14:textId="77777777" w:rsidR="00514F6A" w:rsidRPr="000D4504" w:rsidRDefault="00335967" w:rsidP="00E86771">
      <w:pPr>
        <w:spacing w:line="360" w:lineRule="auto"/>
      </w:pPr>
      <w:r w:rsidRPr="00591BFC">
        <w:lastRenderedPageBreak/>
        <w:t xml:space="preserve">NICE CG 21 focused on </w:t>
      </w:r>
      <w:r w:rsidR="00EA4F54" w:rsidRPr="00591BFC">
        <w:t>assessment</w:t>
      </w:r>
      <w:r w:rsidRPr="00591BFC">
        <w:t xml:space="preserve"> and prevention of falls in older people including after </w:t>
      </w:r>
      <w:r w:rsidR="001F0197" w:rsidRPr="00591BFC">
        <w:t>fragility</w:t>
      </w:r>
      <w:r w:rsidRPr="00591BFC">
        <w:t xml:space="preserve"> fractures of the hip. A number of interventions were recommended including: individuali</w:t>
      </w:r>
      <w:r w:rsidR="001F0197">
        <w:t>s</w:t>
      </w:r>
      <w:r w:rsidRPr="00591BFC">
        <w:t>ed multifactorial interventions including: strength and balance training, home hazard assessment and intervention; vision assessment and referral and medication review with modifications/ withdrawal in addition to specific interventions when appropriate such as cardiac pacing, education and information giving. NICE TA 87 focused on the clinical thresholds for the use of different pharmacological agents in post –menopausal women who have sustained a clinically apparent osteoporotic fracture. The BOA blue book in 2007 outlined the key standards for the care of hip fracture patients in the acute setting as well as secondary fracture prevention from both the bone health and falls perspectives. NICE TA 161 updated the guidance for TA 87 and included strontium ranelate. The Best Practice Tariff formali</w:t>
      </w:r>
      <w:r w:rsidR="001F0197">
        <w:t>s</w:t>
      </w:r>
      <w:r w:rsidRPr="00591BFC">
        <w:t>ed the standards from the Blue Book care during the acute phase and then linked them to changes in reimbursement fo</w:t>
      </w:r>
      <w:r w:rsidR="000D4504">
        <w:t xml:space="preserve">r Trusts at the patient level. </w:t>
      </w:r>
    </w:p>
    <w:p w14:paraId="7A613765" w14:textId="77777777" w:rsidR="00335967" w:rsidRPr="00335967" w:rsidRDefault="00514F6A" w:rsidP="00E86771">
      <w:pPr>
        <w:pStyle w:val="Heading3"/>
        <w:spacing w:line="360" w:lineRule="auto"/>
        <w:rPr>
          <w:lang w:val="en-GB"/>
        </w:rPr>
      </w:pPr>
      <w:bookmarkStart w:id="266" w:name="_Toc308300779"/>
      <w:bookmarkStart w:id="267" w:name="_Toc311366586"/>
      <w:r w:rsidRPr="00E814C1">
        <w:t>Outcomes</w:t>
      </w:r>
      <w:bookmarkEnd w:id="266"/>
      <w:bookmarkEnd w:id="267"/>
    </w:p>
    <w:p w14:paraId="7E970AA2" w14:textId="77777777" w:rsidR="00514F6A" w:rsidRPr="00E814C1" w:rsidRDefault="00514F6A" w:rsidP="00E86771">
      <w:pPr>
        <w:pStyle w:val="Heading4"/>
        <w:spacing w:line="360" w:lineRule="auto"/>
      </w:pPr>
      <w:r w:rsidRPr="00E814C1">
        <w:t>Re-fracture</w:t>
      </w:r>
    </w:p>
    <w:p w14:paraId="037FED41" w14:textId="77777777" w:rsidR="00514F6A" w:rsidRPr="00591BFC" w:rsidRDefault="00514F6A" w:rsidP="00E86771">
      <w:pPr>
        <w:spacing w:line="360" w:lineRule="auto"/>
      </w:pPr>
      <w:r w:rsidRPr="00591BFC">
        <w:t>The primary outcome of interest was the proportion of index hip fracture patients sustaining a second hip fracture within 2-years. To reduce the likelihood of identifying a recoding of the primary fracture event, only second hip fracture events occurring after a washout period of 6 months were considered</w:t>
      </w:r>
      <w:r w:rsidR="00335967" w:rsidRPr="00335967">
        <w:t xml:space="preserve"> us</w:t>
      </w:r>
      <w:r w:rsidR="00335967">
        <w:t>ing the same method in chapter 5</w:t>
      </w:r>
      <w:r w:rsidRPr="00591BFC">
        <w:t xml:space="preserve">. </w:t>
      </w:r>
      <w:r w:rsidR="00CA13CA">
        <w:t>A secondary outcome measures was</w:t>
      </w:r>
      <w:r w:rsidRPr="00591BFC">
        <w:t xml:space="preserve"> the proportion of index hip fracture patients sustaining a subsequent non-hip major fracture (including fractures of the pelvis, proximal-humerus, rib, spine an</w:t>
      </w:r>
      <w:r w:rsidR="00335967" w:rsidRPr="00591BFC">
        <w:t>d wrist/forearm) within 2-years</w:t>
      </w:r>
    </w:p>
    <w:p w14:paraId="5DBD8897" w14:textId="77777777" w:rsidR="00514F6A" w:rsidRPr="00E814C1" w:rsidRDefault="00514F6A" w:rsidP="00E86771">
      <w:pPr>
        <w:pStyle w:val="Heading4"/>
        <w:spacing w:line="360" w:lineRule="auto"/>
      </w:pPr>
      <w:r w:rsidRPr="00E814C1">
        <w:t>Mortality</w:t>
      </w:r>
    </w:p>
    <w:p w14:paraId="4B2DE89D" w14:textId="77777777" w:rsidR="00514F6A" w:rsidRPr="00591BFC" w:rsidRDefault="00514F6A" w:rsidP="00E86771">
      <w:pPr>
        <w:spacing w:line="360" w:lineRule="auto"/>
      </w:pPr>
      <w:r w:rsidRPr="00591BFC">
        <w:t xml:space="preserve">Evaluation was also made on the impact of guidelines on the proportion of index hip fracture patients dying within i) 30-days and ii) within 1-year. </w:t>
      </w:r>
      <w:r w:rsidR="00335967" w:rsidRPr="00335967">
        <w:t>The mortality data was linked to the English National Hospital Episode Statistics (HES) data using the national mortality data from 1999 to 2011</w:t>
      </w:r>
      <w:r w:rsidR="00335967">
        <w:t xml:space="preserve">. </w:t>
      </w:r>
      <w:r w:rsidRPr="00591BFC">
        <w:t>Mortality was also modelled as the difference in mortality between index hip fracture</w:t>
      </w:r>
      <w:r w:rsidR="00335967" w:rsidRPr="00591BFC">
        <w:t xml:space="preserve"> patients and matched controls </w:t>
      </w:r>
    </w:p>
    <w:p w14:paraId="3B41AE1F" w14:textId="77777777" w:rsidR="00514F6A" w:rsidRPr="00E814C1" w:rsidRDefault="00514F6A" w:rsidP="00E86771">
      <w:pPr>
        <w:pStyle w:val="Heading4"/>
        <w:spacing w:line="360" w:lineRule="auto"/>
      </w:pPr>
      <w:r w:rsidRPr="00E814C1">
        <w:t>Bone strengthening drugs</w:t>
      </w:r>
    </w:p>
    <w:p w14:paraId="61C1A1FE" w14:textId="2735F441" w:rsidR="00514F6A" w:rsidRPr="00591BFC" w:rsidRDefault="00514F6A" w:rsidP="00E86771">
      <w:pPr>
        <w:spacing w:line="360" w:lineRule="auto"/>
      </w:pPr>
      <w:r w:rsidRPr="00591BFC">
        <w:t xml:space="preserve">The proportion of index hip fracture patients initiating bone strengthening drugs within 1-year was modelled among treatment naïve patients (defined as no drug strengthening prescription within the preceding 6 months from index hip fracture date), as was the proportion initiating the same medications within 4 months post-index hip fracture. Bone strengthening drugs included were bisphosphonates, strontium ranelate, teraparatide, denosumab and </w:t>
      </w:r>
      <w:r w:rsidR="00335967" w:rsidRPr="00591BFC">
        <w:t>selective oestrogen receptor modulators.</w:t>
      </w:r>
      <w:r w:rsidR="00CA13CA">
        <w:t xml:space="preserve"> Incident anti-osteoporosis </w:t>
      </w:r>
      <w:r w:rsidRPr="00591BFC">
        <w:t xml:space="preserve">medication use within 1-year was also analysed separately </w:t>
      </w:r>
      <w:r w:rsidRPr="00591BFC">
        <w:lastRenderedPageBreak/>
        <w:t>for males and females</w:t>
      </w:r>
      <w:r w:rsidR="00335967" w:rsidRPr="00591BFC">
        <w:t xml:space="preserve"> given the paucity of guidelines for men reflecting the differences in evidence base.</w:t>
      </w:r>
      <w:r w:rsidRPr="00591BFC">
        <w:t xml:space="preserve"> As a sensitivity analysis we considered separately the proportion of bisphosphonate naïve index hip fracture patients who received 1 or more bisphosphonate prescription within the time period of i) 2-6 months and ii) 10-14 month</w:t>
      </w:r>
      <w:r w:rsidR="000D4504">
        <w:t>s post-index hip fracture date.</w:t>
      </w:r>
    </w:p>
    <w:p w14:paraId="5C707918" w14:textId="77777777" w:rsidR="00514F6A" w:rsidRPr="00E814C1" w:rsidRDefault="00514F6A" w:rsidP="00E86771">
      <w:pPr>
        <w:pStyle w:val="Heading3"/>
        <w:spacing w:line="360" w:lineRule="auto"/>
      </w:pPr>
      <w:bookmarkStart w:id="268" w:name="_Toc308300780"/>
      <w:bookmarkStart w:id="269" w:name="_Toc311366587"/>
      <w:r w:rsidRPr="00E814C1">
        <w:t>Statistical analysis</w:t>
      </w:r>
      <w:bookmarkEnd w:id="268"/>
      <w:bookmarkEnd w:id="269"/>
    </w:p>
    <w:p w14:paraId="61E2762B" w14:textId="4749E380" w:rsidR="00514F6A" w:rsidRPr="00591BFC" w:rsidRDefault="00514F6A" w:rsidP="00E86771">
      <w:pPr>
        <w:spacing w:line="360" w:lineRule="auto"/>
      </w:pPr>
      <w:r w:rsidRPr="00591BFC">
        <w:t>Data were aggregated, separately for cases and controls, in the form of age and sex standardised biannual proportions of each outcome of interest. The national guidelines were evaluated using an interrupted time series analysis</w:t>
      </w:r>
      <w:hyperlink w:anchor="_ENREF_102" w:tooltip="Wagner, 2002 #70" w:history="1">
        <w:r w:rsidR="00B24FEE">
          <w:fldChar w:fldCharType="begin"/>
        </w:r>
        <w:r w:rsidR="00B24FEE">
          <w:instrText xml:space="preserve"> ADDIN EN.CITE &lt;EndNote&gt;&lt;Cite&gt;&lt;Author&gt;Wagner&lt;/Author&gt;&lt;Year&gt;2002&lt;/Year&gt;&lt;RecNum&gt;70&lt;/RecNum&gt;&lt;DisplayText&gt;&lt;style face="superscript"&gt;102&lt;/style&gt;&lt;/DisplayText&gt;&lt;record&gt;&lt;rec-number&gt;70&lt;/rec-number&gt;&lt;foreign-keys&gt;&lt;key app="EN" db-id="sxpszd2ti9dx04ewefrvfp5bpf5faazszr9p" timestamp="0"&gt;70&lt;/key&gt;&lt;/foreign-keys&gt;&lt;ref-type name="Journal Article"&gt;17&lt;/ref-type&gt;&lt;contributors&gt;&lt;authors&gt;&lt;author&gt;Wagner, A. K.&lt;/author&gt;&lt;author&gt;Soumerai, S. B.&lt;/author&gt;&lt;author&gt;Zhang, F.&lt;/author&gt;&lt;author&gt;Ross-Degnan, D.&lt;/author&gt;&lt;/authors&gt;&lt;/contributors&gt;&lt;titles&gt;&lt;title&gt;Segmented regression analysis of interrupted time series studies in medication use research&lt;/title&gt;&lt;secondary-title&gt;Journal of Clinical Pharmacy and Therapeutics&lt;/secondary-title&gt;&lt;/titles&gt;&lt;pages&gt;299-309&lt;/pages&gt;&lt;volume&gt;27&lt;/volume&gt;&lt;number&gt;4&lt;/number&gt;&lt;keywords&gt;&lt;keyword&gt;health policy evaluation&lt;/keyword&gt;&lt;keyword&gt;interrupted time series design&lt;/keyword&gt;&lt;keyword&gt;longitudinal analysis&lt;/keyword&gt;&lt;keyword&gt;medication use research&lt;/keyword&gt;&lt;keyword&gt;quasi-experimental design&lt;/keyword&gt;&lt;keyword&gt;segmented regression analysis&lt;/keyword&gt;&lt;/keywords&gt;&lt;dates&gt;&lt;year&gt;2002&lt;/year&gt;&lt;/dates&gt;&lt;publisher&gt;Blackwell Science Ltd&lt;/publisher&gt;&lt;isbn&gt;1365-2710&lt;/isbn&gt;&lt;work-type&gt;10.1046/j.1365-2710.2002.00430.x&lt;/work-type&gt;&lt;urls&gt;&lt;related-urls&gt;&lt;url&gt;http://dx.doi.org/10.1046/j.1365-2710.2002.00430.x&lt;/url&gt;&lt;/related-urls&gt;&lt;/urls&gt;&lt;/record&gt;&lt;/Cite&gt;&lt;/EndNote&gt;</w:instrText>
        </w:r>
        <w:r w:rsidR="00B24FEE">
          <w:fldChar w:fldCharType="separate"/>
        </w:r>
        <w:r w:rsidR="00B24FEE" w:rsidRPr="00B24FEE">
          <w:rPr>
            <w:noProof/>
            <w:vertAlign w:val="superscript"/>
          </w:rPr>
          <w:t>102</w:t>
        </w:r>
        <w:r w:rsidR="00B24FEE">
          <w:fldChar w:fldCharType="end"/>
        </w:r>
      </w:hyperlink>
      <w:r w:rsidR="00EA4F54">
        <w:t xml:space="preserve">. </w:t>
      </w:r>
      <w:r w:rsidRPr="00591BFC">
        <w:t>A segmented linear regression model was specified for each outcome. A full model was specified which included regression terms for all interventions to be analysed and a final parsimonious model was derived by way of removing non-significant regression terms (P</w:t>
      </w:r>
      <w:r w:rsidRPr="00591BFC">
        <w:rPr>
          <w:rFonts w:eastAsia="MS Gothic"/>
          <w:color w:val="000000"/>
        </w:rPr>
        <w:t>≥</w:t>
      </w:r>
      <w:r w:rsidRPr="00591BFC">
        <w:t>0.1) in a process of backward elimination. The presence of autocorrelation was tested using the Durban-Watson test. All Durban-Watson statistics were close to the value of 2 and above the lower bound, therefore we accepted the null hypothesis of no autocorrelation.</w:t>
      </w:r>
    </w:p>
    <w:p w14:paraId="47DC3167" w14:textId="3EA6B1F4" w:rsidR="00643522" w:rsidRDefault="00514F6A" w:rsidP="00E86771">
      <w:pPr>
        <w:spacing w:line="360" w:lineRule="auto"/>
        <w:sectPr w:rsidR="00643522" w:rsidSect="006C06F9">
          <w:pgSz w:w="11900" w:h="16840"/>
          <w:pgMar w:top="1440" w:right="1440" w:bottom="1440" w:left="1440" w:header="708" w:footer="708" w:gutter="0"/>
          <w:cols w:space="708"/>
          <w:docGrid w:linePitch="360"/>
        </w:sectPr>
      </w:pPr>
      <w:r w:rsidRPr="00591BFC">
        <w:t>Owing to insufficient data points between the NICE clinical guideline 21 (Nov 2004) and NICE technological appraisal (Jan 2005), these two interventions were evaluated as one, as were the BOA blue book (Sep 2007) and NICE technological appraisal 161 (Oct 2008) (</w:t>
      </w:r>
      <w:r w:rsidR="004C1EB4" w:rsidRPr="00591BFC">
        <w:fldChar w:fldCharType="begin"/>
      </w:r>
      <w:r w:rsidR="004C1EB4" w:rsidRPr="00591BFC">
        <w:instrText xml:space="preserve"> REF _Ref423338567 \h </w:instrText>
      </w:r>
      <w:r w:rsidR="00E814C1" w:rsidRPr="00591BFC">
        <w:instrText xml:space="preserve"> \* MERGEFORMAT </w:instrText>
      </w:r>
      <w:r w:rsidR="004C1EB4" w:rsidRPr="00591BFC">
        <w:fldChar w:fldCharType="separate"/>
      </w:r>
      <w:r w:rsidR="000F62D3">
        <w:t xml:space="preserve">Figure </w:t>
      </w:r>
      <w:r w:rsidR="000F62D3">
        <w:rPr>
          <w:noProof/>
        </w:rPr>
        <w:t>12</w:t>
      </w:r>
      <w:r w:rsidR="004C1EB4" w:rsidRPr="00591BFC">
        <w:fldChar w:fldCharType="end"/>
      </w:r>
      <w:r w:rsidRPr="00591BFC">
        <w:t>). Aggregated data points between interventions to be evaluated as one were therefore excluded from analyses. In order to minimise the number of data points removed from the time-series, interventions occurring within the first or last month of a six-month period were considered to have occurred at either the beginning or end respectively. Aggregated data-points were not included in analyses of a particular outcome if follow up time before the end of the study period was insufficient.</w:t>
      </w:r>
    </w:p>
    <w:p w14:paraId="656017D4" w14:textId="77777777" w:rsidR="00643522" w:rsidRPr="000D4504" w:rsidRDefault="00643522" w:rsidP="000D4504">
      <w:pPr>
        <w:keepNext/>
        <w:keepLines/>
        <w:spacing w:before="200" w:after="0" w:line="360" w:lineRule="auto"/>
        <w:outlineLvl w:val="1"/>
        <w:rPr>
          <w:rFonts w:ascii="Cambria" w:eastAsia="MS Gothic" w:hAnsi="Cambria"/>
          <w:b/>
          <w:bCs/>
          <w:color w:val="4F81BD"/>
          <w:sz w:val="26"/>
          <w:szCs w:val="26"/>
          <w:lang w:eastAsia="x-none"/>
        </w:rPr>
      </w:pPr>
      <w:bookmarkStart w:id="270" w:name="_Ref423346124"/>
      <w:r w:rsidRPr="00643522">
        <w:rPr>
          <w:rFonts w:ascii="Cambria" w:eastAsia="MS Gothic" w:hAnsi="Cambria"/>
          <w:b/>
          <w:bCs/>
          <w:color w:val="4F81BD"/>
          <w:sz w:val="26"/>
          <w:szCs w:val="26"/>
          <w:lang w:val="x-none" w:eastAsia="x-none"/>
        </w:rPr>
        <w:lastRenderedPageBreak/>
        <w:t>Results</w:t>
      </w:r>
    </w:p>
    <w:p w14:paraId="327F10EF" w14:textId="1C05AD97" w:rsidR="00643522" w:rsidRPr="00643522" w:rsidRDefault="00643522" w:rsidP="00E86771">
      <w:pPr>
        <w:spacing w:line="360" w:lineRule="auto"/>
      </w:pPr>
      <w:r w:rsidRPr="00643522">
        <w:t xml:space="preserve">Within the participating GP practices contributing data to the CPRD within England and Wales, we identified 11,243 eligible patients as having sustained an index hip fracture within the study period and 21, 606 controls. Baseline characteristics for these patient groups are reported in </w:t>
      </w:r>
      <w:r w:rsidR="00812CC7">
        <w:t>Appendicies</w:t>
      </w:r>
      <w:r w:rsidR="00A534FE">
        <w:t xml:space="preserve"> 5 and 6.</w:t>
      </w:r>
      <w:r w:rsidRPr="00643522">
        <w:t xml:space="preserve"> Over the 13 years, for both cases and controls there was an increase in the proportion of men with hip fracture and in addition patients became older, with more severe rated co-morbidities and prior bisphosphonate use both ever and in the last 6 months. With the matching, there was little difference in gender and age stratification between cases and controls. However, there was a slightly higher rate of severe level of Charlson co-morbidities and prior bisphosphonates use in the cases vs. the controls. </w:t>
      </w:r>
    </w:p>
    <w:p w14:paraId="4FB97066" w14:textId="77777777" w:rsidR="00643522" w:rsidRPr="00643522" w:rsidRDefault="00A534FE" w:rsidP="00E86771">
      <w:pPr>
        <w:spacing w:line="360" w:lineRule="auto"/>
      </w:pPr>
      <w:r>
        <w:fldChar w:fldCharType="begin"/>
      </w:r>
      <w:r>
        <w:instrText xml:space="preserve"> REF _Ref424565179 \h </w:instrText>
      </w:r>
      <w:r>
        <w:fldChar w:fldCharType="separate"/>
      </w:r>
      <w:r w:rsidR="00776C05">
        <w:t xml:space="preserve">Table </w:t>
      </w:r>
      <w:r w:rsidR="00776C05">
        <w:rPr>
          <w:noProof/>
        </w:rPr>
        <w:t>15</w:t>
      </w:r>
      <w:r>
        <w:fldChar w:fldCharType="end"/>
      </w:r>
      <w:r>
        <w:t xml:space="preserve"> </w:t>
      </w:r>
      <w:r w:rsidR="00643522" w:rsidRPr="00643522">
        <w:t xml:space="preserve">reports the different outcomes during the study period by calendar year. Among case patients between April 1999 and Sept 2011, 238 (2.3%) suffered a subsequent hip fracture between six months and two years post-index hip fracture. Similarly, 231 (2.3%) of index hip fracture patients sustained a major non-hip fracture within the first full 2 years after the primary event. The averaged proportion of index hip fracture patients initiating bone strengthening therapy within 1-year was 25.7%, with post-index hip fracture mortality was 6.3% at 30-days and 22.6% at 1-year. </w:t>
      </w:r>
    </w:p>
    <w:p w14:paraId="1819CF26" w14:textId="77777777" w:rsidR="00643522" w:rsidRPr="00643522" w:rsidRDefault="00643522" w:rsidP="00E86771">
      <w:pPr>
        <w:spacing w:line="360" w:lineRule="auto"/>
      </w:pPr>
      <w:r w:rsidRPr="00643522">
        <w:t>The number of index hip fractures recorded per annum fell from 861 in 1999 to 676 in 2012 (</w:t>
      </w:r>
      <w:r w:rsidR="00A534FE">
        <w:fldChar w:fldCharType="begin"/>
      </w:r>
      <w:r w:rsidR="00A534FE">
        <w:instrText xml:space="preserve"> REF _Ref424565179 \h </w:instrText>
      </w:r>
      <w:r w:rsidR="00A534FE">
        <w:fldChar w:fldCharType="separate"/>
      </w:r>
      <w:r w:rsidR="00776C05">
        <w:t xml:space="preserve">Table </w:t>
      </w:r>
      <w:r w:rsidR="00776C05">
        <w:rPr>
          <w:noProof/>
        </w:rPr>
        <w:t>15</w:t>
      </w:r>
      <w:r w:rsidR="00A534FE">
        <w:fldChar w:fldCharType="end"/>
      </w:r>
      <w:r w:rsidRPr="00643522">
        <w:t>). When the years 1999-2000 were compared to 2010-2011, the proportion of post-index hip fracture patients who sustained a second hip fracture declined from 2.5 to 1.7%, p=0.17. For the same study years, the proportion of patients sustaining a major non-hip fracture remained the same at 2.3%, p=0.95.</w:t>
      </w:r>
    </w:p>
    <w:p w14:paraId="312CB355" w14:textId="77777777" w:rsidR="00643522" w:rsidRPr="00643522" w:rsidRDefault="00643522" w:rsidP="00E86771">
      <w:pPr>
        <w:spacing w:line="360" w:lineRule="auto"/>
      </w:pPr>
      <w:r w:rsidRPr="00643522">
        <w:t xml:space="preserve"> Post-index hip fracture mortality declined over the course of the study period (1999-2000 compared to 2011-2012), both at 30-days and 1-year, from 7.4 to 4.7% (p=0.002) and from 24.5 to 18.8% (p=0.001) respectively.</w:t>
      </w:r>
    </w:p>
    <w:p w14:paraId="1AE88525" w14:textId="77777777" w:rsidR="00643522" w:rsidRPr="00643522" w:rsidRDefault="00643522" w:rsidP="00E86771">
      <w:pPr>
        <w:spacing w:line="360" w:lineRule="auto"/>
        <w:sectPr w:rsidR="00643522" w:rsidRPr="00643522" w:rsidSect="006C06F9">
          <w:pgSz w:w="11900" w:h="16840"/>
          <w:pgMar w:top="1440" w:right="1440" w:bottom="1440" w:left="1440" w:header="708" w:footer="708" w:gutter="0"/>
          <w:cols w:space="708"/>
          <w:docGrid w:linePitch="360"/>
        </w:sectPr>
      </w:pPr>
      <w:r w:rsidRPr="00643522">
        <w:t>As with the trends in prior anti-osteoporosis</w:t>
      </w:r>
      <w:r w:rsidR="00EF358A">
        <w:t xml:space="preserve"> medication</w:t>
      </w:r>
      <w:r w:rsidRPr="00643522">
        <w:t xml:space="preserve"> use, amongst treatment naïve index hip fracture patients at baseline the initiation of anti-</w:t>
      </w:r>
      <w:r w:rsidR="00EF358A">
        <w:t>osteoporosis</w:t>
      </w:r>
      <w:r w:rsidRPr="00643522">
        <w:t xml:space="preserve"> medication within 12 months increased markedly during the study period (1999-2000 compared to 2011-2012) from 8.1 to 53.9% (p&lt;0.001). It is worth noting the gap between men and women in initiating anti-</w:t>
      </w:r>
      <w:r w:rsidR="00EF358A">
        <w:t>osteoporosis</w:t>
      </w:r>
      <w:r w:rsidRPr="00643522">
        <w:t xml:space="preserve"> treatment with relatively fewer men starting any anti-osteoporosis medication by 12 months compared with women, and that this gap increased over time (</w:t>
      </w:r>
      <w:r w:rsidR="001D4427">
        <w:rPr>
          <w:highlight w:val="yellow"/>
        </w:rPr>
        <w:fldChar w:fldCharType="begin"/>
      </w:r>
      <w:r w:rsidR="001D4427">
        <w:instrText xml:space="preserve"> REF _Ref424565416 \h </w:instrText>
      </w:r>
      <w:r w:rsidR="001D4427">
        <w:rPr>
          <w:highlight w:val="yellow"/>
        </w:rPr>
      </w:r>
      <w:r w:rsidR="001D4427">
        <w:rPr>
          <w:highlight w:val="yellow"/>
        </w:rPr>
        <w:fldChar w:fldCharType="separate"/>
      </w:r>
      <w:r w:rsidR="00AC6284">
        <w:t xml:space="preserve">Figure </w:t>
      </w:r>
      <w:r w:rsidR="00AC6284">
        <w:rPr>
          <w:noProof/>
        </w:rPr>
        <w:t>13</w:t>
      </w:r>
      <w:r w:rsidR="001D4427">
        <w:rPr>
          <w:highlight w:val="yellow"/>
        </w:rPr>
        <w:fldChar w:fldCharType="end"/>
      </w:r>
      <w:r w:rsidRPr="00643522">
        <w:t xml:space="preserve">). Although the overall trend was for an increase in incident use of anti-osteoporosis medication post-hip fracture, when analysed in age bands those less than 75 years had the highest proportion at the beginning of the period of </w:t>
      </w:r>
      <w:r w:rsidRPr="00643522">
        <w:lastRenderedPageBreak/>
        <w:t>observation but by 2012 had the lowest proportion, with those aged 75-84 having the highest proportion (</w:t>
      </w:r>
      <w:r w:rsidR="001D4427">
        <w:rPr>
          <w:highlight w:val="yellow"/>
        </w:rPr>
        <w:fldChar w:fldCharType="begin"/>
      </w:r>
      <w:r w:rsidR="001D4427">
        <w:instrText xml:space="preserve"> REF _Ref424565642 \h </w:instrText>
      </w:r>
      <w:r w:rsidR="001D4427">
        <w:rPr>
          <w:highlight w:val="yellow"/>
        </w:rPr>
      </w:r>
      <w:r w:rsidR="001D4427">
        <w:rPr>
          <w:highlight w:val="yellow"/>
        </w:rPr>
        <w:fldChar w:fldCharType="separate"/>
      </w:r>
      <w:r w:rsidR="00AC6284">
        <w:t xml:space="preserve">Figure </w:t>
      </w:r>
      <w:r w:rsidR="00AC6284">
        <w:rPr>
          <w:noProof/>
        </w:rPr>
        <w:t>14</w:t>
      </w:r>
      <w:r w:rsidR="001D4427">
        <w:rPr>
          <w:highlight w:val="yellow"/>
        </w:rPr>
        <w:fldChar w:fldCharType="end"/>
      </w:r>
      <w:r w:rsidRPr="00643522">
        <w:t>).  The overall increase was mainly driven by bisphosphonate prescriptions (</w:t>
      </w:r>
      <w:r w:rsidR="001D4427">
        <w:rPr>
          <w:highlight w:val="yellow"/>
        </w:rPr>
        <w:fldChar w:fldCharType="begin"/>
      </w:r>
      <w:r w:rsidR="001D4427">
        <w:instrText xml:space="preserve"> REF _Ref424565656 \h </w:instrText>
      </w:r>
      <w:r w:rsidR="001D4427">
        <w:rPr>
          <w:highlight w:val="yellow"/>
        </w:rPr>
      </w:r>
      <w:r w:rsidR="001D4427">
        <w:rPr>
          <w:highlight w:val="yellow"/>
        </w:rPr>
        <w:fldChar w:fldCharType="separate"/>
      </w:r>
      <w:r w:rsidR="00AC6284">
        <w:t xml:space="preserve">Figure </w:t>
      </w:r>
      <w:r w:rsidR="00AC6284">
        <w:rPr>
          <w:noProof/>
        </w:rPr>
        <w:t>15</w:t>
      </w:r>
      <w:r w:rsidR="001D4427">
        <w:rPr>
          <w:highlight w:val="yellow"/>
        </w:rPr>
        <w:fldChar w:fldCharType="end"/>
      </w:r>
      <w:r w:rsidRPr="00643522">
        <w:t>) – an average of 24.1% of hip fracture cases initiated a bisphosphonate prescription within 12 months of an index hip fracture as opposed to 2.0% initiating a non-bisphosphonate bone-strengthening drug. Indeed, the only other increase in medication use apart from bisphosphonates was seen in Strontium (</w:t>
      </w:r>
      <w:r w:rsidR="001D4427">
        <w:rPr>
          <w:highlight w:val="yellow"/>
        </w:rPr>
        <w:fldChar w:fldCharType="begin"/>
      </w:r>
      <w:r w:rsidR="001D4427">
        <w:instrText xml:space="preserve"> REF _Ref424565656 \h </w:instrText>
      </w:r>
      <w:r w:rsidR="001D4427">
        <w:rPr>
          <w:highlight w:val="yellow"/>
        </w:rPr>
      </w:r>
      <w:r w:rsidR="001D4427">
        <w:rPr>
          <w:highlight w:val="yellow"/>
        </w:rPr>
        <w:fldChar w:fldCharType="separate"/>
      </w:r>
      <w:r w:rsidR="00AC6284">
        <w:t xml:space="preserve">Figure </w:t>
      </w:r>
      <w:r w:rsidR="00AC6284">
        <w:rPr>
          <w:noProof/>
        </w:rPr>
        <w:t>15</w:t>
      </w:r>
      <w:r w:rsidR="001D4427">
        <w:rPr>
          <w:highlight w:val="yellow"/>
        </w:rPr>
        <w:fldChar w:fldCharType="end"/>
      </w:r>
      <w:r w:rsidRPr="00643522">
        <w:t>). This increase in bisphosphonate use was itself mainly driven by use of Alendronate (</w:t>
      </w:r>
      <w:r w:rsidR="00EF41C9">
        <w:rPr>
          <w:highlight w:val="yellow"/>
        </w:rPr>
        <w:fldChar w:fldCharType="begin"/>
      </w:r>
      <w:r w:rsidR="00EF41C9">
        <w:instrText xml:space="preserve"> REF _Ref424566095 \h </w:instrText>
      </w:r>
      <w:r w:rsidR="00EF41C9">
        <w:rPr>
          <w:highlight w:val="yellow"/>
        </w:rPr>
      </w:r>
      <w:r w:rsidR="00EF41C9">
        <w:rPr>
          <w:highlight w:val="yellow"/>
        </w:rPr>
        <w:fldChar w:fldCharType="separate"/>
      </w:r>
      <w:r w:rsidR="00776C05">
        <w:t xml:space="preserve">Figure </w:t>
      </w:r>
      <w:r w:rsidR="00776C05">
        <w:rPr>
          <w:noProof/>
        </w:rPr>
        <w:t>16</w:t>
      </w:r>
      <w:r w:rsidR="00EF41C9">
        <w:rPr>
          <w:highlight w:val="yellow"/>
        </w:rPr>
        <w:fldChar w:fldCharType="end"/>
      </w:r>
      <w:r w:rsidRPr="00643522">
        <w:t>). Of interest is that not only did bisphosphonate initiation increase markedly, but amongst treatment naïve hip fracture cases at baseline the prevalence of bisphosphonate use at 10-14 months post-index hip fracture also increased over the study period from less than 5% to over 30% (</w:t>
      </w:r>
      <w:r w:rsidR="00EF41C9">
        <w:rPr>
          <w:highlight w:val="yellow"/>
        </w:rPr>
        <w:fldChar w:fldCharType="begin"/>
      </w:r>
      <w:r w:rsidR="00EF41C9">
        <w:instrText xml:space="preserve"> REF _Ref424566100 \h </w:instrText>
      </w:r>
      <w:r w:rsidR="00EF41C9">
        <w:rPr>
          <w:highlight w:val="yellow"/>
        </w:rPr>
      </w:r>
      <w:r w:rsidR="00EF41C9">
        <w:rPr>
          <w:highlight w:val="yellow"/>
        </w:rPr>
        <w:fldChar w:fldCharType="separate"/>
      </w:r>
      <w:r w:rsidR="00AC6284">
        <w:t xml:space="preserve">Figure </w:t>
      </w:r>
      <w:r w:rsidR="00AC6284">
        <w:rPr>
          <w:noProof/>
        </w:rPr>
        <w:t>17</w:t>
      </w:r>
      <w:r w:rsidR="00EF41C9">
        <w:rPr>
          <w:highlight w:val="yellow"/>
        </w:rPr>
        <w:fldChar w:fldCharType="end"/>
      </w:r>
      <w:r w:rsidRPr="00643522">
        <w:t>).</w:t>
      </w:r>
    </w:p>
    <w:p w14:paraId="654897EF" w14:textId="77777777" w:rsidR="00A534FE" w:rsidRDefault="00A534FE" w:rsidP="00E86771">
      <w:pPr>
        <w:pStyle w:val="Caption"/>
        <w:keepNext/>
        <w:spacing w:line="360" w:lineRule="auto"/>
      </w:pPr>
      <w:bookmarkStart w:id="271" w:name="_Ref424565179"/>
      <w:bookmarkStart w:id="272" w:name="_Toc308262410"/>
      <w:bookmarkStart w:id="273" w:name="_Toc311366676"/>
      <w:bookmarkEnd w:id="270"/>
      <w:r>
        <w:lastRenderedPageBreak/>
        <w:t xml:space="preserve">Table </w:t>
      </w:r>
      <w:r w:rsidR="002149AD">
        <w:fldChar w:fldCharType="begin"/>
      </w:r>
      <w:r w:rsidR="002149AD">
        <w:instrText xml:space="preserve"> SEQ Table \* ARABIC </w:instrText>
      </w:r>
      <w:r w:rsidR="002149AD">
        <w:fldChar w:fldCharType="separate"/>
      </w:r>
      <w:r w:rsidR="00776C05">
        <w:rPr>
          <w:noProof/>
        </w:rPr>
        <w:t>15</w:t>
      </w:r>
      <w:r w:rsidR="002149AD">
        <w:rPr>
          <w:noProof/>
        </w:rPr>
        <w:fldChar w:fldCharType="end"/>
      </w:r>
      <w:bookmarkEnd w:id="271"/>
      <w:r>
        <w:t xml:space="preserve"> </w:t>
      </w:r>
      <w:r w:rsidR="002B7598" w:rsidRPr="002B7598">
        <w:t>Outcomes of interest among cases (primary hip fracture cases)</w:t>
      </w:r>
      <w:bookmarkEnd w:id="272"/>
      <w:bookmarkEnd w:id="273"/>
    </w:p>
    <w:tbl>
      <w:tblPr>
        <w:tblW w:w="13770" w:type="dxa"/>
        <w:tblInd w:w="93" w:type="dxa"/>
        <w:tblLook w:val="04A0" w:firstRow="1" w:lastRow="0" w:firstColumn="1" w:lastColumn="0" w:noHBand="0" w:noVBand="1"/>
      </w:tblPr>
      <w:tblGrid>
        <w:gridCol w:w="960"/>
        <w:gridCol w:w="1199"/>
        <w:gridCol w:w="581"/>
        <w:gridCol w:w="615"/>
        <w:gridCol w:w="581"/>
        <w:gridCol w:w="615"/>
        <w:gridCol w:w="711"/>
        <w:gridCol w:w="602"/>
        <w:gridCol w:w="763"/>
        <w:gridCol w:w="736"/>
        <w:gridCol w:w="763"/>
        <w:gridCol w:w="736"/>
        <w:gridCol w:w="638"/>
        <w:gridCol w:w="694"/>
        <w:gridCol w:w="915"/>
        <w:gridCol w:w="873"/>
        <w:gridCol w:w="999"/>
        <w:gridCol w:w="789"/>
      </w:tblGrid>
      <w:tr w:rsidR="00EF358A" w:rsidRPr="00EF358A" w14:paraId="4BB8CB43" w14:textId="77777777" w:rsidTr="00EF358A">
        <w:trPr>
          <w:trHeight w:val="942"/>
        </w:trPr>
        <w:tc>
          <w:tcPr>
            <w:tcW w:w="960" w:type="dxa"/>
            <w:vMerge w:val="restart"/>
            <w:tcBorders>
              <w:top w:val="single" w:sz="8" w:space="0" w:color="auto"/>
              <w:left w:val="single" w:sz="8" w:space="0" w:color="auto"/>
              <w:bottom w:val="single" w:sz="4" w:space="0" w:color="auto"/>
              <w:right w:val="nil"/>
            </w:tcBorders>
            <w:shd w:val="clear" w:color="000000" w:fill="FFFFFF"/>
            <w:noWrap/>
            <w:vAlign w:val="center"/>
            <w:hideMark/>
          </w:tcPr>
          <w:p w14:paraId="2CF98E3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Year*</w:t>
            </w:r>
          </w:p>
        </w:tc>
        <w:tc>
          <w:tcPr>
            <w:tcW w:w="1199" w:type="dxa"/>
            <w:tcBorders>
              <w:top w:val="single" w:sz="8" w:space="0" w:color="auto"/>
              <w:left w:val="single" w:sz="4" w:space="0" w:color="auto"/>
              <w:bottom w:val="single" w:sz="4" w:space="0" w:color="auto"/>
              <w:right w:val="nil"/>
            </w:tcBorders>
            <w:shd w:val="clear" w:color="000000" w:fill="FFFFFF"/>
            <w:vAlign w:val="center"/>
            <w:hideMark/>
          </w:tcPr>
          <w:p w14:paraId="7CD14DA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Index hip fracture</w:t>
            </w:r>
          </w:p>
        </w:tc>
        <w:tc>
          <w:tcPr>
            <w:tcW w:w="1196" w:type="dxa"/>
            <w:gridSpan w:val="2"/>
            <w:tcBorders>
              <w:top w:val="single" w:sz="8" w:space="0" w:color="auto"/>
              <w:left w:val="single" w:sz="4" w:space="0" w:color="auto"/>
              <w:bottom w:val="single" w:sz="4" w:space="0" w:color="auto"/>
              <w:right w:val="single" w:sz="4" w:space="0" w:color="auto"/>
            </w:tcBorders>
            <w:shd w:val="clear" w:color="000000" w:fill="FFFFFF"/>
            <w:vAlign w:val="center"/>
            <w:hideMark/>
          </w:tcPr>
          <w:p w14:paraId="049E28E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w:t>
            </w:r>
            <w:r w:rsidRPr="00037D9D">
              <w:rPr>
                <w:rFonts w:eastAsia="Times New Roman"/>
                <w:color w:val="000000"/>
                <w:sz w:val="16"/>
                <w:szCs w:val="16"/>
                <w:vertAlign w:val="superscript"/>
                <w:lang w:eastAsia="en-GB"/>
              </w:rPr>
              <w:t>nd</w:t>
            </w:r>
            <w:r w:rsidRPr="00037D9D">
              <w:rPr>
                <w:rFonts w:eastAsia="Times New Roman"/>
                <w:color w:val="000000"/>
                <w:sz w:val="16"/>
                <w:szCs w:val="16"/>
                <w:lang w:eastAsia="en-GB"/>
              </w:rPr>
              <w:t xml:space="preserve"> Hip Fracture</w:t>
            </w:r>
            <w:r w:rsidRPr="00037D9D">
              <w:rPr>
                <w:rFonts w:eastAsia="Times New Roman"/>
                <w:color w:val="000000"/>
                <w:sz w:val="16"/>
                <w:szCs w:val="16"/>
                <w:lang w:eastAsia="en-GB"/>
              </w:rPr>
              <w:br/>
              <w:t xml:space="preserve"> (2-year)</w:t>
            </w:r>
          </w:p>
        </w:tc>
        <w:tc>
          <w:tcPr>
            <w:tcW w:w="1196" w:type="dxa"/>
            <w:gridSpan w:val="2"/>
            <w:tcBorders>
              <w:top w:val="single" w:sz="8" w:space="0" w:color="auto"/>
              <w:left w:val="nil"/>
              <w:bottom w:val="single" w:sz="4" w:space="0" w:color="auto"/>
              <w:right w:val="single" w:sz="4" w:space="0" w:color="auto"/>
            </w:tcBorders>
            <w:shd w:val="clear" w:color="000000" w:fill="FFFFFF"/>
            <w:vAlign w:val="center"/>
            <w:hideMark/>
          </w:tcPr>
          <w:p w14:paraId="42935F1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Major Non-hip Fracture (2-year)</w:t>
            </w:r>
          </w:p>
        </w:tc>
        <w:tc>
          <w:tcPr>
            <w:tcW w:w="1313" w:type="dxa"/>
            <w:gridSpan w:val="2"/>
            <w:tcBorders>
              <w:top w:val="single" w:sz="8" w:space="0" w:color="auto"/>
              <w:left w:val="nil"/>
              <w:bottom w:val="single" w:sz="4" w:space="0" w:color="auto"/>
              <w:right w:val="single" w:sz="4" w:space="0" w:color="auto"/>
            </w:tcBorders>
            <w:shd w:val="clear" w:color="000000" w:fill="FFFFFF"/>
            <w:vAlign w:val="center"/>
            <w:hideMark/>
          </w:tcPr>
          <w:p w14:paraId="2AB49C6D"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Mortality</w:t>
            </w:r>
            <w:r w:rsidRPr="00037D9D">
              <w:rPr>
                <w:rFonts w:eastAsia="Times New Roman"/>
                <w:color w:val="000000"/>
                <w:sz w:val="16"/>
                <w:szCs w:val="16"/>
                <w:lang w:eastAsia="en-GB"/>
              </w:rPr>
              <w:br/>
              <w:t xml:space="preserve"> (30-day)</w:t>
            </w:r>
          </w:p>
        </w:tc>
        <w:tc>
          <w:tcPr>
            <w:tcW w:w="1499" w:type="dxa"/>
            <w:gridSpan w:val="2"/>
            <w:tcBorders>
              <w:top w:val="single" w:sz="8" w:space="0" w:color="auto"/>
              <w:left w:val="single" w:sz="4" w:space="0" w:color="auto"/>
              <w:bottom w:val="single" w:sz="4" w:space="0" w:color="auto"/>
              <w:right w:val="single" w:sz="4" w:space="0" w:color="auto"/>
            </w:tcBorders>
            <w:shd w:val="clear" w:color="000000" w:fill="FFFFFF"/>
            <w:vAlign w:val="center"/>
            <w:hideMark/>
          </w:tcPr>
          <w:p w14:paraId="6DE1C09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Mortality</w:t>
            </w:r>
            <w:r w:rsidRPr="00037D9D">
              <w:rPr>
                <w:rFonts w:eastAsia="Times New Roman"/>
                <w:color w:val="000000"/>
                <w:sz w:val="16"/>
                <w:szCs w:val="16"/>
                <w:lang w:eastAsia="en-GB"/>
              </w:rPr>
              <w:br/>
              <w:t xml:space="preserve"> (1-year)</w:t>
            </w:r>
          </w:p>
        </w:tc>
        <w:tc>
          <w:tcPr>
            <w:tcW w:w="1499" w:type="dxa"/>
            <w:gridSpan w:val="2"/>
            <w:tcBorders>
              <w:top w:val="single" w:sz="8" w:space="0" w:color="auto"/>
              <w:left w:val="nil"/>
              <w:bottom w:val="single" w:sz="4" w:space="0" w:color="auto"/>
              <w:right w:val="nil"/>
            </w:tcBorders>
            <w:shd w:val="clear" w:color="000000" w:fill="FFFFFF"/>
            <w:vAlign w:val="center"/>
            <w:hideMark/>
          </w:tcPr>
          <w:p w14:paraId="08A717A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Incident any anti-OP medication use (1-year)</w:t>
            </w:r>
          </w:p>
        </w:tc>
        <w:tc>
          <w:tcPr>
            <w:tcW w:w="1332" w:type="dxa"/>
            <w:gridSpan w:val="2"/>
            <w:tcBorders>
              <w:top w:val="single" w:sz="8" w:space="0" w:color="auto"/>
              <w:left w:val="single" w:sz="4" w:space="0" w:color="auto"/>
              <w:bottom w:val="single" w:sz="4" w:space="0" w:color="auto"/>
              <w:right w:val="single" w:sz="4" w:space="0" w:color="000000"/>
            </w:tcBorders>
            <w:shd w:val="clear" w:color="000000" w:fill="FFFFFF"/>
            <w:vAlign w:val="center"/>
            <w:hideMark/>
          </w:tcPr>
          <w:p w14:paraId="0D4372F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Incident non-BP anti-OP medication use (1-year)</w:t>
            </w:r>
          </w:p>
        </w:tc>
        <w:tc>
          <w:tcPr>
            <w:tcW w:w="1788" w:type="dxa"/>
            <w:gridSpan w:val="2"/>
            <w:tcBorders>
              <w:top w:val="single" w:sz="8" w:space="0" w:color="auto"/>
              <w:left w:val="nil"/>
              <w:bottom w:val="single" w:sz="4" w:space="0" w:color="auto"/>
              <w:right w:val="single" w:sz="4" w:space="0" w:color="000000"/>
            </w:tcBorders>
            <w:shd w:val="clear" w:color="000000" w:fill="FFFFFF"/>
            <w:vAlign w:val="center"/>
            <w:hideMark/>
          </w:tcPr>
          <w:p w14:paraId="6F9DDC3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Incident BP use (1 year)</w:t>
            </w:r>
          </w:p>
        </w:tc>
        <w:tc>
          <w:tcPr>
            <w:tcW w:w="1788" w:type="dxa"/>
            <w:gridSpan w:val="2"/>
            <w:tcBorders>
              <w:top w:val="single" w:sz="8" w:space="0" w:color="auto"/>
              <w:left w:val="nil"/>
              <w:bottom w:val="single" w:sz="4" w:space="0" w:color="auto"/>
              <w:right w:val="single" w:sz="8" w:space="0" w:color="000000"/>
            </w:tcBorders>
            <w:shd w:val="clear" w:color="000000" w:fill="FFFFFF"/>
            <w:vAlign w:val="center"/>
            <w:hideMark/>
          </w:tcPr>
          <w:p w14:paraId="1615570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BP prevalence** (10-14 months)</w:t>
            </w:r>
          </w:p>
        </w:tc>
      </w:tr>
      <w:tr w:rsidR="00EF358A" w:rsidRPr="00EF358A" w14:paraId="591B7480" w14:textId="77777777" w:rsidTr="00EF358A">
        <w:trPr>
          <w:trHeight w:val="330"/>
        </w:trPr>
        <w:tc>
          <w:tcPr>
            <w:tcW w:w="960" w:type="dxa"/>
            <w:vMerge/>
            <w:tcBorders>
              <w:top w:val="single" w:sz="8" w:space="0" w:color="auto"/>
              <w:left w:val="single" w:sz="8" w:space="0" w:color="auto"/>
              <w:bottom w:val="single" w:sz="4" w:space="0" w:color="auto"/>
              <w:right w:val="nil"/>
            </w:tcBorders>
            <w:vAlign w:val="center"/>
            <w:hideMark/>
          </w:tcPr>
          <w:p w14:paraId="0B5A9EC3" w14:textId="77777777" w:rsidR="00EF358A" w:rsidRPr="00037D9D" w:rsidRDefault="00EF358A" w:rsidP="00E86771">
            <w:pPr>
              <w:spacing w:after="0" w:line="360" w:lineRule="auto"/>
              <w:rPr>
                <w:rFonts w:eastAsia="Times New Roman"/>
                <w:color w:val="000000"/>
                <w:sz w:val="16"/>
                <w:szCs w:val="16"/>
                <w:lang w:eastAsia="en-GB"/>
              </w:rPr>
            </w:pPr>
          </w:p>
        </w:tc>
        <w:tc>
          <w:tcPr>
            <w:tcW w:w="1199" w:type="dxa"/>
            <w:tcBorders>
              <w:top w:val="nil"/>
              <w:left w:val="single" w:sz="4" w:space="0" w:color="auto"/>
              <w:bottom w:val="single" w:sz="8" w:space="0" w:color="auto"/>
              <w:right w:val="nil"/>
            </w:tcBorders>
            <w:shd w:val="clear" w:color="000000" w:fill="FFFFFF"/>
            <w:noWrap/>
            <w:vAlign w:val="center"/>
            <w:hideMark/>
          </w:tcPr>
          <w:p w14:paraId="2E89550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 </w:t>
            </w:r>
          </w:p>
        </w:tc>
        <w:tc>
          <w:tcPr>
            <w:tcW w:w="581" w:type="dxa"/>
            <w:tcBorders>
              <w:top w:val="nil"/>
              <w:left w:val="single" w:sz="4" w:space="0" w:color="auto"/>
              <w:bottom w:val="single" w:sz="8" w:space="0" w:color="auto"/>
              <w:right w:val="single" w:sz="4" w:space="0" w:color="auto"/>
            </w:tcBorders>
            <w:shd w:val="clear" w:color="000000" w:fill="FFFFFF"/>
            <w:noWrap/>
            <w:vAlign w:val="center"/>
            <w:hideMark/>
          </w:tcPr>
          <w:p w14:paraId="658F3A71"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n</w:t>
            </w:r>
          </w:p>
        </w:tc>
        <w:tc>
          <w:tcPr>
            <w:tcW w:w="615" w:type="dxa"/>
            <w:tcBorders>
              <w:top w:val="nil"/>
              <w:left w:val="nil"/>
              <w:bottom w:val="nil"/>
              <w:right w:val="single" w:sz="4" w:space="0" w:color="auto"/>
            </w:tcBorders>
            <w:shd w:val="clear" w:color="000000" w:fill="FFFFFF"/>
            <w:noWrap/>
            <w:vAlign w:val="center"/>
            <w:hideMark/>
          </w:tcPr>
          <w:p w14:paraId="42C1DF8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w:t>
            </w:r>
          </w:p>
        </w:tc>
        <w:tc>
          <w:tcPr>
            <w:tcW w:w="581" w:type="dxa"/>
            <w:tcBorders>
              <w:top w:val="nil"/>
              <w:left w:val="nil"/>
              <w:bottom w:val="nil"/>
              <w:right w:val="single" w:sz="4" w:space="0" w:color="auto"/>
            </w:tcBorders>
            <w:shd w:val="clear" w:color="000000" w:fill="FFFFFF"/>
            <w:noWrap/>
            <w:vAlign w:val="center"/>
            <w:hideMark/>
          </w:tcPr>
          <w:p w14:paraId="22A9667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n</w:t>
            </w:r>
          </w:p>
        </w:tc>
        <w:tc>
          <w:tcPr>
            <w:tcW w:w="615" w:type="dxa"/>
            <w:tcBorders>
              <w:top w:val="nil"/>
              <w:left w:val="nil"/>
              <w:bottom w:val="nil"/>
              <w:right w:val="single" w:sz="4" w:space="0" w:color="auto"/>
            </w:tcBorders>
            <w:shd w:val="clear" w:color="000000" w:fill="FFFFFF"/>
            <w:noWrap/>
            <w:vAlign w:val="center"/>
            <w:hideMark/>
          </w:tcPr>
          <w:p w14:paraId="57CD631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w:t>
            </w:r>
          </w:p>
        </w:tc>
        <w:tc>
          <w:tcPr>
            <w:tcW w:w="711" w:type="dxa"/>
            <w:tcBorders>
              <w:top w:val="nil"/>
              <w:left w:val="nil"/>
              <w:bottom w:val="nil"/>
              <w:right w:val="single" w:sz="4" w:space="0" w:color="auto"/>
            </w:tcBorders>
            <w:shd w:val="clear" w:color="000000" w:fill="FFFFFF"/>
            <w:noWrap/>
            <w:vAlign w:val="center"/>
            <w:hideMark/>
          </w:tcPr>
          <w:p w14:paraId="7D600E9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n</w:t>
            </w:r>
          </w:p>
        </w:tc>
        <w:tc>
          <w:tcPr>
            <w:tcW w:w="602" w:type="dxa"/>
            <w:tcBorders>
              <w:top w:val="nil"/>
              <w:left w:val="nil"/>
              <w:bottom w:val="nil"/>
              <w:right w:val="nil"/>
            </w:tcBorders>
            <w:shd w:val="clear" w:color="000000" w:fill="FFFFFF"/>
            <w:noWrap/>
            <w:vAlign w:val="center"/>
            <w:hideMark/>
          </w:tcPr>
          <w:p w14:paraId="691DE7B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w:t>
            </w:r>
          </w:p>
        </w:tc>
        <w:tc>
          <w:tcPr>
            <w:tcW w:w="763" w:type="dxa"/>
            <w:tcBorders>
              <w:top w:val="nil"/>
              <w:left w:val="single" w:sz="4" w:space="0" w:color="auto"/>
              <w:bottom w:val="nil"/>
              <w:right w:val="single" w:sz="4" w:space="0" w:color="auto"/>
            </w:tcBorders>
            <w:shd w:val="clear" w:color="000000" w:fill="FFFFFF"/>
            <w:noWrap/>
            <w:vAlign w:val="center"/>
            <w:hideMark/>
          </w:tcPr>
          <w:p w14:paraId="3B4F3E5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n</w:t>
            </w:r>
          </w:p>
        </w:tc>
        <w:tc>
          <w:tcPr>
            <w:tcW w:w="736" w:type="dxa"/>
            <w:tcBorders>
              <w:top w:val="nil"/>
              <w:left w:val="nil"/>
              <w:bottom w:val="nil"/>
              <w:right w:val="single" w:sz="4" w:space="0" w:color="auto"/>
            </w:tcBorders>
            <w:shd w:val="clear" w:color="000000" w:fill="FFFFFF"/>
            <w:noWrap/>
            <w:vAlign w:val="center"/>
            <w:hideMark/>
          </w:tcPr>
          <w:p w14:paraId="6A1811F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w:t>
            </w:r>
          </w:p>
        </w:tc>
        <w:tc>
          <w:tcPr>
            <w:tcW w:w="763" w:type="dxa"/>
            <w:tcBorders>
              <w:top w:val="nil"/>
              <w:left w:val="nil"/>
              <w:bottom w:val="nil"/>
              <w:right w:val="nil"/>
            </w:tcBorders>
            <w:shd w:val="clear" w:color="000000" w:fill="FFFFFF"/>
            <w:noWrap/>
            <w:vAlign w:val="center"/>
            <w:hideMark/>
          </w:tcPr>
          <w:p w14:paraId="3875C93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n</w:t>
            </w:r>
          </w:p>
        </w:tc>
        <w:tc>
          <w:tcPr>
            <w:tcW w:w="736" w:type="dxa"/>
            <w:tcBorders>
              <w:top w:val="nil"/>
              <w:left w:val="single" w:sz="4" w:space="0" w:color="auto"/>
              <w:bottom w:val="nil"/>
              <w:right w:val="nil"/>
            </w:tcBorders>
            <w:shd w:val="clear" w:color="000000" w:fill="FFFFFF"/>
            <w:noWrap/>
            <w:vAlign w:val="center"/>
            <w:hideMark/>
          </w:tcPr>
          <w:p w14:paraId="19B5C57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w:t>
            </w:r>
          </w:p>
        </w:tc>
        <w:tc>
          <w:tcPr>
            <w:tcW w:w="638" w:type="dxa"/>
            <w:tcBorders>
              <w:top w:val="nil"/>
              <w:left w:val="single" w:sz="4" w:space="0" w:color="auto"/>
              <w:bottom w:val="nil"/>
              <w:right w:val="nil"/>
            </w:tcBorders>
            <w:shd w:val="clear" w:color="000000" w:fill="FFFFFF"/>
            <w:noWrap/>
            <w:vAlign w:val="center"/>
            <w:hideMark/>
          </w:tcPr>
          <w:p w14:paraId="6D65F2D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n</w:t>
            </w:r>
          </w:p>
        </w:tc>
        <w:tc>
          <w:tcPr>
            <w:tcW w:w="694" w:type="dxa"/>
            <w:tcBorders>
              <w:top w:val="nil"/>
              <w:left w:val="single" w:sz="4" w:space="0" w:color="auto"/>
              <w:bottom w:val="nil"/>
              <w:right w:val="single" w:sz="4" w:space="0" w:color="auto"/>
            </w:tcBorders>
            <w:shd w:val="clear" w:color="000000" w:fill="FFFFFF"/>
            <w:noWrap/>
            <w:vAlign w:val="center"/>
            <w:hideMark/>
          </w:tcPr>
          <w:p w14:paraId="7B224FA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w:t>
            </w:r>
          </w:p>
        </w:tc>
        <w:tc>
          <w:tcPr>
            <w:tcW w:w="915" w:type="dxa"/>
            <w:tcBorders>
              <w:top w:val="nil"/>
              <w:left w:val="nil"/>
              <w:bottom w:val="nil"/>
              <w:right w:val="single" w:sz="4" w:space="0" w:color="auto"/>
            </w:tcBorders>
            <w:shd w:val="clear" w:color="000000" w:fill="FFFFFF"/>
            <w:noWrap/>
            <w:vAlign w:val="center"/>
            <w:hideMark/>
          </w:tcPr>
          <w:p w14:paraId="6E561420"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n</w:t>
            </w:r>
          </w:p>
        </w:tc>
        <w:tc>
          <w:tcPr>
            <w:tcW w:w="873" w:type="dxa"/>
            <w:tcBorders>
              <w:top w:val="nil"/>
              <w:left w:val="nil"/>
              <w:bottom w:val="nil"/>
              <w:right w:val="single" w:sz="4" w:space="0" w:color="auto"/>
            </w:tcBorders>
            <w:shd w:val="clear" w:color="000000" w:fill="FFFFFF"/>
            <w:noWrap/>
            <w:vAlign w:val="center"/>
            <w:hideMark/>
          </w:tcPr>
          <w:p w14:paraId="774F0FD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w:t>
            </w:r>
          </w:p>
        </w:tc>
        <w:tc>
          <w:tcPr>
            <w:tcW w:w="999" w:type="dxa"/>
            <w:tcBorders>
              <w:top w:val="nil"/>
              <w:left w:val="nil"/>
              <w:bottom w:val="nil"/>
              <w:right w:val="single" w:sz="4" w:space="0" w:color="auto"/>
            </w:tcBorders>
            <w:shd w:val="clear" w:color="000000" w:fill="FFFFFF"/>
            <w:noWrap/>
            <w:vAlign w:val="center"/>
            <w:hideMark/>
          </w:tcPr>
          <w:p w14:paraId="2F1F09C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n</w:t>
            </w:r>
          </w:p>
        </w:tc>
        <w:tc>
          <w:tcPr>
            <w:tcW w:w="789" w:type="dxa"/>
            <w:tcBorders>
              <w:top w:val="nil"/>
              <w:left w:val="nil"/>
              <w:bottom w:val="nil"/>
              <w:right w:val="single" w:sz="8" w:space="0" w:color="auto"/>
            </w:tcBorders>
            <w:shd w:val="clear" w:color="000000" w:fill="FFFFFF"/>
            <w:noWrap/>
            <w:vAlign w:val="center"/>
            <w:hideMark/>
          </w:tcPr>
          <w:p w14:paraId="54C65E46"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w:t>
            </w:r>
          </w:p>
        </w:tc>
      </w:tr>
      <w:tr w:rsidR="00EF358A" w:rsidRPr="00EF358A" w14:paraId="789E4F9B" w14:textId="77777777" w:rsidTr="00EF358A">
        <w:trPr>
          <w:trHeight w:val="315"/>
        </w:trPr>
        <w:tc>
          <w:tcPr>
            <w:tcW w:w="960" w:type="dxa"/>
            <w:tcBorders>
              <w:top w:val="single" w:sz="8" w:space="0" w:color="auto"/>
              <w:left w:val="single" w:sz="8" w:space="0" w:color="auto"/>
              <w:bottom w:val="nil"/>
              <w:right w:val="nil"/>
            </w:tcBorders>
            <w:shd w:val="clear" w:color="000000" w:fill="FFFFFF"/>
            <w:noWrap/>
            <w:vAlign w:val="bottom"/>
            <w:hideMark/>
          </w:tcPr>
          <w:p w14:paraId="0D5140D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1999</w:t>
            </w:r>
          </w:p>
        </w:tc>
        <w:tc>
          <w:tcPr>
            <w:tcW w:w="1199" w:type="dxa"/>
            <w:tcBorders>
              <w:top w:val="nil"/>
              <w:left w:val="single" w:sz="4" w:space="0" w:color="auto"/>
              <w:bottom w:val="nil"/>
              <w:right w:val="single" w:sz="4" w:space="0" w:color="auto"/>
            </w:tcBorders>
            <w:shd w:val="clear" w:color="000000" w:fill="FFFFFF"/>
            <w:noWrap/>
            <w:vAlign w:val="bottom"/>
            <w:hideMark/>
          </w:tcPr>
          <w:p w14:paraId="013273D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861</w:t>
            </w:r>
          </w:p>
        </w:tc>
        <w:tc>
          <w:tcPr>
            <w:tcW w:w="581" w:type="dxa"/>
            <w:tcBorders>
              <w:top w:val="nil"/>
              <w:left w:val="nil"/>
              <w:bottom w:val="nil"/>
              <w:right w:val="nil"/>
            </w:tcBorders>
            <w:shd w:val="clear" w:color="000000" w:fill="FFFFFF"/>
            <w:noWrap/>
            <w:vAlign w:val="center"/>
            <w:hideMark/>
          </w:tcPr>
          <w:p w14:paraId="0792EE3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19</w:t>
            </w:r>
          </w:p>
        </w:tc>
        <w:tc>
          <w:tcPr>
            <w:tcW w:w="615" w:type="dxa"/>
            <w:tcBorders>
              <w:top w:val="single" w:sz="8" w:space="0" w:color="auto"/>
              <w:left w:val="nil"/>
              <w:bottom w:val="nil"/>
              <w:right w:val="single" w:sz="4" w:space="0" w:color="auto"/>
            </w:tcBorders>
            <w:shd w:val="clear" w:color="000000" w:fill="FFFFFF"/>
            <w:noWrap/>
            <w:vAlign w:val="center"/>
            <w:hideMark/>
          </w:tcPr>
          <w:p w14:paraId="2AC9E8D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2.2</w:t>
            </w:r>
          </w:p>
        </w:tc>
        <w:tc>
          <w:tcPr>
            <w:tcW w:w="581" w:type="dxa"/>
            <w:tcBorders>
              <w:top w:val="single" w:sz="8" w:space="0" w:color="auto"/>
              <w:left w:val="nil"/>
              <w:bottom w:val="nil"/>
              <w:right w:val="nil"/>
            </w:tcBorders>
            <w:shd w:val="clear" w:color="000000" w:fill="FFFFFF"/>
            <w:noWrap/>
            <w:vAlign w:val="center"/>
            <w:hideMark/>
          </w:tcPr>
          <w:p w14:paraId="1EF7115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18</w:t>
            </w:r>
          </w:p>
        </w:tc>
        <w:tc>
          <w:tcPr>
            <w:tcW w:w="615" w:type="dxa"/>
            <w:tcBorders>
              <w:top w:val="single" w:sz="8" w:space="0" w:color="auto"/>
              <w:left w:val="nil"/>
              <w:bottom w:val="nil"/>
              <w:right w:val="single" w:sz="4" w:space="0" w:color="auto"/>
            </w:tcBorders>
            <w:shd w:val="clear" w:color="000000" w:fill="FFFFFF"/>
            <w:noWrap/>
            <w:vAlign w:val="center"/>
            <w:hideMark/>
          </w:tcPr>
          <w:p w14:paraId="0760BE11"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2.1</w:t>
            </w:r>
          </w:p>
        </w:tc>
        <w:tc>
          <w:tcPr>
            <w:tcW w:w="711" w:type="dxa"/>
            <w:tcBorders>
              <w:top w:val="single" w:sz="8" w:space="0" w:color="auto"/>
              <w:left w:val="nil"/>
              <w:bottom w:val="nil"/>
              <w:right w:val="nil"/>
            </w:tcBorders>
            <w:shd w:val="clear" w:color="000000" w:fill="FFFFFF"/>
            <w:noWrap/>
            <w:vAlign w:val="center"/>
            <w:hideMark/>
          </w:tcPr>
          <w:p w14:paraId="25683548"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69</w:t>
            </w:r>
          </w:p>
        </w:tc>
        <w:tc>
          <w:tcPr>
            <w:tcW w:w="602" w:type="dxa"/>
            <w:tcBorders>
              <w:top w:val="single" w:sz="8" w:space="0" w:color="auto"/>
              <w:left w:val="nil"/>
              <w:bottom w:val="nil"/>
              <w:right w:val="nil"/>
            </w:tcBorders>
            <w:shd w:val="clear" w:color="000000" w:fill="FFFFFF"/>
            <w:noWrap/>
            <w:vAlign w:val="center"/>
            <w:hideMark/>
          </w:tcPr>
          <w:p w14:paraId="29D0D59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w:t>
            </w:r>
          </w:p>
        </w:tc>
        <w:tc>
          <w:tcPr>
            <w:tcW w:w="763" w:type="dxa"/>
            <w:tcBorders>
              <w:top w:val="single" w:sz="8" w:space="0" w:color="auto"/>
              <w:left w:val="single" w:sz="4" w:space="0" w:color="auto"/>
              <w:bottom w:val="nil"/>
              <w:right w:val="nil"/>
            </w:tcBorders>
            <w:shd w:val="clear" w:color="000000" w:fill="FFFFFF"/>
            <w:noWrap/>
            <w:vAlign w:val="center"/>
            <w:hideMark/>
          </w:tcPr>
          <w:p w14:paraId="4B9F26E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218</w:t>
            </w:r>
          </w:p>
        </w:tc>
        <w:tc>
          <w:tcPr>
            <w:tcW w:w="736" w:type="dxa"/>
            <w:tcBorders>
              <w:top w:val="single" w:sz="8" w:space="0" w:color="auto"/>
              <w:left w:val="nil"/>
              <w:bottom w:val="nil"/>
              <w:right w:val="single" w:sz="4" w:space="0" w:color="auto"/>
            </w:tcBorders>
            <w:shd w:val="clear" w:color="000000" w:fill="FFFFFF"/>
            <w:noWrap/>
            <w:vAlign w:val="center"/>
            <w:hideMark/>
          </w:tcPr>
          <w:p w14:paraId="33A39B8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25.3</w:t>
            </w:r>
          </w:p>
        </w:tc>
        <w:tc>
          <w:tcPr>
            <w:tcW w:w="763" w:type="dxa"/>
            <w:tcBorders>
              <w:top w:val="single" w:sz="8" w:space="0" w:color="auto"/>
              <w:left w:val="nil"/>
              <w:bottom w:val="nil"/>
              <w:right w:val="nil"/>
            </w:tcBorders>
            <w:shd w:val="clear" w:color="000000" w:fill="FFFFFF"/>
            <w:noWrap/>
            <w:vAlign w:val="center"/>
            <w:hideMark/>
          </w:tcPr>
          <w:p w14:paraId="26938AE0"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47</w:t>
            </w:r>
          </w:p>
        </w:tc>
        <w:tc>
          <w:tcPr>
            <w:tcW w:w="736" w:type="dxa"/>
            <w:tcBorders>
              <w:top w:val="single" w:sz="8" w:space="0" w:color="auto"/>
              <w:left w:val="nil"/>
              <w:bottom w:val="nil"/>
              <w:right w:val="nil"/>
            </w:tcBorders>
            <w:shd w:val="clear" w:color="000000" w:fill="FFFFFF"/>
            <w:noWrap/>
            <w:vAlign w:val="center"/>
            <w:hideMark/>
          </w:tcPr>
          <w:p w14:paraId="0543899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5.7</w:t>
            </w:r>
          </w:p>
        </w:tc>
        <w:tc>
          <w:tcPr>
            <w:tcW w:w="638" w:type="dxa"/>
            <w:tcBorders>
              <w:top w:val="single" w:sz="8" w:space="0" w:color="auto"/>
              <w:left w:val="single" w:sz="4" w:space="0" w:color="auto"/>
              <w:bottom w:val="nil"/>
              <w:right w:val="nil"/>
            </w:tcBorders>
            <w:shd w:val="clear" w:color="000000" w:fill="FFFFFF"/>
            <w:noWrap/>
            <w:vAlign w:val="center"/>
            <w:hideMark/>
          </w:tcPr>
          <w:p w14:paraId="0B034EDD"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w:t>
            </w:r>
          </w:p>
        </w:tc>
        <w:tc>
          <w:tcPr>
            <w:tcW w:w="694" w:type="dxa"/>
            <w:tcBorders>
              <w:top w:val="single" w:sz="8" w:space="0" w:color="auto"/>
              <w:left w:val="nil"/>
              <w:bottom w:val="nil"/>
              <w:right w:val="single" w:sz="4" w:space="0" w:color="auto"/>
            </w:tcBorders>
            <w:shd w:val="clear" w:color="000000" w:fill="FFFFFF"/>
            <w:noWrap/>
            <w:vAlign w:val="center"/>
            <w:hideMark/>
          </w:tcPr>
          <w:p w14:paraId="18F52D4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0.1</w:t>
            </w:r>
          </w:p>
        </w:tc>
        <w:tc>
          <w:tcPr>
            <w:tcW w:w="915" w:type="dxa"/>
            <w:tcBorders>
              <w:top w:val="single" w:sz="8" w:space="0" w:color="auto"/>
              <w:left w:val="nil"/>
              <w:bottom w:val="nil"/>
              <w:right w:val="nil"/>
            </w:tcBorders>
            <w:shd w:val="clear" w:color="000000" w:fill="FFFFFF"/>
            <w:noWrap/>
            <w:vAlign w:val="center"/>
            <w:hideMark/>
          </w:tcPr>
          <w:p w14:paraId="10D7EBF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46</w:t>
            </w:r>
          </w:p>
        </w:tc>
        <w:tc>
          <w:tcPr>
            <w:tcW w:w="873" w:type="dxa"/>
            <w:tcBorders>
              <w:top w:val="single" w:sz="8" w:space="0" w:color="auto"/>
              <w:left w:val="nil"/>
              <w:bottom w:val="nil"/>
              <w:right w:val="single" w:sz="4" w:space="0" w:color="auto"/>
            </w:tcBorders>
            <w:shd w:val="clear" w:color="000000" w:fill="FFFFFF"/>
            <w:noWrap/>
            <w:vAlign w:val="center"/>
            <w:hideMark/>
          </w:tcPr>
          <w:p w14:paraId="468357E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5.5</w:t>
            </w:r>
          </w:p>
        </w:tc>
        <w:tc>
          <w:tcPr>
            <w:tcW w:w="999" w:type="dxa"/>
            <w:tcBorders>
              <w:top w:val="single" w:sz="8" w:space="0" w:color="auto"/>
              <w:left w:val="nil"/>
              <w:bottom w:val="nil"/>
              <w:right w:val="nil"/>
            </w:tcBorders>
            <w:shd w:val="clear" w:color="000000" w:fill="FFFFFF"/>
            <w:noWrap/>
            <w:vAlign w:val="center"/>
            <w:hideMark/>
          </w:tcPr>
          <w:p w14:paraId="37CF896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30</w:t>
            </w:r>
          </w:p>
        </w:tc>
        <w:tc>
          <w:tcPr>
            <w:tcW w:w="789" w:type="dxa"/>
            <w:tcBorders>
              <w:top w:val="single" w:sz="8" w:space="0" w:color="auto"/>
              <w:left w:val="nil"/>
              <w:bottom w:val="nil"/>
              <w:right w:val="single" w:sz="8" w:space="0" w:color="auto"/>
            </w:tcBorders>
            <w:shd w:val="clear" w:color="000000" w:fill="FFFFFF"/>
            <w:noWrap/>
            <w:vAlign w:val="center"/>
            <w:hideMark/>
          </w:tcPr>
          <w:p w14:paraId="2FD77B3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3.6</w:t>
            </w:r>
          </w:p>
        </w:tc>
      </w:tr>
      <w:tr w:rsidR="00EF358A" w:rsidRPr="00EF358A" w14:paraId="616DD594" w14:textId="77777777" w:rsidTr="00EF358A">
        <w:trPr>
          <w:trHeight w:val="315"/>
        </w:trPr>
        <w:tc>
          <w:tcPr>
            <w:tcW w:w="960" w:type="dxa"/>
            <w:tcBorders>
              <w:top w:val="nil"/>
              <w:left w:val="single" w:sz="8" w:space="0" w:color="auto"/>
              <w:bottom w:val="nil"/>
              <w:right w:val="nil"/>
            </w:tcBorders>
            <w:shd w:val="clear" w:color="000000" w:fill="FFFFFF"/>
            <w:noWrap/>
            <w:vAlign w:val="bottom"/>
            <w:hideMark/>
          </w:tcPr>
          <w:p w14:paraId="6C60E5B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2000</w:t>
            </w:r>
          </w:p>
        </w:tc>
        <w:tc>
          <w:tcPr>
            <w:tcW w:w="1199" w:type="dxa"/>
            <w:tcBorders>
              <w:top w:val="nil"/>
              <w:left w:val="single" w:sz="4" w:space="0" w:color="auto"/>
              <w:bottom w:val="nil"/>
              <w:right w:val="single" w:sz="4" w:space="0" w:color="auto"/>
            </w:tcBorders>
            <w:shd w:val="clear" w:color="000000" w:fill="FFFFFF"/>
            <w:noWrap/>
            <w:vAlign w:val="bottom"/>
            <w:hideMark/>
          </w:tcPr>
          <w:p w14:paraId="5C5999C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859</w:t>
            </w:r>
          </w:p>
        </w:tc>
        <w:tc>
          <w:tcPr>
            <w:tcW w:w="581" w:type="dxa"/>
            <w:tcBorders>
              <w:top w:val="nil"/>
              <w:left w:val="nil"/>
              <w:bottom w:val="nil"/>
              <w:right w:val="nil"/>
            </w:tcBorders>
            <w:shd w:val="clear" w:color="000000" w:fill="FFFFFF"/>
            <w:noWrap/>
            <w:vAlign w:val="center"/>
            <w:hideMark/>
          </w:tcPr>
          <w:p w14:paraId="746D9B0B"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24</w:t>
            </w:r>
          </w:p>
        </w:tc>
        <w:tc>
          <w:tcPr>
            <w:tcW w:w="615" w:type="dxa"/>
            <w:tcBorders>
              <w:top w:val="nil"/>
              <w:left w:val="nil"/>
              <w:bottom w:val="nil"/>
              <w:right w:val="single" w:sz="4" w:space="0" w:color="auto"/>
            </w:tcBorders>
            <w:shd w:val="clear" w:color="000000" w:fill="FFFFFF"/>
            <w:noWrap/>
            <w:vAlign w:val="center"/>
            <w:hideMark/>
          </w:tcPr>
          <w:p w14:paraId="2BE1EBD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2.8</w:t>
            </w:r>
          </w:p>
        </w:tc>
        <w:tc>
          <w:tcPr>
            <w:tcW w:w="581" w:type="dxa"/>
            <w:tcBorders>
              <w:top w:val="nil"/>
              <w:left w:val="nil"/>
              <w:bottom w:val="nil"/>
              <w:right w:val="nil"/>
            </w:tcBorders>
            <w:shd w:val="clear" w:color="000000" w:fill="FFFFFF"/>
            <w:noWrap/>
            <w:vAlign w:val="center"/>
            <w:hideMark/>
          </w:tcPr>
          <w:p w14:paraId="1521278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22</w:t>
            </w:r>
          </w:p>
        </w:tc>
        <w:tc>
          <w:tcPr>
            <w:tcW w:w="615" w:type="dxa"/>
            <w:tcBorders>
              <w:top w:val="nil"/>
              <w:left w:val="nil"/>
              <w:bottom w:val="nil"/>
              <w:right w:val="single" w:sz="4" w:space="0" w:color="auto"/>
            </w:tcBorders>
            <w:shd w:val="clear" w:color="000000" w:fill="FFFFFF"/>
            <w:noWrap/>
            <w:vAlign w:val="center"/>
            <w:hideMark/>
          </w:tcPr>
          <w:p w14:paraId="33F5C45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2.6</w:t>
            </w:r>
          </w:p>
        </w:tc>
        <w:tc>
          <w:tcPr>
            <w:tcW w:w="711" w:type="dxa"/>
            <w:tcBorders>
              <w:top w:val="nil"/>
              <w:left w:val="nil"/>
              <w:bottom w:val="nil"/>
              <w:right w:val="nil"/>
            </w:tcBorders>
            <w:shd w:val="clear" w:color="000000" w:fill="FFFFFF"/>
            <w:noWrap/>
            <w:vAlign w:val="center"/>
            <w:hideMark/>
          </w:tcPr>
          <w:p w14:paraId="7679880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58</w:t>
            </w:r>
          </w:p>
        </w:tc>
        <w:tc>
          <w:tcPr>
            <w:tcW w:w="602" w:type="dxa"/>
            <w:tcBorders>
              <w:top w:val="nil"/>
              <w:left w:val="nil"/>
              <w:bottom w:val="nil"/>
              <w:right w:val="nil"/>
            </w:tcBorders>
            <w:shd w:val="clear" w:color="000000" w:fill="FFFFFF"/>
            <w:noWrap/>
            <w:vAlign w:val="center"/>
            <w:hideMark/>
          </w:tcPr>
          <w:p w14:paraId="2F64799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6.8</w:t>
            </w:r>
          </w:p>
        </w:tc>
        <w:tc>
          <w:tcPr>
            <w:tcW w:w="763" w:type="dxa"/>
            <w:tcBorders>
              <w:top w:val="nil"/>
              <w:left w:val="single" w:sz="4" w:space="0" w:color="auto"/>
              <w:bottom w:val="nil"/>
              <w:right w:val="nil"/>
            </w:tcBorders>
            <w:shd w:val="clear" w:color="000000" w:fill="FFFFFF"/>
            <w:noWrap/>
            <w:vAlign w:val="center"/>
            <w:hideMark/>
          </w:tcPr>
          <w:p w14:paraId="3C9A6CA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203</w:t>
            </w:r>
          </w:p>
        </w:tc>
        <w:tc>
          <w:tcPr>
            <w:tcW w:w="736" w:type="dxa"/>
            <w:tcBorders>
              <w:top w:val="nil"/>
              <w:left w:val="nil"/>
              <w:bottom w:val="nil"/>
              <w:right w:val="single" w:sz="4" w:space="0" w:color="auto"/>
            </w:tcBorders>
            <w:shd w:val="clear" w:color="000000" w:fill="FFFFFF"/>
            <w:noWrap/>
            <w:vAlign w:val="center"/>
            <w:hideMark/>
          </w:tcPr>
          <w:p w14:paraId="0B471CB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23.6</w:t>
            </w:r>
          </w:p>
        </w:tc>
        <w:tc>
          <w:tcPr>
            <w:tcW w:w="763" w:type="dxa"/>
            <w:tcBorders>
              <w:top w:val="nil"/>
              <w:left w:val="nil"/>
              <w:bottom w:val="nil"/>
              <w:right w:val="nil"/>
            </w:tcBorders>
            <w:shd w:val="clear" w:color="000000" w:fill="FFFFFF"/>
            <w:noWrap/>
            <w:vAlign w:val="center"/>
            <w:hideMark/>
          </w:tcPr>
          <w:p w14:paraId="4226188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42</w:t>
            </w:r>
          </w:p>
        </w:tc>
        <w:tc>
          <w:tcPr>
            <w:tcW w:w="736" w:type="dxa"/>
            <w:tcBorders>
              <w:top w:val="nil"/>
              <w:left w:val="nil"/>
              <w:bottom w:val="nil"/>
              <w:right w:val="nil"/>
            </w:tcBorders>
            <w:shd w:val="clear" w:color="000000" w:fill="FFFFFF"/>
            <w:noWrap/>
            <w:vAlign w:val="center"/>
            <w:hideMark/>
          </w:tcPr>
          <w:p w14:paraId="4A87269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5.2</w:t>
            </w:r>
          </w:p>
        </w:tc>
        <w:tc>
          <w:tcPr>
            <w:tcW w:w="638" w:type="dxa"/>
            <w:tcBorders>
              <w:top w:val="nil"/>
              <w:left w:val="single" w:sz="4" w:space="0" w:color="auto"/>
              <w:bottom w:val="nil"/>
              <w:right w:val="nil"/>
            </w:tcBorders>
            <w:shd w:val="clear" w:color="000000" w:fill="FFFFFF"/>
            <w:noWrap/>
            <w:vAlign w:val="center"/>
            <w:hideMark/>
          </w:tcPr>
          <w:p w14:paraId="3DE14AB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0</w:t>
            </w:r>
          </w:p>
        </w:tc>
        <w:tc>
          <w:tcPr>
            <w:tcW w:w="694" w:type="dxa"/>
            <w:tcBorders>
              <w:top w:val="nil"/>
              <w:left w:val="nil"/>
              <w:bottom w:val="nil"/>
              <w:right w:val="single" w:sz="4" w:space="0" w:color="auto"/>
            </w:tcBorders>
            <w:shd w:val="clear" w:color="000000" w:fill="FFFFFF"/>
            <w:noWrap/>
            <w:vAlign w:val="center"/>
            <w:hideMark/>
          </w:tcPr>
          <w:p w14:paraId="06FD68F1"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0</w:t>
            </w:r>
          </w:p>
        </w:tc>
        <w:tc>
          <w:tcPr>
            <w:tcW w:w="915" w:type="dxa"/>
            <w:tcBorders>
              <w:top w:val="nil"/>
              <w:left w:val="nil"/>
              <w:bottom w:val="nil"/>
              <w:right w:val="nil"/>
            </w:tcBorders>
            <w:shd w:val="clear" w:color="000000" w:fill="FFFFFF"/>
            <w:noWrap/>
            <w:vAlign w:val="center"/>
            <w:hideMark/>
          </w:tcPr>
          <w:p w14:paraId="42AF9A1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42</w:t>
            </w:r>
          </w:p>
        </w:tc>
        <w:tc>
          <w:tcPr>
            <w:tcW w:w="873" w:type="dxa"/>
            <w:tcBorders>
              <w:top w:val="nil"/>
              <w:left w:val="nil"/>
              <w:bottom w:val="nil"/>
              <w:right w:val="single" w:sz="4" w:space="0" w:color="auto"/>
            </w:tcBorders>
            <w:shd w:val="clear" w:color="000000" w:fill="FFFFFF"/>
            <w:noWrap/>
            <w:vAlign w:val="center"/>
            <w:hideMark/>
          </w:tcPr>
          <w:p w14:paraId="65B6B16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5.2</w:t>
            </w:r>
          </w:p>
        </w:tc>
        <w:tc>
          <w:tcPr>
            <w:tcW w:w="999" w:type="dxa"/>
            <w:tcBorders>
              <w:top w:val="nil"/>
              <w:left w:val="nil"/>
              <w:bottom w:val="nil"/>
              <w:right w:val="nil"/>
            </w:tcBorders>
            <w:shd w:val="clear" w:color="000000" w:fill="FFFFFF"/>
            <w:noWrap/>
            <w:vAlign w:val="center"/>
            <w:hideMark/>
          </w:tcPr>
          <w:p w14:paraId="2CC0A8D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30</w:t>
            </w:r>
          </w:p>
        </w:tc>
        <w:tc>
          <w:tcPr>
            <w:tcW w:w="789" w:type="dxa"/>
            <w:tcBorders>
              <w:top w:val="nil"/>
              <w:left w:val="nil"/>
              <w:bottom w:val="nil"/>
              <w:right w:val="single" w:sz="8" w:space="0" w:color="auto"/>
            </w:tcBorders>
            <w:shd w:val="clear" w:color="000000" w:fill="FFFFFF"/>
            <w:noWrap/>
            <w:vAlign w:val="center"/>
            <w:hideMark/>
          </w:tcPr>
          <w:p w14:paraId="761A139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3.7</w:t>
            </w:r>
          </w:p>
        </w:tc>
      </w:tr>
      <w:tr w:rsidR="00EF358A" w:rsidRPr="00EF358A" w14:paraId="6B5F133B" w14:textId="77777777" w:rsidTr="00EF358A">
        <w:trPr>
          <w:trHeight w:val="315"/>
        </w:trPr>
        <w:tc>
          <w:tcPr>
            <w:tcW w:w="960" w:type="dxa"/>
            <w:tcBorders>
              <w:top w:val="nil"/>
              <w:left w:val="single" w:sz="8" w:space="0" w:color="auto"/>
              <w:bottom w:val="nil"/>
              <w:right w:val="nil"/>
            </w:tcBorders>
            <w:shd w:val="clear" w:color="000000" w:fill="FFFFFF"/>
            <w:noWrap/>
            <w:vAlign w:val="bottom"/>
            <w:hideMark/>
          </w:tcPr>
          <w:p w14:paraId="4DA76D40"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2001</w:t>
            </w:r>
          </w:p>
        </w:tc>
        <w:tc>
          <w:tcPr>
            <w:tcW w:w="1199" w:type="dxa"/>
            <w:tcBorders>
              <w:top w:val="nil"/>
              <w:left w:val="single" w:sz="4" w:space="0" w:color="auto"/>
              <w:bottom w:val="nil"/>
              <w:right w:val="single" w:sz="4" w:space="0" w:color="auto"/>
            </w:tcBorders>
            <w:shd w:val="clear" w:color="000000" w:fill="FFFFFF"/>
            <w:noWrap/>
            <w:vAlign w:val="bottom"/>
            <w:hideMark/>
          </w:tcPr>
          <w:p w14:paraId="2B170BF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834</w:t>
            </w:r>
          </w:p>
        </w:tc>
        <w:tc>
          <w:tcPr>
            <w:tcW w:w="581" w:type="dxa"/>
            <w:tcBorders>
              <w:top w:val="nil"/>
              <w:left w:val="nil"/>
              <w:bottom w:val="nil"/>
              <w:right w:val="nil"/>
            </w:tcBorders>
            <w:shd w:val="clear" w:color="000000" w:fill="FFFFFF"/>
            <w:noWrap/>
            <w:vAlign w:val="center"/>
            <w:hideMark/>
          </w:tcPr>
          <w:p w14:paraId="2E32C2C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w:t>
            </w:r>
          </w:p>
        </w:tc>
        <w:tc>
          <w:tcPr>
            <w:tcW w:w="615" w:type="dxa"/>
            <w:tcBorders>
              <w:top w:val="nil"/>
              <w:left w:val="nil"/>
              <w:bottom w:val="nil"/>
              <w:right w:val="single" w:sz="4" w:space="0" w:color="auto"/>
            </w:tcBorders>
            <w:shd w:val="clear" w:color="000000" w:fill="FFFFFF"/>
            <w:noWrap/>
            <w:vAlign w:val="center"/>
            <w:hideMark/>
          </w:tcPr>
          <w:p w14:paraId="6C67CB3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2.4</w:t>
            </w:r>
          </w:p>
        </w:tc>
        <w:tc>
          <w:tcPr>
            <w:tcW w:w="581" w:type="dxa"/>
            <w:tcBorders>
              <w:top w:val="nil"/>
              <w:left w:val="nil"/>
              <w:bottom w:val="nil"/>
              <w:right w:val="nil"/>
            </w:tcBorders>
            <w:shd w:val="clear" w:color="000000" w:fill="FFFFFF"/>
            <w:noWrap/>
            <w:vAlign w:val="center"/>
            <w:hideMark/>
          </w:tcPr>
          <w:p w14:paraId="64EB3B1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16</w:t>
            </w:r>
          </w:p>
        </w:tc>
        <w:tc>
          <w:tcPr>
            <w:tcW w:w="615" w:type="dxa"/>
            <w:tcBorders>
              <w:top w:val="nil"/>
              <w:left w:val="nil"/>
              <w:bottom w:val="nil"/>
              <w:right w:val="single" w:sz="4" w:space="0" w:color="auto"/>
            </w:tcBorders>
            <w:shd w:val="clear" w:color="000000" w:fill="FFFFFF"/>
            <w:noWrap/>
            <w:vAlign w:val="center"/>
            <w:hideMark/>
          </w:tcPr>
          <w:p w14:paraId="2F47D4C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1.9</w:t>
            </w:r>
          </w:p>
        </w:tc>
        <w:tc>
          <w:tcPr>
            <w:tcW w:w="711" w:type="dxa"/>
            <w:tcBorders>
              <w:top w:val="nil"/>
              <w:left w:val="nil"/>
              <w:bottom w:val="nil"/>
              <w:right w:val="nil"/>
            </w:tcBorders>
            <w:shd w:val="clear" w:color="000000" w:fill="FFFFFF"/>
            <w:noWrap/>
            <w:vAlign w:val="center"/>
            <w:hideMark/>
          </w:tcPr>
          <w:p w14:paraId="71BA98D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51</w:t>
            </w:r>
          </w:p>
        </w:tc>
        <w:tc>
          <w:tcPr>
            <w:tcW w:w="602" w:type="dxa"/>
            <w:tcBorders>
              <w:top w:val="nil"/>
              <w:left w:val="nil"/>
              <w:bottom w:val="nil"/>
              <w:right w:val="nil"/>
            </w:tcBorders>
            <w:shd w:val="clear" w:color="000000" w:fill="FFFFFF"/>
            <w:noWrap/>
            <w:vAlign w:val="center"/>
            <w:hideMark/>
          </w:tcPr>
          <w:p w14:paraId="1E85E23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6.1</w:t>
            </w:r>
          </w:p>
        </w:tc>
        <w:tc>
          <w:tcPr>
            <w:tcW w:w="763" w:type="dxa"/>
            <w:tcBorders>
              <w:top w:val="nil"/>
              <w:left w:val="single" w:sz="4" w:space="0" w:color="auto"/>
              <w:bottom w:val="nil"/>
              <w:right w:val="nil"/>
            </w:tcBorders>
            <w:shd w:val="clear" w:color="000000" w:fill="FFFFFF"/>
            <w:noWrap/>
            <w:vAlign w:val="center"/>
            <w:hideMark/>
          </w:tcPr>
          <w:p w14:paraId="11454DA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170</w:t>
            </w:r>
          </w:p>
        </w:tc>
        <w:tc>
          <w:tcPr>
            <w:tcW w:w="736" w:type="dxa"/>
            <w:tcBorders>
              <w:top w:val="nil"/>
              <w:left w:val="nil"/>
              <w:bottom w:val="nil"/>
              <w:right w:val="single" w:sz="4" w:space="0" w:color="auto"/>
            </w:tcBorders>
            <w:shd w:val="clear" w:color="000000" w:fill="FFFFFF"/>
            <w:noWrap/>
            <w:vAlign w:val="center"/>
            <w:hideMark/>
          </w:tcPr>
          <w:p w14:paraId="2AC0AD1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20.4</w:t>
            </w:r>
          </w:p>
        </w:tc>
        <w:tc>
          <w:tcPr>
            <w:tcW w:w="763" w:type="dxa"/>
            <w:tcBorders>
              <w:top w:val="nil"/>
              <w:left w:val="nil"/>
              <w:bottom w:val="nil"/>
              <w:right w:val="nil"/>
            </w:tcBorders>
            <w:shd w:val="clear" w:color="000000" w:fill="FFFFFF"/>
            <w:noWrap/>
            <w:vAlign w:val="center"/>
            <w:hideMark/>
          </w:tcPr>
          <w:p w14:paraId="3CBC8E9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65</w:t>
            </w:r>
          </w:p>
        </w:tc>
        <w:tc>
          <w:tcPr>
            <w:tcW w:w="736" w:type="dxa"/>
            <w:tcBorders>
              <w:top w:val="nil"/>
              <w:left w:val="nil"/>
              <w:bottom w:val="nil"/>
              <w:right w:val="nil"/>
            </w:tcBorders>
            <w:shd w:val="clear" w:color="000000" w:fill="FFFFFF"/>
            <w:noWrap/>
            <w:vAlign w:val="center"/>
            <w:hideMark/>
          </w:tcPr>
          <w:p w14:paraId="28B704C8"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8.3</w:t>
            </w:r>
          </w:p>
        </w:tc>
        <w:tc>
          <w:tcPr>
            <w:tcW w:w="638" w:type="dxa"/>
            <w:tcBorders>
              <w:top w:val="nil"/>
              <w:left w:val="single" w:sz="4" w:space="0" w:color="auto"/>
              <w:bottom w:val="nil"/>
              <w:right w:val="nil"/>
            </w:tcBorders>
            <w:shd w:val="clear" w:color="000000" w:fill="FFFFFF"/>
            <w:noWrap/>
            <w:vAlign w:val="center"/>
            <w:hideMark/>
          </w:tcPr>
          <w:p w14:paraId="103F42E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w:t>
            </w:r>
          </w:p>
        </w:tc>
        <w:tc>
          <w:tcPr>
            <w:tcW w:w="694" w:type="dxa"/>
            <w:tcBorders>
              <w:top w:val="nil"/>
              <w:left w:val="nil"/>
              <w:bottom w:val="nil"/>
              <w:right w:val="single" w:sz="4" w:space="0" w:color="auto"/>
            </w:tcBorders>
            <w:shd w:val="clear" w:color="000000" w:fill="FFFFFF"/>
            <w:noWrap/>
            <w:vAlign w:val="center"/>
            <w:hideMark/>
          </w:tcPr>
          <w:p w14:paraId="65F64E0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0.1</w:t>
            </w:r>
          </w:p>
        </w:tc>
        <w:tc>
          <w:tcPr>
            <w:tcW w:w="915" w:type="dxa"/>
            <w:tcBorders>
              <w:top w:val="nil"/>
              <w:left w:val="nil"/>
              <w:bottom w:val="nil"/>
              <w:right w:val="nil"/>
            </w:tcBorders>
            <w:shd w:val="clear" w:color="000000" w:fill="FFFFFF"/>
            <w:noWrap/>
            <w:vAlign w:val="center"/>
            <w:hideMark/>
          </w:tcPr>
          <w:p w14:paraId="351BCED6"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64</w:t>
            </w:r>
          </w:p>
        </w:tc>
        <w:tc>
          <w:tcPr>
            <w:tcW w:w="873" w:type="dxa"/>
            <w:tcBorders>
              <w:top w:val="nil"/>
              <w:left w:val="nil"/>
              <w:bottom w:val="nil"/>
              <w:right w:val="single" w:sz="4" w:space="0" w:color="auto"/>
            </w:tcBorders>
            <w:shd w:val="clear" w:color="000000" w:fill="FFFFFF"/>
            <w:noWrap/>
            <w:vAlign w:val="center"/>
            <w:hideMark/>
          </w:tcPr>
          <w:p w14:paraId="06DACA5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8.2</w:t>
            </w:r>
          </w:p>
        </w:tc>
        <w:tc>
          <w:tcPr>
            <w:tcW w:w="999" w:type="dxa"/>
            <w:tcBorders>
              <w:top w:val="nil"/>
              <w:left w:val="nil"/>
              <w:bottom w:val="nil"/>
              <w:right w:val="nil"/>
            </w:tcBorders>
            <w:shd w:val="clear" w:color="000000" w:fill="FFFFFF"/>
            <w:noWrap/>
            <w:vAlign w:val="center"/>
            <w:hideMark/>
          </w:tcPr>
          <w:p w14:paraId="129193A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50</w:t>
            </w:r>
          </w:p>
        </w:tc>
        <w:tc>
          <w:tcPr>
            <w:tcW w:w="789" w:type="dxa"/>
            <w:tcBorders>
              <w:top w:val="nil"/>
              <w:left w:val="nil"/>
              <w:bottom w:val="nil"/>
              <w:right w:val="single" w:sz="8" w:space="0" w:color="auto"/>
            </w:tcBorders>
            <w:shd w:val="clear" w:color="000000" w:fill="FFFFFF"/>
            <w:noWrap/>
            <w:vAlign w:val="center"/>
            <w:hideMark/>
          </w:tcPr>
          <w:p w14:paraId="75DAF111"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6.4</w:t>
            </w:r>
          </w:p>
        </w:tc>
      </w:tr>
      <w:tr w:rsidR="00EF358A" w:rsidRPr="00EF358A" w14:paraId="10B1C739" w14:textId="77777777" w:rsidTr="00EF358A">
        <w:trPr>
          <w:trHeight w:val="315"/>
        </w:trPr>
        <w:tc>
          <w:tcPr>
            <w:tcW w:w="960" w:type="dxa"/>
            <w:tcBorders>
              <w:top w:val="nil"/>
              <w:left w:val="single" w:sz="8" w:space="0" w:color="auto"/>
              <w:bottom w:val="nil"/>
              <w:right w:val="nil"/>
            </w:tcBorders>
            <w:shd w:val="clear" w:color="000000" w:fill="FFFFFF"/>
            <w:noWrap/>
            <w:vAlign w:val="bottom"/>
            <w:hideMark/>
          </w:tcPr>
          <w:p w14:paraId="3971BA9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2002</w:t>
            </w:r>
          </w:p>
        </w:tc>
        <w:tc>
          <w:tcPr>
            <w:tcW w:w="1199" w:type="dxa"/>
            <w:tcBorders>
              <w:top w:val="nil"/>
              <w:left w:val="single" w:sz="4" w:space="0" w:color="auto"/>
              <w:bottom w:val="nil"/>
              <w:right w:val="single" w:sz="4" w:space="0" w:color="auto"/>
            </w:tcBorders>
            <w:shd w:val="clear" w:color="000000" w:fill="FFFFFF"/>
            <w:noWrap/>
            <w:vAlign w:val="bottom"/>
            <w:hideMark/>
          </w:tcPr>
          <w:p w14:paraId="5B100BF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862</w:t>
            </w:r>
          </w:p>
        </w:tc>
        <w:tc>
          <w:tcPr>
            <w:tcW w:w="581" w:type="dxa"/>
            <w:tcBorders>
              <w:top w:val="nil"/>
              <w:left w:val="nil"/>
              <w:bottom w:val="nil"/>
              <w:right w:val="nil"/>
            </w:tcBorders>
            <w:shd w:val="clear" w:color="000000" w:fill="FFFFFF"/>
            <w:noWrap/>
            <w:vAlign w:val="center"/>
            <w:hideMark/>
          </w:tcPr>
          <w:p w14:paraId="11A71BA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23</w:t>
            </w:r>
          </w:p>
        </w:tc>
        <w:tc>
          <w:tcPr>
            <w:tcW w:w="615" w:type="dxa"/>
            <w:tcBorders>
              <w:top w:val="nil"/>
              <w:left w:val="nil"/>
              <w:bottom w:val="nil"/>
              <w:right w:val="single" w:sz="4" w:space="0" w:color="auto"/>
            </w:tcBorders>
            <w:shd w:val="clear" w:color="000000" w:fill="FFFFFF"/>
            <w:noWrap/>
            <w:vAlign w:val="center"/>
            <w:hideMark/>
          </w:tcPr>
          <w:p w14:paraId="52DBCBB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2.7</w:t>
            </w:r>
          </w:p>
        </w:tc>
        <w:tc>
          <w:tcPr>
            <w:tcW w:w="581" w:type="dxa"/>
            <w:tcBorders>
              <w:top w:val="nil"/>
              <w:left w:val="nil"/>
              <w:bottom w:val="nil"/>
              <w:right w:val="nil"/>
            </w:tcBorders>
            <w:shd w:val="clear" w:color="000000" w:fill="FFFFFF"/>
            <w:noWrap/>
            <w:vAlign w:val="center"/>
            <w:hideMark/>
          </w:tcPr>
          <w:p w14:paraId="5523690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23</w:t>
            </w:r>
          </w:p>
        </w:tc>
        <w:tc>
          <w:tcPr>
            <w:tcW w:w="615" w:type="dxa"/>
            <w:tcBorders>
              <w:top w:val="nil"/>
              <w:left w:val="nil"/>
              <w:bottom w:val="nil"/>
              <w:right w:val="single" w:sz="4" w:space="0" w:color="auto"/>
            </w:tcBorders>
            <w:shd w:val="clear" w:color="000000" w:fill="FFFFFF"/>
            <w:noWrap/>
            <w:vAlign w:val="center"/>
            <w:hideMark/>
          </w:tcPr>
          <w:p w14:paraId="4A81E05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2.7</w:t>
            </w:r>
          </w:p>
        </w:tc>
        <w:tc>
          <w:tcPr>
            <w:tcW w:w="711" w:type="dxa"/>
            <w:tcBorders>
              <w:top w:val="nil"/>
              <w:left w:val="nil"/>
              <w:bottom w:val="nil"/>
              <w:right w:val="nil"/>
            </w:tcBorders>
            <w:shd w:val="clear" w:color="000000" w:fill="FFFFFF"/>
            <w:noWrap/>
            <w:vAlign w:val="center"/>
            <w:hideMark/>
          </w:tcPr>
          <w:p w14:paraId="7387D0B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70</w:t>
            </w:r>
          </w:p>
        </w:tc>
        <w:tc>
          <w:tcPr>
            <w:tcW w:w="602" w:type="dxa"/>
            <w:tcBorders>
              <w:top w:val="nil"/>
              <w:left w:val="nil"/>
              <w:bottom w:val="nil"/>
              <w:right w:val="nil"/>
            </w:tcBorders>
            <w:shd w:val="clear" w:color="000000" w:fill="FFFFFF"/>
            <w:noWrap/>
            <w:vAlign w:val="center"/>
            <w:hideMark/>
          </w:tcPr>
          <w:p w14:paraId="3C5F6416"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8.1</w:t>
            </w:r>
          </w:p>
        </w:tc>
        <w:tc>
          <w:tcPr>
            <w:tcW w:w="763" w:type="dxa"/>
            <w:tcBorders>
              <w:top w:val="nil"/>
              <w:left w:val="single" w:sz="4" w:space="0" w:color="auto"/>
              <w:bottom w:val="nil"/>
              <w:right w:val="nil"/>
            </w:tcBorders>
            <w:shd w:val="clear" w:color="000000" w:fill="FFFFFF"/>
            <w:noWrap/>
            <w:vAlign w:val="center"/>
            <w:hideMark/>
          </w:tcPr>
          <w:p w14:paraId="328F64D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222</w:t>
            </w:r>
          </w:p>
        </w:tc>
        <w:tc>
          <w:tcPr>
            <w:tcW w:w="736" w:type="dxa"/>
            <w:tcBorders>
              <w:top w:val="nil"/>
              <w:left w:val="nil"/>
              <w:bottom w:val="nil"/>
              <w:right w:val="single" w:sz="4" w:space="0" w:color="auto"/>
            </w:tcBorders>
            <w:shd w:val="clear" w:color="000000" w:fill="FFFFFF"/>
            <w:noWrap/>
            <w:vAlign w:val="center"/>
            <w:hideMark/>
          </w:tcPr>
          <w:p w14:paraId="421CD64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25.8</w:t>
            </w:r>
          </w:p>
        </w:tc>
        <w:tc>
          <w:tcPr>
            <w:tcW w:w="763" w:type="dxa"/>
            <w:tcBorders>
              <w:top w:val="nil"/>
              <w:left w:val="nil"/>
              <w:bottom w:val="nil"/>
              <w:right w:val="nil"/>
            </w:tcBorders>
            <w:shd w:val="clear" w:color="000000" w:fill="FFFFFF"/>
            <w:noWrap/>
            <w:vAlign w:val="center"/>
            <w:hideMark/>
          </w:tcPr>
          <w:p w14:paraId="6754A4B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84</w:t>
            </w:r>
          </w:p>
        </w:tc>
        <w:tc>
          <w:tcPr>
            <w:tcW w:w="736" w:type="dxa"/>
            <w:tcBorders>
              <w:top w:val="nil"/>
              <w:left w:val="nil"/>
              <w:bottom w:val="nil"/>
              <w:right w:val="nil"/>
            </w:tcBorders>
            <w:shd w:val="clear" w:color="000000" w:fill="FFFFFF"/>
            <w:noWrap/>
            <w:vAlign w:val="center"/>
            <w:hideMark/>
          </w:tcPr>
          <w:p w14:paraId="35404BFD"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10.5</w:t>
            </w:r>
          </w:p>
        </w:tc>
        <w:tc>
          <w:tcPr>
            <w:tcW w:w="638" w:type="dxa"/>
            <w:tcBorders>
              <w:top w:val="nil"/>
              <w:left w:val="single" w:sz="4" w:space="0" w:color="auto"/>
              <w:bottom w:val="nil"/>
              <w:right w:val="nil"/>
            </w:tcBorders>
            <w:shd w:val="clear" w:color="000000" w:fill="FFFFFF"/>
            <w:noWrap/>
            <w:vAlign w:val="center"/>
            <w:hideMark/>
          </w:tcPr>
          <w:p w14:paraId="7EAFE94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w:t>
            </w:r>
          </w:p>
        </w:tc>
        <w:tc>
          <w:tcPr>
            <w:tcW w:w="694" w:type="dxa"/>
            <w:tcBorders>
              <w:top w:val="nil"/>
              <w:left w:val="nil"/>
              <w:bottom w:val="nil"/>
              <w:right w:val="single" w:sz="4" w:space="0" w:color="auto"/>
            </w:tcBorders>
            <w:shd w:val="clear" w:color="000000" w:fill="FFFFFF"/>
            <w:noWrap/>
            <w:vAlign w:val="center"/>
            <w:hideMark/>
          </w:tcPr>
          <w:p w14:paraId="3D94FD6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0.1</w:t>
            </w:r>
          </w:p>
        </w:tc>
        <w:tc>
          <w:tcPr>
            <w:tcW w:w="915" w:type="dxa"/>
            <w:tcBorders>
              <w:top w:val="nil"/>
              <w:left w:val="nil"/>
              <w:bottom w:val="nil"/>
              <w:right w:val="nil"/>
            </w:tcBorders>
            <w:shd w:val="clear" w:color="000000" w:fill="FFFFFF"/>
            <w:noWrap/>
            <w:vAlign w:val="center"/>
            <w:hideMark/>
          </w:tcPr>
          <w:p w14:paraId="17C9D2F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83</w:t>
            </w:r>
          </w:p>
        </w:tc>
        <w:tc>
          <w:tcPr>
            <w:tcW w:w="873" w:type="dxa"/>
            <w:tcBorders>
              <w:top w:val="nil"/>
              <w:left w:val="nil"/>
              <w:bottom w:val="nil"/>
              <w:right w:val="single" w:sz="4" w:space="0" w:color="auto"/>
            </w:tcBorders>
            <w:shd w:val="clear" w:color="000000" w:fill="FFFFFF"/>
            <w:noWrap/>
            <w:vAlign w:val="center"/>
            <w:hideMark/>
          </w:tcPr>
          <w:p w14:paraId="34AE842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10.4</w:t>
            </w:r>
          </w:p>
        </w:tc>
        <w:tc>
          <w:tcPr>
            <w:tcW w:w="999" w:type="dxa"/>
            <w:tcBorders>
              <w:top w:val="nil"/>
              <w:left w:val="nil"/>
              <w:bottom w:val="nil"/>
              <w:right w:val="nil"/>
            </w:tcBorders>
            <w:shd w:val="clear" w:color="000000" w:fill="FFFFFF"/>
            <w:noWrap/>
            <w:vAlign w:val="center"/>
            <w:hideMark/>
          </w:tcPr>
          <w:p w14:paraId="261097C6"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78</w:t>
            </w:r>
          </w:p>
        </w:tc>
        <w:tc>
          <w:tcPr>
            <w:tcW w:w="789" w:type="dxa"/>
            <w:tcBorders>
              <w:top w:val="nil"/>
              <w:left w:val="nil"/>
              <w:bottom w:val="nil"/>
              <w:right w:val="single" w:sz="8" w:space="0" w:color="auto"/>
            </w:tcBorders>
            <w:shd w:val="clear" w:color="000000" w:fill="FFFFFF"/>
            <w:noWrap/>
            <w:vAlign w:val="center"/>
            <w:hideMark/>
          </w:tcPr>
          <w:p w14:paraId="659B44F8"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9.8</w:t>
            </w:r>
          </w:p>
        </w:tc>
      </w:tr>
      <w:tr w:rsidR="00EF358A" w:rsidRPr="00EF358A" w14:paraId="1B99ED52" w14:textId="77777777" w:rsidTr="00EF358A">
        <w:trPr>
          <w:trHeight w:val="315"/>
        </w:trPr>
        <w:tc>
          <w:tcPr>
            <w:tcW w:w="960" w:type="dxa"/>
            <w:tcBorders>
              <w:top w:val="nil"/>
              <w:left w:val="single" w:sz="8" w:space="0" w:color="auto"/>
              <w:bottom w:val="nil"/>
              <w:right w:val="nil"/>
            </w:tcBorders>
            <w:shd w:val="clear" w:color="000000" w:fill="FFFFFF"/>
            <w:noWrap/>
            <w:vAlign w:val="bottom"/>
            <w:hideMark/>
          </w:tcPr>
          <w:p w14:paraId="0F34831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2003</w:t>
            </w:r>
          </w:p>
        </w:tc>
        <w:tc>
          <w:tcPr>
            <w:tcW w:w="1199" w:type="dxa"/>
            <w:tcBorders>
              <w:top w:val="nil"/>
              <w:left w:val="single" w:sz="4" w:space="0" w:color="auto"/>
              <w:bottom w:val="nil"/>
              <w:right w:val="single" w:sz="4" w:space="0" w:color="auto"/>
            </w:tcBorders>
            <w:shd w:val="clear" w:color="000000" w:fill="FFFFFF"/>
            <w:noWrap/>
            <w:vAlign w:val="bottom"/>
            <w:hideMark/>
          </w:tcPr>
          <w:p w14:paraId="6C96CC38"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882</w:t>
            </w:r>
          </w:p>
        </w:tc>
        <w:tc>
          <w:tcPr>
            <w:tcW w:w="581" w:type="dxa"/>
            <w:tcBorders>
              <w:top w:val="nil"/>
              <w:left w:val="nil"/>
              <w:bottom w:val="nil"/>
              <w:right w:val="nil"/>
            </w:tcBorders>
            <w:shd w:val="clear" w:color="000000" w:fill="FFFFFF"/>
            <w:noWrap/>
            <w:vAlign w:val="center"/>
            <w:hideMark/>
          </w:tcPr>
          <w:p w14:paraId="702574A1"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24</w:t>
            </w:r>
          </w:p>
        </w:tc>
        <w:tc>
          <w:tcPr>
            <w:tcW w:w="615" w:type="dxa"/>
            <w:tcBorders>
              <w:top w:val="nil"/>
              <w:left w:val="nil"/>
              <w:bottom w:val="nil"/>
              <w:right w:val="single" w:sz="4" w:space="0" w:color="auto"/>
            </w:tcBorders>
            <w:shd w:val="clear" w:color="000000" w:fill="FFFFFF"/>
            <w:noWrap/>
            <w:vAlign w:val="center"/>
            <w:hideMark/>
          </w:tcPr>
          <w:p w14:paraId="67F84118"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2.7</w:t>
            </w:r>
          </w:p>
        </w:tc>
        <w:tc>
          <w:tcPr>
            <w:tcW w:w="581" w:type="dxa"/>
            <w:tcBorders>
              <w:top w:val="nil"/>
              <w:left w:val="nil"/>
              <w:bottom w:val="nil"/>
              <w:right w:val="nil"/>
            </w:tcBorders>
            <w:shd w:val="clear" w:color="000000" w:fill="FFFFFF"/>
            <w:noWrap/>
            <w:vAlign w:val="center"/>
            <w:hideMark/>
          </w:tcPr>
          <w:p w14:paraId="39E6124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18</w:t>
            </w:r>
          </w:p>
        </w:tc>
        <w:tc>
          <w:tcPr>
            <w:tcW w:w="615" w:type="dxa"/>
            <w:tcBorders>
              <w:top w:val="nil"/>
              <w:left w:val="nil"/>
              <w:bottom w:val="nil"/>
              <w:right w:val="single" w:sz="4" w:space="0" w:color="auto"/>
            </w:tcBorders>
            <w:shd w:val="clear" w:color="000000" w:fill="FFFFFF"/>
            <w:noWrap/>
            <w:vAlign w:val="center"/>
            <w:hideMark/>
          </w:tcPr>
          <w:p w14:paraId="4A572DF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w:t>
            </w:r>
          </w:p>
        </w:tc>
        <w:tc>
          <w:tcPr>
            <w:tcW w:w="711" w:type="dxa"/>
            <w:tcBorders>
              <w:top w:val="nil"/>
              <w:left w:val="nil"/>
              <w:bottom w:val="nil"/>
              <w:right w:val="nil"/>
            </w:tcBorders>
            <w:shd w:val="clear" w:color="000000" w:fill="FFFFFF"/>
            <w:noWrap/>
            <w:vAlign w:val="center"/>
            <w:hideMark/>
          </w:tcPr>
          <w:p w14:paraId="0D8B3B38"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64</w:t>
            </w:r>
          </w:p>
        </w:tc>
        <w:tc>
          <w:tcPr>
            <w:tcW w:w="602" w:type="dxa"/>
            <w:tcBorders>
              <w:top w:val="nil"/>
              <w:left w:val="nil"/>
              <w:bottom w:val="nil"/>
              <w:right w:val="nil"/>
            </w:tcBorders>
            <w:shd w:val="clear" w:color="000000" w:fill="FFFFFF"/>
            <w:noWrap/>
            <w:vAlign w:val="center"/>
            <w:hideMark/>
          </w:tcPr>
          <w:p w14:paraId="316B88B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7.3</w:t>
            </w:r>
          </w:p>
        </w:tc>
        <w:tc>
          <w:tcPr>
            <w:tcW w:w="763" w:type="dxa"/>
            <w:tcBorders>
              <w:top w:val="nil"/>
              <w:left w:val="single" w:sz="4" w:space="0" w:color="auto"/>
              <w:bottom w:val="nil"/>
              <w:right w:val="nil"/>
            </w:tcBorders>
            <w:shd w:val="clear" w:color="000000" w:fill="FFFFFF"/>
            <w:noWrap/>
            <w:vAlign w:val="center"/>
            <w:hideMark/>
          </w:tcPr>
          <w:p w14:paraId="0567D4BB"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206</w:t>
            </w:r>
          </w:p>
        </w:tc>
        <w:tc>
          <w:tcPr>
            <w:tcW w:w="736" w:type="dxa"/>
            <w:tcBorders>
              <w:top w:val="nil"/>
              <w:left w:val="nil"/>
              <w:bottom w:val="nil"/>
              <w:right w:val="single" w:sz="4" w:space="0" w:color="auto"/>
            </w:tcBorders>
            <w:shd w:val="clear" w:color="000000" w:fill="FFFFFF"/>
            <w:noWrap/>
            <w:vAlign w:val="center"/>
            <w:hideMark/>
          </w:tcPr>
          <w:p w14:paraId="7B58C90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23.4</w:t>
            </w:r>
          </w:p>
        </w:tc>
        <w:tc>
          <w:tcPr>
            <w:tcW w:w="763" w:type="dxa"/>
            <w:tcBorders>
              <w:top w:val="nil"/>
              <w:left w:val="nil"/>
              <w:bottom w:val="nil"/>
              <w:right w:val="nil"/>
            </w:tcBorders>
            <w:shd w:val="clear" w:color="000000" w:fill="FFFFFF"/>
            <w:noWrap/>
            <w:vAlign w:val="center"/>
            <w:hideMark/>
          </w:tcPr>
          <w:p w14:paraId="1824C2C6"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112</w:t>
            </w:r>
          </w:p>
        </w:tc>
        <w:tc>
          <w:tcPr>
            <w:tcW w:w="736" w:type="dxa"/>
            <w:tcBorders>
              <w:top w:val="nil"/>
              <w:left w:val="nil"/>
              <w:bottom w:val="nil"/>
              <w:right w:val="nil"/>
            </w:tcBorders>
            <w:shd w:val="clear" w:color="000000" w:fill="FFFFFF"/>
            <w:noWrap/>
            <w:vAlign w:val="center"/>
            <w:hideMark/>
          </w:tcPr>
          <w:p w14:paraId="5550E671"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14</w:t>
            </w:r>
          </w:p>
        </w:tc>
        <w:tc>
          <w:tcPr>
            <w:tcW w:w="638" w:type="dxa"/>
            <w:tcBorders>
              <w:top w:val="nil"/>
              <w:left w:val="single" w:sz="4" w:space="0" w:color="auto"/>
              <w:bottom w:val="nil"/>
              <w:right w:val="nil"/>
            </w:tcBorders>
            <w:shd w:val="clear" w:color="000000" w:fill="FFFFFF"/>
            <w:noWrap/>
            <w:vAlign w:val="center"/>
            <w:hideMark/>
          </w:tcPr>
          <w:p w14:paraId="1BA565F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w:t>
            </w:r>
          </w:p>
        </w:tc>
        <w:tc>
          <w:tcPr>
            <w:tcW w:w="694" w:type="dxa"/>
            <w:tcBorders>
              <w:top w:val="nil"/>
              <w:left w:val="nil"/>
              <w:bottom w:val="nil"/>
              <w:right w:val="single" w:sz="4" w:space="0" w:color="auto"/>
            </w:tcBorders>
            <w:shd w:val="clear" w:color="000000" w:fill="FFFFFF"/>
            <w:noWrap/>
            <w:vAlign w:val="center"/>
            <w:hideMark/>
          </w:tcPr>
          <w:p w14:paraId="3345008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0.3</w:t>
            </w:r>
          </w:p>
        </w:tc>
        <w:tc>
          <w:tcPr>
            <w:tcW w:w="915" w:type="dxa"/>
            <w:tcBorders>
              <w:top w:val="nil"/>
              <w:left w:val="nil"/>
              <w:bottom w:val="nil"/>
              <w:right w:val="nil"/>
            </w:tcBorders>
            <w:shd w:val="clear" w:color="000000" w:fill="FFFFFF"/>
            <w:noWrap/>
            <w:vAlign w:val="center"/>
            <w:hideMark/>
          </w:tcPr>
          <w:p w14:paraId="79313DE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112</w:t>
            </w:r>
          </w:p>
        </w:tc>
        <w:tc>
          <w:tcPr>
            <w:tcW w:w="873" w:type="dxa"/>
            <w:tcBorders>
              <w:top w:val="nil"/>
              <w:left w:val="nil"/>
              <w:bottom w:val="nil"/>
              <w:right w:val="single" w:sz="4" w:space="0" w:color="auto"/>
            </w:tcBorders>
            <w:shd w:val="clear" w:color="000000" w:fill="FFFFFF"/>
            <w:noWrap/>
            <w:vAlign w:val="center"/>
            <w:hideMark/>
          </w:tcPr>
          <w:p w14:paraId="712106C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13.9</w:t>
            </w:r>
          </w:p>
        </w:tc>
        <w:tc>
          <w:tcPr>
            <w:tcW w:w="999" w:type="dxa"/>
            <w:tcBorders>
              <w:top w:val="nil"/>
              <w:left w:val="nil"/>
              <w:bottom w:val="nil"/>
              <w:right w:val="nil"/>
            </w:tcBorders>
            <w:shd w:val="clear" w:color="000000" w:fill="FFFFFF"/>
            <w:noWrap/>
            <w:vAlign w:val="center"/>
            <w:hideMark/>
          </w:tcPr>
          <w:p w14:paraId="1B0F1416"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89</w:t>
            </w:r>
          </w:p>
        </w:tc>
        <w:tc>
          <w:tcPr>
            <w:tcW w:w="789" w:type="dxa"/>
            <w:tcBorders>
              <w:top w:val="nil"/>
              <w:left w:val="nil"/>
              <w:bottom w:val="nil"/>
              <w:right w:val="single" w:sz="8" w:space="0" w:color="auto"/>
            </w:tcBorders>
            <w:shd w:val="clear" w:color="000000" w:fill="FFFFFF"/>
            <w:noWrap/>
            <w:vAlign w:val="center"/>
            <w:hideMark/>
          </w:tcPr>
          <w:p w14:paraId="2C823E3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11.1</w:t>
            </w:r>
          </w:p>
        </w:tc>
      </w:tr>
      <w:tr w:rsidR="00EF358A" w:rsidRPr="00EF358A" w14:paraId="58F25D5F" w14:textId="77777777" w:rsidTr="00EF358A">
        <w:trPr>
          <w:trHeight w:val="315"/>
        </w:trPr>
        <w:tc>
          <w:tcPr>
            <w:tcW w:w="960" w:type="dxa"/>
            <w:tcBorders>
              <w:top w:val="nil"/>
              <w:left w:val="single" w:sz="8" w:space="0" w:color="auto"/>
              <w:bottom w:val="nil"/>
              <w:right w:val="nil"/>
            </w:tcBorders>
            <w:shd w:val="clear" w:color="000000" w:fill="FFFFFF"/>
            <w:noWrap/>
            <w:vAlign w:val="bottom"/>
            <w:hideMark/>
          </w:tcPr>
          <w:p w14:paraId="7B3229B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2004</w:t>
            </w:r>
          </w:p>
        </w:tc>
        <w:tc>
          <w:tcPr>
            <w:tcW w:w="1199" w:type="dxa"/>
            <w:tcBorders>
              <w:top w:val="nil"/>
              <w:left w:val="single" w:sz="4" w:space="0" w:color="auto"/>
              <w:bottom w:val="nil"/>
              <w:right w:val="single" w:sz="4" w:space="0" w:color="auto"/>
            </w:tcBorders>
            <w:shd w:val="clear" w:color="000000" w:fill="FFFFFF"/>
            <w:noWrap/>
            <w:vAlign w:val="bottom"/>
            <w:hideMark/>
          </w:tcPr>
          <w:p w14:paraId="4E785EC0"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818</w:t>
            </w:r>
          </w:p>
        </w:tc>
        <w:tc>
          <w:tcPr>
            <w:tcW w:w="581" w:type="dxa"/>
            <w:tcBorders>
              <w:top w:val="nil"/>
              <w:left w:val="nil"/>
              <w:bottom w:val="nil"/>
              <w:right w:val="nil"/>
            </w:tcBorders>
            <w:shd w:val="clear" w:color="000000" w:fill="FFFFFF"/>
            <w:noWrap/>
            <w:vAlign w:val="center"/>
            <w:hideMark/>
          </w:tcPr>
          <w:p w14:paraId="7AD7C7F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27</w:t>
            </w:r>
          </w:p>
        </w:tc>
        <w:tc>
          <w:tcPr>
            <w:tcW w:w="615" w:type="dxa"/>
            <w:tcBorders>
              <w:top w:val="nil"/>
              <w:left w:val="nil"/>
              <w:bottom w:val="nil"/>
              <w:right w:val="single" w:sz="4" w:space="0" w:color="auto"/>
            </w:tcBorders>
            <w:shd w:val="clear" w:color="000000" w:fill="FFFFFF"/>
            <w:noWrap/>
            <w:vAlign w:val="center"/>
            <w:hideMark/>
          </w:tcPr>
          <w:p w14:paraId="431FFF6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3.3</w:t>
            </w:r>
          </w:p>
        </w:tc>
        <w:tc>
          <w:tcPr>
            <w:tcW w:w="581" w:type="dxa"/>
            <w:tcBorders>
              <w:top w:val="nil"/>
              <w:left w:val="nil"/>
              <w:bottom w:val="nil"/>
              <w:right w:val="nil"/>
            </w:tcBorders>
            <w:shd w:val="clear" w:color="000000" w:fill="FFFFFF"/>
            <w:noWrap/>
            <w:vAlign w:val="center"/>
            <w:hideMark/>
          </w:tcPr>
          <w:p w14:paraId="3D95681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24</w:t>
            </w:r>
          </w:p>
        </w:tc>
        <w:tc>
          <w:tcPr>
            <w:tcW w:w="615" w:type="dxa"/>
            <w:tcBorders>
              <w:top w:val="nil"/>
              <w:left w:val="nil"/>
              <w:bottom w:val="nil"/>
              <w:right w:val="single" w:sz="4" w:space="0" w:color="auto"/>
            </w:tcBorders>
            <w:shd w:val="clear" w:color="000000" w:fill="FFFFFF"/>
            <w:noWrap/>
            <w:vAlign w:val="center"/>
            <w:hideMark/>
          </w:tcPr>
          <w:p w14:paraId="27C6D5C8"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2.9</w:t>
            </w:r>
          </w:p>
        </w:tc>
        <w:tc>
          <w:tcPr>
            <w:tcW w:w="711" w:type="dxa"/>
            <w:tcBorders>
              <w:top w:val="nil"/>
              <w:left w:val="nil"/>
              <w:bottom w:val="nil"/>
              <w:right w:val="nil"/>
            </w:tcBorders>
            <w:shd w:val="clear" w:color="000000" w:fill="FFFFFF"/>
            <w:noWrap/>
            <w:vAlign w:val="center"/>
            <w:hideMark/>
          </w:tcPr>
          <w:p w14:paraId="12041F91"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56</w:t>
            </w:r>
          </w:p>
        </w:tc>
        <w:tc>
          <w:tcPr>
            <w:tcW w:w="602" w:type="dxa"/>
            <w:tcBorders>
              <w:top w:val="nil"/>
              <w:left w:val="nil"/>
              <w:bottom w:val="nil"/>
              <w:right w:val="nil"/>
            </w:tcBorders>
            <w:shd w:val="clear" w:color="000000" w:fill="FFFFFF"/>
            <w:noWrap/>
            <w:vAlign w:val="center"/>
            <w:hideMark/>
          </w:tcPr>
          <w:p w14:paraId="433BC336"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6.9</w:t>
            </w:r>
          </w:p>
        </w:tc>
        <w:tc>
          <w:tcPr>
            <w:tcW w:w="763" w:type="dxa"/>
            <w:tcBorders>
              <w:top w:val="nil"/>
              <w:left w:val="single" w:sz="4" w:space="0" w:color="auto"/>
              <w:bottom w:val="nil"/>
              <w:right w:val="nil"/>
            </w:tcBorders>
            <w:shd w:val="clear" w:color="000000" w:fill="FFFFFF"/>
            <w:noWrap/>
            <w:vAlign w:val="center"/>
            <w:hideMark/>
          </w:tcPr>
          <w:p w14:paraId="66BCB7A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182</w:t>
            </w:r>
          </w:p>
        </w:tc>
        <w:tc>
          <w:tcPr>
            <w:tcW w:w="736" w:type="dxa"/>
            <w:tcBorders>
              <w:top w:val="nil"/>
              <w:left w:val="nil"/>
              <w:bottom w:val="nil"/>
              <w:right w:val="single" w:sz="4" w:space="0" w:color="auto"/>
            </w:tcBorders>
            <w:shd w:val="clear" w:color="000000" w:fill="FFFFFF"/>
            <w:noWrap/>
            <w:vAlign w:val="center"/>
            <w:hideMark/>
          </w:tcPr>
          <w:p w14:paraId="70DF1F2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22.3</w:t>
            </w:r>
          </w:p>
        </w:tc>
        <w:tc>
          <w:tcPr>
            <w:tcW w:w="763" w:type="dxa"/>
            <w:tcBorders>
              <w:top w:val="nil"/>
              <w:left w:val="nil"/>
              <w:bottom w:val="nil"/>
              <w:right w:val="nil"/>
            </w:tcBorders>
            <w:shd w:val="clear" w:color="000000" w:fill="FFFFFF"/>
            <w:noWrap/>
            <w:vAlign w:val="center"/>
            <w:hideMark/>
          </w:tcPr>
          <w:p w14:paraId="3ABAAA3B"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126</w:t>
            </w:r>
          </w:p>
        </w:tc>
        <w:tc>
          <w:tcPr>
            <w:tcW w:w="736" w:type="dxa"/>
            <w:tcBorders>
              <w:top w:val="nil"/>
              <w:left w:val="nil"/>
              <w:bottom w:val="nil"/>
              <w:right w:val="nil"/>
            </w:tcBorders>
            <w:shd w:val="clear" w:color="000000" w:fill="FFFFFF"/>
            <w:noWrap/>
            <w:vAlign w:val="center"/>
            <w:hideMark/>
          </w:tcPr>
          <w:p w14:paraId="2621608B"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17.1</w:t>
            </w:r>
          </w:p>
        </w:tc>
        <w:tc>
          <w:tcPr>
            <w:tcW w:w="638" w:type="dxa"/>
            <w:tcBorders>
              <w:top w:val="nil"/>
              <w:left w:val="single" w:sz="4" w:space="0" w:color="auto"/>
              <w:bottom w:val="nil"/>
              <w:right w:val="nil"/>
            </w:tcBorders>
            <w:shd w:val="clear" w:color="000000" w:fill="FFFFFF"/>
            <w:noWrap/>
            <w:vAlign w:val="center"/>
            <w:hideMark/>
          </w:tcPr>
          <w:p w14:paraId="6981766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3</w:t>
            </w:r>
          </w:p>
        </w:tc>
        <w:tc>
          <w:tcPr>
            <w:tcW w:w="694" w:type="dxa"/>
            <w:tcBorders>
              <w:top w:val="nil"/>
              <w:left w:val="nil"/>
              <w:bottom w:val="nil"/>
              <w:right w:val="single" w:sz="4" w:space="0" w:color="auto"/>
            </w:tcBorders>
            <w:shd w:val="clear" w:color="000000" w:fill="FFFFFF"/>
            <w:noWrap/>
            <w:vAlign w:val="center"/>
            <w:hideMark/>
          </w:tcPr>
          <w:p w14:paraId="26A9542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0.4</w:t>
            </w:r>
          </w:p>
        </w:tc>
        <w:tc>
          <w:tcPr>
            <w:tcW w:w="915" w:type="dxa"/>
            <w:tcBorders>
              <w:top w:val="nil"/>
              <w:left w:val="nil"/>
              <w:bottom w:val="nil"/>
              <w:right w:val="nil"/>
            </w:tcBorders>
            <w:shd w:val="clear" w:color="000000" w:fill="FFFFFF"/>
            <w:noWrap/>
            <w:vAlign w:val="center"/>
            <w:hideMark/>
          </w:tcPr>
          <w:p w14:paraId="490ED94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126</w:t>
            </w:r>
          </w:p>
        </w:tc>
        <w:tc>
          <w:tcPr>
            <w:tcW w:w="873" w:type="dxa"/>
            <w:tcBorders>
              <w:top w:val="nil"/>
              <w:left w:val="nil"/>
              <w:bottom w:val="nil"/>
              <w:right w:val="single" w:sz="4" w:space="0" w:color="auto"/>
            </w:tcBorders>
            <w:shd w:val="clear" w:color="000000" w:fill="FFFFFF"/>
            <w:noWrap/>
            <w:vAlign w:val="center"/>
            <w:hideMark/>
          </w:tcPr>
          <w:p w14:paraId="59B2429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17.1</w:t>
            </w:r>
          </w:p>
        </w:tc>
        <w:tc>
          <w:tcPr>
            <w:tcW w:w="999" w:type="dxa"/>
            <w:tcBorders>
              <w:top w:val="nil"/>
              <w:left w:val="nil"/>
              <w:bottom w:val="nil"/>
              <w:right w:val="nil"/>
            </w:tcBorders>
            <w:shd w:val="clear" w:color="000000" w:fill="FFFFFF"/>
            <w:noWrap/>
            <w:vAlign w:val="center"/>
            <w:hideMark/>
          </w:tcPr>
          <w:p w14:paraId="26B1BE3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94</w:t>
            </w:r>
          </w:p>
        </w:tc>
        <w:tc>
          <w:tcPr>
            <w:tcW w:w="789" w:type="dxa"/>
            <w:tcBorders>
              <w:top w:val="nil"/>
              <w:left w:val="nil"/>
              <w:bottom w:val="nil"/>
              <w:right w:val="single" w:sz="8" w:space="0" w:color="auto"/>
            </w:tcBorders>
            <w:shd w:val="clear" w:color="000000" w:fill="FFFFFF"/>
            <w:noWrap/>
            <w:vAlign w:val="center"/>
            <w:hideMark/>
          </w:tcPr>
          <w:p w14:paraId="0BDA837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12.7</w:t>
            </w:r>
          </w:p>
        </w:tc>
      </w:tr>
      <w:tr w:rsidR="00EF358A" w:rsidRPr="00EF358A" w14:paraId="36FBBF98" w14:textId="77777777" w:rsidTr="00EF358A">
        <w:trPr>
          <w:trHeight w:val="315"/>
        </w:trPr>
        <w:tc>
          <w:tcPr>
            <w:tcW w:w="960" w:type="dxa"/>
            <w:tcBorders>
              <w:top w:val="nil"/>
              <w:left w:val="single" w:sz="8" w:space="0" w:color="auto"/>
              <w:bottom w:val="nil"/>
              <w:right w:val="nil"/>
            </w:tcBorders>
            <w:shd w:val="clear" w:color="000000" w:fill="FFFFFF"/>
            <w:noWrap/>
            <w:vAlign w:val="bottom"/>
            <w:hideMark/>
          </w:tcPr>
          <w:p w14:paraId="64F4E9FD"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2005</w:t>
            </w:r>
          </w:p>
        </w:tc>
        <w:tc>
          <w:tcPr>
            <w:tcW w:w="1199" w:type="dxa"/>
            <w:tcBorders>
              <w:top w:val="nil"/>
              <w:left w:val="single" w:sz="4" w:space="0" w:color="auto"/>
              <w:bottom w:val="nil"/>
              <w:right w:val="single" w:sz="4" w:space="0" w:color="auto"/>
            </w:tcBorders>
            <w:shd w:val="clear" w:color="000000" w:fill="FFFFFF"/>
            <w:noWrap/>
            <w:vAlign w:val="bottom"/>
            <w:hideMark/>
          </w:tcPr>
          <w:p w14:paraId="22C17F01"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847</w:t>
            </w:r>
          </w:p>
        </w:tc>
        <w:tc>
          <w:tcPr>
            <w:tcW w:w="581" w:type="dxa"/>
            <w:tcBorders>
              <w:top w:val="nil"/>
              <w:left w:val="nil"/>
              <w:bottom w:val="nil"/>
              <w:right w:val="nil"/>
            </w:tcBorders>
            <w:shd w:val="clear" w:color="000000" w:fill="FFFFFF"/>
            <w:noWrap/>
            <w:vAlign w:val="center"/>
            <w:hideMark/>
          </w:tcPr>
          <w:p w14:paraId="7432190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18</w:t>
            </w:r>
          </w:p>
        </w:tc>
        <w:tc>
          <w:tcPr>
            <w:tcW w:w="615" w:type="dxa"/>
            <w:tcBorders>
              <w:top w:val="nil"/>
              <w:left w:val="nil"/>
              <w:bottom w:val="nil"/>
              <w:right w:val="single" w:sz="4" w:space="0" w:color="auto"/>
            </w:tcBorders>
            <w:shd w:val="clear" w:color="000000" w:fill="FFFFFF"/>
            <w:noWrap/>
            <w:vAlign w:val="center"/>
            <w:hideMark/>
          </w:tcPr>
          <w:p w14:paraId="40F6652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2.1</w:t>
            </w:r>
          </w:p>
        </w:tc>
        <w:tc>
          <w:tcPr>
            <w:tcW w:w="581" w:type="dxa"/>
            <w:tcBorders>
              <w:top w:val="nil"/>
              <w:left w:val="nil"/>
              <w:bottom w:val="nil"/>
              <w:right w:val="nil"/>
            </w:tcBorders>
            <w:shd w:val="clear" w:color="000000" w:fill="FFFFFF"/>
            <w:noWrap/>
            <w:vAlign w:val="center"/>
            <w:hideMark/>
          </w:tcPr>
          <w:p w14:paraId="479353B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17</w:t>
            </w:r>
          </w:p>
        </w:tc>
        <w:tc>
          <w:tcPr>
            <w:tcW w:w="615" w:type="dxa"/>
            <w:tcBorders>
              <w:top w:val="nil"/>
              <w:left w:val="nil"/>
              <w:bottom w:val="nil"/>
              <w:right w:val="single" w:sz="4" w:space="0" w:color="auto"/>
            </w:tcBorders>
            <w:shd w:val="clear" w:color="000000" w:fill="FFFFFF"/>
            <w:noWrap/>
            <w:vAlign w:val="center"/>
            <w:hideMark/>
          </w:tcPr>
          <w:p w14:paraId="79FFAFC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w:t>
            </w:r>
          </w:p>
        </w:tc>
        <w:tc>
          <w:tcPr>
            <w:tcW w:w="711" w:type="dxa"/>
            <w:tcBorders>
              <w:top w:val="nil"/>
              <w:left w:val="nil"/>
              <w:bottom w:val="nil"/>
              <w:right w:val="nil"/>
            </w:tcBorders>
            <w:shd w:val="clear" w:color="000000" w:fill="FFFFFF"/>
            <w:noWrap/>
            <w:vAlign w:val="center"/>
            <w:hideMark/>
          </w:tcPr>
          <w:p w14:paraId="610761B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69</w:t>
            </w:r>
          </w:p>
        </w:tc>
        <w:tc>
          <w:tcPr>
            <w:tcW w:w="602" w:type="dxa"/>
            <w:tcBorders>
              <w:top w:val="nil"/>
              <w:left w:val="nil"/>
              <w:bottom w:val="nil"/>
              <w:right w:val="nil"/>
            </w:tcBorders>
            <w:shd w:val="clear" w:color="000000" w:fill="FFFFFF"/>
            <w:noWrap/>
            <w:vAlign w:val="center"/>
            <w:hideMark/>
          </w:tcPr>
          <w:p w14:paraId="733DD15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8.2</w:t>
            </w:r>
          </w:p>
        </w:tc>
        <w:tc>
          <w:tcPr>
            <w:tcW w:w="763" w:type="dxa"/>
            <w:tcBorders>
              <w:top w:val="nil"/>
              <w:left w:val="single" w:sz="4" w:space="0" w:color="auto"/>
              <w:bottom w:val="nil"/>
              <w:right w:val="nil"/>
            </w:tcBorders>
            <w:shd w:val="clear" w:color="000000" w:fill="FFFFFF"/>
            <w:noWrap/>
            <w:vAlign w:val="center"/>
            <w:hideMark/>
          </w:tcPr>
          <w:p w14:paraId="259531E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203</w:t>
            </w:r>
          </w:p>
        </w:tc>
        <w:tc>
          <w:tcPr>
            <w:tcW w:w="736" w:type="dxa"/>
            <w:tcBorders>
              <w:top w:val="nil"/>
              <w:left w:val="nil"/>
              <w:bottom w:val="nil"/>
              <w:right w:val="single" w:sz="4" w:space="0" w:color="auto"/>
            </w:tcBorders>
            <w:shd w:val="clear" w:color="000000" w:fill="FFFFFF"/>
            <w:noWrap/>
            <w:vAlign w:val="center"/>
            <w:hideMark/>
          </w:tcPr>
          <w:p w14:paraId="67A92ED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24</w:t>
            </w:r>
          </w:p>
        </w:tc>
        <w:tc>
          <w:tcPr>
            <w:tcW w:w="763" w:type="dxa"/>
            <w:tcBorders>
              <w:top w:val="nil"/>
              <w:left w:val="nil"/>
              <w:bottom w:val="nil"/>
              <w:right w:val="nil"/>
            </w:tcBorders>
            <w:shd w:val="clear" w:color="000000" w:fill="FFFFFF"/>
            <w:noWrap/>
            <w:vAlign w:val="center"/>
            <w:hideMark/>
          </w:tcPr>
          <w:p w14:paraId="6076842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225</w:t>
            </w:r>
          </w:p>
        </w:tc>
        <w:tc>
          <w:tcPr>
            <w:tcW w:w="736" w:type="dxa"/>
            <w:tcBorders>
              <w:top w:val="nil"/>
              <w:left w:val="nil"/>
              <w:bottom w:val="nil"/>
              <w:right w:val="nil"/>
            </w:tcBorders>
            <w:shd w:val="clear" w:color="000000" w:fill="FFFFFF"/>
            <w:noWrap/>
            <w:vAlign w:val="center"/>
            <w:hideMark/>
          </w:tcPr>
          <w:p w14:paraId="3DB7F5A0"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29.7</w:t>
            </w:r>
          </w:p>
        </w:tc>
        <w:tc>
          <w:tcPr>
            <w:tcW w:w="638" w:type="dxa"/>
            <w:tcBorders>
              <w:top w:val="nil"/>
              <w:left w:val="single" w:sz="4" w:space="0" w:color="auto"/>
              <w:bottom w:val="nil"/>
              <w:right w:val="nil"/>
            </w:tcBorders>
            <w:shd w:val="clear" w:color="000000" w:fill="FFFFFF"/>
            <w:noWrap/>
            <w:vAlign w:val="center"/>
            <w:hideMark/>
          </w:tcPr>
          <w:p w14:paraId="5556DCD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13</w:t>
            </w:r>
          </w:p>
        </w:tc>
        <w:tc>
          <w:tcPr>
            <w:tcW w:w="694" w:type="dxa"/>
            <w:tcBorders>
              <w:top w:val="nil"/>
              <w:left w:val="nil"/>
              <w:bottom w:val="nil"/>
              <w:right w:val="single" w:sz="4" w:space="0" w:color="auto"/>
            </w:tcBorders>
            <w:shd w:val="clear" w:color="000000" w:fill="FFFFFF"/>
            <w:noWrap/>
            <w:vAlign w:val="center"/>
            <w:hideMark/>
          </w:tcPr>
          <w:p w14:paraId="0062ABD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1.7</w:t>
            </w:r>
          </w:p>
        </w:tc>
        <w:tc>
          <w:tcPr>
            <w:tcW w:w="915" w:type="dxa"/>
            <w:tcBorders>
              <w:top w:val="nil"/>
              <w:left w:val="nil"/>
              <w:bottom w:val="nil"/>
              <w:right w:val="nil"/>
            </w:tcBorders>
            <w:shd w:val="clear" w:color="000000" w:fill="FFFFFF"/>
            <w:noWrap/>
            <w:vAlign w:val="center"/>
            <w:hideMark/>
          </w:tcPr>
          <w:p w14:paraId="64668C5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213</w:t>
            </w:r>
          </w:p>
        </w:tc>
        <w:tc>
          <w:tcPr>
            <w:tcW w:w="873" w:type="dxa"/>
            <w:tcBorders>
              <w:top w:val="nil"/>
              <w:left w:val="nil"/>
              <w:bottom w:val="nil"/>
              <w:right w:val="single" w:sz="4" w:space="0" w:color="auto"/>
            </w:tcBorders>
            <w:shd w:val="clear" w:color="000000" w:fill="FFFFFF"/>
            <w:noWrap/>
            <w:vAlign w:val="center"/>
            <w:hideMark/>
          </w:tcPr>
          <w:p w14:paraId="4D2241B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28.1</w:t>
            </w:r>
          </w:p>
        </w:tc>
        <w:tc>
          <w:tcPr>
            <w:tcW w:w="999" w:type="dxa"/>
            <w:tcBorders>
              <w:top w:val="nil"/>
              <w:left w:val="nil"/>
              <w:bottom w:val="nil"/>
              <w:right w:val="nil"/>
            </w:tcBorders>
            <w:shd w:val="clear" w:color="000000" w:fill="FFFFFF"/>
            <w:noWrap/>
            <w:vAlign w:val="center"/>
            <w:hideMark/>
          </w:tcPr>
          <w:p w14:paraId="363FF17B"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168</w:t>
            </w:r>
          </w:p>
        </w:tc>
        <w:tc>
          <w:tcPr>
            <w:tcW w:w="789" w:type="dxa"/>
            <w:tcBorders>
              <w:top w:val="nil"/>
              <w:left w:val="nil"/>
              <w:bottom w:val="nil"/>
              <w:right w:val="single" w:sz="8" w:space="0" w:color="auto"/>
            </w:tcBorders>
            <w:shd w:val="clear" w:color="000000" w:fill="FFFFFF"/>
            <w:noWrap/>
            <w:vAlign w:val="center"/>
            <w:hideMark/>
          </w:tcPr>
          <w:p w14:paraId="4E1FDA0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22.1</w:t>
            </w:r>
          </w:p>
        </w:tc>
      </w:tr>
      <w:tr w:rsidR="00EF358A" w:rsidRPr="00EF358A" w14:paraId="682B6142" w14:textId="77777777" w:rsidTr="00EF358A">
        <w:trPr>
          <w:trHeight w:val="315"/>
        </w:trPr>
        <w:tc>
          <w:tcPr>
            <w:tcW w:w="960" w:type="dxa"/>
            <w:tcBorders>
              <w:top w:val="nil"/>
              <w:left w:val="single" w:sz="8" w:space="0" w:color="auto"/>
              <w:bottom w:val="nil"/>
              <w:right w:val="nil"/>
            </w:tcBorders>
            <w:shd w:val="clear" w:color="000000" w:fill="FFFFFF"/>
            <w:noWrap/>
            <w:vAlign w:val="bottom"/>
            <w:hideMark/>
          </w:tcPr>
          <w:p w14:paraId="72F1F286"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2006</w:t>
            </w:r>
          </w:p>
        </w:tc>
        <w:tc>
          <w:tcPr>
            <w:tcW w:w="1199" w:type="dxa"/>
            <w:tcBorders>
              <w:top w:val="nil"/>
              <w:left w:val="single" w:sz="4" w:space="0" w:color="auto"/>
              <w:bottom w:val="nil"/>
              <w:right w:val="single" w:sz="4" w:space="0" w:color="auto"/>
            </w:tcBorders>
            <w:shd w:val="clear" w:color="000000" w:fill="FFFFFF"/>
            <w:noWrap/>
            <w:vAlign w:val="bottom"/>
            <w:hideMark/>
          </w:tcPr>
          <w:p w14:paraId="46F1E36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829</w:t>
            </w:r>
          </w:p>
        </w:tc>
        <w:tc>
          <w:tcPr>
            <w:tcW w:w="581" w:type="dxa"/>
            <w:tcBorders>
              <w:top w:val="nil"/>
              <w:left w:val="nil"/>
              <w:bottom w:val="nil"/>
              <w:right w:val="nil"/>
            </w:tcBorders>
            <w:shd w:val="clear" w:color="000000" w:fill="FFFFFF"/>
            <w:noWrap/>
            <w:vAlign w:val="center"/>
            <w:hideMark/>
          </w:tcPr>
          <w:p w14:paraId="48AD053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w:t>
            </w:r>
          </w:p>
        </w:tc>
        <w:tc>
          <w:tcPr>
            <w:tcW w:w="615" w:type="dxa"/>
            <w:tcBorders>
              <w:top w:val="nil"/>
              <w:left w:val="nil"/>
              <w:bottom w:val="nil"/>
              <w:right w:val="single" w:sz="4" w:space="0" w:color="auto"/>
            </w:tcBorders>
            <w:shd w:val="clear" w:color="000000" w:fill="FFFFFF"/>
            <w:noWrap/>
            <w:vAlign w:val="center"/>
            <w:hideMark/>
          </w:tcPr>
          <w:p w14:paraId="30AEB87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2.4</w:t>
            </w:r>
          </w:p>
        </w:tc>
        <w:tc>
          <w:tcPr>
            <w:tcW w:w="581" w:type="dxa"/>
            <w:tcBorders>
              <w:top w:val="nil"/>
              <w:left w:val="nil"/>
              <w:bottom w:val="nil"/>
              <w:right w:val="nil"/>
            </w:tcBorders>
            <w:shd w:val="clear" w:color="000000" w:fill="FFFFFF"/>
            <w:noWrap/>
            <w:vAlign w:val="center"/>
            <w:hideMark/>
          </w:tcPr>
          <w:p w14:paraId="39E6CB9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18</w:t>
            </w:r>
          </w:p>
        </w:tc>
        <w:tc>
          <w:tcPr>
            <w:tcW w:w="615" w:type="dxa"/>
            <w:tcBorders>
              <w:top w:val="nil"/>
              <w:left w:val="nil"/>
              <w:bottom w:val="nil"/>
              <w:right w:val="single" w:sz="4" w:space="0" w:color="auto"/>
            </w:tcBorders>
            <w:shd w:val="clear" w:color="000000" w:fill="FFFFFF"/>
            <w:noWrap/>
            <w:vAlign w:val="center"/>
            <w:hideMark/>
          </w:tcPr>
          <w:p w14:paraId="661D92C8"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2.2</w:t>
            </w:r>
          </w:p>
        </w:tc>
        <w:tc>
          <w:tcPr>
            <w:tcW w:w="711" w:type="dxa"/>
            <w:tcBorders>
              <w:top w:val="nil"/>
              <w:left w:val="nil"/>
              <w:bottom w:val="nil"/>
              <w:right w:val="nil"/>
            </w:tcBorders>
            <w:shd w:val="clear" w:color="000000" w:fill="FFFFFF"/>
            <w:noWrap/>
            <w:vAlign w:val="center"/>
            <w:hideMark/>
          </w:tcPr>
          <w:p w14:paraId="1794F99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54</w:t>
            </w:r>
          </w:p>
        </w:tc>
        <w:tc>
          <w:tcPr>
            <w:tcW w:w="602" w:type="dxa"/>
            <w:tcBorders>
              <w:top w:val="nil"/>
              <w:left w:val="nil"/>
              <w:bottom w:val="nil"/>
              <w:right w:val="nil"/>
            </w:tcBorders>
            <w:shd w:val="clear" w:color="000000" w:fill="FFFFFF"/>
            <w:noWrap/>
            <w:vAlign w:val="center"/>
            <w:hideMark/>
          </w:tcPr>
          <w:p w14:paraId="493713A1"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6.5</w:t>
            </w:r>
          </w:p>
        </w:tc>
        <w:tc>
          <w:tcPr>
            <w:tcW w:w="763" w:type="dxa"/>
            <w:tcBorders>
              <w:top w:val="nil"/>
              <w:left w:val="single" w:sz="4" w:space="0" w:color="auto"/>
              <w:bottom w:val="nil"/>
              <w:right w:val="nil"/>
            </w:tcBorders>
            <w:shd w:val="clear" w:color="000000" w:fill="FFFFFF"/>
            <w:noWrap/>
            <w:vAlign w:val="center"/>
            <w:hideMark/>
          </w:tcPr>
          <w:p w14:paraId="60F8ED2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194</w:t>
            </w:r>
          </w:p>
        </w:tc>
        <w:tc>
          <w:tcPr>
            <w:tcW w:w="736" w:type="dxa"/>
            <w:tcBorders>
              <w:top w:val="nil"/>
              <w:left w:val="nil"/>
              <w:bottom w:val="nil"/>
              <w:right w:val="single" w:sz="4" w:space="0" w:color="auto"/>
            </w:tcBorders>
            <w:shd w:val="clear" w:color="000000" w:fill="FFFFFF"/>
            <w:noWrap/>
            <w:vAlign w:val="center"/>
            <w:hideMark/>
          </w:tcPr>
          <w:p w14:paraId="48AF50C1"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23.4</w:t>
            </w:r>
          </w:p>
        </w:tc>
        <w:tc>
          <w:tcPr>
            <w:tcW w:w="763" w:type="dxa"/>
            <w:tcBorders>
              <w:top w:val="nil"/>
              <w:left w:val="nil"/>
              <w:bottom w:val="nil"/>
              <w:right w:val="nil"/>
            </w:tcBorders>
            <w:shd w:val="clear" w:color="000000" w:fill="FFFFFF"/>
            <w:noWrap/>
            <w:vAlign w:val="center"/>
            <w:hideMark/>
          </w:tcPr>
          <w:p w14:paraId="08B9D68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267</w:t>
            </w:r>
          </w:p>
        </w:tc>
        <w:tc>
          <w:tcPr>
            <w:tcW w:w="736" w:type="dxa"/>
            <w:tcBorders>
              <w:top w:val="nil"/>
              <w:left w:val="nil"/>
              <w:bottom w:val="nil"/>
              <w:right w:val="nil"/>
            </w:tcBorders>
            <w:shd w:val="clear" w:color="000000" w:fill="FFFFFF"/>
            <w:noWrap/>
            <w:vAlign w:val="center"/>
            <w:hideMark/>
          </w:tcPr>
          <w:p w14:paraId="5C68C24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36.9</w:t>
            </w:r>
          </w:p>
        </w:tc>
        <w:tc>
          <w:tcPr>
            <w:tcW w:w="638" w:type="dxa"/>
            <w:tcBorders>
              <w:top w:val="nil"/>
              <w:left w:val="single" w:sz="4" w:space="0" w:color="auto"/>
              <w:bottom w:val="nil"/>
              <w:right w:val="nil"/>
            </w:tcBorders>
            <w:shd w:val="clear" w:color="000000" w:fill="FFFFFF"/>
            <w:noWrap/>
            <w:vAlign w:val="center"/>
            <w:hideMark/>
          </w:tcPr>
          <w:p w14:paraId="39F1FC9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19</w:t>
            </w:r>
          </w:p>
        </w:tc>
        <w:tc>
          <w:tcPr>
            <w:tcW w:w="694" w:type="dxa"/>
            <w:tcBorders>
              <w:top w:val="nil"/>
              <w:left w:val="nil"/>
              <w:bottom w:val="nil"/>
              <w:right w:val="single" w:sz="4" w:space="0" w:color="auto"/>
            </w:tcBorders>
            <w:shd w:val="clear" w:color="000000" w:fill="FFFFFF"/>
            <w:noWrap/>
            <w:vAlign w:val="center"/>
            <w:hideMark/>
          </w:tcPr>
          <w:p w14:paraId="13738AF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2.6</w:t>
            </w:r>
          </w:p>
        </w:tc>
        <w:tc>
          <w:tcPr>
            <w:tcW w:w="915" w:type="dxa"/>
            <w:tcBorders>
              <w:top w:val="nil"/>
              <w:left w:val="nil"/>
              <w:bottom w:val="nil"/>
              <w:right w:val="nil"/>
            </w:tcBorders>
            <w:shd w:val="clear" w:color="000000" w:fill="FFFFFF"/>
            <w:noWrap/>
            <w:vAlign w:val="center"/>
            <w:hideMark/>
          </w:tcPr>
          <w:p w14:paraId="52A7E1D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253</w:t>
            </w:r>
          </w:p>
        </w:tc>
        <w:tc>
          <w:tcPr>
            <w:tcW w:w="873" w:type="dxa"/>
            <w:tcBorders>
              <w:top w:val="nil"/>
              <w:left w:val="nil"/>
              <w:bottom w:val="nil"/>
              <w:right w:val="single" w:sz="4" w:space="0" w:color="auto"/>
            </w:tcBorders>
            <w:shd w:val="clear" w:color="000000" w:fill="FFFFFF"/>
            <w:noWrap/>
            <w:vAlign w:val="center"/>
            <w:hideMark/>
          </w:tcPr>
          <w:p w14:paraId="0D904F26"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34.8</w:t>
            </w:r>
          </w:p>
        </w:tc>
        <w:tc>
          <w:tcPr>
            <w:tcW w:w="999" w:type="dxa"/>
            <w:tcBorders>
              <w:top w:val="nil"/>
              <w:left w:val="nil"/>
              <w:bottom w:val="nil"/>
              <w:right w:val="nil"/>
            </w:tcBorders>
            <w:shd w:val="clear" w:color="000000" w:fill="FFFFFF"/>
            <w:noWrap/>
            <w:vAlign w:val="center"/>
            <w:hideMark/>
          </w:tcPr>
          <w:p w14:paraId="74392E4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187</w:t>
            </w:r>
          </w:p>
        </w:tc>
        <w:tc>
          <w:tcPr>
            <w:tcW w:w="789" w:type="dxa"/>
            <w:tcBorders>
              <w:top w:val="nil"/>
              <w:left w:val="nil"/>
              <w:bottom w:val="nil"/>
              <w:right w:val="single" w:sz="8" w:space="0" w:color="auto"/>
            </w:tcBorders>
            <w:shd w:val="clear" w:color="000000" w:fill="FFFFFF"/>
            <w:noWrap/>
            <w:vAlign w:val="center"/>
            <w:hideMark/>
          </w:tcPr>
          <w:p w14:paraId="50B26DC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25.7</w:t>
            </w:r>
          </w:p>
        </w:tc>
      </w:tr>
      <w:tr w:rsidR="00EF358A" w:rsidRPr="00EF358A" w14:paraId="688FE7B3" w14:textId="77777777" w:rsidTr="00EF358A">
        <w:trPr>
          <w:trHeight w:val="315"/>
        </w:trPr>
        <w:tc>
          <w:tcPr>
            <w:tcW w:w="960" w:type="dxa"/>
            <w:tcBorders>
              <w:top w:val="nil"/>
              <w:left w:val="single" w:sz="8" w:space="0" w:color="auto"/>
              <w:bottom w:val="nil"/>
              <w:right w:val="nil"/>
            </w:tcBorders>
            <w:shd w:val="clear" w:color="000000" w:fill="FFFFFF"/>
            <w:noWrap/>
            <w:vAlign w:val="bottom"/>
            <w:hideMark/>
          </w:tcPr>
          <w:p w14:paraId="633F109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2007</w:t>
            </w:r>
          </w:p>
        </w:tc>
        <w:tc>
          <w:tcPr>
            <w:tcW w:w="1199" w:type="dxa"/>
            <w:tcBorders>
              <w:top w:val="nil"/>
              <w:left w:val="single" w:sz="4" w:space="0" w:color="auto"/>
              <w:bottom w:val="nil"/>
              <w:right w:val="single" w:sz="4" w:space="0" w:color="auto"/>
            </w:tcBorders>
            <w:shd w:val="clear" w:color="000000" w:fill="FFFFFF"/>
            <w:noWrap/>
            <w:vAlign w:val="bottom"/>
            <w:hideMark/>
          </w:tcPr>
          <w:p w14:paraId="056D6FF8"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820</w:t>
            </w:r>
          </w:p>
        </w:tc>
        <w:tc>
          <w:tcPr>
            <w:tcW w:w="581" w:type="dxa"/>
            <w:tcBorders>
              <w:top w:val="nil"/>
              <w:left w:val="nil"/>
              <w:bottom w:val="nil"/>
              <w:right w:val="nil"/>
            </w:tcBorders>
            <w:shd w:val="clear" w:color="000000" w:fill="FFFFFF"/>
            <w:noWrap/>
            <w:vAlign w:val="center"/>
            <w:hideMark/>
          </w:tcPr>
          <w:p w14:paraId="526D262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18</w:t>
            </w:r>
          </w:p>
        </w:tc>
        <w:tc>
          <w:tcPr>
            <w:tcW w:w="615" w:type="dxa"/>
            <w:tcBorders>
              <w:top w:val="nil"/>
              <w:left w:val="nil"/>
              <w:bottom w:val="nil"/>
              <w:right w:val="single" w:sz="4" w:space="0" w:color="auto"/>
            </w:tcBorders>
            <w:shd w:val="clear" w:color="000000" w:fill="FFFFFF"/>
            <w:noWrap/>
            <w:vAlign w:val="center"/>
            <w:hideMark/>
          </w:tcPr>
          <w:p w14:paraId="405D94B0"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2.2</w:t>
            </w:r>
          </w:p>
        </w:tc>
        <w:tc>
          <w:tcPr>
            <w:tcW w:w="581" w:type="dxa"/>
            <w:tcBorders>
              <w:top w:val="nil"/>
              <w:left w:val="nil"/>
              <w:bottom w:val="nil"/>
              <w:right w:val="nil"/>
            </w:tcBorders>
            <w:shd w:val="clear" w:color="000000" w:fill="FFFFFF"/>
            <w:noWrap/>
            <w:vAlign w:val="center"/>
            <w:hideMark/>
          </w:tcPr>
          <w:p w14:paraId="611DFAB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15</w:t>
            </w:r>
          </w:p>
        </w:tc>
        <w:tc>
          <w:tcPr>
            <w:tcW w:w="615" w:type="dxa"/>
            <w:tcBorders>
              <w:top w:val="nil"/>
              <w:left w:val="nil"/>
              <w:bottom w:val="nil"/>
              <w:right w:val="single" w:sz="4" w:space="0" w:color="auto"/>
            </w:tcBorders>
            <w:shd w:val="clear" w:color="000000" w:fill="FFFFFF"/>
            <w:noWrap/>
            <w:vAlign w:val="center"/>
            <w:hideMark/>
          </w:tcPr>
          <w:p w14:paraId="5627B24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1.8</w:t>
            </w:r>
          </w:p>
        </w:tc>
        <w:tc>
          <w:tcPr>
            <w:tcW w:w="711" w:type="dxa"/>
            <w:tcBorders>
              <w:top w:val="nil"/>
              <w:left w:val="nil"/>
              <w:bottom w:val="nil"/>
              <w:right w:val="nil"/>
            </w:tcBorders>
            <w:shd w:val="clear" w:color="000000" w:fill="FFFFFF"/>
            <w:noWrap/>
            <w:vAlign w:val="center"/>
            <w:hideMark/>
          </w:tcPr>
          <w:p w14:paraId="4BEEC39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51</w:t>
            </w:r>
          </w:p>
        </w:tc>
        <w:tc>
          <w:tcPr>
            <w:tcW w:w="602" w:type="dxa"/>
            <w:tcBorders>
              <w:top w:val="nil"/>
              <w:left w:val="nil"/>
              <w:bottom w:val="nil"/>
              <w:right w:val="nil"/>
            </w:tcBorders>
            <w:shd w:val="clear" w:color="000000" w:fill="FFFFFF"/>
            <w:noWrap/>
            <w:vAlign w:val="center"/>
            <w:hideMark/>
          </w:tcPr>
          <w:p w14:paraId="21D2D02D"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6.2</w:t>
            </w:r>
          </w:p>
        </w:tc>
        <w:tc>
          <w:tcPr>
            <w:tcW w:w="763" w:type="dxa"/>
            <w:tcBorders>
              <w:top w:val="nil"/>
              <w:left w:val="single" w:sz="4" w:space="0" w:color="auto"/>
              <w:bottom w:val="nil"/>
              <w:right w:val="nil"/>
            </w:tcBorders>
            <w:shd w:val="clear" w:color="000000" w:fill="FFFFFF"/>
            <w:noWrap/>
            <w:vAlign w:val="center"/>
            <w:hideMark/>
          </w:tcPr>
          <w:p w14:paraId="2F89110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197</w:t>
            </w:r>
          </w:p>
        </w:tc>
        <w:tc>
          <w:tcPr>
            <w:tcW w:w="736" w:type="dxa"/>
            <w:tcBorders>
              <w:top w:val="nil"/>
              <w:left w:val="nil"/>
              <w:bottom w:val="nil"/>
              <w:right w:val="single" w:sz="4" w:space="0" w:color="auto"/>
            </w:tcBorders>
            <w:shd w:val="clear" w:color="000000" w:fill="FFFFFF"/>
            <w:noWrap/>
            <w:vAlign w:val="center"/>
            <w:hideMark/>
          </w:tcPr>
          <w:p w14:paraId="385F531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24</w:t>
            </w:r>
          </w:p>
        </w:tc>
        <w:tc>
          <w:tcPr>
            <w:tcW w:w="763" w:type="dxa"/>
            <w:tcBorders>
              <w:top w:val="nil"/>
              <w:left w:val="nil"/>
              <w:bottom w:val="nil"/>
              <w:right w:val="nil"/>
            </w:tcBorders>
            <w:shd w:val="clear" w:color="000000" w:fill="FFFFFF"/>
            <w:noWrap/>
            <w:vAlign w:val="center"/>
            <w:hideMark/>
          </w:tcPr>
          <w:p w14:paraId="3C02BA5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256</w:t>
            </w:r>
          </w:p>
        </w:tc>
        <w:tc>
          <w:tcPr>
            <w:tcW w:w="736" w:type="dxa"/>
            <w:tcBorders>
              <w:top w:val="nil"/>
              <w:left w:val="nil"/>
              <w:bottom w:val="nil"/>
              <w:right w:val="nil"/>
            </w:tcBorders>
            <w:shd w:val="clear" w:color="000000" w:fill="FFFFFF"/>
            <w:noWrap/>
            <w:vAlign w:val="center"/>
            <w:hideMark/>
          </w:tcPr>
          <w:p w14:paraId="4FB3B5E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36.4</w:t>
            </w:r>
          </w:p>
        </w:tc>
        <w:tc>
          <w:tcPr>
            <w:tcW w:w="638" w:type="dxa"/>
            <w:tcBorders>
              <w:top w:val="nil"/>
              <w:left w:val="single" w:sz="4" w:space="0" w:color="auto"/>
              <w:bottom w:val="nil"/>
              <w:right w:val="nil"/>
            </w:tcBorders>
            <w:shd w:val="clear" w:color="000000" w:fill="FFFFFF"/>
            <w:noWrap/>
            <w:vAlign w:val="center"/>
            <w:hideMark/>
          </w:tcPr>
          <w:p w14:paraId="3C5578D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17</w:t>
            </w:r>
          </w:p>
        </w:tc>
        <w:tc>
          <w:tcPr>
            <w:tcW w:w="694" w:type="dxa"/>
            <w:tcBorders>
              <w:top w:val="nil"/>
              <w:left w:val="nil"/>
              <w:bottom w:val="nil"/>
              <w:right w:val="single" w:sz="4" w:space="0" w:color="auto"/>
            </w:tcBorders>
            <w:shd w:val="clear" w:color="000000" w:fill="FFFFFF"/>
            <w:noWrap/>
            <w:vAlign w:val="center"/>
            <w:hideMark/>
          </w:tcPr>
          <w:p w14:paraId="360AA75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2.4</w:t>
            </w:r>
          </w:p>
        </w:tc>
        <w:tc>
          <w:tcPr>
            <w:tcW w:w="915" w:type="dxa"/>
            <w:tcBorders>
              <w:top w:val="nil"/>
              <w:left w:val="nil"/>
              <w:bottom w:val="nil"/>
              <w:right w:val="nil"/>
            </w:tcBorders>
            <w:shd w:val="clear" w:color="000000" w:fill="FFFFFF"/>
            <w:noWrap/>
            <w:vAlign w:val="center"/>
            <w:hideMark/>
          </w:tcPr>
          <w:p w14:paraId="51C3053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243</w:t>
            </w:r>
          </w:p>
        </w:tc>
        <w:tc>
          <w:tcPr>
            <w:tcW w:w="873" w:type="dxa"/>
            <w:tcBorders>
              <w:top w:val="nil"/>
              <w:left w:val="nil"/>
              <w:bottom w:val="nil"/>
              <w:right w:val="single" w:sz="4" w:space="0" w:color="auto"/>
            </w:tcBorders>
            <w:shd w:val="clear" w:color="000000" w:fill="FFFFFF"/>
            <w:noWrap/>
            <w:vAlign w:val="center"/>
            <w:hideMark/>
          </w:tcPr>
          <w:p w14:paraId="41AB901B"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34.2</w:t>
            </w:r>
          </w:p>
        </w:tc>
        <w:tc>
          <w:tcPr>
            <w:tcW w:w="999" w:type="dxa"/>
            <w:tcBorders>
              <w:top w:val="nil"/>
              <w:left w:val="nil"/>
              <w:bottom w:val="nil"/>
              <w:right w:val="nil"/>
            </w:tcBorders>
            <w:shd w:val="clear" w:color="000000" w:fill="FFFFFF"/>
            <w:noWrap/>
            <w:vAlign w:val="center"/>
            <w:hideMark/>
          </w:tcPr>
          <w:p w14:paraId="6DC42B1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164</w:t>
            </w:r>
          </w:p>
        </w:tc>
        <w:tc>
          <w:tcPr>
            <w:tcW w:w="789" w:type="dxa"/>
            <w:tcBorders>
              <w:top w:val="nil"/>
              <w:left w:val="nil"/>
              <w:bottom w:val="nil"/>
              <w:right w:val="single" w:sz="8" w:space="0" w:color="auto"/>
            </w:tcBorders>
            <w:shd w:val="clear" w:color="000000" w:fill="FFFFFF"/>
            <w:noWrap/>
            <w:vAlign w:val="center"/>
            <w:hideMark/>
          </w:tcPr>
          <w:p w14:paraId="19B5A53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23.1</w:t>
            </w:r>
          </w:p>
        </w:tc>
      </w:tr>
      <w:tr w:rsidR="00EF358A" w:rsidRPr="00EF358A" w14:paraId="0F8F1BE9" w14:textId="77777777" w:rsidTr="00EF358A">
        <w:trPr>
          <w:trHeight w:val="315"/>
        </w:trPr>
        <w:tc>
          <w:tcPr>
            <w:tcW w:w="960" w:type="dxa"/>
            <w:tcBorders>
              <w:top w:val="nil"/>
              <w:left w:val="single" w:sz="8" w:space="0" w:color="auto"/>
              <w:bottom w:val="nil"/>
              <w:right w:val="nil"/>
            </w:tcBorders>
            <w:shd w:val="clear" w:color="000000" w:fill="FFFFFF"/>
            <w:noWrap/>
            <w:vAlign w:val="bottom"/>
            <w:hideMark/>
          </w:tcPr>
          <w:p w14:paraId="73B8AB1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2008</w:t>
            </w:r>
          </w:p>
        </w:tc>
        <w:tc>
          <w:tcPr>
            <w:tcW w:w="1199" w:type="dxa"/>
            <w:tcBorders>
              <w:top w:val="nil"/>
              <w:left w:val="single" w:sz="4" w:space="0" w:color="auto"/>
              <w:bottom w:val="nil"/>
              <w:right w:val="single" w:sz="4" w:space="0" w:color="auto"/>
            </w:tcBorders>
            <w:shd w:val="clear" w:color="000000" w:fill="FFFFFF"/>
            <w:noWrap/>
            <w:vAlign w:val="bottom"/>
            <w:hideMark/>
          </w:tcPr>
          <w:p w14:paraId="0E89B016"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803</w:t>
            </w:r>
          </w:p>
        </w:tc>
        <w:tc>
          <w:tcPr>
            <w:tcW w:w="581" w:type="dxa"/>
            <w:tcBorders>
              <w:top w:val="nil"/>
              <w:left w:val="nil"/>
              <w:bottom w:val="nil"/>
              <w:right w:val="nil"/>
            </w:tcBorders>
            <w:shd w:val="clear" w:color="000000" w:fill="FFFFFF"/>
            <w:noWrap/>
            <w:vAlign w:val="center"/>
            <w:hideMark/>
          </w:tcPr>
          <w:p w14:paraId="5334FE2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18</w:t>
            </w:r>
          </w:p>
        </w:tc>
        <w:tc>
          <w:tcPr>
            <w:tcW w:w="615" w:type="dxa"/>
            <w:tcBorders>
              <w:top w:val="nil"/>
              <w:left w:val="nil"/>
              <w:bottom w:val="nil"/>
              <w:right w:val="single" w:sz="4" w:space="0" w:color="auto"/>
            </w:tcBorders>
            <w:shd w:val="clear" w:color="000000" w:fill="FFFFFF"/>
            <w:noWrap/>
            <w:vAlign w:val="center"/>
            <w:hideMark/>
          </w:tcPr>
          <w:p w14:paraId="330706EB"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2.2</w:t>
            </w:r>
          </w:p>
        </w:tc>
        <w:tc>
          <w:tcPr>
            <w:tcW w:w="581" w:type="dxa"/>
            <w:tcBorders>
              <w:top w:val="nil"/>
              <w:left w:val="nil"/>
              <w:bottom w:val="nil"/>
              <w:right w:val="nil"/>
            </w:tcBorders>
            <w:shd w:val="clear" w:color="000000" w:fill="FFFFFF"/>
            <w:noWrap/>
            <w:vAlign w:val="center"/>
            <w:hideMark/>
          </w:tcPr>
          <w:p w14:paraId="2FA13CA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w:t>
            </w:r>
          </w:p>
        </w:tc>
        <w:tc>
          <w:tcPr>
            <w:tcW w:w="615" w:type="dxa"/>
            <w:tcBorders>
              <w:top w:val="nil"/>
              <w:left w:val="nil"/>
              <w:bottom w:val="nil"/>
              <w:right w:val="single" w:sz="4" w:space="0" w:color="auto"/>
            </w:tcBorders>
            <w:shd w:val="clear" w:color="000000" w:fill="FFFFFF"/>
            <w:noWrap/>
            <w:vAlign w:val="center"/>
            <w:hideMark/>
          </w:tcPr>
          <w:p w14:paraId="57A110A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2.5</w:t>
            </w:r>
          </w:p>
        </w:tc>
        <w:tc>
          <w:tcPr>
            <w:tcW w:w="711" w:type="dxa"/>
            <w:tcBorders>
              <w:top w:val="nil"/>
              <w:left w:val="nil"/>
              <w:bottom w:val="nil"/>
              <w:right w:val="nil"/>
            </w:tcBorders>
            <w:shd w:val="clear" w:color="000000" w:fill="FFFFFF"/>
            <w:noWrap/>
            <w:vAlign w:val="center"/>
            <w:hideMark/>
          </w:tcPr>
          <w:p w14:paraId="5909FBFD"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42</w:t>
            </w:r>
          </w:p>
        </w:tc>
        <w:tc>
          <w:tcPr>
            <w:tcW w:w="602" w:type="dxa"/>
            <w:tcBorders>
              <w:top w:val="nil"/>
              <w:left w:val="nil"/>
              <w:bottom w:val="nil"/>
              <w:right w:val="nil"/>
            </w:tcBorders>
            <w:shd w:val="clear" w:color="000000" w:fill="FFFFFF"/>
            <w:noWrap/>
            <w:vAlign w:val="center"/>
            <w:hideMark/>
          </w:tcPr>
          <w:p w14:paraId="6F1500C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5.2</w:t>
            </w:r>
          </w:p>
        </w:tc>
        <w:tc>
          <w:tcPr>
            <w:tcW w:w="763" w:type="dxa"/>
            <w:tcBorders>
              <w:top w:val="nil"/>
              <w:left w:val="single" w:sz="4" w:space="0" w:color="auto"/>
              <w:bottom w:val="nil"/>
              <w:right w:val="nil"/>
            </w:tcBorders>
            <w:shd w:val="clear" w:color="000000" w:fill="FFFFFF"/>
            <w:noWrap/>
            <w:vAlign w:val="center"/>
            <w:hideMark/>
          </w:tcPr>
          <w:p w14:paraId="13CB093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172</w:t>
            </w:r>
          </w:p>
        </w:tc>
        <w:tc>
          <w:tcPr>
            <w:tcW w:w="736" w:type="dxa"/>
            <w:tcBorders>
              <w:top w:val="nil"/>
              <w:left w:val="nil"/>
              <w:bottom w:val="nil"/>
              <w:right w:val="single" w:sz="4" w:space="0" w:color="auto"/>
            </w:tcBorders>
            <w:shd w:val="clear" w:color="000000" w:fill="FFFFFF"/>
            <w:noWrap/>
            <w:vAlign w:val="center"/>
            <w:hideMark/>
          </w:tcPr>
          <w:p w14:paraId="6F2E3F40"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21.4</w:t>
            </w:r>
          </w:p>
        </w:tc>
        <w:tc>
          <w:tcPr>
            <w:tcW w:w="763" w:type="dxa"/>
            <w:tcBorders>
              <w:top w:val="nil"/>
              <w:left w:val="nil"/>
              <w:bottom w:val="nil"/>
              <w:right w:val="nil"/>
            </w:tcBorders>
            <w:shd w:val="clear" w:color="000000" w:fill="FFFFFF"/>
            <w:noWrap/>
            <w:vAlign w:val="center"/>
            <w:hideMark/>
          </w:tcPr>
          <w:p w14:paraId="5C3D6F2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290</w:t>
            </w:r>
          </w:p>
        </w:tc>
        <w:tc>
          <w:tcPr>
            <w:tcW w:w="736" w:type="dxa"/>
            <w:tcBorders>
              <w:top w:val="nil"/>
              <w:left w:val="nil"/>
              <w:bottom w:val="nil"/>
              <w:right w:val="nil"/>
            </w:tcBorders>
            <w:shd w:val="clear" w:color="000000" w:fill="FFFFFF"/>
            <w:noWrap/>
            <w:vAlign w:val="center"/>
            <w:hideMark/>
          </w:tcPr>
          <w:p w14:paraId="3BDD795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42.2</w:t>
            </w:r>
          </w:p>
        </w:tc>
        <w:tc>
          <w:tcPr>
            <w:tcW w:w="638" w:type="dxa"/>
            <w:tcBorders>
              <w:top w:val="nil"/>
              <w:left w:val="single" w:sz="4" w:space="0" w:color="auto"/>
              <w:bottom w:val="nil"/>
              <w:right w:val="nil"/>
            </w:tcBorders>
            <w:shd w:val="clear" w:color="000000" w:fill="FFFFFF"/>
            <w:noWrap/>
            <w:vAlign w:val="center"/>
            <w:hideMark/>
          </w:tcPr>
          <w:p w14:paraId="3A84E076"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44</w:t>
            </w:r>
          </w:p>
        </w:tc>
        <w:tc>
          <w:tcPr>
            <w:tcW w:w="694" w:type="dxa"/>
            <w:tcBorders>
              <w:top w:val="nil"/>
              <w:left w:val="nil"/>
              <w:bottom w:val="nil"/>
              <w:right w:val="single" w:sz="4" w:space="0" w:color="auto"/>
            </w:tcBorders>
            <w:shd w:val="clear" w:color="000000" w:fill="FFFFFF"/>
            <w:noWrap/>
            <w:vAlign w:val="center"/>
            <w:hideMark/>
          </w:tcPr>
          <w:p w14:paraId="16A3F140"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6.4</w:t>
            </w:r>
          </w:p>
        </w:tc>
        <w:tc>
          <w:tcPr>
            <w:tcW w:w="915" w:type="dxa"/>
            <w:tcBorders>
              <w:top w:val="nil"/>
              <w:left w:val="nil"/>
              <w:bottom w:val="nil"/>
              <w:right w:val="nil"/>
            </w:tcBorders>
            <w:shd w:val="clear" w:color="000000" w:fill="FFFFFF"/>
            <w:noWrap/>
            <w:vAlign w:val="center"/>
            <w:hideMark/>
          </w:tcPr>
          <w:p w14:paraId="2A6AEAA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252</w:t>
            </w:r>
          </w:p>
        </w:tc>
        <w:tc>
          <w:tcPr>
            <w:tcW w:w="873" w:type="dxa"/>
            <w:tcBorders>
              <w:top w:val="nil"/>
              <w:left w:val="nil"/>
              <w:bottom w:val="nil"/>
              <w:right w:val="single" w:sz="4" w:space="0" w:color="auto"/>
            </w:tcBorders>
            <w:shd w:val="clear" w:color="000000" w:fill="FFFFFF"/>
            <w:noWrap/>
            <w:vAlign w:val="center"/>
            <w:hideMark/>
          </w:tcPr>
          <w:p w14:paraId="62BA0B8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36.4</w:t>
            </w:r>
          </w:p>
        </w:tc>
        <w:tc>
          <w:tcPr>
            <w:tcW w:w="999" w:type="dxa"/>
            <w:tcBorders>
              <w:top w:val="nil"/>
              <w:left w:val="nil"/>
              <w:bottom w:val="nil"/>
              <w:right w:val="nil"/>
            </w:tcBorders>
            <w:shd w:val="clear" w:color="000000" w:fill="FFFFFF"/>
            <w:noWrap/>
            <w:vAlign w:val="center"/>
            <w:hideMark/>
          </w:tcPr>
          <w:p w14:paraId="1658E641"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177</w:t>
            </w:r>
          </w:p>
        </w:tc>
        <w:tc>
          <w:tcPr>
            <w:tcW w:w="789" w:type="dxa"/>
            <w:tcBorders>
              <w:top w:val="nil"/>
              <w:left w:val="nil"/>
              <w:bottom w:val="nil"/>
              <w:right w:val="single" w:sz="8" w:space="0" w:color="auto"/>
            </w:tcBorders>
            <w:shd w:val="clear" w:color="000000" w:fill="FFFFFF"/>
            <w:noWrap/>
            <w:vAlign w:val="center"/>
            <w:hideMark/>
          </w:tcPr>
          <w:p w14:paraId="6B860588"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25.6</w:t>
            </w:r>
          </w:p>
        </w:tc>
      </w:tr>
      <w:tr w:rsidR="00EF358A" w:rsidRPr="00EF358A" w14:paraId="14FF5594" w14:textId="77777777" w:rsidTr="00EF358A">
        <w:trPr>
          <w:trHeight w:val="315"/>
        </w:trPr>
        <w:tc>
          <w:tcPr>
            <w:tcW w:w="960" w:type="dxa"/>
            <w:tcBorders>
              <w:top w:val="nil"/>
              <w:left w:val="single" w:sz="8" w:space="0" w:color="auto"/>
              <w:bottom w:val="nil"/>
              <w:right w:val="nil"/>
            </w:tcBorders>
            <w:shd w:val="clear" w:color="000000" w:fill="FFFFFF"/>
            <w:noWrap/>
            <w:vAlign w:val="bottom"/>
            <w:hideMark/>
          </w:tcPr>
          <w:p w14:paraId="002E638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2009</w:t>
            </w:r>
          </w:p>
        </w:tc>
        <w:tc>
          <w:tcPr>
            <w:tcW w:w="1199" w:type="dxa"/>
            <w:tcBorders>
              <w:top w:val="nil"/>
              <w:left w:val="single" w:sz="4" w:space="0" w:color="auto"/>
              <w:bottom w:val="nil"/>
              <w:right w:val="single" w:sz="4" w:space="0" w:color="auto"/>
            </w:tcBorders>
            <w:shd w:val="clear" w:color="000000" w:fill="FFFFFF"/>
            <w:noWrap/>
            <w:vAlign w:val="bottom"/>
            <w:hideMark/>
          </w:tcPr>
          <w:p w14:paraId="0EAD207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758</w:t>
            </w:r>
          </w:p>
        </w:tc>
        <w:tc>
          <w:tcPr>
            <w:tcW w:w="581" w:type="dxa"/>
            <w:tcBorders>
              <w:top w:val="nil"/>
              <w:left w:val="nil"/>
              <w:bottom w:val="nil"/>
              <w:right w:val="nil"/>
            </w:tcBorders>
            <w:shd w:val="clear" w:color="000000" w:fill="FFFFFF"/>
            <w:noWrap/>
            <w:vAlign w:val="center"/>
            <w:hideMark/>
          </w:tcPr>
          <w:p w14:paraId="22C42B36"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9</w:t>
            </w:r>
          </w:p>
        </w:tc>
        <w:tc>
          <w:tcPr>
            <w:tcW w:w="615" w:type="dxa"/>
            <w:tcBorders>
              <w:top w:val="nil"/>
              <w:left w:val="nil"/>
              <w:bottom w:val="nil"/>
              <w:right w:val="single" w:sz="4" w:space="0" w:color="auto"/>
            </w:tcBorders>
            <w:shd w:val="clear" w:color="000000" w:fill="FFFFFF"/>
            <w:noWrap/>
            <w:vAlign w:val="center"/>
            <w:hideMark/>
          </w:tcPr>
          <w:p w14:paraId="5ABA899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1.2</w:t>
            </w:r>
          </w:p>
        </w:tc>
        <w:tc>
          <w:tcPr>
            <w:tcW w:w="581" w:type="dxa"/>
            <w:tcBorders>
              <w:top w:val="nil"/>
              <w:left w:val="nil"/>
              <w:bottom w:val="nil"/>
              <w:right w:val="nil"/>
            </w:tcBorders>
            <w:shd w:val="clear" w:color="000000" w:fill="FFFFFF"/>
            <w:noWrap/>
            <w:vAlign w:val="center"/>
            <w:hideMark/>
          </w:tcPr>
          <w:p w14:paraId="413E5DF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16</w:t>
            </w:r>
          </w:p>
        </w:tc>
        <w:tc>
          <w:tcPr>
            <w:tcW w:w="615" w:type="dxa"/>
            <w:tcBorders>
              <w:top w:val="nil"/>
              <w:left w:val="nil"/>
              <w:bottom w:val="nil"/>
              <w:right w:val="single" w:sz="4" w:space="0" w:color="auto"/>
            </w:tcBorders>
            <w:shd w:val="clear" w:color="000000" w:fill="FFFFFF"/>
            <w:noWrap/>
            <w:vAlign w:val="center"/>
            <w:hideMark/>
          </w:tcPr>
          <w:p w14:paraId="10A8D32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2.1</w:t>
            </w:r>
          </w:p>
        </w:tc>
        <w:tc>
          <w:tcPr>
            <w:tcW w:w="711" w:type="dxa"/>
            <w:tcBorders>
              <w:top w:val="nil"/>
              <w:left w:val="nil"/>
              <w:bottom w:val="nil"/>
              <w:right w:val="nil"/>
            </w:tcBorders>
            <w:shd w:val="clear" w:color="000000" w:fill="FFFFFF"/>
            <w:noWrap/>
            <w:vAlign w:val="center"/>
            <w:hideMark/>
          </w:tcPr>
          <w:p w14:paraId="37BA79DB"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40</w:t>
            </w:r>
          </w:p>
        </w:tc>
        <w:tc>
          <w:tcPr>
            <w:tcW w:w="602" w:type="dxa"/>
            <w:tcBorders>
              <w:top w:val="nil"/>
              <w:left w:val="nil"/>
              <w:bottom w:val="nil"/>
              <w:right w:val="nil"/>
            </w:tcBorders>
            <w:shd w:val="clear" w:color="000000" w:fill="FFFFFF"/>
            <w:noWrap/>
            <w:vAlign w:val="center"/>
            <w:hideMark/>
          </w:tcPr>
          <w:p w14:paraId="07E1A0D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5.3</w:t>
            </w:r>
          </w:p>
        </w:tc>
        <w:tc>
          <w:tcPr>
            <w:tcW w:w="763" w:type="dxa"/>
            <w:tcBorders>
              <w:top w:val="nil"/>
              <w:left w:val="single" w:sz="4" w:space="0" w:color="auto"/>
              <w:bottom w:val="nil"/>
              <w:right w:val="nil"/>
            </w:tcBorders>
            <w:shd w:val="clear" w:color="000000" w:fill="FFFFFF"/>
            <w:noWrap/>
            <w:vAlign w:val="center"/>
            <w:hideMark/>
          </w:tcPr>
          <w:p w14:paraId="75E479F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180</w:t>
            </w:r>
          </w:p>
        </w:tc>
        <w:tc>
          <w:tcPr>
            <w:tcW w:w="736" w:type="dxa"/>
            <w:tcBorders>
              <w:top w:val="nil"/>
              <w:left w:val="nil"/>
              <w:bottom w:val="nil"/>
              <w:right w:val="single" w:sz="4" w:space="0" w:color="auto"/>
            </w:tcBorders>
            <w:shd w:val="clear" w:color="000000" w:fill="FFFFFF"/>
            <w:noWrap/>
            <w:vAlign w:val="center"/>
            <w:hideMark/>
          </w:tcPr>
          <w:p w14:paraId="5927464D"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23.8</w:t>
            </w:r>
          </w:p>
        </w:tc>
        <w:tc>
          <w:tcPr>
            <w:tcW w:w="763" w:type="dxa"/>
            <w:tcBorders>
              <w:top w:val="nil"/>
              <w:left w:val="nil"/>
              <w:bottom w:val="nil"/>
              <w:right w:val="nil"/>
            </w:tcBorders>
            <w:shd w:val="clear" w:color="000000" w:fill="FFFFFF"/>
            <w:noWrap/>
            <w:vAlign w:val="center"/>
            <w:hideMark/>
          </w:tcPr>
          <w:p w14:paraId="52C0EEE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278</w:t>
            </w:r>
          </w:p>
        </w:tc>
        <w:tc>
          <w:tcPr>
            <w:tcW w:w="736" w:type="dxa"/>
            <w:tcBorders>
              <w:top w:val="nil"/>
              <w:left w:val="nil"/>
              <w:bottom w:val="nil"/>
              <w:right w:val="nil"/>
            </w:tcBorders>
            <w:shd w:val="clear" w:color="000000" w:fill="FFFFFF"/>
            <w:noWrap/>
            <w:vAlign w:val="center"/>
            <w:hideMark/>
          </w:tcPr>
          <w:p w14:paraId="4E99380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43.3</w:t>
            </w:r>
          </w:p>
        </w:tc>
        <w:tc>
          <w:tcPr>
            <w:tcW w:w="638" w:type="dxa"/>
            <w:tcBorders>
              <w:top w:val="nil"/>
              <w:left w:val="single" w:sz="4" w:space="0" w:color="auto"/>
              <w:bottom w:val="nil"/>
              <w:right w:val="nil"/>
            </w:tcBorders>
            <w:shd w:val="clear" w:color="000000" w:fill="FFFFFF"/>
            <w:noWrap/>
            <w:vAlign w:val="center"/>
            <w:hideMark/>
          </w:tcPr>
          <w:p w14:paraId="670856C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28</w:t>
            </w:r>
          </w:p>
        </w:tc>
        <w:tc>
          <w:tcPr>
            <w:tcW w:w="694" w:type="dxa"/>
            <w:tcBorders>
              <w:top w:val="nil"/>
              <w:left w:val="nil"/>
              <w:bottom w:val="nil"/>
              <w:right w:val="single" w:sz="4" w:space="0" w:color="auto"/>
            </w:tcBorders>
            <w:shd w:val="clear" w:color="000000" w:fill="FFFFFF"/>
            <w:noWrap/>
            <w:vAlign w:val="center"/>
            <w:hideMark/>
          </w:tcPr>
          <w:p w14:paraId="45F56356"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4.4</w:t>
            </w:r>
          </w:p>
        </w:tc>
        <w:tc>
          <w:tcPr>
            <w:tcW w:w="915" w:type="dxa"/>
            <w:tcBorders>
              <w:top w:val="nil"/>
              <w:left w:val="nil"/>
              <w:bottom w:val="nil"/>
              <w:right w:val="nil"/>
            </w:tcBorders>
            <w:shd w:val="clear" w:color="000000" w:fill="FFFFFF"/>
            <w:noWrap/>
            <w:vAlign w:val="center"/>
            <w:hideMark/>
          </w:tcPr>
          <w:p w14:paraId="71F0B4A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254</w:t>
            </w:r>
          </w:p>
        </w:tc>
        <w:tc>
          <w:tcPr>
            <w:tcW w:w="873" w:type="dxa"/>
            <w:tcBorders>
              <w:top w:val="nil"/>
              <w:left w:val="nil"/>
              <w:bottom w:val="nil"/>
              <w:right w:val="single" w:sz="4" w:space="0" w:color="auto"/>
            </w:tcBorders>
            <w:shd w:val="clear" w:color="000000" w:fill="FFFFFF"/>
            <w:noWrap/>
            <w:vAlign w:val="center"/>
            <w:hideMark/>
          </w:tcPr>
          <w:p w14:paraId="3A505A4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39.5</w:t>
            </w:r>
          </w:p>
        </w:tc>
        <w:tc>
          <w:tcPr>
            <w:tcW w:w="999" w:type="dxa"/>
            <w:tcBorders>
              <w:top w:val="nil"/>
              <w:left w:val="nil"/>
              <w:bottom w:val="nil"/>
              <w:right w:val="nil"/>
            </w:tcBorders>
            <w:shd w:val="clear" w:color="000000" w:fill="FFFFFF"/>
            <w:noWrap/>
            <w:vAlign w:val="center"/>
            <w:hideMark/>
          </w:tcPr>
          <w:p w14:paraId="37A3C1A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168</w:t>
            </w:r>
          </w:p>
        </w:tc>
        <w:tc>
          <w:tcPr>
            <w:tcW w:w="789" w:type="dxa"/>
            <w:tcBorders>
              <w:top w:val="nil"/>
              <w:left w:val="nil"/>
              <w:bottom w:val="nil"/>
              <w:right w:val="single" w:sz="8" w:space="0" w:color="auto"/>
            </w:tcBorders>
            <w:shd w:val="clear" w:color="000000" w:fill="FFFFFF"/>
            <w:noWrap/>
            <w:vAlign w:val="center"/>
            <w:hideMark/>
          </w:tcPr>
          <w:p w14:paraId="20486960"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26.1</w:t>
            </w:r>
          </w:p>
        </w:tc>
      </w:tr>
      <w:tr w:rsidR="00EF358A" w:rsidRPr="00EF358A" w14:paraId="7C28E484" w14:textId="77777777" w:rsidTr="00EF358A">
        <w:trPr>
          <w:trHeight w:val="315"/>
        </w:trPr>
        <w:tc>
          <w:tcPr>
            <w:tcW w:w="960" w:type="dxa"/>
            <w:tcBorders>
              <w:top w:val="nil"/>
              <w:left w:val="single" w:sz="8" w:space="0" w:color="auto"/>
              <w:bottom w:val="nil"/>
              <w:right w:val="nil"/>
            </w:tcBorders>
            <w:shd w:val="clear" w:color="000000" w:fill="FFFFFF"/>
            <w:noWrap/>
            <w:vAlign w:val="bottom"/>
            <w:hideMark/>
          </w:tcPr>
          <w:p w14:paraId="2282D01B"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2010</w:t>
            </w:r>
          </w:p>
        </w:tc>
        <w:tc>
          <w:tcPr>
            <w:tcW w:w="1199" w:type="dxa"/>
            <w:tcBorders>
              <w:top w:val="nil"/>
              <w:left w:val="single" w:sz="4" w:space="0" w:color="auto"/>
              <w:bottom w:val="nil"/>
              <w:right w:val="single" w:sz="4" w:space="0" w:color="auto"/>
            </w:tcBorders>
            <w:shd w:val="clear" w:color="000000" w:fill="FFFFFF"/>
            <w:noWrap/>
            <w:vAlign w:val="bottom"/>
            <w:hideMark/>
          </w:tcPr>
          <w:p w14:paraId="0F765E46"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725</w:t>
            </w:r>
          </w:p>
        </w:tc>
        <w:tc>
          <w:tcPr>
            <w:tcW w:w="581" w:type="dxa"/>
            <w:tcBorders>
              <w:top w:val="nil"/>
              <w:left w:val="nil"/>
              <w:bottom w:val="nil"/>
              <w:right w:val="nil"/>
            </w:tcBorders>
            <w:shd w:val="clear" w:color="000000" w:fill="FFFFFF"/>
            <w:noWrap/>
            <w:vAlign w:val="center"/>
            <w:hideMark/>
          </w:tcPr>
          <w:p w14:paraId="4B0B5B5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14</w:t>
            </w:r>
          </w:p>
        </w:tc>
        <w:tc>
          <w:tcPr>
            <w:tcW w:w="615" w:type="dxa"/>
            <w:tcBorders>
              <w:top w:val="nil"/>
              <w:left w:val="nil"/>
              <w:bottom w:val="nil"/>
              <w:right w:val="single" w:sz="4" w:space="0" w:color="auto"/>
            </w:tcBorders>
            <w:shd w:val="clear" w:color="000000" w:fill="FFFFFF"/>
            <w:noWrap/>
            <w:vAlign w:val="center"/>
            <w:hideMark/>
          </w:tcPr>
          <w:p w14:paraId="0DBB6C5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1.9</w:t>
            </w:r>
          </w:p>
        </w:tc>
        <w:tc>
          <w:tcPr>
            <w:tcW w:w="581" w:type="dxa"/>
            <w:tcBorders>
              <w:top w:val="nil"/>
              <w:left w:val="nil"/>
              <w:bottom w:val="nil"/>
              <w:right w:val="nil"/>
            </w:tcBorders>
            <w:shd w:val="clear" w:color="000000" w:fill="FFFFFF"/>
            <w:noWrap/>
            <w:vAlign w:val="center"/>
            <w:hideMark/>
          </w:tcPr>
          <w:p w14:paraId="6A37789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16</w:t>
            </w:r>
          </w:p>
        </w:tc>
        <w:tc>
          <w:tcPr>
            <w:tcW w:w="615" w:type="dxa"/>
            <w:tcBorders>
              <w:top w:val="nil"/>
              <w:left w:val="nil"/>
              <w:bottom w:val="nil"/>
              <w:right w:val="single" w:sz="4" w:space="0" w:color="auto"/>
            </w:tcBorders>
            <w:shd w:val="clear" w:color="000000" w:fill="FFFFFF"/>
            <w:noWrap/>
            <w:vAlign w:val="center"/>
            <w:hideMark/>
          </w:tcPr>
          <w:p w14:paraId="6D19AA18"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2.2</w:t>
            </w:r>
          </w:p>
        </w:tc>
        <w:tc>
          <w:tcPr>
            <w:tcW w:w="711" w:type="dxa"/>
            <w:tcBorders>
              <w:top w:val="nil"/>
              <w:left w:val="nil"/>
              <w:bottom w:val="nil"/>
              <w:right w:val="nil"/>
            </w:tcBorders>
            <w:shd w:val="clear" w:color="000000" w:fill="FFFFFF"/>
            <w:noWrap/>
            <w:vAlign w:val="center"/>
            <w:hideMark/>
          </w:tcPr>
          <w:p w14:paraId="0C9F3CE1"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26</w:t>
            </w:r>
          </w:p>
        </w:tc>
        <w:tc>
          <w:tcPr>
            <w:tcW w:w="602" w:type="dxa"/>
            <w:tcBorders>
              <w:top w:val="nil"/>
              <w:left w:val="nil"/>
              <w:bottom w:val="nil"/>
              <w:right w:val="nil"/>
            </w:tcBorders>
            <w:shd w:val="clear" w:color="000000" w:fill="FFFFFF"/>
            <w:noWrap/>
            <w:vAlign w:val="center"/>
            <w:hideMark/>
          </w:tcPr>
          <w:p w14:paraId="53EF356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3.6</w:t>
            </w:r>
          </w:p>
        </w:tc>
        <w:tc>
          <w:tcPr>
            <w:tcW w:w="763" w:type="dxa"/>
            <w:tcBorders>
              <w:top w:val="nil"/>
              <w:left w:val="single" w:sz="4" w:space="0" w:color="auto"/>
              <w:bottom w:val="nil"/>
              <w:right w:val="nil"/>
            </w:tcBorders>
            <w:shd w:val="clear" w:color="000000" w:fill="FFFFFF"/>
            <w:noWrap/>
            <w:vAlign w:val="center"/>
            <w:hideMark/>
          </w:tcPr>
          <w:p w14:paraId="1AE10DC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132</w:t>
            </w:r>
          </w:p>
        </w:tc>
        <w:tc>
          <w:tcPr>
            <w:tcW w:w="736" w:type="dxa"/>
            <w:tcBorders>
              <w:top w:val="nil"/>
              <w:left w:val="nil"/>
              <w:bottom w:val="nil"/>
              <w:right w:val="single" w:sz="4" w:space="0" w:color="auto"/>
            </w:tcBorders>
            <w:shd w:val="clear" w:color="000000" w:fill="FFFFFF"/>
            <w:noWrap/>
            <w:vAlign w:val="center"/>
            <w:hideMark/>
          </w:tcPr>
          <w:p w14:paraId="46D994A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18.2</w:t>
            </w:r>
          </w:p>
        </w:tc>
        <w:tc>
          <w:tcPr>
            <w:tcW w:w="763" w:type="dxa"/>
            <w:tcBorders>
              <w:top w:val="nil"/>
              <w:left w:val="nil"/>
              <w:bottom w:val="nil"/>
              <w:right w:val="nil"/>
            </w:tcBorders>
            <w:shd w:val="clear" w:color="000000" w:fill="FFFFFF"/>
            <w:noWrap/>
            <w:vAlign w:val="center"/>
            <w:hideMark/>
          </w:tcPr>
          <w:p w14:paraId="2429C2C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283</w:t>
            </w:r>
          </w:p>
        </w:tc>
        <w:tc>
          <w:tcPr>
            <w:tcW w:w="736" w:type="dxa"/>
            <w:tcBorders>
              <w:top w:val="nil"/>
              <w:left w:val="nil"/>
              <w:bottom w:val="nil"/>
              <w:right w:val="nil"/>
            </w:tcBorders>
            <w:shd w:val="clear" w:color="000000" w:fill="FFFFFF"/>
            <w:noWrap/>
            <w:vAlign w:val="center"/>
            <w:hideMark/>
          </w:tcPr>
          <w:p w14:paraId="712352B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45.9</w:t>
            </w:r>
          </w:p>
        </w:tc>
        <w:tc>
          <w:tcPr>
            <w:tcW w:w="638" w:type="dxa"/>
            <w:tcBorders>
              <w:top w:val="nil"/>
              <w:left w:val="single" w:sz="4" w:space="0" w:color="auto"/>
              <w:bottom w:val="nil"/>
              <w:right w:val="nil"/>
            </w:tcBorders>
            <w:shd w:val="clear" w:color="000000" w:fill="FFFFFF"/>
            <w:noWrap/>
            <w:vAlign w:val="center"/>
            <w:hideMark/>
          </w:tcPr>
          <w:p w14:paraId="732A312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25</w:t>
            </w:r>
          </w:p>
        </w:tc>
        <w:tc>
          <w:tcPr>
            <w:tcW w:w="694" w:type="dxa"/>
            <w:tcBorders>
              <w:top w:val="nil"/>
              <w:left w:val="nil"/>
              <w:bottom w:val="nil"/>
              <w:right w:val="single" w:sz="4" w:space="0" w:color="auto"/>
            </w:tcBorders>
            <w:shd w:val="clear" w:color="000000" w:fill="FFFFFF"/>
            <w:noWrap/>
            <w:vAlign w:val="center"/>
            <w:hideMark/>
          </w:tcPr>
          <w:p w14:paraId="34AD1910"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4.1</w:t>
            </w:r>
          </w:p>
        </w:tc>
        <w:tc>
          <w:tcPr>
            <w:tcW w:w="915" w:type="dxa"/>
            <w:tcBorders>
              <w:top w:val="nil"/>
              <w:left w:val="nil"/>
              <w:bottom w:val="nil"/>
              <w:right w:val="nil"/>
            </w:tcBorders>
            <w:shd w:val="clear" w:color="000000" w:fill="FFFFFF"/>
            <w:noWrap/>
            <w:vAlign w:val="center"/>
            <w:hideMark/>
          </w:tcPr>
          <w:p w14:paraId="6FA7379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262</w:t>
            </w:r>
          </w:p>
        </w:tc>
        <w:tc>
          <w:tcPr>
            <w:tcW w:w="873" w:type="dxa"/>
            <w:tcBorders>
              <w:top w:val="nil"/>
              <w:left w:val="nil"/>
              <w:bottom w:val="nil"/>
              <w:right w:val="single" w:sz="4" w:space="0" w:color="auto"/>
            </w:tcBorders>
            <w:shd w:val="clear" w:color="000000" w:fill="FFFFFF"/>
            <w:noWrap/>
            <w:vAlign w:val="center"/>
            <w:hideMark/>
          </w:tcPr>
          <w:p w14:paraId="7D0C0E8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41.9</w:t>
            </w:r>
          </w:p>
        </w:tc>
        <w:tc>
          <w:tcPr>
            <w:tcW w:w="999" w:type="dxa"/>
            <w:tcBorders>
              <w:top w:val="nil"/>
              <w:left w:val="nil"/>
              <w:bottom w:val="nil"/>
              <w:right w:val="nil"/>
            </w:tcBorders>
            <w:shd w:val="clear" w:color="000000" w:fill="FFFFFF"/>
            <w:noWrap/>
            <w:vAlign w:val="center"/>
            <w:hideMark/>
          </w:tcPr>
          <w:p w14:paraId="5295D191"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174</w:t>
            </w:r>
          </w:p>
        </w:tc>
        <w:tc>
          <w:tcPr>
            <w:tcW w:w="789" w:type="dxa"/>
            <w:tcBorders>
              <w:top w:val="nil"/>
              <w:left w:val="nil"/>
              <w:bottom w:val="nil"/>
              <w:right w:val="single" w:sz="8" w:space="0" w:color="auto"/>
            </w:tcBorders>
            <w:shd w:val="clear" w:color="000000" w:fill="FFFFFF"/>
            <w:noWrap/>
            <w:vAlign w:val="center"/>
            <w:hideMark/>
          </w:tcPr>
          <w:p w14:paraId="58958C01"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27.8</w:t>
            </w:r>
          </w:p>
        </w:tc>
      </w:tr>
      <w:tr w:rsidR="00EF358A" w:rsidRPr="00EF358A" w14:paraId="01BAFCE7" w14:textId="77777777" w:rsidTr="00EF358A">
        <w:trPr>
          <w:trHeight w:val="360"/>
        </w:trPr>
        <w:tc>
          <w:tcPr>
            <w:tcW w:w="960" w:type="dxa"/>
            <w:tcBorders>
              <w:top w:val="nil"/>
              <w:left w:val="single" w:sz="8" w:space="0" w:color="auto"/>
              <w:bottom w:val="nil"/>
              <w:right w:val="nil"/>
            </w:tcBorders>
            <w:shd w:val="clear" w:color="000000" w:fill="FFFFFF"/>
            <w:noWrap/>
            <w:vAlign w:val="bottom"/>
            <w:hideMark/>
          </w:tcPr>
          <w:p w14:paraId="47D39A3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2011</w:t>
            </w:r>
          </w:p>
        </w:tc>
        <w:tc>
          <w:tcPr>
            <w:tcW w:w="1199" w:type="dxa"/>
            <w:tcBorders>
              <w:top w:val="nil"/>
              <w:left w:val="single" w:sz="4" w:space="0" w:color="auto"/>
              <w:bottom w:val="nil"/>
              <w:right w:val="single" w:sz="4" w:space="0" w:color="auto"/>
            </w:tcBorders>
            <w:shd w:val="clear" w:color="000000" w:fill="FFFFFF"/>
            <w:noWrap/>
            <w:vAlign w:val="bottom"/>
            <w:hideMark/>
          </w:tcPr>
          <w:p w14:paraId="1BCFBFA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669</w:t>
            </w:r>
          </w:p>
        </w:tc>
        <w:tc>
          <w:tcPr>
            <w:tcW w:w="581" w:type="dxa"/>
            <w:tcBorders>
              <w:top w:val="nil"/>
              <w:left w:val="nil"/>
              <w:bottom w:val="nil"/>
              <w:right w:val="nil"/>
            </w:tcBorders>
            <w:shd w:val="clear" w:color="000000" w:fill="FFFFFF"/>
            <w:noWrap/>
            <w:vAlign w:val="center"/>
            <w:hideMark/>
          </w:tcPr>
          <w:p w14:paraId="0BF7CEF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w:t>
            </w:r>
            <w:r w:rsidRPr="000D4504">
              <w:rPr>
                <w:rFonts w:ascii="Cambria Math" w:eastAsia="Times New Roman" w:hAnsi="Cambria Math" w:cs="Cambria Math"/>
                <w:color w:val="000000"/>
                <w:sz w:val="16"/>
                <w:szCs w:val="16"/>
                <w:vertAlign w:val="superscript"/>
                <w:lang w:eastAsia="en-GB"/>
              </w:rPr>
              <w:t>∧</w:t>
            </w:r>
          </w:p>
        </w:tc>
        <w:tc>
          <w:tcPr>
            <w:tcW w:w="615" w:type="dxa"/>
            <w:tcBorders>
              <w:top w:val="nil"/>
              <w:left w:val="nil"/>
              <w:bottom w:val="nil"/>
              <w:right w:val="single" w:sz="4" w:space="0" w:color="auto"/>
            </w:tcBorders>
            <w:shd w:val="clear" w:color="000000" w:fill="FFFFFF"/>
            <w:noWrap/>
            <w:vAlign w:val="center"/>
            <w:hideMark/>
          </w:tcPr>
          <w:p w14:paraId="3CCCCD00"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1.2</w:t>
            </w:r>
            <w:r w:rsidRPr="000D4504">
              <w:rPr>
                <w:rFonts w:ascii="Cambria Math" w:eastAsia="Times New Roman" w:hAnsi="Cambria Math" w:cs="Cambria Math"/>
                <w:color w:val="000000"/>
                <w:sz w:val="16"/>
                <w:szCs w:val="16"/>
                <w:vertAlign w:val="superscript"/>
                <w:lang w:eastAsia="en-GB"/>
              </w:rPr>
              <w:t>∧</w:t>
            </w:r>
          </w:p>
        </w:tc>
        <w:tc>
          <w:tcPr>
            <w:tcW w:w="581" w:type="dxa"/>
            <w:tcBorders>
              <w:top w:val="nil"/>
              <w:left w:val="nil"/>
              <w:bottom w:val="nil"/>
              <w:right w:val="nil"/>
            </w:tcBorders>
            <w:shd w:val="clear" w:color="000000" w:fill="FFFFFF"/>
            <w:noWrap/>
            <w:vAlign w:val="center"/>
            <w:hideMark/>
          </w:tcPr>
          <w:p w14:paraId="17E153F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8</w:t>
            </w:r>
            <w:r w:rsidRPr="000D4504">
              <w:rPr>
                <w:rFonts w:ascii="Cambria Math" w:eastAsia="Times New Roman" w:hAnsi="Cambria Math" w:cs="Cambria Math"/>
                <w:color w:val="000000"/>
                <w:sz w:val="16"/>
                <w:szCs w:val="16"/>
                <w:vertAlign w:val="superscript"/>
                <w:lang w:eastAsia="en-GB"/>
              </w:rPr>
              <w:t>∧</w:t>
            </w:r>
          </w:p>
        </w:tc>
        <w:tc>
          <w:tcPr>
            <w:tcW w:w="615" w:type="dxa"/>
            <w:tcBorders>
              <w:top w:val="nil"/>
              <w:left w:val="nil"/>
              <w:bottom w:val="nil"/>
              <w:right w:val="single" w:sz="4" w:space="0" w:color="auto"/>
            </w:tcBorders>
            <w:shd w:val="clear" w:color="000000" w:fill="FFFFFF"/>
            <w:noWrap/>
            <w:vAlign w:val="center"/>
            <w:hideMark/>
          </w:tcPr>
          <w:p w14:paraId="3A5EF1D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2.5</w:t>
            </w:r>
            <w:r w:rsidRPr="000D4504">
              <w:rPr>
                <w:rFonts w:ascii="Cambria Math" w:eastAsia="Times New Roman" w:hAnsi="Cambria Math" w:cs="Cambria Math"/>
                <w:color w:val="000000"/>
                <w:sz w:val="16"/>
                <w:szCs w:val="16"/>
                <w:vertAlign w:val="superscript"/>
                <w:lang w:eastAsia="en-GB"/>
              </w:rPr>
              <w:t>∧</w:t>
            </w:r>
          </w:p>
        </w:tc>
        <w:tc>
          <w:tcPr>
            <w:tcW w:w="711" w:type="dxa"/>
            <w:tcBorders>
              <w:top w:val="nil"/>
              <w:left w:val="nil"/>
              <w:bottom w:val="nil"/>
              <w:right w:val="nil"/>
            </w:tcBorders>
            <w:shd w:val="clear" w:color="000000" w:fill="FFFFFF"/>
            <w:noWrap/>
            <w:vAlign w:val="center"/>
            <w:hideMark/>
          </w:tcPr>
          <w:p w14:paraId="6770870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27</w:t>
            </w:r>
          </w:p>
        </w:tc>
        <w:tc>
          <w:tcPr>
            <w:tcW w:w="602" w:type="dxa"/>
            <w:tcBorders>
              <w:top w:val="nil"/>
              <w:left w:val="nil"/>
              <w:bottom w:val="nil"/>
              <w:right w:val="nil"/>
            </w:tcBorders>
            <w:shd w:val="clear" w:color="000000" w:fill="FFFFFF"/>
            <w:noWrap/>
            <w:vAlign w:val="center"/>
            <w:hideMark/>
          </w:tcPr>
          <w:p w14:paraId="62F984D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w:t>
            </w:r>
          </w:p>
        </w:tc>
        <w:tc>
          <w:tcPr>
            <w:tcW w:w="763" w:type="dxa"/>
            <w:tcBorders>
              <w:top w:val="nil"/>
              <w:left w:val="single" w:sz="4" w:space="0" w:color="auto"/>
              <w:bottom w:val="nil"/>
              <w:right w:val="nil"/>
            </w:tcBorders>
            <w:shd w:val="clear" w:color="000000" w:fill="FFFFFF"/>
            <w:noWrap/>
            <w:vAlign w:val="center"/>
            <w:hideMark/>
          </w:tcPr>
          <w:p w14:paraId="196A0FC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122</w:t>
            </w:r>
          </w:p>
        </w:tc>
        <w:tc>
          <w:tcPr>
            <w:tcW w:w="736" w:type="dxa"/>
            <w:tcBorders>
              <w:top w:val="nil"/>
              <w:left w:val="nil"/>
              <w:bottom w:val="nil"/>
              <w:right w:val="single" w:sz="4" w:space="0" w:color="auto"/>
            </w:tcBorders>
            <w:shd w:val="clear" w:color="000000" w:fill="FFFFFF"/>
            <w:noWrap/>
            <w:vAlign w:val="center"/>
            <w:hideMark/>
          </w:tcPr>
          <w:p w14:paraId="14EB75A6"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18.2</w:t>
            </w:r>
          </w:p>
        </w:tc>
        <w:tc>
          <w:tcPr>
            <w:tcW w:w="763" w:type="dxa"/>
            <w:tcBorders>
              <w:top w:val="nil"/>
              <w:left w:val="nil"/>
              <w:bottom w:val="nil"/>
              <w:right w:val="nil"/>
            </w:tcBorders>
            <w:shd w:val="clear" w:color="000000" w:fill="FFFFFF"/>
            <w:noWrap/>
            <w:vAlign w:val="center"/>
            <w:hideMark/>
          </w:tcPr>
          <w:p w14:paraId="280D118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292</w:t>
            </w:r>
          </w:p>
        </w:tc>
        <w:tc>
          <w:tcPr>
            <w:tcW w:w="736" w:type="dxa"/>
            <w:tcBorders>
              <w:top w:val="nil"/>
              <w:left w:val="nil"/>
              <w:bottom w:val="nil"/>
              <w:right w:val="nil"/>
            </w:tcBorders>
            <w:shd w:val="clear" w:color="000000" w:fill="FFFFFF"/>
            <w:noWrap/>
            <w:vAlign w:val="center"/>
            <w:hideMark/>
          </w:tcPr>
          <w:p w14:paraId="186773E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50.7</w:t>
            </w:r>
          </w:p>
        </w:tc>
        <w:tc>
          <w:tcPr>
            <w:tcW w:w="638" w:type="dxa"/>
            <w:tcBorders>
              <w:top w:val="nil"/>
              <w:left w:val="single" w:sz="4" w:space="0" w:color="auto"/>
              <w:bottom w:val="nil"/>
              <w:right w:val="nil"/>
            </w:tcBorders>
            <w:shd w:val="clear" w:color="000000" w:fill="FFFFFF"/>
            <w:noWrap/>
            <w:vAlign w:val="center"/>
            <w:hideMark/>
          </w:tcPr>
          <w:p w14:paraId="53D5BC9B"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21</w:t>
            </w:r>
          </w:p>
        </w:tc>
        <w:tc>
          <w:tcPr>
            <w:tcW w:w="694" w:type="dxa"/>
            <w:tcBorders>
              <w:top w:val="nil"/>
              <w:left w:val="nil"/>
              <w:bottom w:val="nil"/>
              <w:right w:val="single" w:sz="4" w:space="0" w:color="auto"/>
            </w:tcBorders>
            <w:shd w:val="clear" w:color="000000" w:fill="FFFFFF"/>
            <w:noWrap/>
            <w:vAlign w:val="center"/>
            <w:hideMark/>
          </w:tcPr>
          <w:p w14:paraId="49B16AC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3.6</w:t>
            </w:r>
          </w:p>
        </w:tc>
        <w:tc>
          <w:tcPr>
            <w:tcW w:w="915" w:type="dxa"/>
            <w:tcBorders>
              <w:top w:val="nil"/>
              <w:left w:val="nil"/>
              <w:bottom w:val="nil"/>
              <w:right w:val="nil"/>
            </w:tcBorders>
            <w:shd w:val="clear" w:color="000000" w:fill="FFFFFF"/>
            <w:noWrap/>
            <w:vAlign w:val="center"/>
            <w:hideMark/>
          </w:tcPr>
          <w:p w14:paraId="365A911D"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275</w:t>
            </w:r>
          </w:p>
        </w:tc>
        <w:tc>
          <w:tcPr>
            <w:tcW w:w="873" w:type="dxa"/>
            <w:tcBorders>
              <w:top w:val="nil"/>
              <w:left w:val="nil"/>
              <w:bottom w:val="nil"/>
              <w:right w:val="single" w:sz="4" w:space="0" w:color="auto"/>
            </w:tcBorders>
            <w:shd w:val="clear" w:color="000000" w:fill="FFFFFF"/>
            <w:noWrap/>
            <w:vAlign w:val="center"/>
            <w:hideMark/>
          </w:tcPr>
          <w:p w14:paraId="4B7DD52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47.3</w:t>
            </w:r>
          </w:p>
        </w:tc>
        <w:tc>
          <w:tcPr>
            <w:tcW w:w="999" w:type="dxa"/>
            <w:tcBorders>
              <w:top w:val="nil"/>
              <w:left w:val="nil"/>
              <w:bottom w:val="nil"/>
              <w:right w:val="nil"/>
            </w:tcBorders>
            <w:shd w:val="clear" w:color="000000" w:fill="FFFFFF"/>
            <w:noWrap/>
            <w:vAlign w:val="center"/>
            <w:hideMark/>
          </w:tcPr>
          <w:p w14:paraId="3568492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190</w:t>
            </w:r>
          </w:p>
        </w:tc>
        <w:tc>
          <w:tcPr>
            <w:tcW w:w="789" w:type="dxa"/>
            <w:tcBorders>
              <w:top w:val="nil"/>
              <w:left w:val="nil"/>
              <w:bottom w:val="nil"/>
              <w:right w:val="single" w:sz="8" w:space="0" w:color="auto"/>
            </w:tcBorders>
            <w:shd w:val="clear" w:color="000000" w:fill="FFFFFF"/>
            <w:noWrap/>
            <w:vAlign w:val="center"/>
            <w:hideMark/>
          </w:tcPr>
          <w:p w14:paraId="7CCA8E1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32.7</w:t>
            </w:r>
          </w:p>
        </w:tc>
      </w:tr>
      <w:tr w:rsidR="00EF358A" w:rsidRPr="00EF358A" w14:paraId="708C8855" w14:textId="77777777" w:rsidTr="00EF358A">
        <w:trPr>
          <w:trHeight w:val="360"/>
        </w:trPr>
        <w:tc>
          <w:tcPr>
            <w:tcW w:w="960" w:type="dxa"/>
            <w:tcBorders>
              <w:top w:val="nil"/>
              <w:left w:val="single" w:sz="8" w:space="0" w:color="auto"/>
              <w:bottom w:val="nil"/>
              <w:right w:val="nil"/>
            </w:tcBorders>
            <w:shd w:val="clear" w:color="000000" w:fill="FFFFFF"/>
            <w:noWrap/>
            <w:vAlign w:val="bottom"/>
            <w:hideMark/>
          </w:tcPr>
          <w:p w14:paraId="7D84E1E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2012</w:t>
            </w:r>
          </w:p>
        </w:tc>
        <w:tc>
          <w:tcPr>
            <w:tcW w:w="1199" w:type="dxa"/>
            <w:tcBorders>
              <w:top w:val="nil"/>
              <w:left w:val="single" w:sz="4" w:space="0" w:color="auto"/>
              <w:bottom w:val="nil"/>
              <w:right w:val="single" w:sz="4" w:space="0" w:color="auto"/>
            </w:tcBorders>
            <w:shd w:val="clear" w:color="000000" w:fill="FFFFFF"/>
            <w:noWrap/>
            <w:vAlign w:val="bottom"/>
            <w:hideMark/>
          </w:tcPr>
          <w:p w14:paraId="6DDAB59B"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676</w:t>
            </w:r>
          </w:p>
        </w:tc>
        <w:tc>
          <w:tcPr>
            <w:tcW w:w="581" w:type="dxa"/>
            <w:tcBorders>
              <w:top w:val="nil"/>
              <w:left w:val="nil"/>
              <w:bottom w:val="nil"/>
              <w:right w:val="nil"/>
            </w:tcBorders>
            <w:shd w:val="clear" w:color="000000" w:fill="FFFFFF"/>
            <w:noWrap/>
            <w:vAlign w:val="center"/>
            <w:hideMark/>
          </w:tcPr>
          <w:p w14:paraId="7A75DAB0"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 </w:t>
            </w:r>
          </w:p>
        </w:tc>
        <w:tc>
          <w:tcPr>
            <w:tcW w:w="615" w:type="dxa"/>
            <w:tcBorders>
              <w:top w:val="nil"/>
              <w:left w:val="nil"/>
              <w:bottom w:val="nil"/>
              <w:right w:val="single" w:sz="4" w:space="0" w:color="auto"/>
            </w:tcBorders>
            <w:shd w:val="clear" w:color="000000" w:fill="FFFFFF"/>
            <w:noWrap/>
            <w:vAlign w:val="center"/>
            <w:hideMark/>
          </w:tcPr>
          <w:p w14:paraId="16539AF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 </w:t>
            </w:r>
          </w:p>
        </w:tc>
        <w:tc>
          <w:tcPr>
            <w:tcW w:w="581" w:type="dxa"/>
            <w:tcBorders>
              <w:top w:val="nil"/>
              <w:left w:val="nil"/>
              <w:bottom w:val="nil"/>
              <w:right w:val="nil"/>
            </w:tcBorders>
            <w:shd w:val="clear" w:color="000000" w:fill="FFFFFF"/>
            <w:noWrap/>
            <w:vAlign w:val="center"/>
            <w:hideMark/>
          </w:tcPr>
          <w:p w14:paraId="206D7191"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 </w:t>
            </w:r>
          </w:p>
        </w:tc>
        <w:tc>
          <w:tcPr>
            <w:tcW w:w="615" w:type="dxa"/>
            <w:tcBorders>
              <w:top w:val="nil"/>
              <w:left w:val="nil"/>
              <w:bottom w:val="nil"/>
              <w:right w:val="single" w:sz="4" w:space="0" w:color="auto"/>
            </w:tcBorders>
            <w:shd w:val="clear" w:color="000000" w:fill="FFFFFF"/>
            <w:noWrap/>
            <w:vAlign w:val="center"/>
            <w:hideMark/>
          </w:tcPr>
          <w:p w14:paraId="21AA8E1C"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 </w:t>
            </w:r>
          </w:p>
        </w:tc>
        <w:tc>
          <w:tcPr>
            <w:tcW w:w="711" w:type="dxa"/>
            <w:tcBorders>
              <w:top w:val="nil"/>
              <w:left w:val="nil"/>
              <w:bottom w:val="nil"/>
              <w:right w:val="nil"/>
            </w:tcBorders>
            <w:shd w:val="clear" w:color="000000" w:fill="FFFFFF"/>
            <w:noWrap/>
            <w:vAlign w:val="center"/>
            <w:hideMark/>
          </w:tcPr>
          <w:p w14:paraId="271A981F"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36</w:t>
            </w:r>
          </w:p>
        </w:tc>
        <w:tc>
          <w:tcPr>
            <w:tcW w:w="602" w:type="dxa"/>
            <w:tcBorders>
              <w:top w:val="nil"/>
              <w:left w:val="nil"/>
              <w:bottom w:val="nil"/>
              <w:right w:val="nil"/>
            </w:tcBorders>
            <w:shd w:val="clear" w:color="000000" w:fill="FFFFFF"/>
            <w:noWrap/>
            <w:vAlign w:val="center"/>
            <w:hideMark/>
          </w:tcPr>
          <w:p w14:paraId="424AAFD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5.3</w:t>
            </w:r>
          </w:p>
        </w:tc>
        <w:tc>
          <w:tcPr>
            <w:tcW w:w="763" w:type="dxa"/>
            <w:tcBorders>
              <w:top w:val="nil"/>
              <w:left w:val="single" w:sz="4" w:space="0" w:color="auto"/>
              <w:bottom w:val="nil"/>
              <w:right w:val="nil"/>
            </w:tcBorders>
            <w:shd w:val="clear" w:color="000000" w:fill="FFFFFF"/>
            <w:noWrap/>
            <w:vAlign w:val="center"/>
            <w:hideMark/>
          </w:tcPr>
          <w:p w14:paraId="46485EA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68</w:t>
            </w:r>
            <w:r w:rsidRPr="000D4504">
              <w:rPr>
                <w:rFonts w:ascii="Cambria Math" w:eastAsia="Times New Roman" w:hAnsi="Cambria Math" w:cs="Cambria Math"/>
                <w:color w:val="000000"/>
                <w:sz w:val="16"/>
                <w:szCs w:val="16"/>
                <w:vertAlign w:val="superscript"/>
                <w:lang w:eastAsia="en-GB"/>
              </w:rPr>
              <w:t>∧</w:t>
            </w:r>
          </w:p>
        </w:tc>
        <w:tc>
          <w:tcPr>
            <w:tcW w:w="736" w:type="dxa"/>
            <w:tcBorders>
              <w:top w:val="nil"/>
              <w:left w:val="nil"/>
              <w:bottom w:val="nil"/>
              <w:right w:val="single" w:sz="4" w:space="0" w:color="auto"/>
            </w:tcBorders>
            <w:shd w:val="clear" w:color="000000" w:fill="FFFFFF"/>
            <w:noWrap/>
            <w:vAlign w:val="center"/>
            <w:hideMark/>
          </w:tcPr>
          <w:p w14:paraId="616462E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19.8</w:t>
            </w:r>
            <w:r w:rsidRPr="000D4504">
              <w:rPr>
                <w:rFonts w:ascii="Cambria Math" w:eastAsia="Times New Roman" w:hAnsi="Cambria Math" w:cs="Cambria Math"/>
                <w:color w:val="000000"/>
                <w:sz w:val="16"/>
                <w:szCs w:val="16"/>
                <w:vertAlign w:val="superscript"/>
                <w:lang w:eastAsia="en-GB"/>
              </w:rPr>
              <w:t>∧</w:t>
            </w:r>
          </w:p>
        </w:tc>
        <w:tc>
          <w:tcPr>
            <w:tcW w:w="763" w:type="dxa"/>
            <w:tcBorders>
              <w:top w:val="nil"/>
              <w:left w:val="nil"/>
              <w:bottom w:val="nil"/>
              <w:right w:val="nil"/>
            </w:tcBorders>
            <w:shd w:val="clear" w:color="000000" w:fill="FFFFFF"/>
            <w:noWrap/>
            <w:vAlign w:val="center"/>
            <w:hideMark/>
          </w:tcPr>
          <w:p w14:paraId="6332BB70"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145</w:t>
            </w:r>
            <w:r w:rsidRPr="000D4504">
              <w:rPr>
                <w:rFonts w:ascii="Cambria Math" w:eastAsia="Times New Roman" w:hAnsi="Cambria Math" w:cs="Cambria Math"/>
                <w:color w:val="000000"/>
                <w:sz w:val="16"/>
                <w:szCs w:val="16"/>
                <w:vertAlign w:val="superscript"/>
                <w:lang w:eastAsia="en-GB"/>
              </w:rPr>
              <w:t>∧</w:t>
            </w:r>
          </w:p>
        </w:tc>
        <w:tc>
          <w:tcPr>
            <w:tcW w:w="736" w:type="dxa"/>
            <w:tcBorders>
              <w:top w:val="nil"/>
              <w:left w:val="nil"/>
              <w:bottom w:val="nil"/>
              <w:right w:val="nil"/>
            </w:tcBorders>
            <w:shd w:val="clear" w:color="000000" w:fill="FFFFFF"/>
            <w:noWrap/>
            <w:vAlign w:val="center"/>
            <w:hideMark/>
          </w:tcPr>
          <w:p w14:paraId="2C4DA62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49.2</w:t>
            </w:r>
            <w:r w:rsidRPr="000D4504">
              <w:rPr>
                <w:rFonts w:ascii="Cambria Math" w:eastAsia="Times New Roman" w:hAnsi="Cambria Math" w:cs="Cambria Math"/>
                <w:color w:val="000000"/>
                <w:sz w:val="16"/>
                <w:szCs w:val="16"/>
                <w:vertAlign w:val="superscript"/>
                <w:lang w:eastAsia="en-GB"/>
              </w:rPr>
              <w:t>∧</w:t>
            </w:r>
          </w:p>
        </w:tc>
        <w:tc>
          <w:tcPr>
            <w:tcW w:w="638" w:type="dxa"/>
            <w:tcBorders>
              <w:top w:val="nil"/>
              <w:left w:val="single" w:sz="4" w:space="0" w:color="auto"/>
              <w:bottom w:val="nil"/>
              <w:right w:val="nil"/>
            </w:tcBorders>
            <w:shd w:val="clear" w:color="000000" w:fill="FFFFFF"/>
            <w:noWrap/>
            <w:vAlign w:val="center"/>
            <w:hideMark/>
          </w:tcPr>
          <w:p w14:paraId="39EB362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16</w:t>
            </w:r>
            <w:r w:rsidRPr="000D4504">
              <w:rPr>
                <w:rFonts w:ascii="Cambria Math" w:eastAsia="Times New Roman" w:hAnsi="Cambria Math" w:cs="Cambria Math"/>
                <w:color w:val="000000"/>
                <w:sz w:val="16"/>
                <w:szCs w:val="16"/>
                <w:vertAlign w:val="superscript"/>
                <w:lang w:eastAsia="en-GB"/>
              </w:rPr>
              <w:t>∧</w:t>
            </w:r>
          </w:p>
        </w:tc>
        <w:tc>
          <w:tcPr>
            <w:tcW w:w="694" w:type="dxa"/>
            <w:tcBorders>
              <w:top w:val="nil"/>
              <w:left w:val="nil"/>
              <w:bottom w:val="nil"/>
              <w:right w:val="single" w:sz="4" w:space="0" w:color="auto"/>
            </w:tcBorders>
            <w:shd w:val="clear" w:color="000000" w:fill="FFFFFF"/>
            <w:noWrap/>
            <w:vAlign w:val="center"/>
            <w:hideMark/>
          </w:tcPr>
          <w:p w14:paraId="0F893AC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5.4</w:t>
            </w:r>
            <w:r w:rsidRPr="000D4504">
              <w:rPr>
                <w:rFonts w:ascii="Cambria Math" w:eastAsia="Times New Roman" w:hAnsi="Cambria Math" w:cs="Cambria Math"/>
                <w:color w:val="000000"/>
                <w:sz w:val="16"/>
                <w:szCs w:val="16"/>
                <w:vertAlign w:val="superscript"/>
                <w:lang w:eastAsia="en-GB"/>
              </w:rPr>
              <w:t>∧</w:t>
            </w:r>
          </w:p>
        </w:tc>
        <w:tc>
          <w:tcPr>
            <w:tcW w:w="915" w:type="dxa"/>
            <w:tcBorders>
              <w:top w:val="nil"/>
              <w:left w:val="nil"/>
              <w:bottom w:val="nil"/>
              <w:right w:val="nil"/>
            </w:tcBorders>
            <w:shd w:val="clear" w:color="000000" w:fill="FFFFFF"/>
            <w:noWrap/>
            <w:vAlign w:val="center"/>
            <w:hideMark/>
          </w:tcPr>
          <w:p w14:paraId="1EA1B300"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134</w:t>
            </w:r>
            <w:r w:rsidRPr="000D4504">
              <w:rPr>
                <w:rFonts w:ascii="Cambria Math" w:eastAsia="Times New Roman" w:hAnsi="Cambria Math" w:cs="Cambria Math"/>
                <w:color w:val="000000"/>
                <w:sz w:val="16"/>
                <w:szCs w:val="16"/>
                <w:vertAlign w:val="superscript"/>
                <w:lang w:eastAsia="en-GB"/>
              </w:rPr>
              <w:t>∧</w:t>
            </w:r>
          </w:p>
        </w:tc>
        <w:tc>
          <w:tcPr>
            <w:tcW w:w="873" w:type="dxa"/>
            <w:tcBorders>
              <w:top w:val="nil"/>
              <w:left w:val="nil"/>
              <w:bottom w:val="nil"/>
              <w:right w:val="single" w:sz="4" w:space="0" w:color="auto"/>
            </w:tcBorders>
            <w:shd w:val="clear" w:color="000000" w:fill="FFFFFF"/>
            <w:noWrap/>
            <w:vAlign w:val="center"/>
            <w:hideMark/>
          </w:tcPr>
          <w:p w14:paraId="3C5CC96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44.8</w:t>
            </w:r>
            <w:r w:rsidRPr="000D4504">
              <w:rPr>
                <w:rFonts w:ascii="Cambria Math" w:eastAsia="Times New Roman" w:hAnsi="Cambria Math" w:cs="Cambria Math"/>
                <w:color w:val="000000"/>
                <w:sz w:val="16"/>
                <w:szCs w:val="16"/>
                <w:vertAlign w:val="superscript"/>
                <w:lang w:eastAsia="en-GB"/>
              </w:rPr>
              <w:t>∧</w:t>
            </w:r>
          </w:p>
        </w:tc>
        <w:tc>
          <w:tcPr>
            <w:tcW w:w="999" w:type="dxa"/>
            <w:tcBorders>
              <w:top w:val="nil"/>
              <w:left w:val="nil"/>
              <w:bottom w:val="nil"/>
              <w:right w:val="nil"/>
            </w:tcBorders>
            <w:shd w:val="clear" w:color="000000" w:fill="FFFFFF"/>
            <w:noWrap/>
            <w:vAlign w:val="center"/>
            <w:hideMark/>
          </w:tcPr>
          <w:p w14:paraId="4EA6B241"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 </w:t>
            </w:r>
          </w:p>
        </w:tc>
        <w:tc>
          <w:tcPr>
            <w:tcW w:w="789" w:type="dxa"/>
            <w:tcBorders>
              <w:top w:val="nil"/>
              <w:left w:val="nil"/>
              <w:bottom w:val="nil"/>
              <w:right w:val="single" w:sz="8" w:space="0" w:color="auto"/>
            </w:tcBorders>
            <w:shd w:val="clear" w:color="000000" w:fill="FFFFFF"/>
            <w:noWrap/>
            <w:vAlign w:val="center"/>
            <w:hideMark/>
          </w:tcPr>
          <w:p w14:paraId="6C1158E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 </w:t>
            </w:r>
          </w:p>
        </w:tc>
      </w:tr>
      <w:tr w:rsidR="00EF358A" w:rsidRPr="00EF358A" w14:paraId="7D0B239B" w14:textId="77777777" w:rsidTr="00EF358A">
        <w:trPr>
          <w:trHeight w:val="330"/>
        </w:trPr>
        <w:tc>
          <w:tcPr>
            <w:tcW w:w="960" w:type="dxa"/>
            <w:tcBorders>
              <w:top w:val="nil"/>
              <w:left w:val="single" w:sz="8" w:space="0" w:color="auto"/>
              <w:bottom w:val="single" w:sz="8" w:space="0" w:color="auto"/>
              <w:right w:val="nil"/>
            </w:tcBorders>
            <w:shd w:val="clear" w:color="000000" w:fill="FFFFFF"/>
            <w:noWrap/>
            <w:vAlign w:val="bottom"/>
            <w:hideMark/>
          </w:tcPr>
          <w:p w14:paraId="5A570CC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Overall</w:t>
            </w:r>
          </w:p>
        </w:tc>
        <w:tc>
          <w:tcPr>
            <w:tcW w:w="1199" w:type="dxa"/>
            <w:tcBorders>
              <w:top w:val="nil"/>
              <w:left w:val="single" w:sz="4" w:space="0" w:color="auto"/>
              <w:bottom w:val="single" w:sz="8" w:space="0" w:color="auto"/>
              <w:right w:val="single" w:sz="4" w:space="0" w:color="auto"/>
            </w:tcBorders>
            <w:shd w:val="clear" w:color="000000" w:fill="FFFFFF"/>
            <w:noWrap/>
            <w:vAlign w:val="bottom"/>
            <w:hideMark/>
          </w:tcPr>
          <w:p w14:paraId="5893124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11,243</w:t>
            </w:r>
          </w:p>
        </w:tc>
        <w:tc>
          <w:tcPr>
            <w:tcW w:w="581" w:type="dxa"/>
            <w:tcBorders>
              <w:top w:val="nil"/>
              <w:left w:val="nil"/>
              <w:bottom w:val="single" w:sz="8" w:space="0" w:color="auto"/>
              <w:right w:val="nil"/>
            </w:tcBorders>
            <w:shd w:val="clear" w:color="000000" w:fill="FFFFFF"/>
            <w:noWrap/>
            <w:vAlign w:val="center"/>
            <w:hideMark/>
          </w:tcPr>
          <w:p w14:paraId="1D3106A9"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238</w:t>
            </w:r>
          </w:p>
        </w:tc>
        <w:tc>
          <w:tcPr>
            <w:tcW w:w="615" w:type="dxa"/>
            <w:tcBorders>
              <w:top w:val="nil"/>
              <w:left w:val="nil"/>
              <w:bottom w:val="single" w:sz="8" w:space="0" w:color="auto"/>
              <w:right w:val="single" w:sz="4" w:space="0" w:color="auto"/>
            </w:tcBorders>
            <w:shd w:val="clear" w:color="000000" w:fill="FFFFFF"/>
            <w:noWrap/>
            <w:vAlign w:val="center"/>
            <w:hideMark/>
          </w:tcPr>
          <w:p w14:paraId="7CD9453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2.3</w:t>
            </w:r>
          </w:p>
        </w:tc>
        <w:tc>
          <w:tcPr>
            <w:tcW w:w="581" w:type="dxa"/>
            <w:tcBorders>
              <w:top w:val="nil"/>
              <w:left w:val="nil"/>
              <w:bottom w:val="single" w:sz="8" w:space="0" w:color="auto"/>
              <w:right w:val="nil"/>
            </w:tcBorders>
            <w:shd w:val="clear" w:color="000000" w:fill="FFFFFF"/>
            <w:noWrap/>
            <w:vAlign w:val="center"/>
            <w:hideMark/>
          </w:tcPr>
          <w:p w14:paraId="3640C47E"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231</w:t>
            </w:r>
          </w:p>
        </w:tc>
        <w:tc>
          <w:tcPr>
            <w:tcW w:w="615" w:type="dxa"/>
            <w:tcBorders>
              <w:top w:val="nil"/>
              <w:left w:val="nil"/>
              <w:bottom w:val="single" w:sz="8" w:space="0" w:color="auto"/>
              <w:right w:val="single" w:sz="4" w:space="0" w:color="auto"/>
            </w:tcBorders>
            <w:shd w:val="clear" w:color="000000" w:fill="FFFFFF"/>
            <w:noWrap/>
            <w:vAlign w:val="center"/>
            <w:hideMark/>
          </w:tcPr>
          <w:p w14:paraId="6DBEDF20"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2.3</w:t>
            </w:r>
          </w:p>
        </w:tc>
        <w:tc>
          <w:tcPr>
            <w:tcW w:w="711" w:type="dxa"/>
            <w:tcBorders>
              <w:top w:val="nil"/>
              <w:left w:val="nil"/>
              <w:bottom w:val="single" w:sz="8" w:space="0" w:color="auto"/>
              <w:right w:val="nil"/>
            </w:tcBorders>
            <w:shd w:val="clear" w:color="000000" w:fill="FFFFFF"/>
            <w:noWrap/>
            <w:vAlign w:val="center"/>
            <w:hideMark/>
          </w:tcPr>
          <w:p w14:paraId="4E82C828"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713</w:t>
            </w:r>
          </w:p>
        </w:tc>
        <w:tc>
          <w:tcPr>
            <w:tcW w:w="602" w:type="dxa"/>
            <w:tcBorders>
              <w:top w:val="nil"/>
              <w:left w:val="nil"/>
              <w:bottom w:val="single" w:sz="8" w:space="0" w:color="auto"/>
              <w:right w:val="nil"/>
            </w:tcBorders>
            <w:shd w:val="clear" w:color="000000" w:fill="FFFFFF"/>
            <w:noWrap/>
            <w:vAlign w:val="center"/>
            <w:hideMark/>
          </w:tcPr>
          <w:p w14:paraId="0A45985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6.3</w:t>
            </w:r>
          </w:p>
        </w:tc>
        <w:tc>
          <w:tcPr>
            <w:tcW w:w="763" w:type="dxa"/>
            <w:tcBorders>
              <w:top w:val="nil"/>
              <w:left w:val="single" w:sz="4" w:space="0" w:color="auto"/>
              <w:bottom w:val="single" w:sz="8" w:space="0" w:color="auto"/>
              <w:right w:val="nil"/>
            </w:tcBorders>
            <w:shd w:val="clear" w:color="000000" w:fill="FFFFFF"/>
            <w:noWrap/>
            <w:vAlign w:val="center"/>
            <w:hideMark/>
          </w:tcPr>
          <w:p w14:paraId="2AF264CD"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2,469</w:t>
            </w:r>
          </w:p>
        </w:tc>
        <w:tc>
          <w:tcPr>
            <w:tcW w:w="736" w:type="dxa"/>
            <w:tcBorders>
              <w:top w:val="nil"/>
              <w:left w:val="nil"/>
              <w:bottom w:val="single" w:sz="8" w:space="0" w:color="auto"/>
              <w:right w:val="single" w:sz="4" w:space="0" w:color="auto"/>
            </w:tcBorders>
            <w:shd w:val="clear" w:color="000000" w:fill="FFFFFF"/>
            <w:noWrap/>
            <w:vAlign w:val="center"/>
            <w:hideMark/>
          </w:tcPr>
          <w:p w14:paraId="3011D77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22.6</w:t>
            </w:r>
          </w:p>
        </w:tc>
        <w:tc>
          <w:tcPr>
            <w:tcW w:w="763" w:type="dxa"/>
            <w:tcBorders>
              <w:top w:val="nil"/>
              <w:left w:val="nil"/>
              <w:bottom w:val="single" w:sz="8" w:space="0" w:color="auto"/>
              <w:right w:val="nil"/>
            </w:tcBorders>
            <w:shd w:val="clear" w:color="000000" w:fill="FFFFFF"/>
            <w:noWrap/>
            <w:vAlign w:val="center"/>
            <w:hideMark/>
          </w:tcPr>
          <w:p w14:paraId="3784365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2,513</w:t>
            </w:r>
          </w:p>
        </w:tc>
        <w:tc>
          <w:tcPr>
            <w:tcW w:w="736" w:type="dxa"/>
            <w:tcBorders>
              <w:top w:val="nil"/>
              <w:left w:val="nil"/>
              <w:bottom w:val="single" w:sz="8" w:space="0" w:color="auto"/>
              <w:right w:val="nil"/>
            </w:tcBorders>
            <w:shd w:val="clear" w:color="000000" w:fill="FFFFFF"/>
            <w:noWrap/>
            <w:vAlign w:val="center"/>
            <w:hideMark/>
          </w:tcPr>
          <w:p w14:paraId="66258B5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25.7</w:t>
            </w:r>
          </w:p>
        </w:tc>
        <w:tc>
          <w:tcPr>
            <w:tcW w:w="638" w:type="dxa"/>
            <w:tcBorders>
              <w:top w:val="nil"/>
              <w:left w:val="single" w:sz="4" w:space="0" w:color="auto"/>
              <w:bottom w:val="single" w:sz="8" w:space="0" w:color="auto"/>
              <w:right w:val="nil"/>
            </w:tcBorders>
            <w:shd w:val="clear" w:color="000000" w:fill="FFFFFF"/>
            <w:noWrap/>
            <w:vAlign w:val="center"/>
            <w:hideMark/>
          </w:tcPr>
          <w:p w14:paraId="495F3304"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191</w:t>
            </w:r>
          </w:p>
        </w:tc>
        <w:tc>
          <w:tcPr>
            <w:tcW w:w="694" w:type="dxa"/>
            <w:tcBorders>
              <w:top w:val="nil"/>
              <w:left w:val="nil"/>
              <w:bottom w:val="single" w:sz="8" w:space="0" w:color="auto"/>
              <w:right w:val="single" w:sz="4" w:space="0" w:color="auto"/>
            </w:tcBorders>
            <w:shd w:val="clear" w:color="000000" w:fill="FFFFFF"/>
            <w:noWrap/>
            <w:vAlign w:val="center"/>
            <w:hideMark/>
          </w:tcPr>
          <w:p w14:paraId="6434F2F3"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2.0</w:t>
            </w:r>
          </w:p>
        </w:tc>
        <w:tc>
          <w:tcPr>
            <w:tcW w:w="915" w:type="dxa"/>
            <w:tcBorders>
              <w:top w:val="nil"/>
              <w:left w:val="nil"/>
              <w:bottom w:val="single" w:sz="8" w:space="0" w:color="auto"/>
              <w:right w:val="nil"/>
            </w:tcBorders>
            <w:shd w:val="clear" w:color="000000" w:fill="FFFFFF"/>
            <w:noWrap/>
            <w:vAlign w:val="center"/>
            <w:hideMark/>
          </w:tcPr>
          <w:p w14:paraId="5E592D97"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2,359</w:t>
            </w:r>
          </w:p>
        </w:tc>
        <w:tc>
          <w:tcPr>
            <w:tcW w:w="873" w:type="dxa"/>
            <w:tcBorders>
              <w:top w:val="nil"/>
              <w:left w:val="nil"/>
              <w:bottom w:val="single" w:sz="8" w:space="0" w:color="auto"/>
              <w:right w:val="single" w:sz="4" w:space="0" w:color="auto"/>
            </w:tcBorders>
            <w:shd w:val="clear" w:color="000000" w:fill="FFFFFF"/>
            <w:noWrap/>
            <w:vAlign w:val="center"/>
            <w:hideMark/>
          </w:tcPr>
          <w:p w14:paraId="1E36E77A"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24.1</w:t>
            </w:r>
          </w:p>
        </w:tc>
        <w:tc>
          <w:tcPr>
            <w:tcW w:w="999" w:type="dxa"/>
            <w:tcBorders>
              <w:top w:val="nil"/>
              <w:left w:val="nil"/>
              <w:bottom w:val="single" w:sz="8" w:space="0" w:color="auto"/>
              <w:right w:val="nil"/>
            </w:tcBorders>
            <w:shd w:val="clear" w:color="000000" w:fill="FFFFFF"/>
            <w:noWrap/>
            <w:vAlign w:val="bottom"/>
            <w:hideMark/>
          </w:tcPr>
          <w:p w14:paraId="3B5B0332"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1,682</w:t>
            </w:r>
          </w:p>
        </w:tc>
        <w:tc>
          <w:tcPr>
            <w:tcW w:w="789" w:type="dxa"/>
            <w:tcBorders>
              <w:top w:val="nil"/>
              <w:left w:val="nil"/>
              <w:bottom w:val="single" w:sz="8" w:space="0" w:color="auto"/>
              <w:right w:val="single" w:sz="8" w:space="0" w:color="auto"/>
            </w:tcBorders>
            <w:shd w:val="clear" w:color="000000" w:fill="FFFFFF"/>
            <w:noWrap/>
            <w:vAlign w:val="center"/>
            <w:hideMark/>
          </w:tcPr>
          <w:p w14:paraId="2D9660C5" w14:textId="77777777" w:rsidR="00EF358A" w:rsidRPr="00037D9D" w:rsidRDefault="00EF358A" w:rsidP="00E86771">
            <w:pPr>
              <w:spacing w:after="0" w:line="360" w:lineRule="auto"/>
              <w:jc w:val="center"/>
              <w:rPr>
                <w:rFonts w:eastAsia="Times New Roman"/>
                <w:color w:val="000000"/>
                <w:sz w:val="16"/>
                <w:szCs w:val="16"/>
                <w:lang w:eastAsia="en-GB"/>
              </w:rPr>
            </w:pPr>
            <w:r w:rsidRPr="00037D9D">
              <w:rPr>
                <w:rFonts w:eastAsia="Times New Roman"/>
                <w:color w:val="000000"/>
                <w:sz w:val="16"/>
                <w:szCs w:val="16"/>
                <w:lang w:eastAsia="en-GB"/>
              </w:rPr>
              <w:t>17.2</w:t>
            </w:r>
          </w:p>
        </w:tc>
      </w:tr>
    </w:tbl>
    <w:p w14:paraId="2F61DA6F" w14:textId="77777777" w:rsidR="00C6483B" w:rsidRPr="00037D9D" w:rsidRDefault="00EF358A" w:rsidP="00E86771">
      <w:pPr>
        <w:spacing w:line="360" w:lineRule="auto"/>
      </w:pPr>
      <w:r w:rsidRPr="00037D9D">
        <w:rPr>
          <w:rFonts w:cs="Cambria Math"/>
          <w:sz w:val="20"/>
          <w:szCs w:val="20"/>
        </w:rPr>
        <w:t xml:space="preserve">* financial years; **among treatment naïve patients at baseline; </w:t>
      </w:r>
      <w:r w:rsidRPr="000D4504">
        <w:rPr>
          <w:rFonts w:ascii="Cambria Math" w:hAnsi="Cambria Math" w:cs="Cambria Math"/>
          <w:sz w:val="20"/>
          <w:szCs w:val="20"/>
        </w:rPr>
        <w:t>∧</w:t>
      </w:r>
      <w:r w:rsidRPr="00037D9D">
        <w:rPr>
          <w:rFonts w:cs="Cambria Math"/>
          <w:sz w:val="20"/>
          <w:szCs w:val="20"/>
        </w:rPr>
        <w:t>Based on months April-Sept. BP=Bisphosphonate</w:t>
      </w:r>
    </w:p>
    <w:p w14:paraId="5805A82B" w14:textId="77777777" w:rsidR="00C6483B" w:rsidRPr="00591BFC" w:rsidRDefault="00C6483B" w:rsidP="00E86771">
      <w:pPr>
        <w:spacing w:line="360" w:lineRule="auto"/>
        <w:sectPr w:rsidR="00C6483B" w:rsidRPr="00591BFC" w:rsidSect="00DB4F65">
          <w:pgSz w:w="16840" w:h="11900" w:orient="landscape"/>
          <w:pgMar w:top="1440" w:right="1440" w:bottom="1440" w:left="1440" w:header="708" w:footer="708" w:gutter="0"/>
          <w:cols w:space="708"/>
          <w:docGrid w:linePitch="360"/>
        </w:sectPr>
      </w:pPr>
    </w:p>
    <w:p w14:paraId="6C115D46" w14:textId="77777777" w:rsidR="001D4427" w:rsidRDefault="002149AD" w:rsidP="00E86771">
      <w:pPr>
        <w:keepNext/>
        <w:spacing w:line="360" w:lineRule="auto"/>
      </w:pPr>
      <w:r>
        <w:rPr>
          <w:noProof/>
          <w:lang w:eastAsia="en-GB"/>
        </w:rPr>
        <w:lastRenderedPageBreak/>
        <w:pict w14:anchorId="3B99D291">
          <v:shape id="Picture 4" o:spid="_x0000_i1037" type="#_x0000_t75" alt="GENDER_12m_all_inc.tif" style="width:344.8pt;height:230.7pt;visibility:visible">
            <v:imagedata r:id="rId24" o:title="GENDER_12m_all_inc" croptop="4981f"/>
          </v:shape>
        </w:pict>
      </w:r>
    </w:p>
    <w:p w14:paraId="71343698" w14:textId="77777777" w:rsidR="00C6483B" w:rsidRDefault="001D4427" w:rsidP="00E86771">
      <w:pPr>
        <w:pStyle w:val="Caption"/>
        <w:spacing w:line="360" w:lineRule="auto"/>
      </w:pPr>
      <w:bookmarkStart w:id="274" w:name="_Ref424565416"/>
      <w:bookmarkStart w:id="275" w:name="_Toc424650324"/>
      <w:bookmarkStart w:id="276" w:name="_Toc311366714"/>
      <w:r>
        <w:t xml:space="preserve">Figure </w:t>
      </w:r>
      <w:r w:rsidR="002149AD">
        <w:fldChar w:fldCharType="begin"/>
      </w:r>
      <w:r w:rsidR="002149AD">
        <w:instrText xml:space="preserve"> SEQ Figure \* ARABIC </w:instrText>
      </w:r>
      <w:r w:rsidR="002149AD">
        <w:fldChar w:fldCharType="separate"/>
      </w:r>
      <w:r w:rsidR="00BF2D97">
        <w:rPr>
          <w:noProof/>
        </w:rPr>
        <w:t>13</w:t>
      </w:r>
      <w:r w:rsidR="002149AD">
        <w:rPr>
          <w:noProof/>
        </w:rPr>
        <w:fldChar w:fldCharType="end"/>
      </w:r>
      <w:bookmarkEnd w:id="274"/>
      <w:r>
        <w:t xml:space="preserve"> I</w:t>
      </w:r>
      <w:r w:rsidRPr="00F569B5">
        <w:t>ncident anti-</w:t>
      </w:r>
      <w:r w:rsidR="006D41FB">
        <w:t>osteoporosis</w:t>
      </w:r>
      <w:r w:rsidRPr="00F569B5">
        <w:t xml:space="preserve"> medication use stratified by</w:t>
      </w:r>
      <w:r>
        <w:t xml:space="preserve"> gender</w:t>
      </w:r>
      <w:bookmarkEnd w:id="275"/>
      <w:bookmarkEnd w:id="276"/>
    </w:p>
    <w:p w14:paraId="7B1F6245" w14:textId="77777777" w:rsidR="001D4427" w:rsidRPr="001D4427" w:rsidRDefault="001D4427" w:rsidP="00E86771">
      <w:pPr>
        <w:spacing w:line="360" w:lineRule="auto"/>
      </w:pPr>
    </w:p>
    <w:p w14:paraId="7E09F769" w14:textId="77777777" w:rsidR="001D4427" w:rsidRDefault="002149AD" w:rsidP="00E86771">
      <w:pPr>
        <w:keepNext/>
        <w:spacing w:line="360" w:lineRule="auto"/>
      </w:pPr>
      <w:r>
        <w:rPr>
          <w:noProof/>
          <w:lang w:eastAsia="en-GB"/>
        </w:rPr>
        <w:pict w14:anchorId="172FDB85">
          <v:shape id="Picture 5" o:spid="_x0000_i1038" type="#_x0000_t75" alt="AGE_12m_all_inc.tif" style="width:344.8pt;height:232.25pt;visibility:visible">
            <v:imagedata r:id="rId25" o:title="AGE_12m_all_inc" croptop="4873f"/>
          </v:shape>
        </w:pict>
      </w:r>
    </w:p>
    <w:p w14:paraId="5F656B35" w14:textId="77777777" w:rsidR="001D4427" w:rsidRPr="001D4427" w:rsidRDefault="001D4427" w:rsidP="00E86771">
      <w:pPr>
        <w:pStyle w:val="Caption"/>
        <w:spacing w:line="360" w:lineRule="auto"/>
      </w:pPr>
      <w:bookmarkStart w:id="277" w:name="_Ref424565642"/>
      <w:bookmarkStart w:id="278" w:name="_Toc424650325"/>
      <w:bookmarkStart w:id="279" w:name="_Toc311366715"/>
      <w:r>
        <w:t xml:space="preserve">Figure </w:t>
      </w:r>
      <w:r w:rsidR="002149AD">
        <w:fldChar w:fldCharType="begin"/>
      </w:r>
      <w:r w:rsidR="002149AD">
        <w:instrText xml:space="preserve"> SEQ Figure \</w:instrText>
      </w:r>
      <w:r w:rsidR="002149AD">
        <w:instrText xml:space="preserve">* ARABIC </w:instrText>
      </w:r>
      <w:r w:rsidR="002149AD">
        <w:fldChar w:fldCharType="separate"/>
      </w:r>
      <w:r w:rsidR="00776C05">
        <w:rPr>
          <w:noProof/>
        </w:rPr>
        <w:t>14</w:t>
      </w:r>
      <w:r w:rsidR="002149AD">
        <w:rPr>
          <w:noProof/>
        </w:rPr>
        <w:fldChar w:fldCharType="end"/>
      </w:r>
      <w:bookmarkEnd w:id="277"/>
      <w:r>
        <w:t xml:space="preserve"> I</w:t>
      </w:r>
      <w:r w:rsidRPr="00713339">
        <w:t>ncident anti-</w:t>
      </w:r>
      <w:r w:rsidR="006D41FB">
        <w:t>osteoporosis</w:t>
      </w:r>
      <w:r w:rsidRPr="00713339">
        <w:t xml:space="preserve"> medication use stratified by</w:t>
      </w:r>
      <w:r>
        <w:t xml:space="preserve"> age group</w:t>
      </w:r>
      <w:bookmarkEnd w:id="278"/>
      <w:bookmarkEnd w:id="279"/>
    </w:p>
    <w:p w14:paraId="50CEB807" w14:textId="77777777" w:rsidR="001D4427" w:rsidRDefault="002149AD" w:rsidP="00E86771">
      <w:pPr>
        <w:keepNext/>
        <w:spacing w:line="360" w:lineRule="auto"/>
        <w:rPr>
          <w:noProof/>
          <w:lang w:eastAsia="en-GB"/>
        </w:rPr>
      </w:pPr>
      <w:r>
        <w:rPr>
          <w:noProof/>
          <w:lang w:eastAsia="en-GB"/>
        </w:rPr>
        <w:lastRenderedPageBreak/>
        <w:pict w14:anchorId="220544CD">
          <v:shape id="Picture 3" o:spid="_x0000_i1039" type="#_x0000_t75" alt="12m_antiop_by_type.tif" style="width:350.35pt;height:237.3pt;visibility:visible">
            <v:imagedata r:id="rId26" o:title="12m_antiop_by_type" croptop="4827f"/>
          </v:shape>
        </w:pict>
      </w:r>
    </w:p>
    <w:p w14:paraId="2576D457" w14:textId="77777777" w:rsidR="001D4427" w:rsidRDefault="001D4427" w:rsidP="00E86771">
      <w:pPr>
        <w:pStyle w:val="Caption"/>
        <w:spacing w:line="360" w:lineRule="auto"/>
      </w:pPr>
      <w:bookmarkStart w:id="280" w:name="_Ref424565656"/>
      <w:bookmarkStart w:id="281" w:name="_Toc424650326"/>
      <w:bookmarkStart w:id="282" w:name="_Toc311366716"/>
      <w:r>
        <w:t xml:space="preserve">Figure </w:t>
      </w:r>
      <w:r w:rsidR="002149AD">
        <w:fldChar w:fldCharType="begin"/>
      </w:r>
      <w:r w:rsidR="002149AD">
        <w:instrText xml:space="preserve"> SEQ Figure \* ARABIC </w:instrText>
      </w:r>
      <w:r w:rsidR="002149AD">
        <w:fldChar w:fldCharType="separate"/>
      </w:r>
      <w:r w:rsidR="00776C05">
        <w:rPr>
          <w:noProof/>
        </w:rPr>
        <w:t>15</w:t>
      </w:r>
      <w:r w:rsidR="002149AD">
        <w:rPr>
          <w:noProof/>
        </w:rPr>
        <w:fldChar w:fldCharType="end"/>
      </w:r>
      <w:bookmarkEnd w:id="280"/>
      <w:r>
        <w:t xml:space="preserve"> </w:t>
      </w:r>
      <w:r w:rsidRPr="00CF46B4">
        <w:t>Incident anti-</w:t>
      </w:r>
      <w:r w:rsidR="006D41FB">
        <w:t>osteoporosis</w:t>
      </w:r>
      <w:r w:rsidRPr="00CF46B4">
        <w:t xml:space="preserve"> medication use stratified by </w:t>
      </w:r>
      <w:r>
        <w:t>medication type</w:t>
      </w:r>
      <w:bookmarkEnd w:id="281"/>
      <w:bookmarkEnd w:id="282"/>
    </w:p>
    <w:p w14:paraId="5ABCC161" w14:textId="77777777" w:rsidR="001D4427" w:rsidRDefault="001D4427" w:rsidP="00E86771">
      <w:pPr>
        <w:spacing w:line="360" w:lineRule="auto"/>
      </w:pPr>
    </w:p>
    <w:p w14:paraId="165393C9" w14:textId="77777777" w:rsidR="001D4427" w:rsidRDefault="002149AD" w:rsidP="00E86771">
      <w:pPr>
        <w:keepNext/>
        <w:spacing w:line="360" w:lineRule="auto"/>
      </w:pPr>
      <w:r>
        <w:rPr>
          <w:noProof/>
          <w:lang w:eastAsia="en-GB"/>
        </w:rPr>
        <w:pict w14:anchorId="3F2D2AE3">
          <v:shape id="Picture 10" o:spid="_x0000_i1040" type="#_x0000_t75" alt="12m_postBP_alend_vs_other.tif" style="width:352.9pt;height:239.85pt;visibility:visible">
            <v:imagedata r:id="rId27" o:title="12m_postBP_alend_vs_other" croptop="4538f"/>
          </v:shape>
        </w:pict>
      </w:r>
    </w:p>
    <w:p w14:paraId="1F594EED" w14:textId="77777777" w:rsidR="001D4427" w:rsidRDefault="001D4427" w:rsidP="00E86771">
      <w:pPr>
        <w:pStyle w:val="Caption"/>
        <w:spacing w:line="360" w:lineRule="auto"/>
      </w:pPr>
      <w:bookmarkStart w:id="283" w:name="_Ref424566095"/>
      <w:bookmarkStart w:id="284" w:name="_Toc424650327"/>
      <w:bookmarkStart w:id="285" w:name="_Toc311366717"/>
      <w:r>
        <w:t xml:space="preserve">Figure </w:t>
      </w:r>
      <w:r w:rsidR="002149AD">
        <w:fldChar w:fldCharType="begin"/>
      </w:r>
      <w:r w:rsidR="002149AD">
        <w:instrText xml:space="preserve"> SEQ Figure \* ARABIC </w:instrText>
      </w:r>
      <w:r w:rsidR="002149AD">
        <w:fldChar w:fldCharType="separate"/>
      </w:r>
      <w:r w:rsidR="00776C05">
        <w:rPr>
          <w:noProof/>
        </w:rPr>
        <w:t>16</w:t>
      </w:r>
      <w:r w:rsidR="002149AD">
        <w:rPr>
          <w:noProof/>
        </w:rPr>
        <w:fldChar w:fldCharType="end"/>
      </w:r>
      <w:bookmarkEnd w:id="283"/>
      <w:r>
        <w:t xml:space="preserve"> B</w:t>
      </w:r>
      <w:r w:rsidRPr="003815FD">
        <w:t>isphosphonate use among treatment naïve h</w:t>
      </w:r>
      <w:r>
        <w:t>ip fracture cases at baseline</w:t>
      </w:r>
      <w:r w:rsidRPr="003815FD">
        <w:t xml:space="preserve"> within 12 months, stratified by bisphosphonate type</w:t>
      </w:r>
      <w:bookmarkEnd w:id="284"/>
      <w:bookmarkEnd w:id="285"/>
    </w:p>
    <w:p w14:paraId="4035A9D2" w14:textId="77777777" w:rsidR="00EF41C9" w:rsidRDefault="002149AD" w:rsidP="00E86771">
      <w:pPr>
        <w:keepNext/>
        <w:spacing w:line="360" w:lineRule="auto"/>
      </w:pPr>
      <w:r>
        <w:rPr>
          <w:noProof/>
          <w:lang w:eastAsia="en-GB"/>
        </w:rPr>
        <w:lastRenderedPageBreak/>
        <w:pict w14:anchorId="42D32C11">
          <v:shape id="_x0000_i1041" type="#_x0000_t75" alt="TIME_postBP.tif" style="width:368.6pt;height:248.95pt;visibility:visible">
            <v:imagedata r:id="rId28" o:title="TIME_postBP" croptop="4714f"/>
          </v:shape>
        </w:pict>
      </w:r>
    </w:p>
    <w:p w14:paraId="65C0C151" w14:textId="77777777" w:rsidR="00EF41C9" w:rsidRDefault="00EF41C9" w:rsidP="00E86771">
      <w:pPr>
        <w:pStyle w:val="Caption"/>
        <w:spacing w:line="360" w:lineRule="auto"/>
      </w:pPr>
      <w:bookmarkStart w:id="286" w:name="_Ref424566100"/>
      <w:bookmarkStart w:id="287" w:name="_Toc424650328"/>
      <w:bookmarkStart w:id="288" w:name="_Toc311366718"/>
      <w:r>
        <w:t xml:space="preserve">Figure </w:t>
      </w:r>
      <w:r w:rsidR="002149AD">
        <w:fldChar w:fldCharType="begin"/>
      </w:r>
      <w:r w:rsidR="002149AD">
        <w:instrText xml:space="preserve"> SEQ Figure \* ARABIC </w:instrText>
      </w:r>
      <w:r w:rsidR="002149AD">
        <w:fldChar w:fldCharType="separate"/>
      </w:r>
      <w:r w:rsidR="00776C05">
        <w:rPr>
          <w:noProof/>
        </w:rPr>
        <w:t>17</w:t>
      </w:r>
      <w:r w:rsidR="002149AD">
        <w:rPr>
          <w:noProof/>
        </w:rPr>
        <w:fldChar w:fldCharType="end"/>
      </w:r>
      <w:bookmarkEnd w:id="286"/>
      <w:r>
        <w:t xml:space="preserve"> </w:t>
      </w:r>
      <w:r w:rsidRPr="0082721F">
        <w:t>Bisphosphonate use among treatment naïve hip fracture case</w:t>
      </w:r>
      <w:r>
        <w:t>s at baseline, period prevalence between 2-6 and 10-14 months</w:t>
      </w:r>
      <w:bookmarkEnd w:id="287"/>
      <w:bookmarkEnd w:id="288"/>
    </w:p>
    <w:p w14:paraId="2EC52D13" w14:textId="77777777" w:rsidR="00CF1808" w:rsidRDefault="00CF1808" w:rsidP="00E86771">
      <w:pPr>
        <w:pStyle w:val="Heading3"/>
        <w:spacing w:line="360" w:lineRule="auto"/>
      </w:pPr>
      <w:bookmarkStart w:id="289" w:name="_Toc308300781"/>
      <w:bookmarkStart w:id="290" w:name="_Toc311366588"/>
      <w:r>
        <w:t>Segmented linear regression results</w:t>
      </w:r>
      <w:bookmarkEnd w:id="289"/>
      <w:bookmarkEnd w:id="290"/>
    </w:p>
    <w:p w14:paraId="5D5EF3EA" w14:textId="77777777" w:rsidR="00CF1808" w:rsidRDefault="00CF1808" w:rsidP="00E86771">
      <w:pPr>
        <w:spacing w:line="360" w:lineRule="auto"/>
      </w:pPr>
      <w:r>
        <w:t xml:space="preserve">For simplicity, the figures referred to below are from the final parsimonious segmented linear regression analyses, with the coefficients reported in Appendix </w:t>
      </w:r>
      <w:r w:rsidR="004B205D">
        <w:t>7</w:t>
      </w:r>
      <w:r>
        <w:t xml:space="preserve">. Results are expressed for each intervention in terms of immediate ‘step’ and/or ‘trend’ change in each aggregated outcome measure under study. Estimates from full models with forced inclusion of each intervention are also reported in Appendix </w:t>
      </w:r>
      <w:r w:rsidR="004B205D">
        <w:t>8</w:t>
      </w:r>
      <w:r>
        <w:t>.</w:t>
      </w:r>
    </w:p>
    <w:p w14:paraId="1EC032D3" w14:textId="77777777" w:rsidR="00CF1808" w:rsidRDefault="00CF1808" w:rsidP="00E86771">
      <w:pPr>
        <w:pStyle w:val="Heading3"/>
        <w:spacing w:line="360" w:lineRule="auto"/>
      </w:pPr>
      <w:bookmarkStart w:id="291" w:name="_Toc308300782"/>
      <w:bookmarkStart w:id="292" w:name="_Toc311366589"/>
      <w:r>
        <w:t>Index hip fracture and re</w:t>
      </w:r>
      <w:r w:rsidR="006D41FB">
        <w:rPr>
          <w:lang w:val="en-GB"/>
        </w:rPr>
        <w:t>-</w:t>
      </w:r>
      <w:r>
        <w:t>fracture</w:t>
      </w:r>
      <w:bookmarkEnd w:id="291"/>
      <w:bookmarkEnd w:id="292"/>
    </w:p>
    <w:p w14:paraId="4E6A81D2" w14:textId="7F4F7376" w:rsidR="00CF1808" w:rsidRDefault="00CF1808" w:rsidP="00E86771">
      <w:pPr>
        <w:spacing w:line="360" w:lineRule="auto"/>
      </w:pPr>
      <w:r>
        <w:t xml:space="preserve">The number of primary hip fractures occurring per 6 months between 1999 and 2013 are shown in </w:t>
      </w:r>
      <w:r>
        <w:fldChar w:fldCharType="begin"/>
      </w:r>
      <w:r>
        <w:instrText xml:space="preserve"> REF _Ref423346346 \h </w:instrText>
      </w:r>
      <w:r>
        <w:fldChar w:fldCharType="separate"/>
      </w:r>
      <w:r w:rsidR="00BF2D97">
        <w:t xml:space="preserve">Figure </w:t>
      </w:r>
      <w:r w:rsidR="00BF2D97">
        <w:rPr>
          <w:noProof/>
        </w:rPr>
        <w:t>18</w:t>
      </w:r>
      <w:r>
        <w:fldChar w:fldCharType="end"/>
      </w:r>
      <w:r>
        <w:t>a. When the time series was compared with publication of the guidelines under evaluation, there was a significant trend-change in the number of index hip fractures occurring following the Oct 2004 – Mar 2005 period wherein the NICE guideline 21 and NICE TA 87 were published. Prior to this period the biannual proportions were stable, whereas a post intervention trend of -7.17 (95% CI</w:t>
      </w:r>
      <w:r w:rsidR="00F5216A">
        <w:t>:</w:t>
      </w:r>
      <w:r>
        <w:t xml:space="preserve"> -8.75 to -5.6; p&lt;0.001) index hip fractures per six months was detected (</w:t>
      </w:r>
      <w:r>
        <w:fldChar w:fldCharType="begin"/>
      </w:r>
      <w:r>
        <w:instrText xml:space="preserve"> REF _Ref423346346 \h </w:instrText>
      </w:r>
      <w:r>
        <w:fldChar w:fldCharType="separate"/>
      </w:r>
      <w:r w:rsidR="00BF2D97">
        <w:t xml:space="preserve">Figure </w:t>
      </w:r>
      <w:r w:rsidR="00BF2D97">
        <w:rPr>
          <w:noProof/>
        </w:rPr>
        <w:t>18</w:t>
      </w:r>
      <w:r>
        <w:fldChar w:fldCharType="end"/>
      </w:r>
      <w:r>
        <w:t>a). This association was unchanged for aggregated proportions of overall hip fractures (</w:t>
      </w:r>
      <w:r>
        <w:fldChar w:fldCharType="begin"/>
      </w:r>
      <w:r>
        <w:instrText xml:space="preserve"> REF _Ref423346346 \h </w:instrText>
      </w:r>
      <w:r>
        <w:fldChar w:fldCharType="separate"/>
      </w:r>
      <w:r w:rsidR="00BF2D97">
        <w:t xml:space="preserve">Figure </w:t>
      </w:r>
      <w:r w:rsidR="00BF2D97">
        <w:rPr>
          <w:noProof/>
        </w:rPr>
        <w:t>18</w:t>
      </w:r>
      <w:r>
        <w:fldChar w:fldCharType="end"/>
      </w:r>
      <w:r>
        <w:t>b).</w:t>
      </w:r>
    </w:p>
    <w:p w14:paraId="670345D4" w14:textId="7E100091" w:rsidR="00CF1808" w:rsidRPr="00CF1808" w:rsidRDefault="00CF1808" w:rsidP="00E86771">
      <w:pPr>
        <w:spacing w:line="360" w:lineRule="auto"/>
      </w:pPr>
      <w:r>
        <w:t>Considering re-fracture, an initial stable rate of 2.49% (95% CI</w:t>
      </w:r>
      <w:r w:rsidR="00F5216A">
        <w:t>:</w:t>
      </w:r>
      <w:r>
        <w:t xml:space="preserve"> 2.12 – 2.87) was estimated for subsequent hip fracture, although a step-change reduction of -0.95% (95% CI: -1.67 to -0.23; p=0.012) between Oct 2007 and Sept 2008 (publication of the BOA blue book and NICE technological appraisal 161) was found (</w:t>
      </w:r>
      <w:r>
        <w:fldChar w:fldCharType="begin"/>
      </w:r>
      <w:r>
        <w:instrText xml:space="preserve"> REF _Ref424292470 \h </w:instrText>
      </w:r>
      <w:r>
        <w:fldChar w:fldCharType="separate"/>
      </w:r>
      <w:r w:rsidR="00BF2D97">
        <w:t xml:space="preserve">Figure </w:t>
      </w:r>
      <w:r w:rsidR="00BF2D97">
        <w:rPr>
          <w:noProof/>
        </w:rPr>
        <w:t>19</w:t>
      </w:r>
      <w:r>
        <w:fldChar w:fldCharType="end"/>
      </w:r>
      <w:r>
        <w:t xml:space="preserve">a). This reduction in re-fracture at the hip was not observed for </w:t>
      </w:r>
      <w:r>
        <w:lastRenderedPageBreak/>
        <w:t>subsequent major non-hip fracture (</w:t>
      </w:r>
      <w:r>
        <w:fldChar w:fldCharType="begin"/>
      </w:r>
      <w:r>
        <w:instrText xml:space="preserve"> REF _Ref424292470 \h </w:instrText>
      </w:r>
      <w:r>
        <w:fldChar w:fldCharType="separate"/>
      </w:r>
      <w:r w:rsidR="00BF2D97">
        <w:t xml:space="preserve">Figure </w:t>
      </w:r>
      <w:r w:rsidR="00BF2D97">
        <w:rPr>
          <w:noProof/>
        </w:rPr>
        <w:t>19</w:t>
      </w:r>
      <w:r>
        <w:fldChar w:fldCharType="end"/>
      </w:r>
      <w:r>
        <w:t>b). There was no evidence associated with any of the other guidelines evaluated for a change in level or trend in biannual proportions (</w:t>
      </w:r>
      <w:r>
        <w:fldChar w:fldCharType="begin"/>
      </w:r>
      <w:r>
        <w:instrText xml:space="preserve"> REF _Ref424292470 \h </w:instrText>
      </w:r>
      <w:r>
        <w:fldChar w:fldCharType="separate"/>
      </w:r>
      <w:r>
        <w:t xml:space="preserve">Figure </w:t>
      </w:r>
      <w:r w:rsidR="00345A4D">
        <w:rPr>
          <w:noProof/>
        </w:rPr>
        <w:t>19</w:t>
      </w:r>
      <w:r>
        <w:fldChar w:fldCharType="end"/>
      </w:r>
      <w:r>
        <w:t>a-b).</w:t>
      </w:r>
    </w:p>
    <w:p w14:paraId="65163FA7" w14:textId="77777777" w:rsidR="00F5691E" w:rsidRPr="0065714E" w:rsidRDefault="002149AD" w:rsidP="00E86771">
      <w:pPr>
        <w:spacing w:line="360" w:lineRule="auto"/>
      </w:pPr>
      <w:r>
        <w:rPr>
          <w:noProof/>
        </w:rPr>
        <w:pict w14:anchorId="32152563">
          <v:shape id="_x0000_s1068" type="#_x0000_t202" style="position:absolute;margin-left:0;margin-top:413.6pt;width:412.6pt;height:31.95pt;z-index:251655168" stroked="f">
            <v:textbox style="mso-next-textbox:#_x0000_s1068;mso-fit-shape-to-text:t" inset="0,0,0,0">
              <w:txbxContent>
                <w:p w14:paraId="0EDB7452" w14:textId="5FBBFB70" w:rsidR="00AB59D4" w:rsidRPr="000415DB" w:rsidRDefault="00AB59D4" w:rsidP="00F5691E">
                  <w:pPr>
                    <w:pStyle w:val="Caption"/>
                    <w:rPr>
                      <w:rFonts w:ascii="Times New Roman" w:hAnsi="Times New Roman"/>
                    </w:rPr>
                  </w:pPr>
                  <w:bookmarkStart w:id="293" w:name="_Ref423346346"/>
                  <w:bookmarkStart w:id="294" w:name="_Toc424650329"/>
                  <w:r>
                    <w:t xml:space="preserve">Figure </w:t>
                  </w:r>
                  <w:r w:rsidR="002149AD">
                    <w:fldChar w:fldCharType="begin"/>
                  </w:r>
                  <w:r w:rsidR="002149AD">
                    <w:instrText xml:space="preserve"> SEQ Figure \* ARABI</w:instrText>
                  </w:r>
                  <w:r w:rsidR="002149AD">
                    <w:instrText xml:space="preserve">C </w:instrText>
                  </w:r>
                  <w:r w:rsidR="002149AD">
                    <w:fldChar w:fldCharType="separate"/>
                  </w:r>
                  <w:r>
                    <w:rPr>
                      <w:noProof/>
                    </w:rPr>
                    <w:t>18</w:t>
                  </w:r>
                  <w:r w:rsidR="002149AD">
                    <w:rPr>
                      <w:noProof/>
                    </w:rPr>
                    <w:fldChar w:fldCharType="end"/>
                  </w:r>
                  <w:bookmarkEnd w:id="293"/>
                  <w:r>
                    <w:t xml:space="preserve"> </w:t>
                  </w:r>
                  <w:r w:rsidRPr="00CF1808">
                    <w:t>Number (1999/2000</w:t>
                  </w:r>
                  <w:r>
                    <w:t>-2012/13</w:t>
                  </w:r>
                  <w:r w:rsidRPr="00CF1808">
                    <w:t>) of a) primary hip fractures and b) overall number of primary and secondary hip fractures</w:t>
                  </w:r>
                  <w:bookmarkEnd w:id="294"/>
                </w:p>
              </w:txbxContent>
            </v:textbox>
          </v:shape>
        </w:pict>
      </w:r>
      <w:r>
        <w:rPr>
          <w:noProof/>
          <w:lang w:eastAsia="en-GB"/>
        </w:rPr>
        <w:pict w14:anchorId="70480D65">
          <v:shape id="_x0000_s1046" type="#_x0000_t75" style="position:absolute;margin-left:0;margin-top:0;width:273.6pt;height:409.1pt;z-index:251651072;mso-position-horizontal-relative:char;mso-position-vertical-relative:line">
            <v:imagedata r:id="rId29" o:title=""/>
          </v:shape>
        </w:pict>
      </w:r>
      <w:r>
        <w:pict w14:anchorId="1736D202">
          <v:shape id="_x0000_i1042" type="#_x0000_t75" style="width:273.8pt;height:409.2pt">
            <v:imagedata croptop="-65520f" cropbottom="65520f"/>
          </v:shape>
        </w:pict>
      </w:r>
    </w:p>
    <w:p w14:paraId="2194DCAF" w14:textId="77777777" w:rsidR="00514F6A" w:rsidRPr="00591BFC" w:rsidRDefault="00514F6A" w:rsidP="00E86771">
      <w:pPr>
        <w:spacing w:line="360" w:lineRule="auto"/>
        <w:rPr>
          <w:sz w:val="24"/>
          <w:u w:val="single"/>
        </w:rPr>
      </w:pPr>
      <w:r w:rsidRPr="00591BFC">
        <w:rPr>
          <w:sz w:val="24"/>
          <w:u w:val="single"/>
        </w:rPr>
        <w:t xml:space="preserve">Segmented linear </w:t>
      </w:r>
      <w:r w:rsidRPr="00591BFC">
        <w:rPr>
          <w:u w:val="single"/>
        </w:rPr>
        <w:t>regression</w:t>
      </w:r>
      <w:r w:rsidRPr="00591BFC">
        <w:rPr>
          <w:sz w:val="24"/>
          <w:u w:val="single"/>
        </w:rPr>
        <w:t xml:space="preserve"> results</w:t>
      </w:r>
    </w:p>
    <w:p w14:paraId="66E2F871" w14:textId="77777777" w:rsidR="00D65A7C" w:rsidRPr="00D65A7C" w:rsidRDefault="00D65A7C" w:rsidP="00E86771">
      <w:pPr>
        <w:spacing w:line="360" w:lineRule="auto"/>
        <w:rPr>
          <w:lang w:eastAsia="x-none"/>
        </w:rPr>
      </w:pPr>
    </w:p>
    <w:p w14:paraId="2C620335" w14:textId="77777777" w:rsidR="00514F6A" w:rsidRPr="00591BFC" w:rsidRDefault="00514F6A" w:rsidP="00E86771">
      <w:pPr>
        <w:spacing w:line="360" w:lineRule="auto"/>
      </w:pPr>
    </w:p>
    <w:p w14:paraId="79CBE5CF" w14:textId="77777777" w:rsidR="00683FC7" w:rsidRPr="00591BFC" w:rsidRDefault="002149AD" w:rsidP="00E86771">
      <w:pPr>
        <w:spacing w:line="360" w:lineRule="auto"/>
        <w:rPr>
          <w:sz w:val="24"/>
          <w:u w:val="single"/>
        </w:rPr>
      </w:pPr>
      <w:r>
        <w:rPr>
          <w:noProof/>
        </w:rPr>
        <w:lastRenderedPageBreak/>
        <w:pict w14:anchorId="26143B27">
          <v:shape id="_x0000_s1067" type="#_x0000_t202" style="position:absolute;margin-left:0;margin-top:397.1pt;width:414.15pt;height:31.95pt;z-index:251654144" stroked="f">
            <v:textbox style="mso-next-textbox:#_x0000_s1067;mso-fit-shape-to-text:t" inset="0,0,0,0">
              <w:txbxContent>
                <w:p w14:paraId="35F91091" w14:textId="49A9D7F8" w:rsidR="00AB59D4" w:rsidRPr="001233D8" w:rsidRDefault="00AB59D4" w:rsidP="003E34E5">
                  <w:pPr>
                    <w:pStyle w:val="Caption"/>
                    <w:rPr>
                      <w:rFonts w:ascii="Times New Roman" w:hAnsi="Times New Roman"/>
                      <w:sz w:val="24"/>
                      <w:u w:val="single"/>
                    </w:rPr>
                  </w:pPr>
                  <w:bookmarkStart w:id="295" w:name="_Ref424292470"/>
                  <w:bookmarkStart w:id="296" w:name="_Toc424650330"/>
                  <w:r>
                    <w:t xml:space="preserve">Figure </w:t>
                  </w:r>
                  <w:r w:rsidR="002149AD">
                    <w:fldChar w:fldCharType="begin"/>
                  </w:r>
                  <w:r w:rsidR="002149AD">
                    <w:instrText xml:space="preserve"> SEQ Figure \* ARABIC </w:instrText>
                  </w:r>
                  <w:r w:rsidR="002149AD">
                    <w:fldChar w:fldCharType="separate"/>
                  </w:r>
                  <w:r>
                    <w:rPr>
                      <w:noProof/>
                    </w:rPr>
                    <w:t>19</w:t>
                  </w:r>
                  <w:r w:rsidR="002149AD">
                    <w:rPr>
                      <w:noProof/>
                    </w:rPr>
                    <w:fldChar w:fldCharType="end"/>
                  </w:r>
                  <w:bookmarkEnd w:id="295"/>
                  <w:r>
                    <w:t xml:space="preserve"> a. Post-index date second hip fracture: cases (black) b.Post-index date major non-hip fracture: cases (black) and controls (grey)</w:t>
                  </w:r>
                  <w:bookmarkEnd w:id="296"/>
                </w:p>
              </w:txbxContent>
            </v:textbox>
          </v:shape>
        </w:pict>
      </w:r>
      <w:r>
        <w:rPr>
          <w:sz w:val="24"/>
          <w:u w:val="single"/>
        </w:rPr>
        <w:pict w14:anchorId="712E0BBA">
          <v:shape id="_x0000_i1043" type="#_x0000_t75" style="width:278.85pt;height:392.95pt;mso-position-horizontal-relative:char;mso-position-vertical-relative:line">
            <v:imagedata r:id="rId30" o:title="" cropbottom="708f"/>
          </v:shape>
        </w:pict>
      </w:r>
    </w:p>
    <w:p w14:paraId="1E3C3CEC" w14:textId="77777777" w:rsidR="00CF1808" w:rsidRDefault="00CF1808" w:rsidP="00E86771">
      <w:pPr>
        <w:spacing w:line="360" w:lineRule="auto"/>
        <w:rPr>
          <w:sz w:val="24"/>
          <w:u w:val="single"/>
        </w:rPr>
      </w:pPr>
    </w:p>
    <w:p w14:paraId="07F9F3FE" w14:textId="77777777" w:rsidR="00CF1808" w:rsidRPr="00CF1808" w:rsidRDefault="00CF1808" w:rsidP="00E86771">
      <w:pPr>
        <w:pStyle w:val="Heading3"/>
        <w:spacing w:line="360" w:lineRule="auto"/>
      </w:pPr>
      <w:bookmarkStart w:id="297" w:name="_Toc308300783"/>
      <w:bookmarkStart w:id="298" w:name="_Toc311366590"/>
      <w:r w:rsidRPr="00CF1808">
        <w:t>Mortality</w:t>
      </w:r>
      <w:bookmarkEnd w:id="297"/>
      <w:bookmarkEnd w:id="298"/>
    </w:p>
    <w:p w14:paraId="1B120AFA" w14:textId="30A6DB54" w:rsidR="00CF1808" w:rsidRPr="00CF1808" w:rsidRDefault="00CF1808" w:rsidP="00E86771">
      <w:pPr>
        <w:spacing w:line="360" w:lineRule="auto"/>
      </w:pPr>
      <w:r w:rsidRPr="00CF1808">
        <w:t>In relation to the guidelines here evaluated, a significant step-change reduction in 30-day mortality occurred of -2.81% (95% CI: -3.73 to -1.85; p=&lt;0.001) between Oct 2007 and Sept 2008 (publication of the BOA blue book and NICE technological appraisal 161) (</w:t>
      </w:r>
      <w:r w:rsidR="00FF3CB2">
        <w:t>Figure 20</w:t>
      </w:r>
      <w:r w:rsidRPr="00CF1808">
        <w:t>a). Although this step change was not reflected in 1-year mortality following the same publications, a significant reduction in 1-year mortality of -5.56% (95% CI: -7.59 to -3.52; p&lt;0.001) was seen immediately following the introduction of the Best Practice Tariff in April 2010 (</w:t>
      </w:r>
      <w:r w:rsidR="00FF3CB2">
        <w:t>Figure 21</w:t>
      </w:r>
      <w:r w:rsidRPr="00CF1808">
        <w:t>a). No other step change or trends were found in 30-day or 1-year mortality. When a ‘difference in differences’ analysis was carried out for mortality between cases and controls, the significant reduction in 30-day mortality remained (</w:t>
      </w:r>
      <w:r w:rsidR="00FF3CB2">
        <w:t>Figure 20</w:t>
      </w:r>
      <w:r w:rsidRPr="00CF1808">
        <w:t>b), as it did for 1-year mortality (</w:t>
      </w:r>
      <w:r w:rsidR="00FF3CB2">
        <w:t>Figure 21</w:t>
      </w:r>
      <w:r w:rsidRPr="00CF1808">
        <w:t xml:space="preserve">b), however for the difference in 1-year mortality between cases and controls, there was a trend increase following the Oct 2007 to Sept </w:t>
      </w:r>
      <w:r w:rsidRPr="00CF1808">
        <w:lastRenderedPageBreak/>
        <w:t>2008 period (publication of BOA Blue Book and NICE TA 161) of 0.98% (95% CI</w:t>
      </w:r>
      <w:r w:rsidR="00CA712A">
        <w:t>:</w:t>
      </w:r>
      <w:r w:rsidRPr="00CF1808">
        <w:t xml:space="preserve"> 0.16-1.8; p=0.022) in biannual proportions – that persisted throughout the rest of the study period (</w:t>
      </w:r>
      <w:r w:rsidR="00FF3CB2">
        <w:t>Figure 21</w:t>
      </w:r>
      <w:r w:rsidRPr="00CF1808">
        <w:t>b).</w:t>
      </w:r>
    </w:p>
    <w:p w14:paraId="4844DBA1" w14:textId="77777777" w:rsidR="00683FC7" w:rsidRDefault="002149AD" w:rsidP="00E86771">
      <w:pPr>
        <w:spacing w:line="360" w:lineRule="auto"/>
        <w:rPr>
          <w:sz w:val="24"/>
          <w:u w:val="single"/>
        </w:rPr>
      </w:pPr>
      <w:r>
        <w:rPr>
          <w:noProof/>
        </w:rPr>
        <w:pict w14:anchorId="7D513038">
          <v:shape id="_x0000_s1078" type="#_x0000_t202" style="position:absolute;margin-left:0;margin-top:429pt;width:418.85pt;height:31.95pt;z-index:251658240" stroked="f">
            <v:textbox style="mso-fit-shape-to-text:t" inset="0,0,0,0">
              <w:txbxContent>
                <w:p w14:paraId="3736A839" w14:textId="13CF2E99" w:rsidR="00AB59D4" w:rsidRPr="003E2BF7" w:rsidRDefault="00AB59D4" w:rsidP="00542137">
                  <w:pPr>
                    <w:pStyle w:val="Caption"/>
                    <w:rPr>
                      <w:sz w:val="24"/>
                      <w:u w:val="single"/>
                    </w:rPr>
                  </w:pPr>
                  <w:bookmarkStart w:id="299" w:name="_Toc424650331"/>
                  <w:r>
                    <w:t xml:space="preserve">Figure </w:t>
                  </w:r>
                  <w:r w:rsidR="002149AD">
                    <w:fldChar w:fldCharType="begin"/>
                  </w:r>
                  <w:r w:rsidR="002149AD">
                    <w:instrText xml:space="preserve"> SEQ Figure \* ARABIC </w:instrText>
                  </w:r>
                  <w:r w:rsidR="002149AD">
                    <w:fldChar w:fldCharType="separate"/>
                  </w:r>
                  <w:r>
                    <w:rPr>
                      <w:noProof/>
                    </w:rPr>
                    <w:t>20</w:t>
                  </w:r>
                  <w:r w:rsidR="002149AD">
                    <w:rPr>
                      <w:noProof/>
                    </w:rPr>
                    <w:fldChar w:fldCharType="end"/>
                  </w:r>
                  <w:r>
                    <w:t xml:space="preserve">:a </w:t>
                  </w:r>
                  <w:r w:rsidRPr="00C94587">
                    <w:t>Post index date mortality within 30 days among cases (black) and controls (grey) b) post index date 30 day mortality: difference in differences (black) between cases and controls</w:t>
                  </w:r>
                  <w:bookmarkEnd w:id="299"/>
                </w:p>
              </w:txbxContent>
            </v:textbox>
          </v:shape>
        </w:pict>
      </w:r>
      <w:r>
        <w:rPr>
          <w:sz w:val="24"/>
          <w:u w:val="single"/>
        </w:rPr>
        <w:pict w14:anchorId="2EB3C88F">
          <v:shape id="_x0000_i1044" type="#_x0000_t75" style="width:309.3pt;height:424.9pt;mso-position-horizontal-relative:char;mso-position-vertical-relative:line">
            <v:imagedata r:id="rId31" o:title="" cropbottom="988f"/>
          </v:shape>
        </w:pict>
      </w:r>
    </w:p>
    <w:p w14:paraId="14AA9159" w14:textId="77777777" w:rsidR="00542137" w:rsidRPr="00591BFC" w:rsidRDefault="00542137" w:rsidP="00E86771">
      <w:pPr>
        <w:spacing w:line="360" w:lineRule="auto"/>
        <w:rPr>
          <w:sz w:val="24"/>
          <w:u w:val="single"/>
        </w:rPr>
      </w:pPr>
    </w:p>
    <w:p w14:paraId="6E96BF59" w14:textId="77777777" w:rsidR="00542137" w:rsidRDefault="002149AD" w:rsidP="00E86771">
      <w:pPr>
        <w:spacing w:line="360" w:lineRule="auto"/>
        <w:rPr>
          <w:sz w:val="24"/>
          <w:u w:val="single"/>
        </w:rPr>
      </w:pPr>
      <w:r>
        <w:rPr>
          <w:noProof/>
        </w:rPr>
        <w:lastRenderedPageBreak/>
        <w:pict w14:anchorId="4221E54C">
          <v:shape id="_x0000_s1080" type="#_x0000_t202" style="position:absolute;margin-left:0;margin-top:402.6pt;width:438.25pt;height:31.95pt;z-index:251659264" stroked="f">
            <v:textbox style="mso-fit-shape-to-text:t" inset="0,0,0,0">
              <w:txbxContent>
                <w:p w14:paraId="2BADFD27" w14:textId="0E3B4D78" w:rsidR="00AB59D4" w:rsidRPr="00710BA2" w:rsidRDefault="00AB59D4" w:rsidP="00542137">
                  <w:pPr>
                    <w:pStyle w:val="Caption"/>
                    <w:rPr>
                      <w:rFonts w:ascii="Times New Roman" w:hAnsi="Times New Roman"/>
                      <w:sz w:val="24"/>
                      <w:u w:val="single"/>
                    </w:rPr>
                  </w:pPr>
                  <w:bookmarkStart w:id="300" w:name="_Toc424650332"/>
                  <w:r>
                    <w:t xml:space="preserve">Figure </w:t>
                  </w:r>
                  <w:r w:rsidR="002149AD">
                    <w:fldChar w:fldCharType="begin"/>
                  </w:r>
                  <w:r w:rsidR="002149AD">
                    <w:instrText xml:space="preserve"> SEQ Figure \* ARABIC </w:instrText>
                  </w:r>
                  <w:r w:rsidR="002149AD">
                    <w:fldChar w:fldCharType="separate"/>
                  </w:r>
                  <w:r>
                    <w:rPr>
                      <w:noProof/>
                    </w:rPr>
                    <w:t>21</w:t>
                  </w:r>
                  <w:r w:rsidR="002149AD">
                    <w:rPr>
                      <w:noProof/>
                    </w:rPr>
                    <w:fldChar w:fldCharType="end"/>
                  </w:r>
                  <w:r w:rsidRPr="00426C2D">
                    <w:t>: a)  Post index date mortality within 1 year among cases (black) and controls (grey) b) post index date 1 year mortality: difference in differences (black) between cases and controls</w:t>
                  </w:r>
                  <w:bookmarkEnd w:id="300"/>
                </w:p>
              </w:txbxContent>
            </v:textbox>
          </v:shape>
        </w:pict>
      </w:r>
      <w:r>
        <w:rPr>
          <w:rFonts w:ascii="Times New Roman" w:hAnsi="Times New Roman"/>
          <w:sz w:val="24"/>
          <w:u w:val="single"/>
        </w:rPr>
        <w:pict w14:anchorId="29667C29">
          <v:shape id="_x0000_i1045" type="#_x0000_t75" style="width:280.9pt;height:398.55pt;mso-position-horizontal-relative:char;mso-position-vertical-relative:line">
            <v:imagedata r:id="rId32" o:title=""/>
          </v:shape>
        </w:pict>
      </w:r>
    </w:p>
    <w:p w14:paraId="2837A621" w14:textId="77777777" w:rsidR="00542137" w:rsidRDefault="00542137" w:rsidP="00E86771">
      <w:pPr>
        <w:spacing w:line="360" w:lineRule="auto"/>
        <w:rPr>
          <w:sz w:val="24"/>
          <w:u w:val="single"/>
        </w:rPr>
      </w:pPr>
    </w:p>
    <w:p w14:paraId="79ED0FEF" w14:textId="77777777" w:rsidR="00542137" w:rsidRPr="00542137" w:rsidRDefault="00542137" w:rsidP="00E86771">
      <w:pPr>
        <w:keepNext/>
        <w:keepLines/>
        <w:spacing w:before="200" w:after="0" w:line="360" w:lineRule="auto"/>
        <w:outlineLvl w:val="2"/>
        <w:rPr>
          <w:rFonts w:ascii="Cambria" w:eastAsia="MS Gothic" w:hAnsi="Cambria"/>
          <w:b/>
          <w:bCs/>
          <w:color w:val="4F81BD"/>
          <w:sz w:val="20"/>
          <w:szCs w:val="20"/>
          <w:lang w:val="x-none" w:eastAsia="x-none"/>
        </w:rPr>
      </w:pPr>
      <w:r w:rsidRPr="00542137">
        <w:rPr>
          <w:rFonts w:ascii="Cambria" w:eastAsia="MS Gothic" w:hAnsi="Cambria"/>
          <w:b/>
          <w:bCs/>
          <w:color w:val="4F81BD"/>
          <w:sz w:val="20"/>
          <w:szCs w:val="20"/>
          <w:lang w:val="x-none" w:eastAsia="x-none"/>
        </w:rPr>
        <w:t>Bone strengthening drugs</w:t>
      </w:r>
    </w:p>
    <w:p w14:paraId="16893CC3" w14:textId="130B685D" w:rsidR="00542137" w:rsidRPr="00542137" w:rsidRDefault="00542137" w:rsidP="00E86771">
      <w:pPr>
        <w:spacing w:line="360" w:lineRule="auto"/>
      </w:pPr>
      <w:r w:rsidRPr="00542137">
        <w:t xml:space="preserve">The time series of biannual proportions of treatment naïve index hip fracture patients receiving an incident prescription for a bone strengthening drug in the first year following hip fracture is presented in </w:t>
      </w:r>
      <w:r w:rsidR="003B2986">
        <w:fldChar w:fldCharType="begin"/>
      </w:r>
      <w:r w:rsidR="003B2986">
        <w:instrText xml:space="preserve"> REF _Ref424568503 \h </w:instrText>
      </w:r>
      <w:r w:rsidR="003B2986">
        <w:fldChar w:fldCharType="separate"/>
      </w:r>
      <w:r w:rsidR="00D411E9">
        <w:t xml:space="preserve">Figure </w:t>
      </w:r>
      <w:r w:rsidR="00D411E9">
        <w:rPr>
          <w:noProof/>
        </w:rPr>
        <w:t>20</w:t>
      </w:r>
      <w:r w:rsidR="003B2986">
        <w:fldChar w:fldCharType="end"/>
      </w:r>
      <w:r w:rsidRPr="00542137">
        <w:t>b. This shows an initial upward trend in the proportion receiving such a prescription of 1.1% per six months, with a marked step change of 14.5% (95% CI</w:t>
      </w:r>
      <w:r w:rsidR="00CA712A">
        <w:t>:</w:t>
      </w:r>
      <w:r w:rsidRPr="00542137">
        <w:t xml:space="preserve"> 11.1-17.8; p=&lt;0.001) taking place between pre-publication of the NICE clinical guideline 21 (Nov 2004) and post-publication of the NICE technological appraisal 87 (Jan 2005). These publications were also associated with a small increase (0.49% (95%</w:t>
      </w:r>
      <w:r w:rsidR="00CA712A">
        <w:t xml:space="preserve"> </w:t>
      </w:r>
      <w:r w:rsidRPr="00542137">
        <w:t>CI</w:t>
      </w:r>
      <w:r w:rsidR="00CA712A">
        <w:t>:</w:t>
      </w:r>
      <w:r w:rsidRPr="00542137">
        <w:t xml:space="preserve"> -0.05-1.03; p=0.073)) in the prior upward trend (</w:t>
      </w:r>
      <w:r w:rsidR="003B2986">
        <w:fldChar w:fldCharType="begin"/>
      </w:r>
      <w:r w:rsidR="003B2986">
        <w:instrText xml:space="preserve"> REF _Ref424568503 \h </w:instrText>
      </w:r>
      <w:r w:rsidR="003B2986">
        <w:fldChar w:fldCharType="separate"/>
      </w:r>
      <w:r w:rsidR="00D411E9">
        <w:t xml:space="preserve">Figure </w:t>
      </w:r>
      <w:r w:rsidR="00D411E9">
        <w:rPr>
          <w:noProof/>
        </w:rPr>
        <w:t>20</w:t>
      </w:r>
      <w:r w:rsidR="003B2986">
        <w:fldChar w:fldCharType="end"/>
      </w:r>
      <w:r w:rsidRPr="00542137">
        <w:t>b). Similar estimates in both a trend and step change following these publications were also found in the time series of anti-</w:t>
      </w:r>
      <w:r w:rsidR="00C94587">
        <w:t>osteoporosis</w:t>
      </w:r>
      <w:r w:rsidRPr="00542137">
        <w:t xml:space="preserve"> medication initiation in the first four months after index hip fracture date (</w:t>
      </w:r>
      <w:r w:rsidR="003B2986">
        <w:fldChar w:fldCharType="begin"/>
      </w:r>
      <w:r w:rsidR="003B2986">
        <w:instrText xml:space="preserve"> REF _Ref424568503 \h </w:instrText>
      </w:r>
      <w:r w:rsidR="003B2986">
        <w:fldChar w:fldCharType="separate"/>
      </w:r>
      <w:r w:rsidR="003B2986">
        <w:t xml:space="preserve">Figure </w:t>
      </w:r>
      <w:r w:rsidR="00345A4D">
        <w:rPr>
          <w:noProof/>
        </w:rPr>
        <w:t>22</w:t>
      </w:r>
      <w:r w:rsidR="003B2986">
        <w:fldChar w:fldCharType="end"/>
      </w:r>
      <w:r w:rsidRPr="00542137">
        <w:t>a).</w:t>
      </w:r>
    </w:p>
    <w:p w14:paraId="29ECBEE9" w14:textId="58B25064" w:rsidR="00542137" w:rsidRPr="00542137" w:rsidRDefault="00542137" w:rsidP="00E86771">
      <w:pPr>
        <w:spacing w:line="360" w:lineRule="auto"/>
      </w:pPr>
      <w:r w:rsidRPr="00542137">
        <w:lastRenderedPageBreak/>
        <w:t>In analyses of</w:t>
      </w:r>
      <w:r w:rsidR="00C94587">
        <w:t xml:space="preserve"> the</w:t>
      </w:r>
      <w:r w:rsidRPr="00542137">
        <w:t xml:space="preserve"> biannual proportions of </w:t>
      </w:r>
      <w:r w:rsidR="00C94587">
        <w:t xml:space="preserve">patients with at least one </w:t>
      </w:r>
      <w:r w:rsidRPr="00542137">
        <w:t xml:space="preserve">bisphosphonate </w:t>
      </w:r>
      <w:r w:rsidR="00C94587">
        <w:t>prescription</w:t>
      </w:r>
      <w:r w:rsidRPr="00542137">
        <w:t xml:space="preserve"> at 10-14 months following index hip fracture, an overall trend increase of 0.96% (95% CI</w:t>
      </w:r>
      <w:r w:rsidR="00F5216A">
        <w:t>:</w:t>
      </w:r>
      <w:r w:rsidRPr="00542137">
        <w:t xml:space="preserve"> 0.62-1.27; p&lt;0.001) per six months was detected. Additionally, a step change increase of 8.71% (95% CI</w:t>
      </w:r>
      <w:r w:rsidR="00F5216A">
        <w:t>:</w:t>
      </w:r>
      <w:r w:rsidRPr="00542137">
        <w:t xml:space="preserve"> 5.04-12.4; p&lt;0.001) was observed between the pre-publication of the NICE clinical guideline 21 (Nov 2004) and post-publication of the NICE technological appraisal (Jan 2005) (</w:t>
      </w:r>
      <w:r w:rsidR="00655089">
        <w:fldChar w:fldCharType="begin"/>
      </w:r>
      <w:r w:rsidR="00655089">
        <w:instrText xml:space="preserve"> REF _Ref424568542 \h </w:instrText>
      </w:r>
      <w:r w:rsidR="00655089">
        <w:fldChar w:fldCharType="separate"/>
      </w:r>
      <w:r w:rsidR="00D411E9">
        <w:t xml:space="preserve">Figure </w:t>
      </w:r>
      <w:r w:rsidR="00D411E9">
        <w:rPr>
          <w:noProof/>
        </w:rPr>
        <w:t>23</w:t>
      </w:r>
      <w:r w:rsidR="00655089">
        <w:fldChar w:fldCharType="end"/>
      </w:r>
      <w:r w:rsidRPr="00542137">
        <w:t>). However, a modest step change decrease of -3.79 (95% CI</w:t>
      </w:r>
      <w:r w:rsidR="00F5216A">
        <w:t>:</w:t>
      </w:r>
      <w:r w:rsidRPr="00542137">
        <w:t xml:space="preserve"> -7.4- -0.17; p=0.041) was found to occur between Oct 2007 and Sept 2007 (publication of the BOA blue book and NICE technological appraisal 161 (</w:t>
      </w:r>
      <w:r w:rsidR="003B2986">
        <w:fldChar w:fldCharType="begin"/>
      </w:r>
      <w:r w:rsidR="003B2986">
        <w:instrText xml:space="preserve"> REF _Ref424568542 \h </w:instrText>
      </w:r>
      <w:r w:rsidR="003B2986">
        <w:fldChar w:fldCharType="separate"/>
      </w:r>
      <w:r w:rsidR="00D411E9">
        <w:t xml:space="preserve">Figure </w:t>
      </w:r>
      <w:r w:rsidR="00D411E9">
        <w:rPr>
          <w:noProof/>
        </w:rPr>
        <w:t>23</w:t>
      </w:r>
      <w:r w:rsidR="003B2986">
        <w:fldChar w:fldCharType="end"/>
      </w:r>
      <w:r w:rsidRPr="00542137">
        <w:t xml:space="preserve">). </w:t>
      </w:r>
    </w:p>
    <w:p w14:paraId="7A64C1B7" w14:textId="1A19871B" w:rsidR="00542137" w:rsidRPr="00542137" w:rsidRDefault="00542137" w:rsidP="00E86771">
      <w:pPr>
        <w:spacing w:line="360" w:lineRule="auto"/>
      </w:pPr>
      <w:r w:rsidRPr="00542137">
        <w:t>When analyses of any anti-</w:t>
      </w:r>
      <w:r w:rsidR="00C94587">
        <w:t>osteoporosis</w:t>
      </w:r>
      <w:r w:rsidRPr="00542137">
        <w:t xml:space="preserve"> medication within 1-year were stratified by sex, the step change increase associated with the time period Oct 2004-Mar 2005 was seen among both males (9.07% (95% CI</w:t>
      </w:r>
      <w:r w:rsidR="00F5216A">
        <w:t>:</w:t>
      </w:r>
      <w:r w:rsidRPr="00542137">
        <w:t xml:space="preserve"> 3.68 to 14.5)) and females (15.2% (95% CI</w:t>
      </w:r>
      <w:r w:rsidR="00F5216A">
        <w:t>:</w:t>
      </w:r>
      <w:r w:rsidRPr="00542137">
        <w:t xml:space="preserve"> 11.1 to 19.3)) (</w:t>
      </w:r>
      <w:r w:rsidR="00655089">
        <w:rPr>
          <w:caps/>
        </w:rPr>
        <w:t>A</w:t>
      </w:r>
      <w:r w:rsidR="00655089">
        <w:t xml:space="preserve">ppendix </w:t>
      </w:r>
      <w:r w:rsidR="004B205D">
        <w:t>9</w:t>
      </w:r>
      <w:r w:rsidR="00655089" w:rsidRPr="00542137">
        <w:t xml:space="preserve">). </w:t>
      </w:r>
      <w:r w:rsidRPr="00542137">
        <w:t>Among males however, this time period was also associated with a trend increase of 1.74% (95% CI</w:t>
      </w:r>
      <w:r w:rsidR="00F5216A">
        <w:t>:</w:t>
      </w:r>
      <w:r w:rsidRPr="00542137">
        <w:t xml:space="preserve"> 0.94 to 2.53; p&lt;0.001) per six months that was then followed by a step decrease of -7.52% (95% CI</w:t>
      </w:r>
      <w:r w:rsidR="00F5216A">
        <w:t>:</w:t>
      </w:r>
      <w:r w:rsidRPr="00542137">
        <w:t xml:space="preserve"> -14.1 to -0.95; p=0.027) following the Oct 2007 t</w:t>
      </w:r>
      <w:r w:rsidR="00655089">
        <w:t xml:space="preserve">o Sept 2008 time period (Appendix </w:t>
      </w:r>
      <w:r w:rsidR="004B205D">
        <w:t>9</w:t>
      </w:r>
      <w:r w:rsidRPr="00542137">
        <w:t>).</w:t>
      </w:r>
      <w:r w:rsidR="00C94587">
        <w:t xml:space="preserve"> </w:t>
      </w:r>
      <w:r w:rsidR="00C94587" w:rsidRPr="00C94587">
        <w:t xml:space="preserve">Coefficients from full models stratified by sex are also reported in Appendix </w:t>
      </w:r>
      <w:r w:rsidR="004B205D">
        <w:t>10</w:t>
      </w:r>
      <w:r w:rsidR="00C94587" w:rsidRPr="00C94587">
        <w:t>.</w:t>
      </w:r>
    </w:p>
    <w:p w14:paraId="066877DB" w14:textId="6060DE4A" w:rsidR="00542137" w:rsidRDefault="00542137" w:rsidP="00E86771">
      <w:pPr>
        <w:spacing w:line="360" w:lineRule="auto"/>
      </w:pPr>
      <w:r w:rsidRPr="00542137">
        <w:t xml:space="preserve">A summary of the associations between the guidelines and changes in outcomes from the interrupted time series models is shown in </w:t>
      </w:r>
      <w:r w:rsidR="00655089">
        <w:fldChar w:fldCharType="begin"/>
      </w:r>
      <w:r w:rsidR="00655089">
        <w:instrText xml:space="preserve"> REF _Ref424569010 \h </w:instrText>
      </w:r>
      <w:r w:rsidR="00655089">
        <w:fldChar w:fldCharType="separate"/>
      </w:r>
      <w:r w:rsidR="00655089">
        <w:t xml:space="preserve">Table </w:t>
      </w:r>
      <w:r w:rsidR="00531379">
        <w:rPr>
          <w:noProof/>
        </w:rPr>
        <w:t>16</w:t>
      </w:r>
      <w:r w:rsidR="00655089">
        <w:fldChar w:fldCharType="end"/>
      </w:r>
    </w:p>
    <w:p w14:paraId="70CAAF19" w14:textId="77777777" w:rsidR="00655089" w:rsidRDefault="00655089" w:rsidP="00E86771">
      <w:pPr>
        <w:pStyle w:val="Caption"/>
        <w:keepNext/>
        <w:spacing w:line="360" w:lineRule="auto"/>
      </w:pPr>
      <w:bookmarkStart w:id="301" w:name="_Ref424569010"/>
      <w:bookmarkStart w:id="302" w:name="_Toc308262411"/>
      <w:bookmarkStart w:id="303" w:name="_Toc311366677"/>
      <w:r>
        <w:t xml:space="preserve">Table </w:t>
      </w:r>
      <w:r w:rsidR="002149AD">
        <w:fldChar w:fldCharType="begin"/>
      </w:r>
      <w:r w:rsidR="002149AD">
        <w:instrText xml:space="preserve"> SEQ Table \* ARABIC </w:instrText>
      </w:r>
      <w:r w:rsidR="002149AD">
        <w:fldChar w:fldCharType="separate"/>
      </w:r>
      <w:r w:rsidR="00776C05">
        <w:rPr>
          <w:noProof/>
        </w:rPr>
        <w:t>16</w:t>
      </w:r>
      <w:r w:rsidR="002149AD">
        <w:rPr>
          <w:noProof/>
        </w:rPr>
        <w:fldChar w:fldCharType="end"/>
      </w:r>
      <w:bookmarkEnd w:id="301"/>
      <w:r>
        <w:t xml:space="preserve"> </w:t>
      </w:r>
      <w:r w:rsidR="00BC0F6F" w:rsidRPr="00BC0F6F">
        <w:t>Summary of estimated impact of interventions</w:t>
      </w:r>
      <w:bookmarkEnd w:id="302"/>
      <w:bookmarkEnd w:id="303"/>
    </w:p>
    <w:tbl>
      <w:tblPr>
        <w:tblW w:w="8534" w:type="dxa"/>
        <w:tblInd w:w="93" w:type="dxa"/>
        <w:tblLook w:val="04A0" w:firstRow="1" w:lastRow="0" w:firstColumn="1" w:lastColumn="0" w:noHBand="0" w:noVBand="1"/>
      </w:tblPr>
      <w:tblGrid>
        <w:gridCol w:w="1720"/>
        <w:gridCol w:w="1018"/>
        <w:gridCol w:w="1038"/>
        <w:gridCol w:w="1229"/>
        <w:gridCol w:w="1123"/>
        <w:gridCol w:w="1096"/>
        <w:gridCol w:w="1310"/>
      </w:tblGrid>
      <w:tr w:rsidR="00655089" w:rsidRPr="00655089" w14:paraId="47B343C6" w14:textId="77777777" w:rsidTr="00655089">
        <w:trPr>
          <w:trHeight w:val="630"/>
        </w:trPr>
        <w:tc>
          <w:tcPr>
            <w:tcW w:w="1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AC482C"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Guideline</w:t>
            </w:r>
          </w:p>
        </w:tc>
        <w:tc>
          <w:tcPr>
            <w:tcW w:w="1018" w:type="dxa"/>
            <w:tcBorders>
              <w:top w:val="single" w:sz="4" w:space="0" w:color="auto"/>
              <w:left w:val="nil"/>
              <w:bottom w:val="single" w:sz="4" w:space="0" w:color="auto"/>
              <w:right w:val="single" w:sz="4" w:space="0" w:color="auto"/>
            </w:tcBorders>
            <w:shd w:val="clear" w:color="000000" w:fill="FFFFFF"/>
            <w:vAlign w:val="bottom"/>
            <w:hideMark/>
          </w:tcPr>
          <w:p w14:paraId="2E597DA7"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xml:space="preserve">Index </w:t>
            </w:r>
            <w:r w:rsidR="00C94587" w:rsidRPr="003D6FDF">
              <w:rPr>
                <w:rFonts w:eastAsia="Times New Roman"/>
                <w:color w:val="000000"/>
                <w:szCs w:val="24"/>
                <w:lang w:eastAsia="en-GB"/>
              </w:rPr>
              <w:t xml:space="preserve">hip </w:t>
            </w:r>
            <w:r w:rsidRPr="003D6FDF">
              <w:rPr>
                <w:rFonts w:eastAsia="Times New Roman"/>
                <w:color w:val="000000"/>
                <w:szCs w:val="24"/>
                <w:lang w:eastAsia="en-GB"/>
              </w:rPr>
              <w:t>fracture</w:t>
            </w:r>
          </w:p>
        </w:tc>
        <w:tc>
          <w:tcPr>
            <w:tcW w:w="1038" w:type="dxa"/>
            <w:tcBorders>
              <w:top w:val="single" w:sz="4" w:space="0" w:color="auto"/>
              <w:left w:val="nil"/>
              <w:bottom w:val="single" w:sz="4" w:space="0" w:color="auto"/>
              <w:right w:val="single" w:sz="4" w:space="0" w:color="auto"/>
            </w:tcBorders>
            <w:shd w:val="clear" w:color="000000" w:fill="FFFFFF"/>
            <w:vAlign w:val="bottom"/>
            <w:hideMark/>
          </w:tcPr>
          <w:p w14:paraId="3A3635F4"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xml:space="preserve">Hip </w:t>
            </w:r>
            <w:r w:rsidR="00C94587" w:rsidRPr="003D6FDF">
              <w:rPr>
                <w:rFonts w:eastAsia="Times New Roman"/>
                <w:color w:val="000000"/>
                <w:szCs w:val="24"/>
                <w:lang w:eastAsia="en-GB"/>
              </w:rPr>
              <w:t>r</w:t>
            </w:r>
            <w:r w:rsidRPr="003D6FDF">
              <w:rPr>
                <w:rFonts w:eastAsia="Times New Roman"/>
                <w:color w:val="000000"/>
                <w:szCs w:val="24"/>
                <w:lang w:eastAsia="en-GB"/>
              </w:rPr>
              <w:t>e-</w:t>
            </w:r>
            <w:r w:rsidRPr="003D6FDF">
              <w:rPr>
                <w:rFonts w:eastAsia="Times New Roman"/>
                <w:color w:val="000000"/>
                <w:szCs w:val="24"/>
                <w:lang w:eastAsia="en-GB"/>
              </w:rPr>
              <w:br/>
              <w:t>fracture</w:t>
            </w:r>
          </w:p>
        </w:tc>
        <w:tc>
          <w:tcPr>
            <w:tcW w:w="1229" w:type="dxa"/>
            <w:tcBorders>
              <w:top w:val="single" w:sz="4" w:space="0" w:color="auto"/>
              <w:left w:val="nil"/>
              <w:bottom w:val="single" w:sz="4" w:space="0" w:color="auto"/>
              <w:right w:val="single" w:sz="4" w:space="0" w:color="auto"/>
            </w:tcBorders>
            <w:shd w:val="clear" w:color="000000" w:fill="FFFFFF"/>
            <w:vAlign w:val="bottom"/>
            <w:hideMark/>
          </w:tcPr>
          <w:p w14:paraId="4CC093A7"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xml:space="preserve">Non-hip </w:t>
            </w:r>
            <w:r w:rsidRPr="003D6FDF">
              <w:rPr>
                <w:rFonts w:eastAsia="Times New Roman"/>
                <w:color w:val="000000"/>
                <w:szCs w:val="24"/>
                <w:lang w:eastAsia="en-GB"/>
              </w:rPr>
              <w:br/>
            </w:r>
            <w:r w:rsidR="00C94587" w:rsidRPr="003D6FDF">
              <w:rPr>
                <w:rFonts w:eastAsia="Times New Roman"/>
                <w:color w:val="000000"/>
                <w:szCs w:val="24"/>
                <w:lang w:eastAsia="en-GB"/>
              </w:rPr>
              <w:t>r</w:t>
            </w:r>
            <w:r w:rsidRPr="003D6FDF">
              <w:rPr>
                <w:rFonts w:eastAsia="Times New Roman"/>
                <w:color w:val="000000"/>
                <w:szCs w:val="24"/>
                <w:lang w:eastAsia="en-GB"/>
              </w:rPr>
              <w:t>e</w:t>
            </w:r>
            <w:r w:rsidR="00C94587" w:rsidRPr="003D6FDF">
              <w:rPr>
                <w:rFonts w:eastAsia="Times New Roman"/>
                <w:color w:val="000000"/>
                <w:szCs w:val="24"/>
                <w:lang w:eastAsia="en-GB"/>
              </w:rPr>
              <w:t>-</w:t>
            </w:r>
            <w:r w:rsidRPr="003D6FDF">
              <w:rPr>
                <w:rFonts w:eastAsia="Times New Roman"/>
                <w:color w:val="000000"/>
                <w:szCs w:val="24"/>
                <w:lang w:eastAsia="en-GB"/>
              </w:rPr>
              <w:t>fracture</w:t>
            </w:r>
          </w:p>
        </w:tc>
        <w:tc>
          <w:tcPr>
            <w:tcW w:w="1123" w:type="dxa"/>
            <w:tcBorders>
              <w:top w:val="single" w:sz="4" w:space="0" w:color="auto"/>
              <w:left w:val="nil"/>
              <w:bottom w:val="single" w:sz="4" w:space="0" w:color="auto"/>
              <w:right w:val="single" w:sz="4" w:space="0" w:color="auto"/>
            </w:tcBorders>
            <w:shd w:val="clear" w:color="000000" w:fill="FFFFFF"/>
            <w:vAlign w:val="bottom"/>
            <w:hideMark/>
          </w:tcPr>
          <w:p w14:paraId="12ED487C"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xml:space="preserve">30 day </w:t>
            </w:r>
            <w:r w:rsidRPr="003D6FDF">
              <w:rPr>
                <w:rFonts w:eastAsia="Times New Roman"/>
                <w:color w:val="000000"/>
                <w:szCs w:val="24"/>
                <w:lang w:eastAsia="en-GB"/>
              </w:rPr>
              <w:br/>
            </w:r>
            <w:r w:rsidR="00C94587" w:rsidRPr="003D6FDF">
              <w:rPr>
                <w:rFonts w:eastAsia="Times New Roman"/>
                <w:color w:val="000000"/>
                <w:szCs w:val="24"/>
                <w:lang w:eastAsia="en-GB"/>
              </w:rPr>
              <w:t>m</w:t>
            </w:r>
            <w:r w:rsidRPr="003D6FDF">
              <w:rPr>
                <w:rFonts w:eastAsia="Times New Roman"/>
                <w:color w:val="000000"/>
                <w:szCs w:val="24"/>
                <w:lang w:eastAsia="en-GB"/>
              </w:rPr>
              <w:t>ortality</w:t>
            </w:r>
          </w:p>
        </w:tc>
        <w:tc>
          <w:tcPr>
            <w:tcW w:w="1096" w:type="dxa"/>
            <w:tcBorders>
              <w:top w:val="single" w:sz="4" w:space="0" w:color="auto"/>
              <w:left w:val="nil"/>
              <w:bottom w:val="single" w:sz="4" w:space="0" w:color="auto"/>
              <w:right w:val="single" w:sz="4" w:space="0" w:color="auto"/>
            </w:tcBorders>
            <w:shd w:val="clear" w:color="000000" w:fill="FFFFFF"/>
            <w:vAlign w:val="bottom"/>
            <w:hideMark/>
          </w:tcPr>
          <w:p w14:paraId="34027638" w14:textId="77777777" w:rsidR="00655089" w:rsidRPr="003D6FDF" w:rsidRDefault="00C94587" w:rsidP="00E86771">
            <w:pPr>
              <w:spacing w:after="0" w:line="360" w:lineRule="auto"/>
              <w:rPr>
                <w:rFonts w:eastAsia="Times New Roman"/>
                <w:color w:val="000000"/>
                <w:szCs w:val="24"/>
                <w:lang w:eastAsia="en-GB"/>
              </w:rPr>
            </w:pPr>
            <w:r w:rsidRPr="003D6FDF">
              <w:rPr>
                <w:rFonts w:eastAsia="Times New Roman"/>
                <w:color w:val="000000"/>
                <w:szCs w:val="24"/>
                <w:lang w:eastAsia="en-GB"/>
              </w:rPr>
              <w:t>1 year</w:t>
            </w:r>
            <w:r w:rsidRPr="003D6FDF">
              <w:rPr>
                <w:rFonts w:eastAsia="Times New Roman"/>
                <w:color w:val="000000"/>
                <w:szCs w:val="24"/>
                <w:lang w:eastAsia="en-GB"/>
              </w:rPr>
              <w:br/>
            </w:r>
            <w:r w:rsidR="00655089" w:rsidRPr="003D6FDF">
              <w:rPr>
                <w:rFonts w:eastAsia="Times New Roman"/>
                <w:color w:val="000000"/>
                <w:szCs w:val="24"/>
                <w:lang w:eastAsia="en-GB"/>
              </w:rPr>
              <w:t>mortality</w:t>
            </w:r>
          </w:p>
        </w:tc>
        <w:tc>
          <w:tcPr>
            <w:tcW w:w="1310" w:type="dxa"/>
            <w:tcBorders>
              <w:top w:val="single" w:sz="4" w:space="0" w:color="auto"/>
              <w:left w:val="nil"/>
              <w:bottom w:val="single" w:sz="4" w:space="0" w:color="auto"/>
              <w:right w:val="single" w:sz="4" w:space="0" w:color="auto"/>
            </w:tcBorders>
            <w:shd w:val="clear" w:color="000000" w:fill="FFFFFF"/>
            <w:noWrap/>
            <w:vAlign w:val="bottom"/>
            <w:hideMark/>
          </w:tcPr>
          <w:p w14:paraId="5D7E0C85"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Prescribing</w:t>
            </w:r>
          </w:p>
        </w:tc>
      </w:tr>
      <w:tr w:rsidR="00655089" w:rsidRPr="00655089" w14:paraId="4FF5374C" w14:textId="77777777" w:rsidTr="00655089">
        <w:trPr>
          <w:trHeight w:val="315"/>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433BEDA1"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018" w:type="dxa"/>
            <w:tcBorders>
              <w:top w:val="nil"/>
              <w:left w:val="nil"/>
              <w:bottom w:val="single" w:sz="4" w:space="0" w:color="auto"/>
              <w:right w:val="single" w:sz="4" w:space="0" w:color="auto"/>
            </w:tcBorders>
            <w:shd w:val="clear" w:color="000000" w:fill="FFFFFF"/>
            <w:noWrap/>
            <w:vAlign w:val="bottom"/>
            <w:hideMark/>
          </w:tcPr>
          <w:p w14:paraId="6D180623"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4DB065F3"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0343F139"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123" w:type="dxa"/>
            <w:tcBorders>
              <w:top w:val="nil"/>
              <w:left w:val="nil"/>
              <w:bottom w:val="single" w:sz="4" w:space="0" w:color="auto"/>
              <w:right w:val="single" w:sz="4" w:space="0" w:color="auto"/>
            </w:tcBorders>
            <w:shd w:val="clear" w:color="000000" w:fill="FFFFFF"/>
            <w:noWrap/>
            <w:vAlign w:val="bottom"/>
            <w:hideMark/>
          </w:tcPr>
          <w:p w14:paraId="6089D84B"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096" w:type="dxa"/>
            <w:tcBorders>
              <w:top w:val="nil"/>
              <w:left w:val="nil"/>
              <w:bottom w:val="single" w:sz="4" w:space="0" w:color="auto"/>
              <w:right w:val="single" w:sz="4" w:space="0" w:color="auto"/>
            </w:tcBorders>
            <w:shd w:val="clear" w:color="000000" w:fill="FFFFFF"/>
            <w:noWrap/>
            <w:vAlign w:val="bottom"/>
            <w:hideMark/>
          </w:tcPr>
          <w:p w14:paraId="233BA51E"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310" w:type="dxa"/>
            <w:tcBorders>
              <w:top w:val="nil"/>
              <w:left w:val="nil"/>
              <w:bottom w:val="single" w:sz="4" w:space="0" w:color="auto"/>
              <w:right w:val="single" w:sz="4" w:space="0" w:color="auto"/>
            </w:tcBorders>
            <w:shd w:val="clear" w:color="000000" w:fill="FFFFFF"/>
            <w:noWrap/>
            <w:vAlign w:val="bottom"/>
            <w:hideMark/>
          </w:tcPr>
          <w:p w14:paraId="423A41A5"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r>
      <w:tr w:rsidR="00655089" w:rsidRPr="00655089" w14:paraId="0D814A9F" w14:textId="77777777" w:rsidTr="00655089">
        <w:trPr>
          <w:trHeight w:val="315"/>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0D574F15"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NICE 21/ TA 87</w:t>
            </w:r>
          </w:p>
        </w:tc>
        <w:tc>
          <w:tcPr>
            <w:tcW w:w="1018" w:type="dxa"/>
            <w:tcBorders>
              <w:top w:val="nil"/>
              <w:left w:val="nil"/>
              <w:bottom w:val="single" w:sz="4" w:space="0" w:color="auto"/>
              <w:right w:val="single" w:sz="4" w:space="0" w:color="auto"/>
            </w:tcBorders>
            <w:shd w:val="clear" w:color="000000" w:fill="FFFFFF"/>
            <w:noWrap/>
            <w:vAlign w:val="bottom"/>
            <w:hideMark/>
          </w:tcPr>
          <w:p w14:paraId="69817E64"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w:t>
            </w:r>
          </w:p>
        </w:tc>
        <w:tc>
          <w:tcPr>
            <w:tcW w:w="1038" w:type="dxa"/>
            <w:tcBorders>
              <w:top w:val="nil"/>
              <w:left w:val="nil"/>
              <w:bottom w:val="single" w:sz="4" w:space="0" w:color="auto"/>
              <w:right w:val="single" w:sz="4" w:space="0" w:color="auto"/>
            </w:tcBorders>
            <w:shd w:val="clear" w:color="000000" w:fill="FFFFFF"/>
            <w:noWrap/>
            <w:vAlign w:val="bottom"/>
            <w:hideMark/>
          </w:tcPr>
          <w:p w14:paraId="27DAB126"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0BCACB16"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123" w:type="dxa"/>
            <w:tcBorders>
              <w:top w:val="nil"/>
              <w:left w:val="nil"/>
              <w:bottom w:val="single" w:sz="4" w:space="0" w:color="auto"/>
              <w:right w:val="single" w:sz="4" w:space="0" w:color="auto"/>
            </w:tcBorders>
            <w:shd w:val="clear" w:color="000000" w:fill="FFFFFF"/>
            <w:noWrap/>
            <w:vAlign w:val="bottom"/>
            <w:hideMark/>
          </w:tcPr>
          <w:p w14:paraId="7DDDBB05"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096" w:type="dxa"/>
            <w:tcBorders>
              <w:top w:val="nil"/>
              <w:left w:val="nil"/>
              <w:bottom w:val="single" w:sz="4" w:space="0" w:color="auto"/>
              <w:right w:val="single" w:sz="4" w:space="0" w:color="auto"/>
            </w:tcBorders>
            <w:shd w:val="clear" w:color="000000" w:fill="FFFFFF"/>
            <w:noWrap/>
            <w:vAlign w:val="bottom"/>
            <w:hideMark/>
          </w:tcPr>
          <w:p w14:paraId="3E5C9937"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310" w:type="dxa"/>
            <w:tcBorders>
              <w:top w:val="nil"/>
              <w:left w:val="nil"/>
              <w:bottom w:val="single" w:sz="4" w:space="0" w:color="auto"/>
              <w:right w:val="single" w:sz="4" w:space="0" w:color="auto"/>
            </w:tcBorders>
            <w:shd w:val="clear" w:color="000000" w:fill="FFFFFF"/>
            <w:noWrap/>
            <w:vAlign w:val="bottom"/>
            <w:hideMark/>
          </w:tcPr>
          <w:p w14:paraId="016EAA20"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w:t>
            </w:r>
          </w:p>
        </w:tc>
      </w:tr>
      <w:tr w:rsidR="00655089" w:rsidRPr="00655089" w14:paraId="26526DE0" w14:textId="77777777" w:rsidTr="00655089">
        <w:trPr>
          <w:trHeight w:val="315"/>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341863B2"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018" w:type="dxa"/>
            <w:tcBorders>
              <w:top w:val="nil"/>
              <w:left w:val="nil"/>
              <w:bottom w:val="single" w:sz="4" w:space="0" w:color="auto"/>
              <w:right w:val="single" w:sz="4" w:space="0" w:color="auto"/>
            </w:tcBorders>
            <w:shd w:val="clear" w:color="000000" w:fill="FFFFFF"/>
            <w:noWrap/>
            <w:vAlign w:val="bottom"/>
            <w:hideMark/>
          </w:tcPr>
          <w:p w14:paraId="26B56FE8"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1992D703"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314F4101"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123" w:type="dxa"/>
            <w:tcBorders>
              <w:top w:val="nil"/>
              <w:left w:val="nil"/>
              <w:bottom w:val="single" w:sz="4" w:space="0" w:color="auto"/>
              <w:right w:val="single" w:sz="4" w:space="0" w:color="auto"/>
            </w:tcBorders>
            <w:shd w:val="clear" w:color="000000" w:fill="FFFFFF"/>
            <w:noWrap/>
            <w:vAlign w:val="bottom"/>
            <w:hideMark/>
          </w:tcPr>
          <w:p w14:paraId="487D9A51"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096" w:type="dxa"/>
            <w:tcBorders>
              <w:top w:val="nil"/>
              <w:left w:val="nil"/>
              <w:bottom w:val="single" w:sz="4" w:space="0" w:color="auto"/>
              <w:right w:val="single" w:sz="4" w:space="0" w:color="auto"/>
            </w:tcBorders>
            <w:shd w:val="clear" w:color="000000" w:fill="FFFFFF"/>
            <w:noWrap/>
            <w:vAlign w:val="bottom"/>
            <w:hideMark/>
          </w:tcPr>
          <w:p w14:paraId="1595FA8B"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310" w:type="dxa"/>
            <w:tcBorders>
              <w:top w:val="nil"/>
              <w:left w:val="nil"/>
              <w:bottom w:val="single" w:sz="4" w:space="0" w:color="auto"/>
              <w:right w:val="single" w:sz="4" w:space="0" w:color="auto"/>
            </w:tcBorders>
            <w:shd w:val="clear" w:color="000000" w:fill="FFFFFF"/>
            <w:noWrap/>
            <w:vAlign w:val="bottom"/>
            <w:hideMark/>
          </w:tcPr>
          <w:p w14:paraId="35B971E0"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r>
      <w:tr w:rsidR="00655089" w:rsidRPr="00655089" w14:paraId="6F61E6E9" w14:textId="77777777" w:rsidTr="00655089">
        <w:trPr>
          <w:trHeight w:val="630"/>
        </w:trPr>
        <w:tc>
          <w:tcPr>
            <w:tcW w:w="1720" w:type="dxa"/>
            <w:tcBorders>
              <w:top w:val="nil"/>
              <w:left w:val="single" w:sz="4" w:space="0" w:color="auto"/>
              <w:bottom w:val="single" w:sz="4" w:space="0" w:color="auto"/>
              <w:right w:val="single" w:sz="4" w:space="0" w:color="auto"/>
            </w:tcBorders>
            <w:shd w:val="clear" w:color="000000" w:fill="FFFFFF"/>
            <w:vAlign w:val="bottom"/>
            <w:hideMark/>
          </w:tcPr>
          <w:p w14:paraId="434DF980"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BOA blue book</w:t>
            </w:r>
            <w:r w:rsidRPr="003D6FDF">
              <w:rPr>
                <w:rFonts w:eastAsia="Times New Roman"/>
                <w:color w:val="000000"/>
                <w:szCs w:val="24"/>
                <w:lang w:eastAsia="en-GB"/>
              </w:rPr>
              <w:br/>
              <w:t xml:space="preserve"> / TA 161</w:t>
            </w:r>
          </w:p>
        </w:tc>
        <w:tc>
          <w:tcPr>
            <w:tcW w:w="1018" w:type="dxa"/>
            <w:tcBorders>
              <w:top w:val="nil"/>
              <w:left w:val="nil"/>
              <w:bottom w:val="single" w:sz="4" w:space="0" w:color="auto"/>
              <w:right w:val="single" w:sz="4" w:space="0" w:color="auto"/>
            </w:tcBorders>
            <w:shd w:val="clear" w:color="000000" w:fill="FFFFFF"/>
            <w:noWrap/>
            <w:vAlign w:val="bottom"/>
            <w:hideMark/>
          </w:tcPr>
          <w:p w14:paraId="21697626"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65E650B1"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w:t>
            </w:r>
          </w:p>
        </w:tc>
        <w:tc>
          <w:tcPr>
            <w:tcW w:w="1229" w:type="dxa"/>
            <w:tcBorders>
              <w:top w:val="nil"/>
              <w:left w:val="nil"/>
              <w:bottom w:val="single" w:sz="4" w:space="0" w:color="auto"/>
              <w:right w:val="single" w:sz="4" w:space="0" w:color="auto"/>
            </w:tcBorders>
            <w:shd w:val="clear" w:color="000000" w:fill="FFFFFF"/>
            <w:noWrap/>
            <w:vAlign w:val="bottom"/>
            <w:hideMark/>
          </w:tcPr>
          <w:p w14:paraId="4FB27BAE"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123" w:type="dxa"/>
            <w:tcBorders>
              <w:top w:val="nil"/>
              <w:left w:val="nil"/>
              <w:bottom w:val="single" w:sz="4" w:space="0" w:color="auto"/>
              <w:right w:val="single" w:sz="4" w:space="0" w:color="auto"/>
            </w:tcBorders>
            <w:shd w:val="clear" w:color="000000" w:fill="FFFFFF"/>
            <w:noWrap/>
            <w:vAlign w:val="bottom"/>
            <w:hideMark/>
          </w:tcPr>
          <w:p w14:paraId="0D3F92D6"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w:t>
            </w:r>
          </w:p>
        </w:tc>
        <w:tc>
          <w:tcPr>
            <w:tcW w:w="1096" w:type="dxa"/>
            <w:tcBorders>
              <w:top w:val="nil"/>
              <w:left w:val="nil"/>
              <w:bottom w:val="single" w:sz="4" w:space="0" w:color="auto"/>
              <w:right w:val="single" w:sz="4" w:space="0" w:color="auto"/>
            </w:tcBorders>
            <w:shd w:val="clear" w:color="000000" w:fill="FFFFFF"/>
            <w:noWrap/>
            <w:vAlign w:val="bottom"/>
            <w:hideMark/>
          </w:tcPr>
          <w:p w14:paraId="5AF0E04D"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310" w:type="dxa"/>
            <w:tcBorders>
              <w:top w:val="nil"/>
              <w:left w:val="nil"/>
              <w:bottom w:val="single" w:sz="4" w:space="0" w:color="auto"/>
              <w:right w:val="single" w:sz="4" w:space="0" w:color="auto"/>
            </w:tcBorders>
            <w:shd w:val="clear" w:color="000000" w:fill="FFFFFF"/>
            <w:noWrap/>
            <w:vAlign w:val="bottom"/>
            <w:hideMark/>
          </w:tcPr>
          <w:p w14:paraId="65D9CB87"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r>
      <w:tr w:rsidR="00655089" w:rsidRPr="00655089" w14:paraId="49A3B525" w14:textId="77777777" w:rsidTr="00655089">
        <w:trPr>
          <w:trHeight w:val="315"/>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19E475ED"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018" w:type="dxa"/>
            <w:tcBorders>
              <w:top w:val="nil"/>
              <w:left w:val="nil"/>
              <w:bottom w:val="single" w:sz="4" w:space="0" w:color="auto"/>
              <w:right w:val="single" w:sz="4" w:space="0" w:color="auto"/>
            </w:tcBorders>
            <w:shd w:val="clear" w:color="000000" w:fill="FFFFFF"/>
            <w:noWrap/>
            <w:vAlign w:val="bottom"/>
            <w:hideMark/>
          </w:tcPr>
          <w:p w14:paraId="6C8CD38C"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719C8284"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1C47E815"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123" w:type="dxa"/>
            <w:tcBorders>
              <w:top w:val="nil"/>
              <w:left w:val="nil"/>
              <w:bottom w:val="single" w:sz="4" w:space="0" w:color="auto"/>
              <w:right w:val="single" w:sz="4" w:space="0" w:color="auto"/>
            </w:tcBorders>
            <w:shd w:val="clear" w:color="000000" w:fill="FFFFFF"/>
            <w:noWrap/>
            <w:vAlign w:val="bottom"/>
            <w:hideMark/>
          </w:tcPr>
          <w:p w14:paraId="0D9F3749"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096" w:type="dxa"/>
            <w:tcBorders>
              <w:top w:val="nil"/>
              <w:left w:val="nil"/>
              <w:bottom w:val="single" w:sz="4" w:space="0" w:color="auto"/>
              <w:right w:val="single" w:sz="4" w:space="0" w:color="auto"/>
            </w:tcBorders>
            <w:shd w:val="clear" w:color="000000" w:fill="FFFFFF"/>
            <w:noWrap/>
            <w:vAlign w:val="bottom"/>
            <w:hideMark/>
          </w:tcPr>
          <w:p w14:paraId="3018B434"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310" w:type="dxa"/>
            <w:tcBorders>
              <w:top w:val="nil"/>
              <w:left w:val="nil"/>
              <w:bottom w:val="single" w:sz="4" w:space="0" w:color="auto"/>
              <w:right w:val="single" w:sz="4" w:space="0" w:color="auto"/>
            </w:tcBorders>
            <w:shd w:val="clear" w:color="000000" w:fill="FFFFFF"/>
            <w:noWrap/>
            <w:vAlign w:val="bottom"/>
            <w:hideMark/>
          </w:tcPr>
          <w:p w14:paraId="3EC5E9B6"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r>
      <w:tr w:rsidR="00655089" w:rsidRPr="00655089" w14:paraId="7BD3F329" w14:textId="77777777" w:rsidTr="00655089">
        <w:trPr>
          <w:trHeight w:val="315"/>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286937F7"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xml:space="preserve">BPT </w:t>
            </w:r>
          </w:p>
        </w:tc>
        <w:tc>
          <w:tcPr>
            <w:tcW w:w="1018" w:type="dxa"/>
            <w:tcBorders>
              <w:top w:val="nil"/>
              <w:left w:val="nil"/>
              <w:bottom w:val="single" w:sz="4" w:space="0" w:color="auto"/>
              <w:right w:val="single" w:sz="4" w:space="0" w:color="auto"/>
            </w:tcBorders>
            <w:shd w:val="clear" w:color="000000" w:fill="FFFFFF"/>
            <w:noWrap/>
            <w:vAlign w:val="bottom"/>
            <w:hideMark/>
          </w:tcPr>
          <w:p w14:paraId="6794CB4E"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5248619A"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3DD52ADC"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123" w:type="dxa"/>
            <w:tcBorders>
              <w:top w:val="nil"/>
              <w:left w:val="nil"/>
              <w:bottom w:val="single" w:sz="4" w:space="0" w:color="auto"/>
              <w:right w:val="single" w:sz="4" w:space="0" w:color="auto"/>
            </w:tcBorders>
            <w:shd w:val="clear" w:color="000000" w:fill="FFFFFF"/>
            <w:noWrap/>
            <w:vAlign w:val="bottom"/>
            <w:hideMark/>
          </w:tcPr>
          <w:p w14:paraId="35DA1290"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c>
          <w:tcPr>
            <w:tcW w:w="1096" w:type="dxa"/>
            <w:tcBorders>
              <w:top w:val="nil"/>
              <w:left w:val="nil"/>
              <w:bottom w:val="single" w:sz="4" w:space="0" w:color="auto"/>
              <w:right w:val="single" w:sz="4" w:space="0" w:color="auto"/>
            </w:tcBorders>
            <w:shd w:val="clear" w:color="000000" w:fill="FFFFFF"/>
            <w:noWrap/>
            <w:vAlign w:val="bottom"/>
            <w:hideMark/>
          </w:tcPr>
          <w:p w14:paraId="0A06F396"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w:t>
            </w:r>
          </w:p>
        </w:tc>
        <w:tc>
          <w:tcPr>
            <w:tcW w:w="1310" w:type="dxa"/>
            <w:tcBorders>
              <w:top w:val="nil"/>
              <w:left w:val="nil"/>
              <w:bottom w:val="single" w:sz="4" w:space="0" w:color="auto"/>
              <w:right w:val="single" w:sz="4" w:space="0" w:color="auto"/>
            </w:tcBorders>
            <w:shd w:val="clear" w:color="000000" w:fill="FFFFFF"/>
            <w:noWrap/>
            <w:vAlign w:val="bottom"/>
            <w:hideMark/>
          </w:tcPr>
          <w:p w14:paraId="47BB69BB" w14:textId="77777777" w:rsidR="00655089" w:rsidRPr="003D6FDF" w:rsidRDefault="00655089" w:rsidP="00E86771">
            <w:pPr>
              <w:spacing w:after="0" w:line="360" w:lineRule="auto"/>
              <w:rPr>
                <w:rFonts w:eastAsia="Times New Roman"/>
                <w:color w:val="000000"/>
                <w:szCs w:val="24"/>
                <w:lang w:eastAsia="en-GB"/>
              </w:rPr>
            </w:pPr>
            <w:r w:rsidRPr="003D6FDF">
              <w:rPr>
                <w:rFonts w:eastAsia="Times New Roman"/>
                <w:color w:val="000000"/>
                <w:szCs w:val="24"/>
                <w:lang w:eastAsia="en-GB"/>
              </w:rPr>
              <w:t> </w:t>
            </w:r>
          </w:p>
        </w:tc>
      </w:tr>
    </w:tbl>
    <w:p w14:paraId="0D246FFF" w14:textId="77777777" w:rsidR="00655089" w:rsidRDefault="00655089" w:rsidP="00E86771">
      <w:pPr>
        <w:spacing w:line="360" w:lineRule="auto"/>
      </w:pPr>
    </w:p>
    <w:p w14:paraId="153343B1" w14:textId="77777777" w:rsidR="003B2986" w:rsidRPr="00591BFC" w:rsidRDefault="002149AD" w:rsidP="00E86771">
      <w:pPr>
        <w:spacing w:line="360" w:lineRule="auto"/>
      </w:pPr>
      <w:r>
        <w:rPr>
          <w:noProof/>
        </w:rPr>
        <w:lastRenderedPageBreak/>
        <w:pict w14:anchorId="303EB430">
          <v:shape id="_x0000_s1084" type="#_x0000_t202" style="position:absolute;margin-left:0;margin-top:537.35pt;width:375.4pt;height:31.95pt;z-index:251660288;mso-position-horizontal-relative:text;mso-position-vertical-relative:text" stroked="f">
            <v:textbox style="mso-fit-shape-to-text:t" inset="0,0,0,0">
              <w:txbxContent>
                <w:p w14:paraId="01264263" w14:textId="77777777" w:rsidR="00AB59D4" w:rsidRPr="00F2698B" w:rsidRDefault="00AB59D4" w:rsidP="003B2986">
                  <w:pPr>
                    <w:pStyle w:val="Caption"/>
                    <w:rPr>
                      <w:rFonts w:ascii="Times New Roman" w:hAnsi="Times New Roman"/>
                      <w:sz w:val="24"/>
                      <w:u w:val="single"/>
                    </w:rPr>
                  </w:pPr>
                  <w:bookmarkStart w:id="304" w:name="_Ref424568503"/>
                  <w:bookmarkStart w:id="305" w:name="_Toc424650333"/>
                  <w:r>
                    <w:t xml:space="preserve">Figure </w:t>
                  </w:r>
                  <w:r w:rsidR="002149AD">
                    <w:fldChar w:fldCharType="begin"/>
                  </w:r>
                  <w:r w:rsidR="002149AD">
                    <w:instrText xml:space="preserve"> SEQ Figure \* ARABIC </w:instrText>
                  </w:r>
                  <w:r w:rsidR="002149AD">
                    <w:fldChar w:fldCharType="separate"/>
                  </w:r>
                  <w:r>
                    <w:rPr>
                      <w:noProof/>
                    </w:rPr>
                    <w:t>20</w:t>
                  </w:r>
                  <w:r w:rsidR="002149AD">
                    <w:rPr>
                      <w:noProof/>
                    </w:rPr>
                    <w:fldChar w:fldCharType="end"/>
                  </w:r>
                  <w:bookmarkEnd w:id="304"/>
                  <w:r>
                    <w:t xml:space="preserve"> </w:t>
                  </w:r>
                  <w:r w:rsidRPr="003C69E1">
                    <w:t>Any anti-</w:t>
                  </w:r>
                  <w:r>
                    <w:t>osteoporosis</w:t>
                  </w:r>
                  <w:r w:rsidRPr="003C69E1">
                    <w:t xml:space="preserve"> medication post-index date among cases (black) and controls (grey) within a) 4 months and b) 12 months</w:t>
                  </w:r>
                  <w:bookmarkEnd w:id="305"/>
                </w:p>
              </w:txbxContent>
            </v:textbox>
          </v:shape>
        </w:pict>
      </w:r>
      <w:r>
        <w:rPr>
          <w:rFonts w:ascii="Times New Roman" w:hAnsi="Times New Roman"/>
          <w:noProof/>
          <w:sz w:val="24"/>
          <w:u w:val="single"/>
          <w:lang w:eastAsia="en-GB"/>
        </w:rPr>
        <w:pict w14:anchorId="70935D4B">
          <v:shape id="_x0000_s1083" type="#_x0000_t75" style="position:absolute;margin-left:0;margin-top:0;width:375.4pt;height:532.85pt;z-index:251650048;mso-position-horizontal-relative:char;mso-position-vertical-relative:line">
            <v:imagedata r:id="rId33" o:title=""/>
          </v:shape>
        </w:pict>
      </w:r>
      <w:r>
        <w:rPr>
          <w:rFonts w:ascii="Times New Roman" w:hAnsi="Times New Roman"/>
          <w:sz w:val="24"/>
          <w:u w:val="single"/>
        </w:rPr>
        <w:pict w14:anchorId="606EE780">
          <v:shape id="_x0000_i1046" type="#_x0000_t75" style="width:375.2pt;height:532.9pt">
            <v:imagedata croptop="-65520f" cropbottom="65520f"/>
          </v:shape>
        </w:pict>
      </w:r>
    </w:p>
    <w:p w14:paraId="6AB89485" w14:textId="77777777" w:rsidR="00514F6A" w:rsidRPr="00591BFC" w:rsidRDefault="00514F6A" w:rsidP="00E86771">
      <w:pPr>
        <w:spacing w:line="360" w:lineRule="auto"/>
      </w:pPr>
      <w:r w:rsidRPr="00591BFC">
        <w:t>Discussion</w:t>
      </w:r>
    </w:p>
    <w:p w14:paraId="4626AD80" w14:textId="77777777" w:rsidR="00514F6A" w:rsidRDefault="00514F6A" w:rsidP="00E86771">
      <w:pPr>
        <w:spacing w:line="360" w:lineRule="auto"/>
      </w:pPr>
    </w:p>
    <w:p w14:paraId="54DAD2A7" w14:textId="77777777" w:rsidR="003B2986" w:rsidRDefault="002149AD" w:rsidP="00E86771">
      <w:pPr>
        <w:keepNext/>
        <w:spacing w:line="360" w:lineRule="auto"/>
      </w:pPr>
      <w:r>
        <w:lastRenderedPageBreak/>
        <w:pict w14:anchorId="19B41103">
          <v:shape id="_x0000_i1047" type="#_x0000_t75" style="width:399.05pt;height:270.25pt;mso-position-horizontal-relative:char;mso-position-vertical-relative:line">
            <v:imagedata r:id="rId34" o:title="" croptop="4547f"/>
          </v:shape>
        </w:pict>
      </w:r>
    </w:p>
    <w:p w14:paraId="69D0319F" w14:textId="77777777" w:rsidR="003B2986" w:rsidRDefault="003B2986" w:rsidP="00E86771">
      <w:pPr>
        <w:pStyle w:val="Caption"/>
        <w:spacing w:line="360" w:lineRule="auto"/>
      </w:pPr>
      <w:bookmarkStart w:id="306" w:name="_Ref424568542"/>
      <w:bookmarkStart w:id="307" w:name="_Toc424650334"/>
      <w:bookmarkStart w:id="308" w:name="_Toc311366719"/>
      <w:r>
        <w:t xml:space="preserve">Figure </w:t>
      </w:r>
      <w:r w:rsidR="002149AD">
        <w:fldChar w:fldCharType="begin"/>
      </w:r>
      <w:r w:rsidR="002149AD">
        <w:instrText xml:space="preserve"> SEQ Figure \* ARABIC </w:instrText>
      </w:r>
      <w:r w:rsidR="002149AD">
        <w:fldChar w:fldCharType="separate"/>
      </w:r>
      <w:r w:rsidR="003B70E3">
        <w:rPr>
          <w:noProof/>
        </w:rPr>
        <w:t>23</w:t>
      </w:r>
      <w:r w:rsidR="002149AD">
        <w:rPr>
          <w:noProof/>
        </w:rPr>
        <w:fldChar w:fldCharType="end"/>
      </w:r>
      <w:bookmarkEnd w:id="306"/>
      <w:r>
        <w:t xml:space="preserve"> </w:t>
      </w:r>
      <w:r w:rsidRPr="005D3C5D">
        <w:t>Bisphosphonate prescription 10-14 months post-index date for among treatment naïve individuals at baseline among cases (black) and controls (grey)</w:t>
      </w:r>
      <w:bookmarkEnd w:id="307"/>
      <w:bookmarkEnd w:id="308"/>
    </w:p>
    <w:p w14:paraId="730CA29C" w14:textId="77777777" w:rsidR="00655089" w:rsidRPr="00655089" w:rsidRDefault="00655089" w:rsidP="00E86771">
      <w:pPr>
        <w:pStyle w:val="Heading2"/>
        <w:spacing w:line="360" w:lineRule="auto"/>
      </w:pPr>
      <w:bookmarkStart w:id="309" w:name="_Toc308300784"/>
      <w:bookmarkStart w:id="310" w:name="_Toc311366591"/>
      <w:r w:rsidRPr="00655089">
        <w:t>Discussion</w:t>
      </w:r>
      <w:bookmarkEnd w:id="309"/>
      <w:bookmarkEnd w:id="310"/>
    </w:p>
    <w:p w14:paraId="46C7328F" w14:textId="77777777" w:rsidR="00655089" w:rsidRPr="00655089" w:rsidRDefault="00655089" w:rsidP="00E86771">
      <w:pPr>
        <w:spacing w:line="360" w:lineRule="auto"/>
      </w:pPr>
      <w:r w:rsidRPr="00655089">
        <w:t xml:space="preserve">In this analysis, we have been able to demonstrate significant temporal associations with a number of national guidelines suggesting these guidelines have positively impacted on clinical decision-making and then patient outcomes. Of the health outcomes studied, only non-hip re-fractures were not associated with the introduction of </w:t>
      </w:r>
      <w:r w:rsidR="00C94587" w:rsidRPr="00655089">
        <w:t>guid</w:t>
      </w:r>
      <w:r w:rsidR="00C94587">
        <w:t>elines</w:t>
      </w:r>
      <w:r w:rsidRPr="00655089">
        <w:t xml:space="preserve">. The guidelines focused on medication choices, standards of inpatient care and falls assessment. </w:t>
      </w:r>
    </w:p>
    <w:p w14:paraId="62EB6366" w14:textId="77777777" w:rsidR="00655089" w:rsidRPr="00655089" w:rsidRDefault="00655089" w:rsidP="00E86771">
      <w:pPr>
        <w:spacing w:line="360" w:lineRule="auto"/>
      </w:pPr>
      <w:r w:rsidRPr="00655089">
        <w:t xml:space="preserve">It was of interest that each outcome was only affected by one guideline. It is unclear how the BOA blue book only affected 30-day mortality while the BPT only affected the 1-year mortality. </w:t>
      </w:r>
    </w:p>
    <w:p w14:paraId="7B513CE2" w14:textId="2E0D8A7C" w:rsidR="00655089" w:rsidRPr="00655089" w:rsidRDefault="00655089" w:rsidP="00E86771">
      <w:pPr>
        <w:spacing w:line="360" w:lineRule="auto"/>
      </w:pPr>
      <w:r w:rsidRPr="00655089">
        <w:t>The strengths of this analysis include the use of national data representative of England and Wales, and the use of an interrupted time series approach that controls for baseline level and trend in estimating the intervention impact on each outcome of interest</w:t>
      </w:r>
      <w:hyperlink w:anchor="_ENREF_102" w:tooltip="Wagner, 2002 #70" w:history="1">
        <w:r w:rsidR="00B24FEE">
          <w:fldChar w:fldCharType="begin"/>
        </w:r>
        <w:r w:rsidR="00B24FEE">
          <w:instrText xml:space="preserve"> ADDIN EN.CITE &lt;EndNote&gt;&lt;Cite&gt;&lt;Author&gt;Wagner&lt;/Author&gt;&lt;Year&gt;2002&lt;/Year&gt;&lt;RecNum&gt;70&lt;/RecNum&gt;&lt;DisplayText&gt;&lt;style face="superscript"&gt;102&lt;/style&gt;&lt;/DisplayText&gt;&lt;record&gt;&lt;rec-number&gt;70&lt;/rec-number&gt;&lt;foreign-keys&gt;&lt;key app="EN" db-id="sxpszd2ti9dx04ewefrvfp5bpf5faazszr9p" timestamp="0"&gt;70&lt;/key&gt;&lt;/foreign-keys&gt;&lt;ref-type name="Journal Article"&gt;17&lt;/ref-type&gt;&lt;contributors&gt;&lt;authors&gt;&lt;author&gt;Wagner, A. K.&lt;/author&gt;&lt;author&gt;Soumerai, S. B.&lt;/author&gt;&lt;author&gt;Zhang, F.&lt;/author&gt;&lt;author&gt;Ross-Degnan, D.&lt;/author&gt;&lt;/authors&gt;&lt;/contributors&gt;&lt;titles&gt;&lt;title&gt;Segmented regression analysis of interrupted time series studies in medication use research&lt;/title&gt;&lt;secondary-title&gt;Journal of Clinical Pharmacy and Therapeutics&lt;/secondary-title&gt;&lt;/titles&gt;&lt;pages&gt;299-309&lt;/pages&gt;&lt;volume&gt;27&lt;/volume&gt;&lt;number&gt;4&lt;/number&gt;&lt;keywords&gt;&lt;keyword&gt;health policy evaluation&lt;/keyword&gt;&lt;keyword&gt;interrupted time series design&lt;/keyword&gt;&lt;keyword&gt;longitudinal analysis&lt;/keyword&gt;&lt;keyword&gt;medication use research&lt;/keyword&gt;&lt;keyword&gt;quasi-experimental design&lt;/keyword&gt;&lt;keyword&gt;segmented regression analysis&lt;/keyword&gt;&lt;/keywords&gt;&lt;dates&gt;&lt;year&gt;2002&lt;/year&gt;&lt;/dates&gt;&lt;publisher&gt;Blackwell Science Ltd&lt;/publisher&gt;&lt;isbn&gt;1365-2710&lt;/isbn&gt;&lt;work-type&gt;10.1046/j.1365-2710.2002.00430.x&lt;/work-type&gt;&lt;urls&gt;&lt;related-urls&gt;&lt;url&gt;http://dx.doi.org/10.1046/j.1365-2710.2002.00430.x&lt;/url&gt;&lt;/related-urls&gt;&lt;/urls&gt;&lt;/record&gt;&lt;/Cite&gt;&lt;/EndNote&gt;</w:instrText>
        </w:r>
        <w:r w:rsidR="00B24FEE">
          <w:fldChar w:fldCharType="separate"/>
        </w:r>
        <w:r w:rsidR="00B24FEE" w:rsidRPr="00B24FEE">
          <w:rPr>
            <w:noProof/>
            <w:vertAlign w:val="superscript"/>
          </w:rPr>
          <w:t>102</w:t>
        </w:r>
        <w:r w:rsidR="00B24FEE">
          <w:fldChar w:fldCharType="end"/>
        </w:r>
      </w:hyperlink>
      <w:r w:rsidRPr="00655089">
        <w:t>.</w:t>
      </w:r>
    </w:p>
    <w:p w14:paraId="76999B77" w14:textId="762F22A0" w:rsidR="00655089" w:rsidRPr="00655089" w:rsidRDefault="00655089" w:rsidP="00E86771">
      <w:pPr>
        <w:spacing w:line="360" w:lineRule="auto"/>
      </w:pPr>
      <w:r w:rsidRPr="00655089">
        <w:t>One limitation of the analysis were the fewer than eight data points before or after some interventions as has been suggested elsewhere as a reasonable number for an interrupted time series analysis</w:t>
      </w:r>
      <w:hyperlink w:anchor="_ENREF_126" w:tooltip="Penfold, 2013 #1253" w:history="1">
        <w:r w:rsidR="00B24FEE">
          <w:fldChar w:fldCharType="begin"/>
        </w:r>
        <w:r w:rsidR="00B24FEE">
          <w:instrText xml:space="preserve"> ADDIN EN.CITE &lt;EndNote&gt;&lt;Cite&gt;&lt;Author&gt;Penfold&lt;/Author&gt;&lt;Year&gt;2013&lt;/Year&gt;&lt;RecNum&gt;1253&lt;/RecNum&gt;&lt;DisplayText&gt;&lt;style face="superscript"&gt;126&lt;/style&gt;&lt;/DisplayText&gt;&lt;record&gt;&lt;rec-number&gt;1253&lt;/rec-number&gt;&lt;foreign-keys&gt;&lt;key app="EN" db-id="sxpszd2ti9dx04ewefrvfp5bpf5faazszr9p" timestamp="1436802319"&gt;1253&lt;/key&gt;&lt;/foreign-keys&gt;&lt;ref-type name="Journal Article"&gt;17&lt;/ref-type&gt;&lt;contributors&gt;&lt;authors&gt;&lt;author&gt;Penfold, R. B.&lt;/author&gt;&lt;author&gt;Zhang, F.&lt;/author&gt;&lt;/authors&gt;&lt;/contributors&gt;&lt;auth-address&gt;Group Health Research Institute and the Department of Health Services Research, University of Washington, Seattle, Wash. Electronic address: Penfold.r@ghc.org.&lt;/auth-address&gt;&lt;titles&gt;&lt;title&gt;Use of interrupted time series analysis in evaluating health care quality improvements&lt;/title&gt;&lt;secondary-title&gt;Acad Pediatr&lt;/secondary-title&gt;&lt;/titles&gt;&lt;periodical&gt;&lt;full-title&gt;Acad Pediatr&lt;/full-title&gt;&lt;/periodical&gt;&lt;pages&gt;S38-44&lt;/pages&gt;&lt;volume&gt;13&lt;/volume&gt;&lt;number&gt;6 Suppl&lt;/number&gt;&lt;edition&gt;2013/12/07&lt;/edition&gt;&lt;keywords&gt;&lt;keyword&gt;Antipsychotic Agents/therapeutic use&lt;/keyword&gt;&lt;keyword&gt;Attention Deficit Disorder with Hyperactivity/diagnosis/*drug therapy&lt;/keyword&gt;&lt;keyword&gt;Child, Preschool&lt;/keyword&gt;&lt;keyword&gt;Delivery of Health Care/*standards/trends&lt;/keyword&gt;&lt;keyword&gt;Female&lt;/keyword&gt;&lt;keyword&gt;Health Services Research&lt;/keyword&gt;&lt;keyword&gt;Humans&lt;/keyword&gt;&lt;keyword&gt;*Interrupted Time Series Analysis&lt;/keyword&gt;&lt;keyword&gt;Male&lt;/keyword&gt;&lt;keyword&gt;Pediatrics/*standards/trends&lt;/keyword&gt;&lt;keyword&gt;Quality Assurance, Health Care&lt;/keyword&gt;&lt;keyword&gt;*Quality Improvement&lt;/keyword&gt;&lt;keyword&gt;United States&lt;/keyword&gt;&lt;/keywords&gt;&lt;dates&gt;&lt;year&gt;2013&lt;/year&gt;&lt;pub-dates&gt;&lt;date&gt;Nov-Dec&lt;/date&gt;&lt;/pub-dates&gt;&lt;/dates&gt;&lt;isbn&gt;1876-2867 (Electronic)&lt;/isbn&gt;&lt;accession-num&gt;24268083&lt;/accession-num&gt;&lt;urls&gt;&lt;related-urls&gt;&lt;url&gt;http://www.ncbi.nlm.nih.gov/pubmed/24268083&lt;/url&gt;&lt;/related-urls&gt;&lt;/urls&gt;&lt;electronic-resource-num&gt;10.1016/j.acap.2013.08.002&amp;#xD;S1876-2859(13)00210-6 [pii]&lt;/electronic-resource-num&gt;&lt;language&gt;eng&lt;/language&gt;&lt;/record&gt;&lt;/Cite&gt;&lt;/EndNote&gt;</w:instrText>
        </w:r>
        <w:r w:rsidR="00B24FEE">
          <w:fldChar w:fldCharType="separate"/>
        </w:r>
        <w:r w:rsidR="00B24FEE" w:rsidRPr="00B24FEE">
          <w:rPr>
            <w:noProof/>
            <w:vertAlign w:val="superscript"/>
          </w:rPr>
          <w:t>126</w:t>
        </w:r>
        <w:r w:rsidR="00B24FEE">
          <w:fldChar w:fldCharType="end"/>
        </w:r>
      </w:hyperlink>
      <w:r w:rsidRPr="00655089">
        <w:t xml:space="preserve">. We did however have three or more </w:t>
      </w:r>
      <w:r w:rsidR="00C94587">
        <w:t>data</w:t>
      </w:r>
      <w:r w:rsidRPr="00655089">
        <w:t>-points within each section of the time-series, as is stated as the minimum required for inclusion of an interrupted time series analysis in a Cochrane Effective Practice and Organisation of Care Review Group (EPOC) review</w:t>
      </w:r>
      <w:hyperlink w:anchor="_ENREF_101" w:tooltip=",  #1254" w:history="1">
        <w:r w:rsidR="00B24FEE">
          <w:fldChar w:fldCharType="begin"/>
        </w:r>
        <w:r w:rsidR="00B24FEE">
          <w:instrText xml:space="preserve"> ADDIN EN.CITE &lt;EndNote&gt;&lt;Cite ExcludeAuth="1" ExcludeYear="1"&gt;&lt;RecNum&gt;1254&lt;/RecNum&gt;&lt;DisplayText&gt;&lt;style face="superscript"&gt;101&lt;/style&gt;&lt;/DisplayText&gt;&lt;record&gt;&lt;rec-number&gt;1254&lt;/rec-number&gt;&lt;foreign-keys&gt;&lt;key app="EN" db-id="sxpszd2ti9dx04ewefrvfp5bpf5faazszr9p" timestamp="1436802424"&gt;1254&lt;/key&gt;&lt;/foreign-keys&gt;&lt;ref-type name="Report"&gt;27&lt;/ref-type&gt;&lt;contributors&gt;&lt;/contributors&gt;&lt;titles&gt;&lt;title&gt;Cochrane Effective Practice and Organisation of Care Review Group: Data Collection Checklist&lt;/title&gt;&lt;/titles&gt;&lt;dates&gt;&lt;/dates&gt;&lt;urls&gt;&lt;related-urls&gt;&lt;url&gt;http://epoc.cochrane.org/sites/epoc.cochrane.org/files/uploads/datacollectionchecklist.pdf.&lt;/url&gt;&lt;/related-urls&gt;&lt;/urls&gt;&lt;/record&gt;&lt;/Cite&gt;&lt;/EndNote&gt;</w:instrText>
        </w:r>
        <w:r w:rsidR="00B24FEE">
          <w:fldChar w:fldCharType="separate"/>
        </w:r>
        <w:r w:rsidR="00B24FEE" w:rsidRPr="00B24FEE">
          <w:rPr>
            <w:noProof/>
            <w:vertAlign w:val="superscript"/>
          </w:rPr>
          <w:t>101</w:t>
        </w:r>
        <w:r w:rsidR="00B24FEE">
          <w:fldChar w:fldCharType="end"/>
        </w:r>
      </w:hyperlink>
      <w:r w:rsidRPr="00655089">
        <w:t xml:space="preserve">. A major </w:t>
      </w:r>
      <w:r w:rsidRPr="00655089">
        <w:lastRenderedPageBreak/>
        <w:t>limitation was the need to link a number of interventions that were introduced within a short interval, e.g. NICE CG 21 and TA 87. However, given the scope of NICE CG 21 is focus on falls, it is more likely that the association with prescribing was through NICE TA 87. In addition, during the time of TA 87, the first line anti-osteoporosis medication alendronate became available as a generic medicine and is likely to have contributed significantly to the observed associations with prescribing (</w:t>
      </w:r>
      <w:r>
        <w:rPr>
          <w:highlight w:val="yellow"/>
        </w:rPr>
        <w:fldChar w:fldCharType="begin"/>
      </w:r>
      <w:r>
        <w:instrText xml:space="preserve"> REF _Ref424566095 \h </w:instrText>
      </w:r>
      <w:r>
        <w:rPr>
          <w:highlight w:val="yellow"/>
        </w:rPr>
      </w:r>
      <w:r>
        <w:rPr>
          <w:highlight w:val="yellow"/>
        </w:rPr>
        <w:fldChar w:fldCharType="separate"/>
      </w:r>
      <w:r w:rsidR="003B70E3">
        <w:t xml:space="preserve">Figure </w:t>
      </w:r>
      <w:r w:rsidR="003B70E3">
        <w:rPr>
          <w:noProof/>
        </w:rPr>
        <w:t>16</w:t>
      </w:r>
      <w:r>
        <w:rPr>
          <w:highlight w:val="yellow"/>
        </w:rPr>
        <w:fldChar w:fldCharType="end"/>
      </w:r>
      <w:r w:rsidRPr="00655089">
        <w:t xml:space="preserve">). While we were able to measure the association of guidelines on the average changes in outcomes, it would be of interest to examine if the timing of the guidelines was also associated with a reduction in variability of outcomes between sites. </w:t>
      </w:r>
      <w:r w:rsidR="00052F0D" w:rsidRPr="00052F0D">
        <w:t>The use of routinely collected data with no individual validation of fracture events recorded is another limitation of the analysis, however validation of hip and vertebral fracture coding has been carried out previously and been shown to be accurate</w:t>
      </w:r>
      <w:hyperlink w:anchor="_ENREF_127" w:tooltip="Van Staa, 2000 #71" w:history="1">
        <w:r w:rsidR="00B24FEE">
          <w:fldChar w:fldCharType="begin"/>
        </w:r>
        <w:r w:rsidR="00B24FEE">
          <w:instrText xml:space="preserve"> ADDIN EN.CITE &lt;EndNote&gt;&lt;Cite&gt;&lt;Author&gt;Van Staa&lt;/Author&gt;&lt;Year&gt;2000&lt;/Year&gt;&lt;RecNum&gt;71&lt;/RecNum&gt;&lt;DisplayText&gt;&lt;style face="superscript"&gt;127&lt;/style&gt;&lt;/DisplayText&gt;&lt;record&gt;&lt;rec-number&gt;71&lt;/rec-number&gt;&lt;foreign-keys&gt;&lt;key app="EN" db-id="sxpszd2ti9dx04ewefrvfp5bpf5faazszr9p" timestamp="0"&gt;71&lt;/key&gt;&lt;/foreign-keys&gt;&lt;ref-type name="Journal Article"&gt;17&lt;/ref-type&gt;&lt;contributors&gt;&lt;authors&gt;&lt;author&gt;Van Staa, T. P.&lt;/author&gt;&lt;author&gt;Abenhaim, L.&lt;/author&gt;&lt;author&gt;Cooper, C.&lt;/author&gt;&lt;author&gt;Zhang, B.&lt;/author&gt;&lt;author&gt;Leufkens, H. G. M.&lt;/author&gt;&lt;/authors&gt;&lt;/contributors&gt;&lt;titles&gt;&lt;title&gt;The use of a large pharmacoepidemiological database to study exposure to oral corticosteroids and risk of fractures: validation of study population and results&lt;/title&gt;&lt;secondary-title&gt;Pharmacoepidemiology and Drug Safety&lt;/secondary-title&gt;&lt;/titles&gt;&lt;pages&gt;359-366&lt;/pages&gt;&lt;volume&gt;9&lt;/volume&gt;&lt;number&gt;5&lt;/number&gt;&lt;keywords&gt;&lt;keyword&gt;oral corticosteroids&lt;/keyword&gt;&lt;keyword&gt;fractures&lt;/keyword&gt;&lt;keyword&gt;methods&lt;/keyword&gt;&lt;/keywords&gt;&lt;dates&gt;&lt;year&gt;2000&lt;/year&gt;&lt;/dates&gt;&lt;publisher&gt;John Wiley &amp;amp; Sons, Ltd.&lt;/publisher&gt;&lt;isbn&gt;1099-1557&lt;/isbn&gt;&lt;urls&gt;&lt;related-urls&gt;&lt;url&gt;http://dx.doi.org/10.1002/1099-1557(200009/10)9:5&amp;lt;359::AID-PDS507&amp;gt;3.0.CO;2-E&lt;/url&gt;&lt;/related-urls&gt;&lt;/urls&gt;&lt;electronic-resource-num&gt;10.1002/1099-1557(200009/10)9:5&amp;lt;359::aid-pds507&amp;gt;3.0.co;2-e&lt;/electronic-resource-num&gt;&lt;/record&gt;&lt;/Cite&gt;&lt;/EndNote&gt;</w:instrText>
        </w:r>
        <w:r w:rsidR="00B24FEE">
          <w:fldChar w:fldCharType="separate"/>
        </w:r>
        <w:r w:rsidR="00B24FEE" w:rsidRPr="00B24FEE">
          <w:rPr>
            <w:noProof/>
            <w:vertAlign w:val="superscript"/>
          </w:rPr>
          <w:t>127</w:t>
        </w:r>
        <w:r w:rsidR="00B24FEE">
          <w:fldChar w:fldCharType="end"/>
        </w:r>
      </w:hyperlink>
      <w:r w:rsidR="00052F0D">
        <w:t>.</w:t>
      </w:r>
    </w:p>
    <w:p w14:paraId="7DEE1DB0" w14:textId="77777777" w:rsidR="00514F6A" w:rsidRPr="00591BFC" w:rsidRDefault="00514F6A" w:rsidP="00E86771">
      <w:pPr>
        <w:spacing w:line="360" w:lineRule="auto"/>
      </w:pPr>
    </w:p>
    <w:p w14:paraId="32F5D3B6" w14:textId="77777777" w:rsidR="00514F6A" w:rsidRPr="00591BFC" w:rsidRDefault="00514F6A" w:rsidP="00E86771">
      <w:pPr>
        <w:pStyle w:val="ListParagraph"/>
        <w:spacing w:after="0" w:line="360" w:lineRule="auto"/>
        <w:ind w:left="0"/>
      </w:pPr>
    </w:p>
    <w:p w14:paraId="1BC7C0D1" w14:textId="77777777" w:rsidR="0076307D" w:rsidRPr="00591BFC" w:rsidRDefault="0076307D" w:rsidP="00E86771">
      <w:pPr>
        <w:pStyle w:val="Heading1"/>
        <w:spacing w:line="360" w:lineRule="auto"/>
        <w:rPr>
          <w:rFonts w:ascii="Calibri" w:hAnsi="Calibri"/>
          <w:lang w:val="en-GB"/>
        </w:rPr>
      </w:pPr>
      <w:r w:rsidRPr="00591BFC">
        <w:rPr>
          <w:rFonts w:ascii="Calibri" w:hAnsi="Calibri"/>
          <w:lang w:val="en-GB"/>
        </w:rPr>
        <w:br w:type="page"/>
      </w:r>
      <w:bookmarkStart w:id="311" w:name="_Toc308300785"/>
      <w:bookmarkStart w:id="312" w:name="_Toc311366592"/>
      <w:r w:rsidRPr="00591BFC">
        <w:rPr>
          <w:rFonts w:ascii="Calibri" w:hAnsi="Calibri"/>
          <w:lang w:val="en-GB"/>
        </w:rPr>
        <w:lastRenderedPageBreak/>
        <w:t>Chapter 7 Primary care and hospital care costs for hip fracture patients</w:t>
      </w:r>
      <w:bookmarkEnd w:id="311"/>
      <w:bookmarkEnd w:id="312"/>
    </w:p>
    <w:p w14:paraId="593CC147" w14:textId="77777777" w:rsidR="002A383E" w:rsidRPr="00591BFC" w:rsidRDefault="002A383E" w:rsidP="00E86771">
      <w:pPr>
        <w:spacing w:line="360" w:lineRule="auto"/>
      </w:pPr>
    </w:p>
    <w:p w14:paraId="0ACFB935" w14:textId="77777777" w:rsidR="002A383E" w:rsidRPr="00591BFC" w:rsidRDefault="002A383E" w:rsidP="00E86771">
      <w:pPr>
        <w:pStyle w:val="Heading2"/>
        <w:spacing w:line="360" w:lineRule="auto"/>
        <w:rPr>
          <w:rFonts w:ascii="Calibri" w:hAnsi="Calibri"/>
          <w:lang w:val="en-GB"/>
        </w:rPr>
      </w:pPr>
      <w:bookmarkStart w:id="313" w:name="_Toc308300786"/>
      <w:bookmarkStart w:id="314" w:name="_Toc311366593"/>
      <w:r w:rsidRPr="00591BFC">
        <w:rPr>
          <w:rFonts w:ascii="Calibri" w:hAnsi="Calibri"/>
          <w:lang w:val="en-GB"/>
        </w:rPr>
        <w:t>Introduction</w:t>
      </w:r>
      <w:bookmarkEnd w:id="313"/>
      <w:bookmarkEnd w:id="314"/>
    </w:p>
    <w:p w14:paraId="5E00D5C2" w14:textId="6B291D77" w:rsidR="002A383E" w:rsidRPr="00591BFC" w:rsidRDefault="002A383E" w:rsidP="00E86771">
      <w:pPr>
        <w:spacing w:line="360" w:lineRule="auto"/>
      </w:pPr>
      <w:r w:rsidRPr="00591BFC">
        <w:t>In this chapter, we report the costs associated with the use of primary and hospital care resources resulting from a hip fracture. The current evidence on the economic burden of hip fracture on the UK health services is limited and outdated. However, it is important to have robust and up-to-date evidence of the economic impact of hip fracture and its main drivers. Such data are essential to inform decisions about changes in health service delivery aimed at achieving greater efficiency and better patient care. Furthermore, such information is key to investment and disinvestment decisions regarding new osteoporosis and hip fracture prevention interventions as these are driven by cost-effectiveness analysis</w:t>
      </w:r>
      <w:hyperlink w:anchor="_ENREF_29" w:tooltip="NICE, June 2011 #1099" w:history="1">
        <w:r w:rsidR="00B24FEE">
          <w:fldChar w:fldCharType="begin"/>
        </w:r>
        <w:r w:rsidR="00B24FEE">
          <w:instrText xml:space="preserve"> ADDIN EN.CITE &lt;EndNote&gt;&lt;Cite&gt;&lt;Author&gt;NICE&lt;/Author&gt;&lt;Year&gt;June 2011&lt;/Year&gt;&lt;RecNum&gt;1099&lt;/RecNum&gt;&lt;DisplayText&gt;&lt;style face="superscript"&gt;29&lt;/style&gt;&lt;/DisplayText&gt;&lt;record&gt;&lt;rec-number&gt;1099&lt;/rec-number&gt;&lt;foreign-keys&gt;&lt;key app="EN" db-id="sxpszd2ti9dx04ewefrvfp5bpf5faazszr9p" timestamp="0"&gt;1099&lt;/key&gt;&lt;/foreign-keys&gt;&lt;ref-type name="Report"&gt;27&lt;/ref-type&gt;&lt;contributors&gt;&lt;authors&gt;&lt;author&gt;NICE &lt;/author&gt;&lt;/authors&gt;&lt;/contributors&gt;&lt;titles&gt;&lt;title&gt;Clinical guidelines 124: The management of hip fracture in adults&lt;/title&gt;&lt;/titles&gt;&lt;dates&gt;&lt;year&gt;June 2011&lt;/year&gt;&lt;/dates&gt;&lt;urls&gt;&lt;/urls&gt;&lt;/record&gt;&lt;/Cite&gt;&lt;/EndNote&gt;</w:instrText>
        </w:r>
        <w:r w:rsidR="00B24FEE">
          <w:fldChar w:fldCharType="separate"/>
        </w:r>
        <w:r w:rsidR="00B24FEE" w:rsidRPr="00B24FEE">
          <w:rPr>
            <w:noProof/>
            <w:vertAlign w:val="superscript"/>
          </w:rPr>
          <w:t>29</w:t>
        </w:r>
        <w:r w:rsidR="00B24FEE">
          <w:fldChar w:fldCharType="end"/>
        </w:r>
      </w:hyperlink>
      <w:r w:rsidRPr="00591BFC">
        <w:t xml:space="preserve">, where a key input is the long-term cost of hip fracture. Hence, our aim is to use large primary and secondary care administrative datasets to determine primary care and hospital care costs in the year of the hip fracture and following year. </w:t>
      </w:r>
    </w:p>
    <w:p w14:paraId="61155375" w14:textId="77777777" w:rsidR="002A383E" w:rsidRPr="00591BFC" w:rsidRDefault="002A383E" w:rsidP="00E86771">
      <w:pPr>
        <w:spacing w:line="360" w:lineRule="auto"/>
      </w:pPr>
    </w:p>
    <w:p w14:paraId="0A2FA37F" w14:textId="77777777" w:rsidR="002A383E" w:rsidRPr="00591BFC" w:rsidRDefault="002A383E" w:rsidP="00E86771">
      <w:pPr>
        <w:pStyle w:val="Heading2"/>
        <w:spacing w:line="360" w:lineRule="auto"/>
        <w:rPr>
          <w:rFonts w:ascii="Calibri" w:hAnsi="Calibri"/>
          <w:lang w:val="en-GB"/>
        </w:rPr>
      </w:pPr>
      <w:bookmarkStart w:id="315" w:name="_Toc308300787"/>
      <w:bookmarkStart w:id="316" w:name="_Toc311366594"/>
      <w:r w:rsidRPr="00591BFC">
        <w:rPr>
          <w:rFonts w:ascii="Calibri" w:hAnsi="Calibri"/>
          <w:lang w:val="en-GB"/>
        </w:rPr>
        <w:t>Aims</w:t>
      </w:r>
      <w:bookmarkEnd w:id="315"/>
      <w:bookmarkEnd w:id="316"/>
    </w:p>
    <w:p w14:paraId="609FF981" w14:textId="265CF997" w:rsidR="002A383E" w:rsidRPr="00591BFC" w:rsidRDefault="002A383E" w:rsidP="00E86771">
      <w:pPr>
        <w:pStyle w:val="EndNoteBibliography"/>
        <w:spacing w:after="0" w:line="360" w:lineRule="auto"/>
        <w:rPr>
          <w:lang w:val="en-GB"/>
        </w:rPr>
      </w:pPr>
      <w:r w:rsidRPr="00591BFC">
        <w:rPr>
          <w:lang w:val="en-GB"/>
        </w:rPr>
        <w:t xml:space="preserve">Hip fractures are a major public health problem in terms of patient morbidity, mortality and costs to health and social care services. The incidence of hip fracture increases steeply with age due to higher rates of osteoporosis and falls in the </w:t>
      </w:r>
      <w:r w:rsidR="00C0705C" w:rsidRPr="00591BFC">
        <w:rPr>
          <w:lang w:val="en-GB"/>
        </w:rPr>
        <w:t>ageing</w:t>
      </w:r>
      <w:r w:rsidRPr="00591BFC">
        <w:rPr>
          <w:lang w:val="en-GB"/>
        </w:rPr>
        <w:t xml:space="preserve"> population. Hip fractures account for the majority of osteoporotic fragility fractures and for over 40% of the estimated burden of osteoporosis worldwide</w:t>
      </w:r>
      <w:hyperlink w:anchor="_ENREF_128" w:tooltip="Johnell, 2006 #23" w:history="1">
        <w:r w:rsidR="00B24FEE">
          <w:rPr>
            <w:lang w:val="en-GB"/>
          </w:rPr>
          <w:fldChar w:fldCharType="begin"/>
        </w:r>
        <w:r w:rsidR="00B24FEE">
          <w:rPr>
            <w:lang w:val="en-GB"/>
          </w:rPr>
          <w:instrText xml:space="preserve"> ADDIN EN.CITE &lt;EndNote&gt;&lt;Cite&gt;&lt;Author&gt;Johnell&lt;/Author&gt;&lt;Year&gt;2006&lt;/Year&gt;&lt;RecNum&gt;23&lt;/RecNum&gt;&lt;DisplayText&gt;&lt;style face="superscript"&gt;128&lt;/style&gt;&lt;/DisplayText&gt;&lt;record&gt;&lt;rec-number&gt;23&lt;/rec-number&gt;&lt;foreign-keys&gt;&lt;key app="EN" db-id="sxpszd2ti9dx04ewefrvfp5bpf5faazszr9p" timestamp="0"&gt;23&lt;/key&gt;&lt;/foreign-keys&gt;&lt;ref-type name="Journal Article"&gt;17&lt;/ref-type&gt;&lt;contributors&gt;&lt;authors&gt;&lt;author&gt;Johnell, O.&lt;/author&gt;&lt;author&gt;Kanis, J.&lt;/author&gt;&lt;/authors&gt;&lt;/contributors&gt;&lt;titles&gt;&lt;title&gt;An estimate of the worldwide prevalence and disability associated with osteoporotic fractures&lt;/title&gt;&lt;secondary-title&gt;Osteoporosis International&lt;/secondary-title&gt;&lt;/titles&gt;&lt;pages&gt;1726-1733&lt;/pages&gt;&lt;volume&gt;17&lt;/volume&gt;&lt;number&gt;12&lt;/number&gt;&lt;keywords&gt;&lt;keyword&gt;Medicine&lt;/keyword&gt;&lt;/keywords&gt;&lt;dates&gt;&lt;year&gt;2006&lt;/year&gt;&lt;/dates&gt;&lt;publisher&gt;Springer London&lt;/publisher&gt;&lt;isbn&gt;0937-941X&lt;/isbn&gt;&lt;urls&gt;&lt;related-urls&gt;&lt;url&gt;http://dx.doi.org/10.1007/s00198-006-0172-4&lt;/url&gt;&lt;/related-urls&gt;&lt;/urls&gt;&lt;electronic-resource-num&gt;10.1007/s00198-006-0172-4&lt;/electronic-resource-num&gt;&lt;/record&gt;&lt;/Cite&gt;&lt;/EndNote&gt;</w:instrText>
        </w:r>
        <w:r w:rsidR="00B24FEE">
          <w:rPr>
            <w:lang w:val="en-GB"/>
          </w:rPr>
          <w:fldChar w:fldCharType="separate"/>
        </w:r>
        <w:r w:rsidR="00B24FEE" w:rsidRPr="00B24FEE">
          <w:rPr>
            <w:noProof/>
            <w:vertAlign w:val="superscript"/>
            <w:lang w:val="en-GB"/>
          </w:rPr>
          <w:t>128</w:t>
        </w:r>
        <w:r w:rsidR="00B24FEE">
          <w:rPr>
            <w:lang w:val="en-GB"/>
          </w:rPr>
          <w:fldChar w:fldCharType="end"/>
        </w:r>
      </w:hyperlink>
      <w:r w:rsidRPr="00591BFC">
        <w:rPr>
          <w:lang w:val="en-GB"/>
        </w:rPr>
        <w:t xml:space="preserve">. In 2010, there were an estimated 600,000 incident hip fractures in the European Union, costing </w:t>
      </w:r>
      <w:r w:rsidR="000E4AD5">
        <w:rPr>
          <w:lang w:val="en-GB"/>
        </w:rPr>
        <w:t xml:space="preserve">an estimated </w:t>
      </w:r>
      <w:r w:rsidRPr="00591BFC">
        <w:rPr>
          <w:lang w:val="en-GB"/>
        </w:rPr>
        <w:t>€20 billion and accounting for 54% of the total costs of osteoporosis</w:t>
      </w:r>
      <w:hyperlink w:anchor="_ENREF_129" w:tooltip="Hernlund, 2013 #1108" w:history="1">
        <w:r w:rsidR="00B24FEE">
          <w:rPr>
            <w:lang w:val="en-GB"/>
          </w:rPr>
          <w:fldChar w:fldCharType="begin">
            <w:fldData xml:space="preserve">PEVuZE5vdGU+PENpdGU+PEF1dGhvcj5IZXJubHVuZDwvQXV0aG9yPjxZZWFyPjIwMTM8L1llYXI+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=
</w:fldData>
          </w:fldChar>
        </w:r>
        <w:r w:rsidR="00B24FEE">
          <w:rPr>
            <w:lang w:val="en-GB"/>
          </w:rPr>
          <w:instrText xml:space="preserve"> ADDIN EN.CITE </w:instrText>
        </w:r>
        <w:r w:rsidR="00B24FEE">
          <w:rPr>
            <w:lang w:val="en-GB"/>
          </w:rPr>
          <w:fldChar w:fldCharType="begin">
            <w:fldData xml:space="preserve">PEVuZE5vdGU+PENpdGU+PEF1dGhvcj5IZXJubHVuZDwvQXV0aG9yPjxZZWFyPjIwMTM8L1llYXI+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=
</w:fldData>
          </w:fldChar>
        </w:r>
        <w:r w:rsidR="00B24FEE">
          <w:rPr>
            <w:lang w:val="en-GB"/>
          </w:rPr>
          <w:instrText xml:space="preserve"> ADDIN EN.CITE.DATA </w:instrText>
        </w:r>
        <w:r w:rsidR="00B24FEE">
          <w:rPr>
            <w:lang w:val="en-GB"/>
          </w:rPr>
        </w:r>
        <w:r w:rsidR="00B24FEE">
          <w:rPr>
            <w:lang w:val="en-GB"/>
          </w:rPr>
          <w:fldChar w:fldCharType="end"/>
        </w:r>
        <w:r w:rsidR="00B24FEE">
          <w:rPr>
            <w:lang w:val="en-GB"/>
          </w:rPr>
        </w:r>
        <w:r w:rsidR="00B24FEE">
          <w:rPr>
            <w:lang w:val="en-GB"/>
          </w:rPr>
          <w:fldChar w:fldCharType="separate"/>
        </w:r>
        <w:r w:rsidR="00B24FEE" w:rsidRPr="00B24FEE">
          <w:rPr>
            <w:noProof/>
            <w:vertAlign w:val="superscript"/>
            <w:lang w:val="en-GB"/>
          </w:rPr>
          <w:t>129</w:t>
        </w:r>
        <w:r w:rsidR="00B24FEE">
          <w:rPr>
            <w:lang w:val="en-GB"/>
          </w:rPr>
          <w:fldChar w:fldCharType="end"/>
        </w:r>
      </w:hyperlink>
      <w:r w:rsidRPr="00591BFC">
        <w:rPr>
          <w:lang w:val="en-GB"/>
        </w:rPr>
        <w:t>. In the UK, the annual number of hip fractures is expected to increase from 79,000 to 104,000 by 2025</w:t>
      </w:r>
      <w:hyperlink w:anchor="_ENREF_129" w:tooltip="Hernlund, 2013 #1108" w:history="1">
        <w:r w:rsidR="00B24FEE">
          <w:rPr>
            <w:lang w:val="en-GB"/>
          </w:rPr>
          <w:fldChar w:fldCharType="begin">
            <w:fldData xml:space="preserve">PEVuZE5vdGU+PENpdGU+PEF1dGhvcj5IZXJubHVuZDwvQXV0aG9yPjxZZWFyPjIwMTM8L1llYXI+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=
</w:fldData>
          </w:fldChar>
        </w:r>
        <w:r w:rsidR="00B24FEE">
          <w:rPr>
            <w:lang w:val="en-GB"/>
          </w:rPr>
          <w:instrText xml:space="preserve"> ADDIN EN.CITE </w:instrText>
        </w:r>
        <w:r w:rsidR="00B24FEE">
          <w:rPr>
            <w:lang w:val="en-GB"/>
          </w:rPr>
          <w:fldChar w:fldCharType="begin">
            <w:fldData xml:space="preserve">PEVuZE5vdGU+PENpdGU+PEF1dGhvcj5IZXJubHVuZDwvQXV0aG9yPjxZZWFyPjIwMTM8L1llYXI+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=
</w:fldData>
          </w:fldChar>
        </w:r>
        <w:r w:rsidR="00B24FEE">
          <w:rPr>
            <w:lang w:val="en-GB"/>
          </w:rPr>
          <w:instrText xml:space="preserve"> ADDIN EN.CITE.DATA </w:instrText>
        </w:r>
        <w:r w:rsidR="00B24FEE">
          <w:rPr>
            <w:lang w:val="en-GB"/>
          </w:rPr>
        </w:r>
        <w:r w:rsidR="00B24FEE">
          <w:rPr>
            <w:lang w:val="en-GB"/>
          </w:rPr>
          <w:fldChar w:fldCharType="end"/>
        </w:r>
        <w:r w:rsidR="00B24FEE">
          <w:rPr>
            <w:lang w:val="en-GB"/>
          </w:rPr>
        </w:r>
        <w:r w:rsidR="00B24FEE">
          <w:rPr>
            <w:lang w:val="en-GB"/>
          </w:rPr>
          <w:fldChar w:fldCharType="separate"/>
        </w:r>
        <w:r w:rsidR="00B24FEE" w:rsidRPr="00B24FEE">
          <w:rPr>
            <w:noProof/>
            <w:vertAlign w:val="superscript"/>
            <w:lang w:val="en-GB"/>
          </w:rPr>
          <w:t>129</w:t>
        </w:r>
        <w:r w:rsidR="00B24FEE">
          <w:rPr>
            <w:lang w:val="en-GB"/>
          </w:rPr>
          <w:fldChar w:fldCharType="end"/>
        </w:r>
      </w:hyperlink>
      <w:r w:rsidRPr="00591BFC">
        <w:rPr>
          <w:lang w:val="en-GB"/>
        </w:rPr>
        <w:t>. Existing estimates of the health and social care costs of hip fractures in the UK range from £2 billion to £3 billion</w:t>
      </w:r>
      <w:r w:rsidR="00B24FEE">
        <w:rPr>
          <w:lang w:val="en-GB"/>
        </w:rPr>
        <w:fldChar w:fldCharType="begin">
          <w:fldData xml:space="preserve">PEVuZE5vdGU+PENpdGU+PEF1dGhvcj5IZXJubHVuZDwvQXV0aG9yPjxZZWFyPjIwMTM8L1llYXI+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</w:fldData>
        </w:fldChar>
      </w:r>
      <w:r w:rsidR="00B24FEE">
        <w:rPr>
          <w:lang w:val="en-GB"/>
        </w:rPr>
        <w:instrText xml:space="preserve"> ADDIN EN.CITE </w:instrText>
      </w:r>
      <w:r w:rsidR="00B24FEE">
        <w:rPr>
          <w:lang w:val="en-GB"/>
        </w:rPr>
        <w:fldChar w:fldCharType="begin">
          <w:fldData xml:space="preserve">PEVuZE5vdGU+PENpdGU+PEF1dGhvcj5IZXJubHVuZDwvQXV0aG9yPjxZZWFyPjIwMTM8L1llYXI+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</w:fldData>
        </w:fldChar>
      </w:r>
      <w:r w:rsidR="00B24FEE">
        <w:rPr>
          <w:lang w:val="en-GB"/>
        </w:rPr>
        <w:instrText xml:space="preserve"> ADDIN EN.CITE.DATA </w:instrText>
      </w:r>
      <w:r w:rsidR="00B24FEE">
        <w:rPr>
          <w:lang w:val="en-GB"/>
        </w:rPr>
      </w:r>
      <w:r w:rsidR="00B24FEE">
        <w:rPr>
          <w:lang w:val="en-GB"/>
        </w:rPr>
        <w:fldChar w:fldCharType="end"/>
      </w:r>
      <w:r w:rsidR="00B24FEE">
        <w:rPr>
          <w:lang w:val="en-GB"/>
        </w:rPr>
      </w:r>
      <w:r w:rsidR="00B24FEE">
        <w:rPr>
          <w:lang w:val="en-GB"/>
        </w:rPr>
        <w:fldChar w:fldCharType="separate"/>
      </w:r>
      <w:hyperlink w:anchor="_ENREF_129" w:tooltip="Hernlund, 2013 #1108" w:history="1">
        <w:r w:rsidR="00B24FEE" w:rsidRPr="00B24FEE">
          <w:rPr>
            <w:noProof/>
            <w:vertAlign w:val="superscript"/>
            <w:lang w:val="en-GB"/>
          </w:rPr>
          <w:t>129</w:t>
        </w:r>
      </w:hyperlink>
      <w:r w:rsidR="00B24FEE" w:rsidRPr="00B24FEE">
        <w:rPr>
          <w:noProof/>
          <w:vertAlign w:val="superscript"/>
          <w:lang w:val="en-GB"/>
        </w:rPr>
        <w:t xml:space="preserve"> </w:t>
      </w:r>
      <w:hyperlink w:anchor="_ENREF_130" w:tooltip="Burge, 2001 #1213" w:history="1">
        <w:r w:rsidR="00B24FEE" w:rsidRPr="00B24FEE">
          <w:rPr>
            <w:noProof/>
            <w:vertAlign w:val="superscript"/>
            <w:lang w:val="en-GB"/>
          </w:rPr>
          <w:t>130</w:t>
        </w:r>
      </w:hyperlink>
      <w:r w:rsidR="00B24FEE">
        <w:rPr>
          <w:lang w:val="en-GB"/>
        </w:rPr>
        <w:fldChar w:fldCharType="end"/>
      </w:r>
      <w:r w:rsidR="007E1C7D" w:rsidRPr="00591BFC">
        <w:rPr>
          <w:noProof/>
          <w:lang w:val="en-GB"/>
        </w:rPr>
        <w:t>,</w:t>
      </w:r>
      <w:r w:rsidRPr="00591BFC">
        <w:rPr>
          <w:lang w:val="en-GB"/>
        </w:rPr>
        <w:t xml:space="preserve"> but UK estimates on hip fracture costs are limited and outdated. Hence, the primary aim of this chapter is to estimate the primary</w:t>
      </w:r>
      <w:r w:rsidR="000E4AD5">
        <w:rPr>
          <w:lang w:val="en-GB"/>
        </w:rPr>
        <w:t xml:space="preserve"> care</w:t>
      </w:r>
      <w:r w:rsidRPr="00591BFC">
        <w:rPr>
          <w:lang w:val="en-GB"/>
        </w:rPr>
        <w:t xml:space="preserve"> and hospital care costs of hip fracture up to two years post event for both index fracture and subsequent fracture, using large patient level datasets representative of the UK hip fracture population. Secondly, we compare costs before and after the event to explore the impact of significant co-morbidities in individuals with hip fracture. Finally, we report the main predictors of long-term costs following hip fracture.  </w:t>
      </w:r>
    </w:p>
    <w:p w14:paraId="7433B6CE" w14:textId="77777777" w:rsidR="002A383E" w:rsidRPr="00591BFC" w:rsidRDefault="002A383E" w:rsidP="00E86771">
      <w:pPr>
        <w:pStyle w:val="EndNoteBibliography"/>
        <w:spacing w:after="0" w:line="360" w:lineRule="auto"/>
        <w:rPr>
          <w:lang w:val="en-GB"/>
        </w:rPr>
      </w:pPr>
    </w:p>
    <w:p w14:paraId="7EF90115" w14:textId="77777777" w:rsidR="002A383E" w:rsidRPr="00037D9D" w:rsidRDefault="002A383E" w:rsidP="00866F8C">
      <w:pPr>
        <w:pStyle w:val="Heading3"/>
        <w:rPr>
          <w:rFonts w:ascii="Calibri" w:hAnsi="Calibri"/>
        </w:rPr>
      </w:pPr>
      <w:bookmarkStart w:id="317" w:name="_Toc308300788"/>
      <w:bookmarkStart w:id="318" w:name="_Toc311366595"/>
      <w:r w:rsidRPr="00037D9D">
        <w:rPr>
          <w:rFonts w:ascii="Calibri" w:hAnsi="Calibri"/>
        </w:rPr>
        <w:lastRenderedPageBreak/>
        <w:t>Existing research</w:t>
      </w:r>
      <w:bookmarkEnd w:id="317"/>
      <w:bookmarkEnd w:id="318"/>
    </w:p>
    <w:p w14:paraId="31AB7366" w14:textId="4EE341BA" w:rsidR="002A383E" w:rsidRPr="00591BFC" w:rsidRDefault="002A383E" w:rsidP="00E86771">
      <w:pPr>
        <w:spacing w:line="360" w:lineRule="auto"/>
      </w:pPr>
      <w:r w:rsidRPr="00591BFC">
        <w:t>We undertook a literature review to identify UK-specific costing studies of hip fracture patients published from 1990 to 1</w:t>
      </w:r>
      <w:r w:rsidRPr="00591BFC">
        <w:rPr>
          <w:vertAlign w:val="superscript"/>
        </w:rPr>
        <w:t>st</w:t>
      </w:r>
      <w:r w:rsidRPr="00591BFC">
        <w:t xml:space="preserve"> December 2013. The following databases were searched:  EMBASE, MEDLINE, Global Health, CAB Abstracts, ECONLIT, NHS EED &amp; HTA and Web of Science. Search terms related to hip fracture and costs were used to identify papers of interest in the databases and are available on request from the authors. We subsequently performed a search of the database using terms relating to the UK (UK, United Kingdom, Britain, England, Wales, Scotland, Ireland, NHS and National Health Service). 65 papers were identified, of which 13 presented costs based on patient level data and 52 presented costs citing results from other studies or from national databases of costs (see </w:t>
      </w:r>
      <w:r w:rsidRPr="00591BFC">
        <w:fldChar w:fldCharType="begin"/>
      </w:r>
      <w:r w:rsidRPr="00591BFC">
        <w:instrText xml:space="preserve"> REF _Ref423075368 \h </w:instrText>
      </w:r>
      <w:r w:rsidR="00E814C1" w:rsidRPr="00591BFC">
        <w:instrText xml:space="preserve"> \* MERGEFORMAT </w:instrText>
      </w:r>
      <w:r w:rsidRPr="00591BFC">
        <w:fldChar w:fldCharType="separate"/>
      </w:r>
      <w:r w:rsidR="003B70E3" w:rsidRPr="00591BFC">
        <w:t xml:space="preserve">Figure </w:t>
      </w:r>
      <w:r w:rsidR="003B70E3">
        <w:rPr>
          <w:noProof/>
        </w:rPr>
        <w:t>24</w:t>
      </w:r>
      <w:r w:rsidRPr="00591BFC">
        <w:fldChar w:fldCharType="end"/>
      </w:r>
      <w:r w:rsidRPr="00591BFC">
        <w:t xml:space="preserve">). We focused on the studies reporting costs based on patient </w:t>
      </w:r>
      <w:r w:rsidR="000E4AD5">
        <w:t>level data</w:t>
      </w:r>
      <w:r w:rsidRPr="00591BFC">
        <w:t>. Data were extracted from each study using a predefined pro-forma.</w:t>
      </w:r>
    </w:p>
    <w:p w14:paraId="1976D1C5" w14:textId="77777777" w:rsidR="002A383E" w:rsidRPr="00591BFC" w:rsidRDefault="002A383E" w:rsidP="00E86771">
      <w:pPr>
        <w:spacing w:line="360" w:lineRule="auto"/>
      </w:pPr>
      <w:r w:rsidRPr="00591BFC">
        <w:t xml:space="preserve">We identified four studies published between 2010 and 2013, seven studies published in 2000-2009 and two studies published before 2000. We also found considerable heterogeneity across the studies in terms of study populations (e.g. all hip fractures, hip fractures over 50/60/65/70 years, women only, admitted from care homes), setting (e.g. single hospital, administrative datasets for a region), sample sizes (10 to 2427 patients), types of resource use included (e.g. inpatient care, outpatient care, primary care, community hospital, care home) </w:t>
      </w:r>
      <w:r w:rsidR="000E4AD5" w:rsidRPr="000E4AD5">
        <w:t xml:space="preserve">, time horizon (period over which costs were included) </w:t>
      </w:r>
      <w:r w:rsidRPr="00591BFC">
        <w:t xml:space="preserve">and methods to estimate the costs (e.g. micro-costing, valuing health resource groups (HRGs)). These help explain the significant variability in the reported costs, for example, the reported costs for acute inpatient admission with hip fracture varied from £4,202 to £16,452 (2012/13 prices). </w:t>
      </w:r>
    </w:p>
    <w:p w14:paraId="7E5A3181" w14:textId="45491543" w:rsidR="002A383E" w:rsidRPr="00591BFC" w:rsidRDefault="002A383E" w:rsidP="00E86771">
      <w:pPr>
        <w:spacing w:line="360" w:lineRule="auto"/>
      </w:pPr>
      <w:r w:rsidRPr="00591BFC">
        <w:t xml:space="preserve">Focusing on the four more recent studies, Gutierrez </w:t>
      </w:r>
      <w:r w:rsidRPr="00591BFC">
        <w:rPr>
          <w:i/>
        </w:rPr>
        <w:t xml:space="preserve">et al. </w:t>
      </w:r>
      <w:r w:rsidRPr="00591BFC">
        <w:t>(2011)</w:t>
      </w:r>
      <w:hyperlink w:anchor="_ENREF_131" w:tooltip="Gutierrez, 2011 #1109" w:history="1">
        <w:r w:rsidR="00B24FEE">
          <w:fldChar w:fldCharType="begin"/>
        </w:r>
        <w:r w:rsidR="00B24FEE">
          <w:instrText xml:space="preserve"> ADDIN EN.CITE &lt;EndNote&gt;&lt;Cite&gt;&lt;Author&gt;Gutierrez&lt;/Author&gt;&lt;Year&gt;2011&lt;/Year&gt;&lt;RecNum&gt;1109&lt;/RecNum&gt;&lt;DisplayText&gt;&lt;style face="superscript"&gt;131&lt;/style&gt;&lt;/DisplayText&gt;&lt;record&gt;&lt;rec-number&gt;1109&lt;/rec-number&gt;&lt;foreign-keys&gt;&lt;key app="EN" db-id="sxpszd2ti9dx04ewefrvfp5bpf5faazszr9p" timestamp="1435658150"&gt;1109&lt;/key&gt;&lt;/foreign-keys&gt;&lt;ref-type name="Journal Article"&gt;17&lt;/ref-type&gt;&lt;contributors&gt;&lt;authors&gt;&lt;author&gt;Gutierrez, L.&lt;/author&gt;&lt;author&gt;Roskell, N.&lt;/author&gt;&lt;author&gt;Castellsague, J.&lt;/author&gt;&lt;author&gt;Beard, S.&lt;/author&gt;&lt;author&gt;Rycroft, C.&lt;/author&gt;&lt;author&gt;Abeysinghe, S.&lt;/author&gt;&lt;author&gt;Shannon, P.&lt;/author&gt;&lt;author&gt;Robbins, S.&lt;/author&gt;&lt;author&gt;Gitlin, M.&lt;/author&gt;&lt;/authors&gt;&lt;/contributors&gt;&lt;auth-address&gt;RTI Health Solutions, Spain. lgutierrez@rti.org&lt;/auth-address&gt;&lt;titles&gt;&lt;title&gt;Study of the incremental cost and clinical burden of hip fractures in postmenopausal women in the United Kingdom&lt;/title&gt;&lt;secondary-title&gt;J Med Econ&lt;/secondary-title&gt;&lt;/titles&gt;&lt;periodical&gt;&lt;full-title&gt;J Med Econ&lt;/full-title&gt;&lt;/periodical&gt;&lt;pages&gt;99-107&lt;/pages&gt;&lt;volume&gt;14&lt;/volume&gt;&lt;number&gt;1&lt;/number&gt;&lt;edition&gt;2011/01/13&lt;/edition&gt;&lt;keywords&gt;&lt;keyword&gt;Aged&lt;/keyword&gt;&lt;keyword&gt;Aged, 80 and over&lt;/keyword&gt;&lt;keyword&gt;Cohort Studies&lt;/keyword&gt;&lt;keyword&gt;*Cost of Illness&lt;/keyword&gt;&lt;keyword&gt;Female&lt;/keyword&gt;&lt;keyword&gt;Great Britain&lt;/keyword&gt;&lt;keyword&gt;*Health Care Costs&lt;/keyword&gt;&lt;keyword&gt;Health Services/utilization&lt;/keyword&gt;&lt;keyword&gt;Hip Fractures/*economics/etiology&lt;/keyword&gt;&lt;keyword&gt;Humans&lt;/keyword&gt;&lt;keyword&gt;Middle Aged&lt;/keyword&gt;&lt;keyword&gt;Osteoporosis, Postmenopausal/*complications&lt;/keyword&gt;&lt;keyword&gt;Retrospective Studies&lt;/keyword&gt;&lt;/keywords&gt;&lt;dates&gt;&lt;year&gt;2011&lt;/year&gt;&lt;/dates&gt;&lt;isbn&gt;1941-837X (Electronic)&amp;#xD;1369-6998 (Linking)&lt;/isbn&gt;&lt;accession-num&gt;21222505&lt;/accession-num&gt;&lt;urls&gt;&lt;related-urls&gt;&lt;url&gt;http://www.ncbi.nlm.nih.gov/pubmed/21222505&lt;/url&gt;&lt;/related-urls&gt;&lt;/urls&gt;&lt;electronic-resource-num&gt;10.3111/13696998.2010.547967&lt;/electronic-resource-num&gt;&lt;language&gt;eng&lt;/language&gt;&lt;/record&gt;&lt;/Cite&gt;&lt;/EndNote&gt;</w:instrText>
        </w:r>
        <w:r w:rsidR="00B24FEE">
          <w:fldChar w:fldCharType="separate"/>
        </w:r>
        <w:r w:rsidR="00B24FEE" w:rsidRPr="00B24FEE">
          <w:rPr>
            <w:noProof/>
            <w:vertAlign w:val="superscript"/>
          </w:rPr>
          <w:t>131</w:t>
        </w:r>
        <w:r w:rsidR="00B24FEE">
          <w:fldChar w:fldCharType="end"/>
        </w:r>
      </w:hyperlink>
      <w:r w:rsidRPr="00591BFC">
        <w:t xml:space="preserve"> reported costs based on 2,427 women aged over 50 years identified in a primary care research database. The time horizon of the analysis was 12 months post hip fracture. The authors reported the costs to be £6,176 in the first year after hip fracture and £5,083 during the acute admission (2012/13 prices).  Sahota </w:t>
      </w:r>
      <w:r w:rsidRPr="00591BFC">
        <w:rPr>
          <w:i/>
        </w:rPr>
        <w:t>et al.</w:t>
      </w:r>
      <w:r w:rsidRPr="00591BFC">
        <w:t>(2012)</w:t>
      </w:r>
      <w:hyperlink w:anchor="_ENREF_132" w:tooltip="Sahota, 2012 #1110" w:history="1">
        <w:r w:rsidR="00B24FEE">
          <w:fldChar w:fldCharType="begin">
            <w:fldData xml:space="preserve">PEVuZE5vdGU+PENpdGU+PEF1dGhvcj5TYWhvdGE8L0F1dGhvcj48WWVhcj4yMDEyPC9ZZWFyPjxS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</w:fldData>
          </w:fldChar>
        </w:r>
        <w:r w:rsidR="00B24FEE">
          <w:instrText xml:space="preserve"> ADDIN EN.CITE </w:instrText>
        </w:r>
        <w:r w:rsidR="00B24FEE">
          <w:fldChar w:fldCharType="begin">
            <w:fldData xml:space="preserve">PEVuZE5vdGU+PENpdGU+PEF1dGhvcj5TYWhvdGE8L0F1dGhvcj48WWVhcj4yMDEyPC9ZZWFyPjxS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</w:fldData>
          </w:fldChar>
        </w:r>
        <w:r w:rsidR="00B24FEE">
          <w:instrText xml:space="preserve"> ADDIN EN.CITE.DATA </w:instrText>
        </w:r>
        <w:r w:rsidR="00B24FEE">
          <w:fldChar w:fldCharType="end"/>
        </w:r>
        <w:r w:rsidR="00B24FEE">
          <w:fldChar w:fldCharType="separate"/>
        </w:r>
        <w:r w:rsidR="00B24FEE" w:rsidRPr="00B24FEE">
          <w:rPr>
            <w:noProof/>
            <w:vertAlign w:val="superscript"/>
          </w:rPr>
          <w:t>132</w:t>
        </w:r>
        <w:r w:rsidR="00B24FEE">
          <w:fldChar w:fldCharType="end"/>
        </w:r>
      </w:hyperlink>
      <w:r w:rsidRPr="00591BFC">
        <w:t xml:space="preserve"> estimated costs based on a sample of 100 hip fracture patients admitted from nursing or residential home. The time horizon of analysis was from hospital admission to discharge. Using HRGs to inform the unit costs, these authors reported the acute inpatient stay to cost £7,468 (2012/13 prices). Thakar </w:t>
      </w:r>
      <w:r w:rsidRPr="00591BFC">
        <w:rPr>
          <w:i/>
        </w:rPr>
        <w:t>et al.</w:t>
      </w:r>
      <w:r w:rsidRPr="00591BFC">
        <w:t xml:space="preserve"> (2010)</w:t>
      </w:r>
      <w:hyperlink w:anchor="_ENREF_133" w:tooltip="Thakar, 2010 #1111" w:history="1">
        <w:r w:rsidR="00B24FEE">
          <w:fldChar w:fldCharType="begin">
            <w:fldData xml:space="preserve">PEVuZE5vdGU+PENpdGU+PEF1dGhvcj5UaGFrYXI8L0F1dGhvcj48WWVhcj4yMDEwPC9ZZWFyPjxS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</w:fldData>
          </w:fldChar>
        </w:r>
        <w:r w:rsidR="00B24FEE">
          <w:instrText xml:space="preserve"> ADDIN EN.CITE </w:instrText>
        </w:r>
        <w:r w:rsidR="00B24FEE">
          <w:fldChar w:fldCharType="begin">
            <w:fldData xml:space="preserve">PEVuZE5vdGU+PENpdGU+PEF1dGhvcj5UaGFrYXI8L0F1dGhvcj48WWVhcj4yMDEwPC9ZZWFyPjxS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</w:fldData>
          </w:fldChar>
        </w:r>
        <w:r w:rsidR="00B24FEE">
          <w:instrText xml:space="preserve"> ADDIN EN.CITE.DATA </w:instrText>
        </w:r>
        <w:r w:rsidR="00B24FEE">
          <w:fldChar w:fldCharType="end"/>
        </w:r>
        <w:r w:rsidR="00B24FEE">
          <w:fldChar w:fldCharType="separate"/>
        </w:r>
        <w:r w:rsidR="00B24FEE" w:rsidRPr="00B24FEE">
          <w:rPr>
            <w:noProof/>
            <w:vertAlign w:val="superscript"/>
          </w:rPr>
          <w:t>133</w:t>
        </w:r>
        <w:r w:rsidR="00B24FEE">
          <w:fldChar w:fldCharType="end"/>
        </w:r>
      </w:hyperlink>
      <w:r w:rsidRPr="00591BFC">
        <w:t xml:space="preserve"> reported a prospective study that included all hip fractures admitted into a single hospital over a five year period. These authors then compared 144 cases with complications requiring surgery against 288 controls. The time horizon of the costs was from acute admission to hospital discharge including rehabilitation and patients with complications were reported to cost £12,137 compared to £4,202 for patients without complications (2012/13 prices). </w:t>
      </w:r>
      <w:r w:rsidRPr="00591BFC">
        <w:lastRenderedPageBreak/>
        <w:t xml:space="preserve">Finally, Kazi </w:t>
      </w:r>
      <w:r w:rsidRPr="00591BFC">
        <w:rPr>
          <w:i/>
        </w:rPr>
        <w:t xml:space="preserve">et al. </w:t>
      </w:r>
      <w:r w:rsidRPr="00591BFC">
        <w:t>(2011)</w:t>
      </w:r>
      <w:hyperlink w:anchor="_ENREF_134" w:tooltip="Kazi, 2011 #1118" w:history="1">
        <w:r w:rsidR="00B24FEE">
          <w:fldChar w:fldCharType="begin"/>
        </w:r>
        <w:r w:rsidR="00B24FEE">
          <w:instrText xml:space="preserve"> ADDIN EN.CITE &lt;EndNote&gt;&lt;Cite&gt;&lt;Author&gt;Kazi&lt;/Author&gt;&lt;Year&gt;2011&lt;/Year&gt;&lt;RecNum&gt;1118&lt;/RecNum&gt;&lt;DisplayText&gt;&lt;style face="superscript"&gt;134&lt;/style&gt;&lt;/DisplayText&gt;&lt;record&gt;&lt;rec-number&gt;1118&lt;/rec-number&gt;&lt;foreign-keys&gt;&lt;key app="EN" db-id="sxpszd2ti9dx04ewefrvfp5bpf5faazszr9p" timestamp="1435658837"&gt;1118&lt;/key&gt;&lt;/foreign-keys&gt;&lt;ref-type name="Journal Article"&gt;17&lt;/ref-type&gt;&lt;contributors&gt;&lt;authors&gt;&lt;author&gt;Kazi, H. A., Acharya A.&lt;/author&gt;&lt;/authors&gt;&lt;/contributors&gt;&lt;titles&gt;&lt;title&gt;Comparison of trauma and elective income in a district general hospital. British Journal of Medical Practitioners&lt;/title&gt;&lt;secondary-title&gt;British Journal of Medical Practitioners&lt;/secondary-title&gt;&lt;/titles&gt;&lt;periodical&gt;&lt;full-title&gt;British Journal of Medical Practitioners&lt;/full-title&gt;&lt;/periodical&gt;&lt;volume&gt;4&lt;/volume&gt;&lt;number&gt;4&lt;/number&gt;&lt;dates&gt;&lt;year&gt;2011&lt;/year&gt;&lt;/dates&gt;&lt;urls&gt;&lt;/urls&gt;&lt;/record&gt;&lt;/Cite&gt;&lt;/EndNote&gt;</w:instrText>
        </w:r>
        <w:r w:rsidR="00B24FEE">
          <w:fldChar w:fldCharType="separate"/>
        </w:r>
        <w:r w:rsidR="00B24FEE" w:rsidRPr="00B24FEE">
          <w:rPr>
            <w:noProof/>
            <w:vertAlign w:val="superscript"/>
          </w:rPr>
          <w:t>134</w:t>
        </w:r>
        <w:r w:rsidR="00B24FEE">
          <w:fldChar w:fldCharType="end"/>
        </w:r>
      </w:hyperlink>
      <w:r w:rsidRPr="00591BFC">
        <w:t xml:space="preserve"> estimate the costs of acute inpatient stay post hip fracture to be £8,654 based on 11 hip fracture admissions to a single hospital (2012/13 prices).</w:t>
      </w:r>
    </w:p>
    <w:p w14:paraId="652A11E1" w14:textId="77777777" w:rsidR="002A383E" w:rsidRPr="00591BFC" w:rsidRDefault="002A383E" w:rsidP="00E86771">
      <w:pPr>
        <w:spacing w:line="360" w:lineRule="auto"/>
      </w:pPr>
      <w:r w:rsidRPr="00591BFC">
        <w:t xml:space="preserve">Existent UK data on primary </w:t>
      </w:r>
      <w:r w:rsidR="000E4AD5">
        <w:t xml:space="preserve">care </w:t>
      </w:r>
      <w:r w:rsidRPr="00591BFC">
        <w:t xml:space="preserve">and hospital care costs associated with hip fractures </w:t>
      </w:r>
      <w:r w:rsidR="000E4AD5">
        <w:t>have several limitations</w:t>
      </w:r>
      <w:r w:rsidRPr="00591BFC">
        <w:t xml:space="preserve">. Hence, there is significant scope to </w:t>
      </w:r>
      <w:r w:rsidR="00D875A3" w:rsidRPr="00D875A3">
        <w:t xml:space="preserve">improve the evidence base </w:t>
      </w:r>
      <w:r w:rsidRPr="00591BFC">
        <w:t xml:space="preserve"> by using large primary </w:t>
      </w:r>
      <w:r w:rsidR="00D875A3">
        <w:t xml:space="preserve">care </w:t>
      </w:r>
      <w:r w:rsidRPr="00591BFC">
        <w:t xml:space="preserve">and secondary care administrative datasets to estimate short- and long-term costs and resource use using samples that are representative of the hip fracture population and that are large enough to explore in detail potential drivers of costs. </w:t>
      </w:r>
    </w:p>
    <w:p w14:paraId="19FCD3DC" w14:textId="77777777" w:rsidR="002A383E" w:rsidRPr="00591BFC" w:rsidRDefault="002A383E" w:rsidP="00E86771">
      <w:pPr>
        <w:spacing w:line="360" w:lineRule="auto"/>
      </w:pPr>
    </w:p>
    <w:p w14:paraId="135860B6" w14:textId="77777777" w:rsidR="002A383E" w:rsidRPr="00591BFC" w:rsidRDefault="002149AD" w:rsidP="00E86771">
      <w:pPr>
        <w:keepNext/>
        <w:spacing w:line="360" w:lineRule="auto"/>
      </w:pPr>
      <w:r>
        <w:rPr>
          <w:noProof/>
          <w:lang w:eastAsia="en-GB"/>
        </w:rPr>
        <w:pict w14:anchorId="2BFD6F11">
          <v:shape id="_x0000_i1048" type="#_x0000_t75" style="width:356.45pt;height:387.4pt;visibility:visible">
            <v:imagedata r:id="rId35" o:title=""/>
          </v:shape>
        </w:pict>
      </w:r>
    </w:p>
    <w:p w14:paraId="4082EC07" w14:textId="77777777" w:rsidR="002A383E" w:rsidRPr="00591BFC" w:rsidRDefault="002A383E" w:rsidP="00E86771">
      <w:pPr>
        <w:pStyle w:val="Caption"/>
        <w:spacing w:line="360" w:lineRule="auto"/>
      </w:pPr>
      <w:bookmarkStart w:id="319" w:name="_Ref423075368"/>
      <w:bookmarkStart w:id="320" w:name="_Toc424650335"/>
      <w:bookmarkStart w:id="321" w:name="_Toc311366720"/>
      <w:r w:rsidRPr="00591BFC">
        <w:t xml:space="preserve">Figure </w:t>
      </w:r>
      <w:r w:rsidR="002149AD">
        <w:fldChar w:fldCharType="begin"/>
      </w:r>
      <w:r w:rsidR="002149AD">
        <w:instrText xml:space="preserve"> SEQ Figure \* ARABIC </w:instrText>
      </w:r>
      <w:r w:rsidR="002149AD">
        <w:fldChar w:fldCharType="separate"/>
      </w:r>
      <w:r w:rsidR="003B70E3">
        <w:rPr>
          <w:noProof/>
        </w:rPr>
        <w:t>24</w:t>
      </w:r>
      <w:r w:rsidR="002149AD">
        <w:rPr>
          <w:noProof/>
        </w:rPr>
        <w:fldChar w:fldCharType="end"/>
      </w:r>
      <w:bookmarkEnd w:id="319"/>
      <w:r w:rsidRPr="00591BFC">
        <w:t xml:space="preserve"> PRISMA flow diagram for literature search of patient-level UK costing studies</w:t>
      </w:r>
      <w:bookmarkEnd w:id="320"/>
      <w:bookmarkEnd w:id="321"/>
    </w:p>
    <w:p w14:paraId="79A58E13" w14:textId="77777777" w:rsidR="002A383E" w:rsidRPr="00591BFC" w:rsidRDefault="002A383E" w:rsidP="00E86771">
      <w:pPr>
        <w:spacing w:line="360" w:lineRule="auto"/>
      </w:pPr>
    </w:p>
    <w:p w14:paraId="5F485E52" w14:textId="77777777" w:rsidR="002A383E" w:rsidRPr="00591BFC" w:rsidRDefault="002A383E" w:rsidP="00E86771">
      <w:pPr>
        <w:pStyle w:val="Heading2"/>
        <w:spacing w:line="360" w:lineRule="auto"/>
        <w:rPr>
          <w:rFonts w:ascii="Calibri" w:hAnsi="Calibri"/>
          <w:lang w:val="en-GB"/>
        </w:rPr>
      </w:pPr>
      <w:bookmarkStart w:id="322" w:name="_Toc308300789"/>
      <w:bookmarkStart w:id="323" w:name="_Toc311366596"/>
      <w:r w:rsidRPr="00591BFC">
        <w:rPr>
          <w:rFonts w:ascii="Calibri" w:hAnsi="Calibri"/>
          <w:lang w:val="en-GB"/>
        </w:rPr>
        <w:lastRenderedPageBreak/>
        <w:t>Methods</w:t>
      </w:r>
      <w:bookmarkEnd w:id="322"/>
      <w:bookmarkEnd w:id="323"/>
    </w:p>
    <w:p w14:paraId="76574D85" w14:textId="77777777" w:rsidR="002A383E" w:rsidRPr="00591BFC" w:rsidRDefault="002A383E" w:rsidP="00E86771">
      <w:pPr>
        <w:pStyle w:val="Heading3"/>
        <w:spacing w:line="360" w:lineRule="auto"/>
        <w:rPr>
          <w:rFonts w:ascii="Calibri" w:hAnsi="Calibri"/>
          <w:lang w:val="en-GB"/>
        </w:rPr>
      </w:pPr>
      <w:bookmarkStart w:id="324" w:name="_Toc308300790"/>
      <w:bookmarkStart w:id="325" w:name="_Toc311366597"/>
      <w:r w:rsidRPr="00591BFC">
        <w:rPr>
          <w:rFonts w:ascii="Calibri" w:hAnsi="Calibri"/>
          <w:lang w:val="en-GB"/>
        </w:rPr>
        <w:t>Setting and data sources</w:t>
      </w:r>
      <w:bookmarkEnd w:id="324"/>
      <w:bookmarkEnd w:id="325"/>
    </w:p>
    <w:p w14:paraId="0E45F070" w14:textId="77777777" w:rsidR="002A383E" w:rsidRPr="00591BFC" w:rsidRDefault="002A383E" w:rsidP="00E86771">
      <w:pPr>
        <w:spacing w:line="360" w:lineRule="auto"/>
      </w:pPr>
      <w:r w:rsidRPr="00591BFC">
        <w:t xml:space="preserve">We used two sets of data sources to estimate the costs associated with a hip fracture. For hospital costs, we used the </w:t>
      </w:r>
      <w:r w:rsidR="00D875A3">
        <w:t>HES</w:t>
      </w:r>
      <w:r w:rsidRPr="00591BFC">
        <w:t xml:space="preserve"> database and for primary costs we used </w:t>
      </w:r>
      <w:r w:rsidR="00D875A3">
        <w:t xml:space="preserve">CPRD GOLD </w:t>
      </w:r>
      <w:r w:rsidR="00D875A3" w:rsidRPr="00D875A3">
        <w:t>(see Chapter 4 for description of data sources)</w:t>
      </w:r>
      <w:r w:rsidRPr="00591BFC">
        <w:t>. We adopted the same incidence-based approach to identify hip fracture patients in both sets of data and estimate the costs of hip fracture.</w:t>
      </w:r>
    </w:p>
    <w:p w14:paraId="2C25BBC0" w14:textId="77777777" w:rsidR="002A383E" w:rsidRPr="00591BFC" w:rsidRDefault="002A383E" w:rsidP="00E86771">
      <w:pPr>
        <w:pStyle w:val="Heading4"/>
        <w:spacing w:line="360" w:lineRule="auto"/>
        <w:rPr>
          <w:rFonts w:ascii="Calibri" w:hAnsi="Calibri"/>
        </w:rPr>
      </w:pPr>
      <w:r w:rsidRPr="00591BFC">
        <w:rPr>
          <w:rFonts w:ascii="Calibri" w:hAnsi="Calibri"/>
        </w:rPr>
        <w:t>HES dataset</w:t>
      </w:r>
    </w:p>
    <w:p w14:paraId="3EA07E08" w14:textId="77777777" w:rsidR="002A383E" w:rsidRPr="00591BFC" w:rsidRDefault="002A383E" w:rsidP="00E86771">
      <w:pPr>
        <w:spacing w:line="360" w:lineRule="auto"/>
      </w:pPr>
      <w:r w:rsidRPr="00591BFC">
        <w:t xml:space="preserve">Data were obtained from the </w:t>
      </w:r>
      <w:r w:rsidR="00D875A3">
        <w:t>HES</w:t>
      </w:r>
      <w:r w:rsidRPr="00591BFC">
        <w:t xml:space="preserve"> database for a representative region of the UK covering a population of around 4 million people and with 11 </w:t>
      </w:r>
      <w:r w:rsidR="00D875A3">
        <w:t>NHS</w:t>
      </w:r>
      <w:r w:rsidRPr="00591BFC">
        <w:t xml:space="preserve"> hospitals treating fragility fractures. This database captures all hospital NHS patient care, as well as private patients treated in NHS hospitals and care delivered by treatment centres (including private providers) funded by the NHS. It contains anonymised patient administrative information (such as date of admission and discharge, admission method, age, gender, and length of stay), diagnosis (ICD-10) and procedures codes (OPCS-4). We extracted inpatient care data from April 1999 to March 2013, hospital outpatient activity from April 2003 and accident and emergency attendances from April 2007. Deaths were obtained from the linked HES and Office of National Statistics (ONS) mortality database, which captures deaths occurring in and out of hospital. </w:t>
      </w:r>
    </w:p>
    <w:p w14:paraId="2E0FC51C" w14:textId="77777777" w:rsidR="002A383E" w:rsidRPr="00591BFC" w:rsidRDefault="002A383E" w:rsidP="00E86771">
      <w:pPr>
        <w:pStyle w:val="Heading4"/>
        <w:spacing w:line="360" w:lineRule="auto"/>
        <w:rPr>
          <w:rFonts w:ascii="Calibri" w:hAnsi="Calibri"/>
        </w:rPr>
      </w:pPr>
      <w:r w:rsidRPr="00591BFC">
        <w:rPr>
          <w:rFonts w:ascii="Calibri" w:hAnsi="Calibri"/>
        </w:rPr>
        <w:t>CPRD dataset</w:t>
      </w:r>
    </w:p>
    <w:p w14:paraId="2E099299" w14:textId="77777777" w:rsidR="002A383E" w:rsidRPr="00591BFC" w:rsidRDefault="002A383E" w:rsidP="00E86771">
      <w:pPr>
        <w:spacing w:line="360" w:lineRule="auto"/>
      </w:pPr>
      <w:r w:rsidRPr="00591BFC">
        <w:t xml:space="preserve">The CPRD GOLD database contains data on patient consultations entered by the GP, medical history, referrals data, tests and all pharmaceutical prescriptions on the GP system.  </w:t>
      </w:r>
      <w:r w:rsidR="00D875A3" w:rsidRPr="00D875A3">
        <w:t xml:space="preserve">The data extracted </w:t>
      </w:r>
      <w:r w:rsidRPr="00591BFC">
        <w:t>consisted of patients with a first ever clinical or referral record of hip fracture occurring from 01/01/1999 onwards and with at least three years of GP registration prior to the index date. Hip fracture was identified using pre-defined READ codes</w:t>
      </w:r>
      <w:r w:rsidR="00D875A3">
        <w:t xml:space="preserve"> (see Appendix 3)</w:t>
      </w:r>
      <w:r w:rsidRPr="00591BFC">
        <w:t xml:space="preserve">. </w:t>
      </w:r>
      <w:r w:rsidR="00D875A3">
        <w:t>T</w:t>
      </w:r>
      <w:r w:rsidRPr="00591BFC">
        <w:t xml:space="preserve">he CPRD GOLD dataset was linked to HES and ONS (mortality) records. </w:t>
      </w:r>
      <w:r w:rsidR="00D875A3" w:rsidRPr="00D875A3">
        <w:t>About 60% of the primary care practices contributing to CPRD have agreed to linkage to the HES and ONS data.</w:t>
      </w:r>
      <w:r w:rsidR="00D875A3">
        <w:t xml:space="preserve"> When HES data could be linked to CPRD, records </w:t>
      </w:r>
      <w:r w:rsidRPr="00591BFC">
        <w:t xml:space="preserve">consisted </w:t>
      </w:r>
      <w:r w:rsidR="00D875A3">
        <w:t>of</w:t>
      </w:r>
      <w:r w:rsidRPr="00591BFC">
        <w:t xml:space="preserve"> inpatient care data</w:t>
      </w:r>
      <w:r w:rsidR="00D875A3">
        <w:t xml:space="preserve"> from April 1999 to March 2012.</w:t>
      </w:r>
    </w:p>
    <w:p w14:paraId="4049BFBD" w14:textId="77777777" w:rsidR="002A383E" w:rsidRPr="00591BFC" w:rsidRDefault="002A383E" w:rsidP="00E86771">
      <w:pPr>
        <w:pStyle w:val="Heading3"/>
        <w:spacing w:line="360" w:lineRule="auto"/>
        <w:rPr>
          <w:rFonts w:ascii="Calibri" w:hAnsi="Calibri"/>
          <w:lang w:val="en-GB"/>
        </w:rPr>
      </w:pPr>
      <w:bookmarkStart w:id="326" w:name="_Toc308300791"/>
      <w:bookmarkStart w:id="327" w:name="_Toc311366598"/>
      <w:r w:rsidRPr="00591BFC">
        <w:rPr>
          <w:rFonts w:ascii="Calibri" w:hAnsi="Calibri"/>
          <w:lang w:val="en-GB"/>
        </w:rPr>
        <w:t>Study participants</w:t>
      </w:r>
      <w:bookmarkEnd w:id="326"/>
      <w:bookmarkEnd w:id="327"/>
    </w:p>
    <w:p w14:paraId="684D8C6D" w14:textId="77777777" w:rsidR="002A383E" w:rsidRPr="00591BFC" w:rsidRDefault="002A383E" w:rsidP="00E86771">
      <w:pPr>
        <w:spacing w:line="360" w:lineRule="auto"/>
      </w:pPr>
      <w:r w:rsidRPr="00591BFC">
        <w:t xml:space="preserve">To be consistent, we used the same approach to identify patients with a hip fracture in the HES and CPRD datasets. We searched the hospital finished consultant episodes for patients over 60 years of age who had had an emergency hospital admission with a primary ICD-10 diagnosis code for hip fracture (S72.0-S72.2 S72.9) between April 2003 and March 2013 (HES dataset) and April 2003 and March 2012 (CPRD dataset). We extracted all primary (CPRD) and hospital (HES) records before and after that admission. A number of exclusion criteria were applied to minimise misclassification: 1) </w:t>
      </w:r>
      <w:r w:rsidRPr="00591BFC">
        <w:lastRenderedPageBreak/>
        <w:t>day cases were excluded by imposing a condition that patients had to stay at least one night in hospital, unless death occurred in the first 24 hours of admission; 2) individuals who had had a previous hip fracture between April 1999 and March 2003 were excluded to reduce duplicate coding of hip fractures that occurred before the period of analysis but led to repeat hospital admissions due to complications or unresolved sequelae,; 3) patients were also excluded if they had had a hip fracture due to trauma, such as transport accidents</w:t>
      </w:r>
      <w:r w:rsidR="00D875A3">
        <w:t xml:space="preserve"> identified</w:t>
      </w:r>
      <w:r w:rsidRPr="00591BFC">
        <w:t xml:space="preserve"> using ICD</w:t>
      </w:r>
      <w:r w:rsidR="004D147C" w:rsidRPr="00591BFC">
        <w:t>-</w:t>
      </w:r>
      <w:r w:rsidRPr="00591BFC">
        <w:t xml:space="preserve">10 codes (V01-V99). </w:t>
      </w:r>
    </w:p>
    <w:p w14:paraId="0211187A" w14:textId="77777777" w:rsidR="002A383E" w:rsidRPr="00591BFC" w:rsidRDefault="002A383E" w:rsidP="00E86771">
      <w:pPr>
        <w:spacing w:line="360" w:lineRule="auto"/>
      </w:pPr>
      <w:r w:rsidRPr="00591BFC">
        <w:t xml:space="preserve">When estimating hospital costs in the year before and after fracture we included only patients with an index admission after 1 April 2008, to ensure that outpatient and emergency attendances costs would be included. We refer to this set of results as ‘total hospital’ costs and contacts. Conversely, we used the whole HES dataset (April 2003 to April 2013) to report costs due to hospitalisation, critical care and day cases, and benefit from the increased statistical power. We refer to these results as ‘hospitalisation’ costs. When estimating primary care costs, we included only patients that were registered with a GP at the time of index hip fracture admission. </w:t>
      </w:r>
    </w:p>
    <w:p w14:paraId="64E4C2DB" w14:textId="77777777" w:rsidR="002A383E" w:rsidRPr="00591BFC" w:rsidRDefault="002A383E" w:rsidP="00E86771">
      <w:pPr>
        <w:spacing w:line="360" w:lineRule="auto"/>
      </w:pPr>
      <w:r w:rsidRPr="00591BFC">
        <w:t xml:space="preserve">Second hip fractures were identified using the same approach as for the index fracture. To ensure </w:t>
      </w:r>
      <w:r w:rsidR="00D875A3">
        <w:t xml:space="preserve">they were </w:t>
      </w:r>
      <w:r w:rsidRPr="00591BFC">
        <w:t>separate fracture</w:t>
      </w:r>
      <w:r w:rsidR="00D875A3">
        <w:t>s</w:t>
      </w:r>
      <w:r w:rsidRPr="00591BFC">
        <w:t xml:space="preserve"> and not hospital re-admissions due to adverse effects of the index fracture we counted second hip fractures only if admitted in a separate ‘continuous inpatient spell’ (CIPS) from index admission and at least 30 days after admission for the primary fracture. A CIPS is made up by one or more hospital spells (i.e. time patient stays in one hospital) and is defined as a continuous period of care within the NHS, regardless of any transfers to another hospital. A hospital spell starts with the index admission, involves treatment by one or more consultants (i.e.</w:t>
      </w:r>
      <w:r w:rsidR="004D147C" w:rsidRPr="00591BFC">
        <w:t xml:space="preserve"> finished consultant episodes (</w:t>
      </w:r>
      <w:r w:rsidRPr="00591BFC">
        <w:t>FCE) and ends when the patient dies or is discharged from hospital.</w:t>
      </w:r>
    </w:p>
    <w:p w14:paraId="371430CA" w14:textId="77777777" w:rsidR="002A383E" w:rsidRPr="00591BFC" w:rsidRDefault="002A383E" w:rsidP="00E86771">
      <w:pPr>
        <w:spacing w:line="360" w:lineRule="auto"/>
      </w:pPr>
    </w:p>
    <w:p w14:paraId="1CA08F13" w14:textId="77777777" w:rsidR="002A383E" w:rsidRPr="00591BFC" w:rsidRDefault="002A383E" w:rsidP="00E86771">
      <w:pPr>
        <w:pStyle w:val="Heading3"/>
        <w:spacing w:line="360" w:lineRule="auto"/>
        <w:rPr>
          <w:rFonts w:ascii="Calibri" w:hAnsi="Calibri"/>
          <w:lang w:val="en-GB"/>
        </w:rPr>
      </w:pPr>
      <w:bookmarkStart w:id="328" w:name="_Toc308300792"/>
      <w:bookmarkStart w:id="329" w:name="_Toc311366599"/>
      <w:r w:rsidRPr="00591BFC">
        <w:rPr>
          <w:rFonts w:ascii="Calibri" w:hAnsi="Calibri"/>
          <w:lang w:val="en-GB"/>
        </w:rPr>
        <w:t>Primary care costs</w:t>
      </w:r>
      <w:bookmarkEnd w:id="328"/>
      <w:bookmarkEnd w:id="329"/>
    </w:p>
    <w:p w14:paraId="569D8FA3" w14:textId="40C51993" w:rsidR="002A383E" w:rsidRPr="00591BFC" w:rsidRDefault="002A383E" w:rsidP="00E86771">
      <w:pPr>
        <w:pStyle w:val="EndNoteBibliography"/>
        <w:spacing w:after="0" w:line="360" w:lineRule="auto"/>
        <w:rPr>
          <w:lang w:val="en-GB"/>
        </w:rPr>
      </w:pPr>
      <w:r w:rsidRPr="00591BFC">
        <w:rPr>
          <w:lang w:val="en-GB"/>
        </w:rPr>
        <w:t xml:space="preserve">Primary care contacts included GP consultations in clinic/surgery, telephone contacts, </w:t>
      </w:r>
      <w:r w:rsidR="00503B55" w:rsidRPr="00591BFC">
        <w:rPr>
          <w:lang w:val="en-GB"/>
        </w:rPr>
        <w:t>and out</w:t>
      </w:r>
      <w:r w:rsidRPr="00591BFC">
        <w:rPr>
          <w:lang w:val="en-GB"/>
        </w:rPr>
        <w:t xml:space="preserve">-of-office visits. It also included nurse face-to-face and </w:t>
      </w:r>
      <w:r w:rsidR="00D875A3" w:rsidRPr="00591BFC">
        <w:rPr>
          <w:lang w:val="en-GB"/>
        </w:rPr>
        <w:t>non-face-to-face</w:t>
      </w:r>
      <w:r w:rsidRPr="00591BFC">
        <w:rPr>
          <w:lang w:val="en-GB"/>
        </w:rPr>
        <w:t xml:space="preserve"> contacts and contacts with other community healthcare professionals (e.g. health visitor, physiotherapist). </w:t>
      </w:r>
      <w:r w:rsidR="00503B55" w:rsidRPr="00503B55">
        <w:rPr>
          <w:lang w:val="en-GB"/>
        </w:rPr>
        <w:t>GP and nurse consultations excluded repeat prescriptions where the patient was not seen, notes and reports and laboratory/radiology requests and results.</w:t>
      </w:r>
      <w:r w:rsidR="00503B55">
        <w:rPr>
          <w:lang w:val="en-GB"/>
        </w:rPr>
        <w:t xml:space="preserve"> </w:t>
      </w:r>
      <w:r w:rsidR="00503B55" w:rsidRPr="00503B55">
        <w:rPr>
          <w:lang w:val="en-GB"/>
        </w:rPr>
        <w:t>Following previous research</w:t>
      </w:r>
      <w:hyperlink w:anchor="_ENREF_135" w:tooltip="Hippisley-Cox, 2009 #1252" w:history="1">
        <w:r w:rsidR="00B24FEE">
          <w:rPr>
            <w:lang w:val="en-GB"/>
          </w:rPr>
          <w:fldChar w:fldCharType="begin"/>
        </w:r>
        <w:r w:rsidR="00B24FEE">
          <w:rPr>
            <w:lang w:val="en-GB"/>
          </w:rPr>
          <w:instrText xml:space="preserve"> ADDIN EN.CITE &lt;EndNote&gt;&lt;Cite&gt;&lt;Author&gt;Hippisley-Cox&lt;/Author&gt;&lt;Year&gt;2009&lt;/Year&gt;&lt;RecNum&gt;1252&lt;/RecNum&gt;&lt;DisplayText&gt;&lt;style face="superscript"&gt;135&lt;/style&gt;&lt;/DisplayText&gt;&lt;record&gt;&lt;rec-number&gt;1252&lt;/rec-number&gt;&lt;foreign-keys&gt;&lt;key app="EN" db-id="sxpszd2ti9dx04ewefrvfp5bpf5faazszr9p" timestamp="1436783504"&gt;1252&lt;/key&gt;&lt;/foreign-keys&gt;&lt;ref-type name="Report"&gt;27&lt;/ref-type&gt;&lt;contributors&gt;&lt;authors&gt;&lt;author&gt;Hippisley-Cox, J. Vinogradova, Y.&lt;/author&gt;&lt;/authors&gt;&lt;tertiary-authors&gt;&lt;author&gt;Health and Social Care Information Centre&lt;/author&gt;&lt;/tertiary-authors&gt;&lt;/contributors&gt;&lt;titles&gt;&lt;title&gt;Trends in Consultation Rates in General Practice 1995/1996 to 2008/2009: Analysis of the QResearch® database&lt;/title&gt;&lt;/titles&gt;&lt;dates&gt;&lt;year&gt;2009&lt;/year&gt;&lt;/dates&gt;&lt;urls&gt;&lt;related-urls&gt;&lt;url&gt;http://www.hscic.gov.uk/catalogue/PUB01077/tren-cons-rate-gene-prac-95-09-95-09-rep.pdf&lt;/url&gt;&lt;/related-urls&gt;&lt;/urls&gt;&lt;/record&gt;&lt;/Cite&gt;&lt;/EndNote&gt;</w:instrText>
        </w:r>
        <w:r w:rsidR="00B24FEE">
          <w:rPr>
            <w:lang w:val="en-GB"/>
          </w:rPr>
          <w:fldChar w:fldCharType="separate"/>
        </w:r>
        <w:r w:rsidR="00B24FEE" w:rsidRPr="00B24FEE">
          <w:rPr>
            <w:noProof/>
            <w:vertAlign w:val="superscript"/>
            <w:lang w:val="en-GB"/>
          </w:rPr>
          <w:t>135</w:t>
        </w:r>
        <w:r w:rsidR="00B24FEE">
          <w:rPr>
            <w:lang w:val="en-GB"/>
          </w:rPr>
          <w:fldChar w:fldCharType="end"/>
        </w:r>
      </w:hyperlink>
      <w:r w:rsidR="00503B55">
        <w:rPr>
          <w:lang w:val="en-GB"/>
        </w:rPr>
        <w:t>,</w:t>
      </w:r>
      <w:r w:rsidR="00503B55" w:rsidRPr="00503B55">
        <w:rPr>
          <w:lang w:val="en-GB"/>
        </w:rPr>
        <w:t>GPs were identified using the following codes: Senior Partner; Partner;  Associate; Non-commercial local rota of less than 10 GPs; Commercial Deputising service; GP Registrar; Sole Practitioner; and GP Retainer</w:t>
      </w:r>
      <w:r w:rsidR="00503B55">
        <w:rPr>
          <w:lang w:val="en-GB"/>
        </w:rPr>
        <w:t>. ]. Nurses were identified using</w:t>
      </w:r>
      <w:r w:rsidR="00503B55" w:rsidRPr="00503B55">
        <w:rPr>
          <w:lang w:val="en-GB"/>
        </w:rPr>
        <w:t xml:space="preserve">: Practice Nurses; Community based Nurses; Hospital Nurse; School Nurse; and Other Nursing &amp; Midwifery. CPRD records listing administrative staff, such as secretaries, IT staff, practice and fund managers, and receptionists were not counted as a clinical direct contact with the patient </w:t>
      </w:r>
      <w:r w:rsidR="00503B55" w:rsidRPr="00503B55">
        <w:rPr>
          <w:lang w:val="en-GB"/>
        </w:rPr>
        <w:lastRenderedPageBreak/>
        <w:t>and were, therefore, excluded from the costs.</w:t>
      </w:r>
      <w:r w:rsidR="00503B55">
        <w:rPr>
          <w:lang w:val="en-GB"/>
        </w:rPr>
        <w:t xml:space="preserve"> </w:t>
      </w:r>
      <w:r w:rsidRPr="00591BFC">
        <w:rPr>
          <w:lang w:val="en-GB"/>
        </w:rPr>
        <w:t>Following a previous study</w:t>
      </w:r>
      <w:hyperlink w:anchor="_ENREF_136" w:tooltip="Violato, 2012 #1131" w:history="1">
        <w:r w:rsidR="00B24FEE">
          <w:rPr>
            <w:lang w:val="en-GB"/>
          </w:rPr>
          <w:fldChar w:fldCharType="begin">
            <w:fldData xml:space="preserve">PEVuZE5vdGU+PENpdGU+PEF1dGhvcj5WaW9sYXRvPC9BdXRob3I+PFllYXI+MjAxMjwvWWVhcj48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</w:fldData>
          </w:fldChar>
        </w:r>
        <w:r w:rsidR="00B24FEE">
          <w:rPr>
            <w:lang w:val="en-GB"/>
          </w:rPr>
          <w:instrText xml:space="preserve"> ADDIN EN.CITE </w:instrText>
        </w:r>
        <w:r w:rsidR="00B24FEE">
          <w:rPr>
            <w:lang w:val="en-GB"/>
          </w:rPr>
          <w:fldChar w:fldCharType="begin">
            <w:fldData xml:space="preserve">PEVuZE5vdGU+PENpdGU+PEF1dGhvcj5WaW9sYXRvPC9BdXRob3I+PFllYXI+MjAxMjwvWWVhcj48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</w:fldData>
          </w:fldChar>
        </w:r>
        <w:r w:rsidR="00B24FEE">
          <w:rPr>
            <w:lang w:val="en-GB"/>
          </w:rPr>
          <w:instrText xml:space="preserve"> ADDIN EN.CITE.DATA </w:instrText>
        </w:r>
        <w:r w:rsidR="00B24FEE">
          <w:rPr>
            <w:lang w:val="en-GB"/>
          </w:rPr>
        </w:r>
        <w:r w:rsidR="00B24FEE">
          <w:rPr>
            <w:lang w:val="en-GB"/>
          </w:rPr>
          <w:fldChar w:fldCharType="end"/>
        </w:r>
        <w:r w:rsidR="00B24FEE">
          <w:rPr>
            <w:lang w:val="en-GB"/>
          </w:rPr>
        </w:r>
        <w:r w:rsidR="00B24FEE">
          <w:rPr>
            <w:lang w:val="en-GB"/>
          </w:rPr>
          <w:fldChar w:fldCharType="separate"/>
        </w:r>
        <w:r w:rsidR="00B24FEE" w:rsidRPr="00B24FEE">
          <w:rPr>
            <w:noProof/>
            <w:vertAlign w:val="superscript"/>
            <w:lang w:val="en-GB"/>
          </w:rPr>
          <w:t>136</w:t>
        </w:r>
        <w:r w:rsidR="00B24FEE">
          <w:rPr>
            <w:lang w:val="en-GB"/>
          </w:rPr>
          <w:fldChar w:fldCharType="end"/>
        </w:r>
      </w:hyperlink>
      <w:r w:rsidRPr="00591BFC">
        <w:rPr>
          <w:lang w:val="en-GB"/>
        </w:rPr>
        <w:t xml:space="preserve">, we only counted one consultation per day if more than was recorded per patient. Primary care contacts and tests were costed using unit costs from national cost databases (see </w:t>
      </w:r>
      <w:r w:rsidRPr="00591BFC">
        <w:rPr>
          <w:lang w:val="en-GB"/>
        </w:rPr>
        <w:fldChar w:fldCharType="begin"/>
      </w:r>
      <w:r w:rsidRPr="00591BFC">
        <w:rPr>
          <w:lang w:val="en-GB"/>
        </w:rPr>
        <w:instrText xml:space="preserve"> REF _Ref423075446 \h </w:instrText>
      </w:r>
      <w:r w:rsidR="00E814C1" w:rsidRPr="00591BFC">
        <w:rPr>
          <w:lang w:val="en-GB"/>
        </w:rPr>
        <w:instrText xml:space="preserve"> \* MERGEFORMAT </w:instrText>
      </w:r>
      <w:r w:rsidRPr="00591BFC">
        <w:rPr>
          <w:lang w:val="en-GB"/>
        </w:rPr>
      </w:r>
      <w:r w:rsidRPr="00591BFC">
        <w:rPr>
          <w:lang w:val="en-GB"/>
        </w:rPr>
        <w:fldChar w:fldCharType="separate"/>
      </w:r>
      <w:r w:rsidR="00776C05" w:rsidRPr="00591BFC">
        <w:t xml:space="preserve">Table </w:t>
      </w:r>
      <w:r w:rsidR="00776C05">
        <w:rPr>
          <w:noProof/>
        </w:rPr>
        <w:t>17</w:t>
      </w:r>
      <w:r w:rsidRPr="00591BFC">
        <w:rPr>
          <w:lang w:val="en-GB"/>
        </w:rPr>
        <w:fldChar w:fldCharType="end"/>
      </w:r>
      <w:r w:rsidRPr="00591BFC">
        <w:rPr>
          <w:lang w:val="en-GB"/>
        </w:rPr>
        <w:t>)</w:t>
      </w:r>
      <w:hyperlink w:anchor="_ENREF_137" w:tooltip="Curtis, 2013 #1119" w:history="1">
        <w:r w:rsidR="00B24FEE">
          <w:rPr>
            <w:lang w:val="en-GB"/>
          </w:rPr>
          <w:fldChar w:fldCharType="begin"/>
        </w:r>
        <w:r w:rsidR="00B24FEE">
          <w:rPr>
            <w:lang w:val="en-GB"/>
          </w:rPr>
          <w:instrText xml:space="preserve"> ADDIN EN.CITE &lt;EndNote&gt;&lt;Cite&gt;&lt;Author&gt;Curtis&lt;/Author&gt;&lt;Year&gt;2013&lt;/Year&gt;&lt;RecNum&gt;1119&lt;/RecNum&gt;&lt;DisplayText&gt;&lt;style face="superscript"&gt;137&lt;/style&gt;&lt;/DisplayText&gt;&lt;record&gt;&lt;rec-number&gt;1119&lt;/rec-number&gt;&lt;foreign-keys&gt;&lt;key app="EN" db-id="sxpszd2ti9dx04ewefrvfp5bpf5faazszr9p" timestamp="1435659132"&gt;1119&lt;/key&gt;&lt;/foreign-keys&gt;&lt;ref-type name="Report"&gt;27&lt;/ref-type&gt;&lt;contributors&gt;&lt;authors&gt;&lt;author&gt;Curtis, L. H.&lt;/author&gt;&lt;/authors&gt;&lt;/contributors&gt;&lt;titles&gt;&lt;title&gt;Unit costs of health and social care 2013&lt;/title&gt;&lt;/titles&gt;&lt;dates&gt;&lt;year&gt;2013&lt;/year&gt;&lt;/dates&gt;&lt;publisher&gt;Personal Social Services Research Unit&lt;/publisher&gt;&lt;urls&gt;&lt;related-urls&gt;&lt;url&gt;https://wwwgovuk/government/publications/nhs-reference-costs-2012-to-2013&lt;/url&gt;&lt;/related-urls&gt;&lt;/urls&gt;&lt;/record&gt;&lt;/Cite&gt;&lt;/EndNote&gt;</w:instrText>
        </w:r>
        <w:r w:rsidR="00B24FEE">
          <w:rPr>
            <w:lang w:val="en-GB"/>
          </w:rPr>
          <w:fldChar w:fldCharType="separate"/>
        </w:r>
        <w:r w:rsidR="00B24FEE" w:rsidRPr="00B24FEE">
          <w:rPr>
            <w:noProof/>
            <w:vertAlign w:val="superscript"/>
            <w:lang w:val="en-GB"/>
          </w:rPr>
          <w:t>137</w:t>
        </w:r>
        <w:r w:rsidR="00B24FEE">
          <w:rPr>
            <w:lang w:val="en-GB"/>
          </w:rPr>
          <w:fldChar w:fldCharType="end"/>
        </w:r>
      </w:hyperlink>
      <w:r w:rsidRPr="00591BFC">
        <w:rPr>
          <w:lang w:val="en-GB"/>
        </w:rPr>
        <w:t>. We excluded from our costs tests that are routinely performed as part of a primary care consultation, such as blood pressure</w:t>
      </w:r>
      <w:r w:rsidR="00503B55">
        <w:rPr>
          <w:lang w:val="en-GB"/>
        </w:rPr>
        <w:t xml:space="preserve"> measurement</w:t>
      </w:r>
      <w:r w:rsidRPr="00591BFC">
        <w:rPr>
          <w:lang w:val="en-GB"/>
        </w:rPr>
        <w:t xml:space="preserve">, to avoid double counting. Pharmaceuticals were costed </w:t>
      </w:r>
      <w:r w:rsidR="00503B55" w:rsidRPr="00503B55">
        <w:rPr>
          <w:lang w:val="en-GB"/>
        </w:rPr>
        <w:t>by matching each prescribed medication to a BNF code, moving from the most detailed level (Subparagraph) to the top level (Chapter) until a match was found</w:t>
      </w:r>
      <w:hyperlink w:anchor="_ENREF_138" w:tooltip="Royal Pharmaceutical Society,  #1136" w:history="1">
        <w:r w:rsidR="00B24FEE">
          <w:rPr>
            <w:lang w:val="en-GB"/>
          </w:rPr>
          <w:fldChar w:fldCharType="begin"/>
        </w:r>
        <w:r w:rsidR="00B24FEE">
          <w:rPr>
            <w:lang w:val="en-GB"/>
          </w:rPr>
          <w:instrText xml:space="preserve"> ADDIN EN.CITE &lt;EndNote&gt;&lt;Cite ExcludeAuth="1" ExcludeYear="1"&gt;&lt;Author&gt;Royal Pharmaceutical Society&lt;/Author&gt;&lt;RecNum&gt;1136&lt;/RecNum&gt;&lt;DisplayText&gt;&lt;style face="superscript"&gt;138&lt;/style&gt;&lt;/DisplayText&gt;&lt;record&gt;&lt;rec-number&gt;1136&lt;/rec-number&gt;&lt;foreign-keys&gt;&lt;key app="EN" db-id="sxpszd2ti9dx04ewefrvfp5bpf5faazszr9p" timestamp="1435664118"&gt;1136&lt;/key&gt;&lt;/foreign-keys&gt;&lt;ref-type name="Web Page"&gt;12&lt;/ref-type&gt;&lt;contributors&gt;&lt;authors&gt;&lt;author&gt;Royal Pharmaceutical Society,&lt;/author&gt;&lt;/authors&gt;&lt;/contributors&gt;&lt;titles&gt;&lt;title&gt;British National Formulary BNF Categories&lt;/title&gt;&lt;/titles&gt;&lt;number&gt;3rd October 2015&lt;/number&gt;&lt;dates&gt;&lt;/dates&gt;&lt;publisher&gt;BMJ Publishing Group Ltd&lt;/publisher&gt;&lt;urls&gt;&lt;related-urls&gt;&lt;url&gt;http://www.bnf.org/bnf/org_450080.htm&lt;/url&gt;&lt;/related-urls&gt;&lt;/urls&gt;&lt;/record&gt;&lt;/Cite&gt;&lt;/EndNote&gt;</w:instrText>
        </w:r>
        <w:r w:rsidR="00B24FEE">
          <w:rPr>
            <w:lang w:val="en-GB"/>
          </w:rPr>
          <w:fldChar w:fldCharType="separate"/>
        </w:r>
        <w:r w:rsidR="00B24FEE" w:rsidRPr="00B24FEE">
          <w:rPr>
            <w:noProof/>
            <w:vertAlign w:val="superscript"/>
            <w:lang w:val="en-GB"/>
          </w:rPr>
          <w:t>138</w:t>
        </w:r>
        <w:r w:rsidR="00B24FEE">
          <w:rPr>
            <w:lang w:val="en-GB"/>
          </w:rPr>
          <w:fldChar w:fldCharType="end"/>
        </w:r>
      </w:hyperlink>
      <w:r w:rsidR="00503B55" w:rsidRPr="00503B55">
        <w:rPr>
          <w:lang w:val="en-GB"/>
        </w:rPr>
        <w:t xml:space="preserve">.  </w:t>
      </w:r>
      <w:r w:rsidR="00D83E5F">
        <w:rPr>
          <w:lang w:val="en-GB"/>
        </w:rPr>
        <w:t>T</w:t>
      </w:r>
      <w:r w:rsidRPr="00591BFC">
        <w:rPr>
          <w:lang w:val="en-GB"/>
        </w:rPr>
        <w:t xml:space="preserve">he number of </w:t>
      </w:r>
      <w:r w:rsidR="00D83E5F">
        <w:rPr>
          <w:lang w:val="en-GB"/>
        </w:rPr>
        <w:t>medications per patient</w:t>
      </w:r>
      <w:r w:rsidRPr="00591BFC">
        <w:rPr>
          <w:lang w:val="en-GB"/>
        </w:rPr>
        <w:t xml:space="preserve"> stratif</w:t>
      </w:r>
      <w:r w:rsidR="00D83E5F">
        <w:rPr>
          <w:lang w:val="en-GB"/>
        </w:rPr>
        <w:t xml:space="preserve">ied by BNF code </w:t>
      </w:r>
      <w:r w:rsidR="00D83E5F" w:rsidRPr="00D83E5F">
        <w:rPr>
          <w:lang w:val="en-GB"/>
        </w:rPr>
        <w:t>were then multiplied by the respective unit costs</w:t>
      </w:r>
      <w:r w:rsidRPr="00591BFC">
        <w:rPr>
          <w:lang w:val="en-GB"/>
        </w:rPr>
        <w:t>. The unit costs for each BNF code concerned the net ingredient cost per item prescribed reported in Prescription Cost Analysis</w:t>
      </w:r>
      <w:hyperlink w:anchor="_ENREF_139" w:tooltip=", 2013 #1120" w:history="1">
        <w:r w:rsidR="00B24FEE">
          <w:rPr>
            <w:lang w:val="en-GB"/>
          </w:rPr>
          <w:fldChar w:fldCharType="begin"/>
        </w:r>
        <w:r w:rsidR="00B24FEE">
          <w:rPr>
            <w:lang w:val="en-GB"/>
          </w:rPr>
          <w:instrText xml:space="preserve"> ADDIN EN.CITE &lt;EndNote&gt;&lt;Cite ExcludeAuth="1"&gt;&lt;Year&gt;2013&lt;/Year&gt;&lt;RecNum&gt;1120&lt;/RecNum&gt;&lt;DisplayText&gt;&lt;style face="superscript"&gt;139&lt;/style&gt;&lt;/DisplayText&gt;&lt;record&gt;&lt;rec-number&gt;1120&lt;/rec-number&gt;&lt;foreign-keys&gt;&lt;key app="EN" db-id="sxpszd2ti9dx04ewefrvfp5bpf5faazszr9p" timestamp="1435660170"&gt;1120&lt;/key&gt;&lt;/foreign-keys&gt;&lt;ref-type name="Report"&gt;27&lt;/ref-type&gt;&lt;contributors&gt;&lt;/contributors&gt;&lt;titles&gt;&lt;title&gt;Health and Social Care Information Centre. Prescription Cost Analysis, England&lt;/title&gt;&lt;/titles&gt;&lt;dates&gt;&lt;year&gt;2013&lt;/year&gt;&lt;/dates&gt;&lt;urls&gt;&lt;related-urls&gt;&lt;url&gt;http://www.hscic.gov.uk/catalogue/PUB13887&lt;/url&gt;&lt;/related-urls&gt;&lt;/urls&gt;&lt;/record&gt;&lt;/Cite&gt;&lt;/EndNote&gt;</w:instrText>
        </w:r>
        <w:r w:rsidR="00B24FEE">
          <w:rPr>
            <w:lang w:val="en-GB"/>
          </w:rPr>
          <w:fldChar w:fldCharType="separate"/>
        </w:r>
        <w:r w:rsidR="00B24FEE" w:rsidRPr="00B24FEE">
          <w:rPr>
            <w:noProof/>
            <w:vertAlign w:val="superscript"/>
            <w:lang w:val="en-GB"/>
          </w:rPr>
          <w:t>139</w:t>
        </w:r>
        <w:r w:rsidR="00B24FEE">
          <w:rPr>
            <w:lang w:val="en-GB"/>
          </w:rPr>
          <w:fldChar w:fldCharType="end"/>
        </w:r>
      </w:hyperlink>
      <w:r w:rsidRPr="00591BFC">
        <w:rPr>
          <w:lang w:val="en-GB"/>
        </w:rPr>
        <w:t xml:space="preserve">. </w:t>
      </w:r>
      <w:r w:rsidR="00D83E5F" w:rsidRPr="00D83E5F">
        <w:rPr>
          <w:lang w:val="en-GB"/>
        </w:rPr>
        <w:t xml:space="preserve">These were estimated using the average for each BNF level (from Subparagraph to Chapter) using the number of items prescribed as weights. </w:t>
      </w:r>
      <w:r w:rsidRPr="00591BFC">
        <w:rPr>
          <w:lang w:val="en-GB"/>
        </w:rPr>
        <w:t>Primary care costs were computed by multiplying the number of contacts/test/prescri</w:t>
      </w:r>
      <w:r w:rsidR="00D83E5F">
        <w:rPr>
          <w:lang w:val="en-GB"/>
        </w:rPr>
        <w:t>bed items by their unit costs. C</w:t>
      </w:r>
      <w:r w:rsidRPr="00591BFC">
        <w:rPr>
          <w:lang w:val="en-GB"/>
        </w:rPr>
        <w:t xml:space="preserve">osts per patient were </w:t>
      </w:r>
      <w:r w:rsidR="00D83E5F" w:rsidRPr="00D83E5F">
        <w:rPr>
          <w:lang w:val="en-GB"/>
        </w:rPr>
        <w:t>then summed across these different resource categories and</w:t>
      </w:r>
      <w:r w:rsidR="00D83E5F">
        <w:rPr>
          <w:lang w:val="en-GB"/>
        </w:rPr>
        <w:t xml:space="preserve"> </w:t>
      </w:r>
      <w:r w:rsidRPr="00591BFC">
        <w:rPr>
          <w:lang w:val="en-GB"/>
        </w:rPr>
        <w:t>aggregated into monthly and annual amounts for the purposes of the analysis.</w:t>
      </w:r>
    </w:p>
    <w:p w14:paraId="759C41D8" w14:textId="77777777" w:rsidR="002A383E" w:rsidRPr="00591BFC" w:rsidRDefault="002A383E" w:rsidP="00E86771">
      <w:pPr>
        <w:pStyle w:val="Caption"/>
        <w:keepNext/>
        <w:spacing w:line="360" w:lineRule="auto"/>
      </w:pPr>
      <w:bookmarkStart w:id="330" w:name="_Ref423075446"/>
      <w:bookmarkStart w:id="331" w:name="_Toc308262412"/>
      <w:bookmarkStart w:id="332" w:name="_Toc311366678"/>
      <w:r w:rsidRPr="00591BFC">
        <w:t xml:space="preserve">Table </w:t>
      </w:r>
      <w:r w:rsidR="002149AD">
        <w:fldChar w:fldCharType="begin"/>
      </w:r>
      <w:r w:rsidR="002149AD">
        <w:instrText xml:space="preserve"> SEQ Table \* ARABIC </w:instrText>
      </w:r>
      <w:r w:rsidR="002149AD">
        <w:fldChar w:fldCharType="separate"/>
      </w:r>
      <w:r w:rsidR="00776C05">
        <w:rPr>
          <w:noProof/>
        </w:rPr>
        <w:t>17</w:t>
      </w:r>
      <w:r w:rsidR="002149AD">
        <w:rPr>
          <w:noProof/>
        </w:rPr>
        <w:fldChar w:fldCharType="end"/>
      </w:r>
      <w:bookmarkEnd w:id="330"/>
      <w:r w:rsidRPr="00591BFC">
        <w:t xml:space="preserve"> Primary care unit costs</w:t>
      </w:r>
      <w:bookmarkEnd w:id="331"/>
      <w:bookmarkEnd w:id="332"/>
    </w:p>
    <w:tbl>
      <w:tblPr>
        <w:tblW w:w="5000" w:type="pct"/>
        <w:tblLook w:val="04A0" w:firstRow="1" w:lastRow="0" w:firstColumn="1" w:lastColumn="0" w:noHBand="0" w:noVBand="1"/>
      </w:tblPr>
      <w:tblGrid>
        <w:gridCol w:w="4438"/>
        <w:gridCol w:w="2400"/>
        <w:gridCol w:w="2398"/>
      </w:tblGrid>
      <w:tr w:rsidR="002A383E" w:rsidRPr="00591BFC" w14:paraId="26DFA849" w14:textId="77777777" w:rsidTr="00DB4F65">
        <w:trPr>
          <w:trHeight w:val="149"/>
        </w:trPr>
        <w:tc>
          <w:tcPr>
            <w:tcW w:w="2403" w:type="pct"/>
            <w:shd w:val="clear" w:color="auto" w:fill="auto"/>
          </w:tcPr>
          <w:p w14:paraId="0696EF50" w14:textId="77777777" w:rsidR="002A383E" w:rsidRPr="00591BFC" w:rsidRDefault="002A383E" w:rsidP="00E86771">
            <w:pPr>
              <w:spacing w:line="360" w:lineRule="auto"/>
            </w:pPr>
          </w:p>
        </w:tc>
        <w:tc>
          <w:tcPr>
            <w:tcW w:w="1299" w:type="pct"/>
            <w:shd w:val="clear" w:color="auto" w:fill="auto"/>
          </w:tcPr>
          <w:p w14:paraId="67677CA5" w14:textId="77777777" w:rsidR="002A383E" w:rsidRPr="00591BFC" w:rsidRDefault="002A383E" w:rsidP="00E86771">
            <w:pPr>
              <w:spacing w:line="360" w:lineRule="auto"/>
            </w:pPr>
            <w:r w:rsidRPr="00591BFC">
              <w:t>Unit cost</w:t>
            </w:r>
          </w:p>
        </w:tc>
        <w:tc>
          <w:tcPr>
            <w:tcW w:w="1298" w:type="pct"/>
            <w:shd w:val="clear" w:color="auto" w:fill="auto"/>
          </w:tcPr>
          <w:p w14:paraId="0825A2B5" w14:textId="77777777" w:rsidR="002A383E" w:rsidRPr="00591BFC" w:rsidRDefault="002A383E" w:rsidP="00E86771">
            <w:pPr>
              <w:spacing w:line="360" w:lineRule="auto"/>
            </w:pPr>
            <w:r w:rsidRPr="00591BFC">
              <w:t>Source</w:t>
            </w:r>
          </w:p>
        </w:tc>
      </w:tr>
      <w:tr w:rsidR="002A383E" w:rsidRPr="00591BFC" w14:paraId="730ED274" w14:textId="77777777" w:rsidTr="00DB4F65">
        <w:tc>
          <w:tcPr>
            <w:tcW w:w="2403" w:type="pct"/>
            <w:shd w:val="clear" w:color="auto" w:fill="auto"/>
          </w:tcPr>
          <w:p w14:paraId="6D47CAA3" w14:textId="77777777" w:rsidR="002A383E" w:rsidRPr="00591BFC" w:rsidRDefault="002A383E" w:rsidP="00E86771">
            <w:pPr>
              <w:spacing w:line="360" w:lineRule="auto"/>
            </w:pPr>
            <w:r w:rsidRPr="00591BFC">
              <w:t>Consultations/contacts:</w:t>
            </w:r>
          </w:p>
        </w:tc>
        <w:tc>
          <w:tcPr>
            <w:tcW w:w="1299" w:type="pct"/>
            <w:shd w:val="clear" w:color="auto" w:fill="auto"/>
          </w:tcPr>
          <w:p w14:paraId="7635D269" w14:textId="77777777" w:rsidR="002A383E" w:rsidRPr="00591BFC" w:rsidRDefault="002A383E" w:rsidP="00E86771">
            <w:pPr>
              <w:spacing w:line="360" w:lineRule="auto"/>
            </w:pPr>
          </w:p>
        </w:tc>
        <w:tc>
          <w:tcPr>
            <w:tcW w:w="1298" w:type="pct"/>
            <w:shd w:val="clear" w:color="auto" w:fill="auto"/>
          </w:tcPr>
          <w:p w14:paraId="09D60873" w14:textId="77777777" w:rsidR="002A383E" w:rsidRPr="00591BFC" w:rsidRDefault="002A383E" w:rsidP="00E86771">
            <w:pPr>
              <w:spacing w:line="360" w:lineRule="auto"/>
            </w:pPr>
          </w:p>
        </w:tc>
      </w:tr>
      <w:tr w:rsidR="002A383E" w:rsidRPr="00591BFC" w14:paraId="5D042E14" w14:textId="77777777" w:rsidTr="00DB4F65">
        <w:tc>
          <w:tcPr>
            <w:tcW w:w="2403" w:type="pct"/>
            <w:shd w:val="clear" w:color="auto" w:fill="auto"/>
          </w:tcPr>
          <w:p w14:paraId="1AACB291" w14:textId="77777777" w:rsidR="002A383E" w:rsidRPr="00591BFC" w:rsidRDefault="002A383E" w:rsidP="00E86771">
            <w:pPr>
              <w:spacing w:line="360" w:lineRule="auto"/>
            </w:pPr>
            <w:r w:rsidRPr="00591BFC">
              <w:t xml:space="preserve">  GP consultation at clinic</w:t>
            </w:r>
          </w:p>
        </w:tc>
        <w:tc>
          <w:tcPr>
            <w:tcW w:w="1299" w:type="pct"/>
            <w:shd w:val="clear" w:color="auto" w:fill="auto"/>
          </w:tcPr>
          <w:p w14:paraId="6E4B130E" w14:textId="77777777" w:rsidR="002A383E" w:rsidRPr="00591BFC" w:rsidRDefault="002A383E" w:rsidP="00E86771">
            <w:pPr>
              <w:spacing w:line="360" w:lineRule="auto"/>
            </w:pPr>
            <w:r w:rsidRPr="00591BFC">
              <w:t>£60</w:t>
            </w:r>
          </w:p>
        </w:tc>
        <w:tc>
          <w:tcPr>
            <w:tcW w:w="1298" w:type="pct"/>
            <w:shd w:val="clear" w:color="auto" w:fill="auto"/>
          </w:tcPr>
          <w:p w14:paraId="5126EAA2" w14:textId="77777777" w:rsidR="002A383E" w:rsidRPr="00591BFC" w:rsidRDefault="002A383E" w:rsidP="00E86771">
            <w:pPr>
              <w:spacing w:line="360" w:lineRule="auto"/>
            </w:pPr>
            <w:r w:rsidRPr="00591BFC">
              <w:t>PSSRU 2013</w:t>
            </w:r>
          </w:p>
        </w:tc>
      </w:tr>
      <w:tr w:rsidR="002A383E" w:rsidRPr="00591BFC" w14:paraId="70C9B849" w14:textId="77777777" w:rsidTr="00DB4F65">
        <w:tc>
          <w:tcPr>
            <w:tcW w:w="2403" w:type="pct"/>
            <w:shd w:val="clear" w:color="auto" w:fill="auto"/>
          </w:tcPr>
          <w:p w14:paraId="04689E52" w14:textId="77777777" w:rsidR="002A383E" w:rsidRPr="00591BFC" w:rsidRDefault="002A383E" w:rsidP="00E86771">
            <w:pPr>
              <w:spacing w:line="360" w:lineRule="auto"/>
            </w:pPr>
            <w:r w:rsidRPr="00591BFC">
              <w:t xml:space="preserve">  GP consultation in surgery</w:t>
            </w:r>
          </w:p>
        </w:tc>
        <w:tc>
          <w:tcPr>
            <w:tcW w:w="1299" w:type="pct"/>
            <w:shd w:val="clear" w:color="auto" w:fill="auto"/>
          </w:tcPr>
          <w:p w14:paraId="3C8E563A" w14:textId="77777777" w:rsidR="002A383E" w:rsidRPr="00591BFC" w:rsidRDefault="002A383E" w:rsidP="00E86771">
            <w:pPr>
              <w:spacing w:line="360" w:lineRule="auto"/>
            </w:pPr>
            <w:r w:rsidRPr="00591BFC">
              <w:t>£41</w:t>
            </w:r>
          </w:p>
        </w:tc>
        <w:tc>
          <w:tcPr>
            <w:tcW w:w="1298" w:type="pct"/>
            <w:shd w:val="clear" w:color="auto" w:fill="auto"/>
          </w:tcPr>
          <w:p w14:paraId="3B8ECFE1" w14:textId="77777777" w:rsidR="002A383E" w:rsidRPr="00591BFC" w:rsidRDefault="002A383E" w:rsidP="00E86771">
            <w:pPr>
              <w:spacing w:line="360" w:lineRule="auto"/>
            </w:pPr>
            <w:r w:rsidRPr="00591BFC">
              <w:t>PSSRU 2013</w:t>
            </w:r>
          </w:p>
        </w:tc>
      </w:tr>
      <w:tr w:rsidR="002A383E" w:rsidRPr="00591BFC" w14:paraId="3D2832CB" w14:textId="77777777" w:rsidTr="00DB4F65">
        <w:tc>
          <w:tcPr>
            <w:tcW w:w="2403" w:type="pct"/>
            <w:shd w:val="clear" w:color="auto" w:fill="auto"/>
          </w:tcPr>
          <w:p w14:paraId="05AFC8A7" w14:textId="77777777" w:rsidR="002A383E" w:rsidRPr="00591BFC" w:rsidRDefault="002A383E" w:rsidP="00E86771">
            <w:pPr>
              <w:spacing w:line="360" w:lineRule="auto"/>
            </w:pPr>
            <w:r w:rsidRPr="00591BFC">
              <w:t xml:space="preserve">  GP consultation by telephone</w:t>
            </w:r>
          </w:p>
        </w:tc>
        <w:tc>
          <w:tcPr>
            <w:tcW w:w="1299" w:type="pct"/>
            <w:shd w:val="clear" w:color="auto" w:fill="auto"/>
          </w:tcPr>
          <w:p w14:paraId="43B15328" w14:textId="77777777" w:rsidR="002A383E" w:rsidRPr="00591BFC" w:rsidRDefault="002A383E" w:rsidP="00E86771">
            <w:pPr>
              <w:spacing w:line="360" w:lineRule="auto"/>
            </w:pPr>
            <w:r w:rsidRPr="00591BFC">
              <w:t>£25</w:t>
            </w:r>
          </w:p>
        </w:tc>
        <w:tc>
          <w:tcPr>
            <w:tcW w:w="1298" w:type="pct"/>
            <w:shd w:val="clear" w:color="auto" w:fill="auto"/>
          </w:tcPr>
          <w:p w14:paraId="04D010FB" w14:textId="77777777" w:rsidR="002A383E" w:rsidRPr="00591BFC" w:rsidRDefault="002A383E" w:rsidP="00E86771">
            <w:pPr>
              <w:spacing w:line="360" w:lineRule="auto"/>
            </w:pPr>
            <w:r w:rsidRPr="00591BFC">
              <w:t>PSSRU 2013</w:t>
            </w:r>
          </w:p>
        </w:tc>
      </w:tr>
      <w:tr w:rsidR="002A383E" w:rsidRPr="00591BFC" w14:paraId="38E68EF8" w14:textId="77777777" w:rsidTr="00DB4F65">
        <w:tc>
          <w:tcPr>
            <w:tcW w:w="2403" w:type="pct"/>
            <w:shd w:val="clear" w:color="auto" w:fill="auto"/>
          </w:tcPr>
          <w:p w14:paraId="4A3165C5" w14:textId="77777777" w:rsidR="002A383E" w:rsidRPr="00591BFC" w:rsidRDefault="002A383E" w:rsidP="00E86771">
            <w:pPr>
              <w:spacing w:line="360" w:lineRule="auto"/>
            </w:pPr>
            <w:r w:rsidRPr="00591BFC">
              <w:t xml:space="preserve">  GP consultation out of office</w:t>
            </w:r>
          </w:p>
        </w:tc>
        <w:tc>
          <w:tcPr>
            <w:tcW w:w="1299" w:type="pct"/>
            <w:shd w:val="clear" w:color="auto" w:fill="auto"/>
          </w:tcPr>
          <w:p w14:paraId="641A101B" w14:textId="77777777" w:rsidR="002A383E" w:rsidRPr="00591BFC" w:rsidRDefault="002A383E" w:rsidP="00E86771">
            <w:pPr>
              <w:spacing w:line="360" w:lineRule="auto"/>
            </w:pPr>
            <w:r w:rsidRPr="00591BFC">
              <w:t>£104</w:t>
            </w:r>
          </w:p>
        </w:tc>
        <w:tc>
          <w:tcPr>
            <w:tcW w:w="1298" w:type="pct"/>
            <w:shd w:val="clear" w:color="auto" w:fill="auto"/>
          </w:tcPr>
          <w:p w14:paraId="56E8B7F8" w14:textId="77777777" w:rsidR="002A383E" w:rsidRPr="00591BFC" w:rsidRDefault="002A383E" w:rsidP="00E86771">
            <w:pPr>
              <w:spacing w:line="360" w:lineRule="auto"/>
            </w:pPr>
            <w:r w:rsidRPr="00591BFC">
              <w:t>PSSRU 2013</w:t>
            </w:r>
          </w:p>
        </w:tc>
      </w:tr>
      <w:tr w:rsidR="002A383E" w:rsidRPr="00591BFC" w14:paraId="19682F6C" w14:textId="77777777" w:rsidTr="00DB4F65">
        <w:tc>
          <w:tcPr>
            <w:tcW w:w="2403" w:type="pct"/>
            <w:shd w:val="clear" w:color="auto" w:fill="auto"/>
          </w:tcPr>
          <w:p w14:paraId="00078CD3" w14:textId="77777777" w:rsidR="002A383E" w:rsidRPr="00591BFC" w:rsidRDefault="002A383E" w:rsidP="00E86771">
            <w:pPr>
              <w:spacing w:line="360" w:lineRule="auto"/>
            </w:pPr>
            <w:r w:rsidRPr="00591BFC">
              <w:t xml:space="preserve">  Nurse face-to-face consultation</w:t>
            </w:r>
          </w:p>
        </w:tc>
        <w:tc>
          <w:tcPr>
            <w:tcW w:w="1299" w:type="pct"/>
            <w:shd w:val="clear" w:color="auto" w:fill="auto"/>
          </w:tcPr>
          <w:p w14:paraId="3CB22E21" w14:textId="77777777" w:rsidR="002A383E" w:rsidRPr="00591BFC" w:rsidRDefault="002A383E" w:rsidP="00E86771">
            <w:pPr>
              <w:spacing w:line="360" w:lineRule="auto"/>
            </w:pPr>
            <w:r w:rsidRPr="00591BFC">
              <w:t>£38</w:t>
            </w:r>
          </w:p>
        </w:tc>
        <w:tc>
          <w:tcPr>
            <w:tcW w:w="1298" w:type="pct"/>
            <w:shd w:val="clear" w:color="auto" w:fill="auto"/>
          </w:tcPr>
          <w:p w14:paraId="1AA079AA" w14:textId="77777777" w:rsidR="002A383E" w:rsidRPr="00591BFC" w:rsidRDefault="002A383E" w:rsidP="00E86771">
            <w:pPr>
              <w:spacing w:line="360" w:lineRule="auto"/>
            </w:pPr>
            <w:r w:rsidRPr="00591BFC">
              <w:t>Ref Costs 2012-13</w:t>
            </w:r>
          </w:p>
        </w:tc>
      </w:tr>
      <w:tr w:rsidR="002A383E" w:rsidRPr="00591BFC" w14:paraId="583276A0" w14:textId="77777777" w:rsidTr="00DB4F65">
        <w:tc>
          <w:tcPr>
            <w:tcW w:w="2403" w:type="pct"/>
            <w:shd w:val="clear" w:color="auto" w:fill="auto"/>
          </w:tcPr>
          <w:p w14:paraId="4CF012B5" w14:textId="77777777" w:rsidR="002A383E" w:rsidRPr="00591BFC" w:rsidRDefault="002A383E" w:rsidP="00E86771">
            <w:pPr>
              <w:spacing w:line="360" w:lineRule="auto"/>
            </w:pPr>
            <w:r w:rsidRPr="00591BFC">
              <w:t xml:space="preserve">  Nurse non-face to face consultation</w:t>
            </w:r>
          </w:p>
        </w:tc>
        <w:tc>
          <w:tcPr>
            <w:tcW w:w="1299" w:type="pct"/>
            <w:shd w:val="clear" w:color="auto" w:fill="auto"/>
          </w:tcPr>
          <w:p w14:paraId="310A86BE" w14:textId="77777777" w:rsidR="002A383E" w:rsidRPr="00591BFC" w:rsidRDefault="002A383E" w:rsidP="00E86771">
            <w:pPr>
              <w:spacing w:line="360" w:lineRule="auto"/>
            </w:pPr>
            <w:r w:rsidRPr="00591BFC">
              <w:t>£23</w:t>
            </w:r>
          </w:p>
        </w:tc>
        <w:tc>
          <w:tcPr>
            <w:tcW w:w="1298" w:type="pct"/>
            <w:shd w:val="clear" w:color="auto" w:fill="auto"/>
          </w:tcPr>
          <w:p w14:paraId="7BDFEA75" w14:textId="77777777" w:rsidR="002A383E" w:rsidRPr="00591BFC" w:rsidRDefault="002A383E" w:rsidP="00E86771">
            <w:pPr>
              <w:spacing w:line="360" w:lineRule="auto"/>
            </w:pPr>
            <w:r w:rsidRPr="00591BFC">
              <w:t>Ref Costs 2012-13</w:t>
            </w:r>
          </w:p>
        </w:tc>
      </w:tr>
      <w:tr w:rsidR="002A383E" w:rsidRPr="00591BFC" w14:paraId="337138DB" w14:textId="77777777" w:rsidTr="00DB4F65">
        <w:tc>
          <w:tcPr>
            <w:tcW w:w="2403" w:type="pct"/>
            <w:shd w:val="clear" w:color="auto" w:fill="auto"/>
          </w:tcPr>
          <w:p w14:paraId="22FDB629" w14:textId="77777777" w:rsidR="002A383E" w:rsidRPr="00591BFC" w:rsidRDefault="002A383E" w:rsidP="00E86771">
            <w:pPr>
              <w:spacing w:line="360" w:lineRule="auto"/>
            </w:pPr>
            <w:r w:rsidRPr="00591BFC">
              <w:t xml:space="preserve">  Health visitor/Social worker</w:t>
            </w:r>
          </w:p>
        </w:tc>
        <w:tc>
          <w:tcPr>
            <w:tcW w:w="1299" w:type="pct"/>
            <w:shd w:val="clear" w:color="auto" w:fill="auto"/>
          </w:tcPr>
          <w:p w14:paraId="7A421B28" w14:textId="77777777" w:rsidR="002A383E" w:rsidRPr="00591BFC" w:rsidRDefault="002A383E" w:rsidP="00E86771">
            <w:pPr>
              <w:spacing w:line="360" w:lineRule="auto"/>
            </w:pPr>
            <w:r w:rsidRPr="00591BFC">
              <w:t>£50</w:t>
            </w:r>
          </w:p>
        </w:tc>
        <w:tc>
          <w:tcPr>
            <w:tcW w:w="1298" w:type="pct"/>
            <w:shd w:val="clear" w:color="auto" w:fill="auto"/>
          </w:tcPr>
          <w:p w14:paraId="5518CCAF" w14:textId="77777777" w:rsidR="002A383E" w:rsidRPr="00591BFC" w:rsidRDefault="002A383E" w:rsidP="00E86771">
            <w:pPr>
              <w:spacing w:line="360" w:lineRule="auto"/>
            </w:pPr>
            <w:r w:rsidRPr="00591BFC">
              <w:t>Ref Costs 2012-13</w:t>
            </w:r>
          </w:p>
        </w:tc>
      </w:tr>
      <w:tr w:rsidR="002A383E" w:rsidRPr="00591BFC" w14:paraId="7F39AABB" w14:textId="77777777" w:rsidTr="00DB4F65">
        <w:tc>
          <w:tcPr>
            <w:tcW w:w="2403" w:type="pct"/>
            <w:shd w:val="clear" w:color="auto" w:fill="auto"/>
          </w:tcPr>
          <w:p w14:paraId="199EF6E3" w14:textId="77777777" w:rsidR="002A383E" w:rsidRPr="00591BFC" w:rsidRDefault="002A383E" w:rsidP="00E86771">
            <w:pPr>
              <w:spacing w:line="360" w:lineRule="auto"/>
            </w:pPr>
            <w:r w:rsidRPr="00591BFC">
              <w:t xml:space="preserve">  Chiropodist/chiropractor/osteopath</w:t>
            </w:r>
          </w:p>
        </w:tc>
        <w:tc>
          <w:tcPr>
            <w:tcW w:w="1299" w:type="pct"/>
            <w:shd w:val="clear" w:color="auto" w:fill="auto"/>
          </w:tcPr>
          <w:p w14:paraId="02722754" w14:textId="77777777" w:rsidR="002A383E" w:rsidRPr="00591BFC" w:rsidRDefault="002A383E" w:rsidP="00E86771">
            <w:pPr>
              <w:spacing w:line="360" w:lineRule="auto"/>
            </w:pPr>
            <w:r w:rsidRPr="00591BFC">
              <w:t>£42</w:t>
            </w:r>
          </w:p>
        </w:tc>
        <w:tc>
          <w:tcPr>
            <w:tcW w:w="1298" w:type="pct"/>
            <w:shd w:val="clear" w:color="auto" w:fill="auto"/>
          </w:tcPr>
          <w:p w14:paraId="705B7237" w14:textId="77777777" w:rsidR="002A383E" w:rsidRPr="00591BFC" w:rsidRDefault="002A383E" w:rsidP="00E86771">
            <w:pPr>
              <w:spacing w:line="360" w:lineRule="auto"/>
            </w:pPr>
            <w:r w:rsidRPr="00591BFC">
              <w:t>Ref Costs 2012-13</w:t>
            </w:r>
          </w:p>
        </w:tc>
      </w:tr>
      <w:tr w:rsidR="002A383E" w:rsidRPr="00591BFC" w14:paraId="7A98B8C0" w14:textId="77777777" w:rsidTr="00DB4F65">
        <w:tc>
          <w:tcPr>
            <w:tcW w:w="2403" w:type="pct"/>
            <w:shd w:val="clear" w:color="auto" w:fill="auto"/>
          </w:tcPr>
          <w:p w14:paraId="6257B75A" w14:textId="77777777" w:rsidR="002A383E" w:rsidRPr="00591BFC" w:rsidRDefault="002A383E" w:rsidP="00E86771">
            <w:pPr>
              <w:spacing w:line="360" w:lineRule="auto"/>
            </w:pPr>
            <w:r w:rsidRPr="00591BFC">
              <w:t xml:space="preserve">  Physiotherapist</w:t>
            </w:r>
          </w:p>
        </w:tc>
        <w:tc>
          <w:tcPr>
            <w:tcW w:w="1299" w:type="pct"/>
            <w:shd w:val="clear" w:color="auto" w:fill="auto"/>
          </w:tcPr>
          <w:p w14:paraId="5A21D56E" w14:textId="77777777" w:rsidR="002A383E" w:rsidRPr="00591BFC" w:rsidRDefault="002A383E" w:rsidP="00E86771">
            <w:pPr>
              <w:spacing w:line="360" w:lineRule="auto"/>
            </w:pPr>
            <w:r w:rsidRPr="00591BFC">
              <w:t>£50</w:t>
            </w:r>
          </w:p>
        </w:tc>
        <w:tc>
          <w:tcPr>
            <w:tcW w:w="1298" w:type="pct"/>
            <w:shd w:val="clear" w:color="auto" w:fill="auto"/>
          </w:tcPr>
          <w:p w14:paraId="5F05BFB7" w14:textId="77777777" w:rsidR="002A383E" w:rsidRPr="00591BFC" w:rsidRDefault="002A383E" w:rsidP="00E86771">
            <w:pPr>
              <w:spacing w:line="360" w:lineRule="auto"/>
            </w:pPr>
            <w:r w:rsidRPr="00591BFC">
              <w:t>Ref Costs 2012-13</w:t>
            </w:r>
          </w:p>
        </w:tc>
      </w:tr>
      <w:tr w:rsidR="002A383E" w:rsidRPr="00591BFC" w14:paraId="7BC3D6CE" w14:textId="77777777" w:rsidTr="00DB4F65">
        <w:tc>
          <w:tcPr>
            <w:tcW w:w="2403" w:type="pct"/>
            <w:shd w:val="clear" w:color="auto" w:fill="auto"/>
          </w:tcPr>
          <w:p w14:paraId="4FF4A5D2" w14:textId="77777777" w:rsidR="002A383E" w:rsidRPr="00591BFC" w:rsidRDefault="002A383E" w:rsidP="00E86771">
            <w:pPr>
              <w:spacing w:line="360" w:lineRule="auto"/>
            </w:pPr>
            <w:r w:rsidRPr="00591BFC">
              <w:t xml:space="preserve">  Dentist</w:t>
            </w:r>
          </w:p>
        </w:tc>
        <w:tc>
          <w:tcPr>
            <w:tcW w:w="1299" w:type="pct"/>
            <w:shd w:val="clear" w:color="auto" w:fill="auto"/>
          </w:tcPr>
          <w:p w14:paraId="778A3DBB" w14:textId="77777777" w:rsidR="002A383E" w:rsidRPr="00591BFC" w:rsidRDefault="002A383E" w:rsidP="00E86771">
            <w:pPr>
              <w:spacing w:line="360" w:lineRule="auto"/>
            </w:pPr>
            <w:r w:rsidRPr="00591BFC">
              <w:t>£115</w:t>
            </w:r>
          </w:p>
        </w:tc>
        <w:tc>
          <w:tcPr>
            <w:tcW w:w="1298" w:type="pct"/>
            <w:shd w:val="clear" w:color="auto" w:fill="auto"/>
          </w:tcPr>
          <w:p w14:paraId="0D6F23FA" w14:textId="77777777" w:rsidR="002A383E" w:rsidRPr="00591BFC" w:rsidRDefault="002A383E" w:rsidP="00E86771">
            <w:pPr>
              <w:spacing w:line="360" w:lineRule="auto"/>
            </w:pPr>
            <w:r w:rsidRPr="00591BFC">
              <w:t>Ref Costs 2012-13</w:t>
            </w:r>
          </w:p>
        </w:tc>
      </w:tr>
      <w:tr w:rsidR="002A383E" w:rsidRPr="00591BFC" w14:paraId="26FBDDDE" w14:textId="77777777" w:rsidTr="00DB4F65">
        <w:tc>
          <w:tcPr>
            <w:tcW w:w="2403" w:type="pct"/>
            <w:shd w:val="clear" w:color="auto" w:fill="auto"/>
          </w:tcPr>
          <w:p w14:paraId="23148464" w14:textId="77777777" w:rsidR="002A383E" w:rsidRPr="00591BFC" w:rsidRDefault="002A383E" w:rsidP="00E86771">
            <w:pPr>
              <w:spacing w:line="360" w:lineRule="auto"/>
            </w:pPr>
            <w:r w:rsidRPr="00591BFC">
              <w:lastRenderedPageBreak/>
              <w:t xml:space="preserve">  Dietitian</w:t>
            </w:r>
          </w:p>
        </w:tc>
        <w:tc>
          <w:tcPr>
            <w:tcW w:w="1299" w:type="pct"/>
            <w:shd w:val="clear" w:color="auto" w:fill="auto"/>
          </w:tcPr>
          <w:p w14:paraId="6527A500" w14:textId="77777777" w:rsidR="002A383E" w:rsidRPr="00591BFC" w:rsidRDefault="002A383E" w:rsidP="00E86771">
            <w:pPr>
              <w:spacing w:line="360" w:lineRule="auto"/>
            </w:pPr>
            <w:r w:rsidRPr="00591BFC">
              <w:t>£71</w:t>
            </w:r>
          </w:p>
        </w:tc>
        <w:tc>
          <w:tcPr>
            <w:tcW w:w="1298" w:type="pct"/>
            <w:shd w:val="clear" w:color="auto" w:fill="auto"/>
          </w:tcPr>
          <w:p w14:paraId="3CF1E570" w14:textId="77777777" w:rsidR="002A383E" w:rsidRPr="00591BFC" w:rsidRDefault="002A383E" w:rsidP="00E86771">
            <w:pPr>
              <w:spacing w:line="360" w:lineRule="auto"/>
            </w:pPr>
            <w:r w:rsidRPr="00591BFC">
              <w:t>Ref Costs 2012-13</w:t>
            </w:r>
          </w:p>
        </w:tc>
      </w:tr>
      <w:tr w:rsidR="002A383E" w:rsidRPr="00591BFC" w14:paraId="351B69D6" w14:textId="77777777" w:rsidTr="00DB4F65">
        <w:tc>
          <w:tcPr>
            <w:tcW w:w="2403" w:type="pct"/>
            <w:shd w:val="clear" w:color="auto" w:fill="auto"/>
          </w:tcPr>
          <w:p w14:paraId="277B61DF" w14:textId="77777777" w:rsidR="002A383E" w:rsidRPr="00591BFC" w:rsidRDefault="002A383E" w:rsidP="00E86771">
            <w:pPr>
              <w:spacing w:line="360" w:lineRule="auto"/>
            </w:pPr>
            <w:r w:rsidRPr="00591BFC">
              <w:t xml:space="preserve">  Speech therapist</w:t>
            </w:r>
          </w:p>
        </w:tc>
        <w:tc>
          <w:tcPr>
            <w:tcW w:w="1299" w:type="pct"/>
            <w:shd w:val="clear" w:color="auto" w:fill="auto"/>
          </w:tcPr>
          <w:p w14:paraId="436661C8" w14:textId="77777777" w:rsidR="002A383E" w:rsidRPr="00591BFC" w:rsidRDefault="002A383E" w:rsidP="00E86771">
            <w:pPr>
              <w:spacing w:line="360" w:lineRule="auto"/>
            </w:pPr>
            <w:r w:rsidRPr="00591BFC">
              <w:t>£89</w:t>
            </w:r>
          </w:p>
        </w:tc>
        <w:tc>
          <w:tcPr>
            <w:tcW w:w="1298" w:type="pct"/>
            <w:shd w:val="clear" w:color="auto" w:fill="auto"/>
          </w:tcPr>
          <w:p w14:paraId="49C21138" w14:textId="77777777" w:rsidR="002A383E" w:rsidRPr="00591BFC" w:rsidRDefault="002A383E" w:rsidP="00E86771">
            <w:pPr>
              <w:spacing w:line="360" w:lineRule="auto"/>
            </w:pPr>
            <w:r w:rsidRPr="00591BFC">
              <w:t>Ref Costs 2012-13</w:t>
            </w:r>
          </w:p>
        </w:tc>
      </w:tr>
      <w:tr w:rsidR="002A383E" w:rsidRPr="00591BFC" w14:paraId="71EA744C" w14:textId="77777777" w:rsidTr="00DB4F65">
        <w:tc>
          <w:tcPr>
            <w:tcW w:w="2403" w:type="pct"/>
            <w:shd w:val="clear" w:color="auto" w:fill="auto"/>
          </w:tcPr>
          <w:p w14:paraId="77B7FE12" w14:textId="77777777" w:rsidR="002A383E" w:rsidRPr="00591BFC" w:rsidRDefault="002A383E" w:rsidP="00E86771">
            <w:pPr>
              <w:spacing w:line="360" w:lineRule="auto"/>
            </w:pPr>
            <w:r w:rsidRPr="00591BFC">
              <w:t xml:space="preserve">  Other</w:t>
            </w:r>
          </w:p>
        </w:tc>
        <w:tc>
          <w:tcPr>
            <w:tcW w:w="1299" w:type="pct"/>
            <w:shd w:val="clear" w:color="auto" w:fill="auto"/>
          </w:tcPr>
          <w:p w14:paraId="689AF5BE" w14:textId="77777777" w:rsidR="002A383E" w:rsidRPr="00591BFC" w:rsidRDefault="002A383E" w:rsidP="00E86771">
            <w:pPr>
              <w:spacing w:line="360" w:lineRule="auto"/>
            </w:pPr>
            <w:r w:rsidRPr="00591BFC">
              <w:t>£34</w:t>
            </w:r>
          </w:p>
        </w:tc>
        <w:tc>
          <w:tcPr>
            <w:tcW w:w="1298" w:type="pct"/>
            <w:shd w:val="clear" w:color="auto" w:fill="auto"/>
          </w:tcPr>
          <w:p w14:paraId="1BD267F2" w14:textId="77777777" w:rsidR="002A383E" w:rsidRPr="00591BFC" w:rsidRDefault="002A383E" w:rsidP="00E86771">
            <w:pPr>
              <w:spacing w:line="360" w:lineRule="auto"/>
            </w:pPr>
            <w:r w:rsidRPr="00591BFC">
              <w:t>Ref Costs 2012-13</w:t>
            </w:r>
          </w:p>
        </w:tc>
      </w:tr>
      <w:tr w:rsidR="002A383E" w:rsidRPr="00591BFC" w14:paraId="6B34596B" w14:textId="77777777" w:rsidTr="00DB4F65">
        <w:tc>
          <w:tcPr>
            <w:tcW w:w="2403" w:type="pct"/>
            <w:shd w:val="clear" w:color="auto" w:fill="auto"/>
          </w:tcPr>
          <w:p w14:paraId="4A7C6917" w14:textId="77777777" w:rsidR="002A383E" w:rsidRPr="00591BFC" w:rsidRDefault="002A383E" w:rsidP="00E86771">
            <w:pPr>
              <w:spacing w:line="360" w:lineRule="auto"/>
            </w:pPr>
            <w:r w:rsidRPr="00591BFC">
              <w:t>Tests*:</w:t>
            </w:r>
          </w:p>
        </w:tc>
        <w:tc>
          <w:tcPr>
            <w:tcW w:w="1299" w:type="pct"/>
            <w:shd w:val="clear" w:color="auto" w:fill="auto"/>
          </w:tcPr>
          <w:p w14:paraId="21D87D56" w14:textId="77777777" w:rsidR="002A383E" w:rsidRPr="00591BFC" w:rsidRDefault="002A383E" w:rsidP="00E86771">
            <w:pPr>
              <w:spacing w:line="360" w:lineRule="auto"/>
            </w:pPr>
          </w:p>
        </w:tc>
        <w:tc>
          <w:tcPr>
            <w:tcW w:w="1298" w:type="pct"/>
            <w:shd w:val="clear" w:color="auto" w:fill="auto"/>
          </w:tcPr>
          <w:p w14:paraId="094D07E4" w14:textId="77777777" w:rsidR="002A383E" w:rsidRPr="00591BFC" w:rsidRDefault="002A383E" w:rsidP="00E86771">
            <w:pPr>
              <w:spacing w:line="360" w:lineRule="auto"/>
            </w:pPr>
          </w:p>
        </w:tc>
      </w:tr>
      <w:tr w:rsidR="002A383E" w:rsidRPr="00591BFC" w14:paraId="3C972315" w14:textId="77777777" w:rsidTr="00DB4F65">
        <w:tc>
          <w:tcPr>
            <w:tcW w:w="2403" w:type="pct"/>
            <w:shd w:val="clear" w:color="auto" w:fill="auto"/>
          </w:tcPr>
          <w:p w14:paraId="5257426D" w14:textId="77777777" w:rsidR="002A383E" w:rsidRPr="00591BFC" w:rsidRDefault="002A383E" w:rsidP="00E86771">
            <w:pPr>
              <w:spacing w:line="360" w:lineRule="auto"/>
            </w:pPr>
            <w:r w:rsidRPr="00591BFC">
              <w:t xml:space="preserve">  Haematology</w:t>
            </w:r>
          </w:p>
        </w:tc>
        <w:tc>
          <w:tcPr>
            <w:tcW w:w="1299" w:type="pct"/>
            <w:shd w:val="clear" w:color="auto" w:fill="auto"/>
          </w:tcPr>
          <w:p w14:paraId="789C2071" w14:textId="77777777" w:rsidR="002A383E" w:rsidRPr="00591BFC" w:rsidRDefault="002A383E" w:rsidP="00E86771">
            <w:pPr>
              <w:spacing w:line="360" w:lineRule="auto"/>
            </w:pPr>
            <w:r w:rsidRPr="00591BFC">
              <w:t>£3</w:t>
            </w:r>
          </w:p>
        </w:tc>
        <w:tc>
          <w:tcPr>
            <w:tcW w:w="1298" w:type="pct"/>
            <w:shd w:val="clear" w:color="auto" w:fill="auto"/>
          </w:tcPr>
          <w:p w14:paraId="18958EE2" w14:textId="77777777" w:rsidR="002A383E" w:rsidRPr="00591BFC" w:rsidRDefault="002A383E" w:rsidP="00E86771">
            <w:pPr>
              <w:spacing w:line="360" w:lineRule="auto"/>
            </w:pPr>
            <w:r w:rsidRPr="00591BFC">
              <w:t>Ref Costs 2012-13</w:t>
            </w:r>
          </w:p>
        </w:tc>
      </w:tr>
      <w:tr w:rsidR="002A383E" w:rsidRPr="00591BFC" w14:paraId="7775B062" w14:textId="77777777" w:rsidTr="00DB4F65">
        <w:tc>
          <w:tcPr>
            <w:tcW w:w="2403" w:type="pct"/>
            <w:shd w:val="clear" w:color="auto" w:fill="auto"/>
          </w:tcPr>
          <w:p w14:paraId="0D29B233" w14:textId="77777777" w:rsidR="002A383E" w:rsidRPr="00591BFC" w:rsidRDefault="002A383E" w:rsidP="00E86771">
            <w:pPr>
              <w:spacing w:line="360" w:lineRule="auto"/>
            </w:pPr>
            <w:r w:rsidRPr="00591BFC">
              <w:t xml:space="preserve">  Clinical biochemistry</w:t>
            </w:r>
          </w:p>
        </w:tc>
        <w:tc>
          <w:tcPr>
            <w:tcW w:w="1299" w:type="pct"/>
            <w:shd w:val="clear" w:color="auto" w:fill="auto"/>
          </w:tcPr>
          <w:p w14:paraId="13A612A4" w14:textId="77777777" w:rsidR="002A383E" w:rsidRPr="00591BFC" w:rsidRDefault="002A383E" w:rsidP="00E86771">
            <w:pPr>
              <w:spacing w:line="360" w:lineRule="auto"/>
            </w:pPr>
            <w:r w:rsidRPr="00591BFC">
              <w:t>£1</w:t>
            </w:r>
          </w:p>
        </w:tc>
        <w:tc>
          <w:tcPr>
            <w:tcW w:w="1298" w:type="pct"/>
            <w:shd w:val="clear" w:color="auto" w:fill="auto"/>
          </w:tcPr>
          <w:p w14:paraId="6525D553" w14:textId="77777777" w:rsidR="002A383E" w:rsidRPr="00591BFC" w:rsidRDefault="002A383E" w:rsidP="00E86771">
            <w:pPr>
              <w:spacing w:line="360" w:lineRule="auto"/>
            </w:pPr>
            <w:r w:rsidRPr="00591BFC">
              <w:t>Ref Costs 2012-13</w:t>
            </w:r>
          </w:p>
        </w:tc>
      </w:tr>
      <w:tr w:rsidR="002A383E" w:rsidRPr="00591BFC" w14:paraId="67BD6048" w14:textId="77777777" w:rsidTr="00DB4F65">
        <w:tc>
          <w:tcPr>
            <w:tcW w:w="2403" w:type="pct"/>
            <w:shd w:val="clear" w:color="auto" w:fill="auto"/>
          </w:tcPr>
          <w:p w14:paraId="78FC9AA1" w14:textId="77777777" w:rsidR="002A383E" w:rsidRPr="00591BFC" w:rsidRDefault="002A383E" w:rsidP="00E86771">
            <w:pPr>
              <w:spacing w:line="360" w:lineRule="auto"/>
            </w:pPr>
            <w:r w:rsidRPr="00591BFC">
              <w:t xml:space="preserve">  Microbiology</w:t>
            </w:r>
          </w:p>
        </w:tc>
        <w:tc>
          <w:tcPr>
            <w:tcW w:w="1299" w:type="pct"/>
            <w:shd w:val="clear" w:color="auto" w:fill="auto"/>
          </w:tcPr>
          <w:p w14:paraId="0DC51C96" w14:textId="77777777" w:rsidR="002A383E" w:rsidRPr="00591BFC" w:rsidRDefault="002A383E" w:rsidP="00E86771">
            <w:pPr>
              <w:spacing w:line="360" w:lineRule="auto"/>
            </w:pPr>
            <w:r w:rsidRPr="00591BFC">
              <w:t>£7</w:t>
            </w:r>
          </w:p>
        </w:tc>
        <w:tc>
          <w:tcPr>
            <w:tcW w:w="1298" w:type="pct"/>
            <w:shd w:val="clear" w:color="auto" w:fill="auto"/>
          </w:tcPr>
          <w:p w14:paraId="5DE650FA" w14:textId="77777777" w:rsidR="002A383E" w:rsidRPr="00591BFC" w:rsidRDefault="002A383E" w:rsidP="00E86771">
            <w:pPr>
              <w:spacing w:line="360" w:lineRule="auto"/>
            </w:pPr>
            <w:r w:rsidRPr="00591BFC">
              <w:t>Ref Costs 2012-13</w:t>
            </w:r>
          </w:p>
        </w:tc>
      </w:tr>
      <w:tr w:rsidR="002A383E" w:rsidRPr="00591BFC" w14:paraId="245002D4" w14:textId="77777777" w:rsidTr="00DB4F65">
        <w:tc>
          <w:tcPr>
            <w:tcW w:w="2403" w:type="pct"/>
            <w:shd w:val="clear" w:color="auto" w:fill="auto"/>
          </w:tcPr>
          <w:p w14:paraId="6723A5B6" w14:textId="77777777" w:rsidR="002A383E" w:rsidRPr="00591BFC" w:rsidRDefault="002A383E" w:rsidP="00E86771">
            <w:pPr>
              <w:spacing w:line="360" w:lineRule="auto"/>
            </w:pPr>
            <w:r w:rsidRPr="00591BFC">
              <w:t xml:space="preserve">  Cytology</w:t>
            </w:r>
          </w:p>
        </w:tc>
        <w:tc>
          <w:tcPr>
            <w:tcW w:w="1299" w:type="pct"/>
            <w:shd w:val="clear" w:color="auto" w:fill="auto"/>
          </w:tcPr>
          <w:p w14:paraId="5D99251C" w14:textId="77777777" w:rsidR="002A383E" w:rsidRPr="00591BFC" w:rsidRDefault="002A383E" w:rsidP="00E86771">
            <w:pPr>
              <w:spacing w:line="360" w:lineRule="auto"/>
            </w:pPr>
            <w:r w:rsidRPr="00591BFC">
              <w:t>£17</w:t>
            </w:r>
          </w:p>
        </w:tc>
        <w:tc>
          <w:tcPr>
            <w:tcW w:w="1298" w:type="pct"/>
            <w:shd w:val="clear" w:color="auto" w:fill="auto"/>
          </w:tcPr>
          <w:p w14:paraId="573195E3" w14:textId="77777777" w:rsidR="002A383E" w:rsidRPr="00591BFC" w:rsidRDefault="002A383E" w:rsidP="00E86771">
            <w:pPr>
              <w:spacing w:line="360" w:lineRule="auto"/>
            </w:pPr>
            <w:r w:rsidRPr="00591BFC">
              <w:t>Ref Costs 2012-13</w:t>
            </w:r>
          </w:p>
        </w:tc>
      </w:tr>
      <w:tr w:rsidR="002A383E" w:rsidRPr="00591BFC" w14:paraId="0DA3A9B9" w14:textId="77777777" w:rsidTr="00DB4F65">
        <w:tc>
          <w:tcPr>
            <w:tcW w:w="2403" w:type="pct"/>
            <w:shd w:val="clear" w:color="auto" w:fill="auto"/>
          </w:tcPr>
          <w:p w14:paraId="2C893EEE" w14:textId="77777777" w:rsidR="002A383E" w:rsidRPr="00591BFC" w:rsidRDefault="002A383E" w:rsidP="00E86771">
            <w:pPr>
              <w:spacing w:line="360" w:lineRule="auto"/>
            </w:pPr>
            <w:r w:rsidRPr="00591BFC">
              <w:t xml:space="preserve">  Immunology</w:t>
            </w:r>
          </w:p>
        </w:tc>
        <w:tc>
          <w:tcPr>
            <w:tcW w:w="1299" w:type="pct"/>
            <w:shd w:val="clear" w:color="auto" w:fill="auto"/>
          </w:tcPr>
          <w:p w14:paraId="284007FB" w14:textId="77777777" w:rsidR="002A383E" w:rsidRPr="00591BFC" w:rsidRDefault="002A383E" w:rsidP="00E86771">
            <w:pPr>
              <w:spacing w:line="360" w:lineRule="auto"/>
            </w:pPr>
            <w:r w:rsidRPr="00591BFC">
              <w:t>£5</w:t>
            </w:r>
          </w:p>
        </w:tc>
        <w:tc>
          <w:tcPr>
            <w:tcW w:w="1298" w:type="pct"/>
            <w:shd w:val="clear" w:color="auto" w:fill="auto"/>
          </w:tcPr>
          <w:p w14:paraId="3B7EE1A7" w14:textId="77777777" w:rsidR="002A383E" w:rsidRPr="00591BFC" w:rsidRDefault="002A383E" w:rsidP="00E86771">
            <w:pPr>
              <w:spacing w:line="360" w:lineRule="auto"/>
            </w:pPr>
            <w:r w:rsidRPr="00591BFC">
              <w:t>Ref Costs 2012-13</w:t>
            </w:r>
          </w:p>
        </w:tc>
      </w:tr>
    </w:tbl>
    <w:p w14:paraId="5AB2E0D1" w14:textId="77777777" w:rsidR="002A383E" w:rsidRPr="00591BFC" w:rsidRDefault="002A383E" w:rsidP="00E86771">
      <w:pPr>
        <w:spacing w:line="360" w:lineRule="auto"/>
      </w:pPr>
      <w:r w:rsidRPr="00591BFC">
        <w:t>* Listing only categories amounting to at least 1% of all recorded tests in the CPRD sample.</w:t>
      </w:r>
    </w:p>
    <w:p w14:paraId="1B679E20" w14:textId="77777777" w:rsidR="002A383E" w:rsidRPr="00591BFC" w:rsidRDefault="002A383E" w:rsidP="00E86771">
      <w:pPr>
        <w:pStyle w:val="Heading3"/>
        <w:spacing w:line="360" w:lineRule="auto"/>
        <w:rPr>
          <w:rFonts w:ascii="Calibri" w:hAnsi="Calibri"/>
          <w:lang w:val="en-GB"/>
        </w:rPr>
      </w:pPr>
      <w:bookmarkStart w:id="333" w:name="_Toc308300793"/>
      <w:bookmarkStart w:id="334" w:name="_Toc311366600"/>
      <w:r w:rsidRPr="00591BFC">
        <w:rPr>
          <w:rFonts w:ascii="Calibri" w:hAnsi="Calibri"/>
          <w:lang w:val="en-GB"/>
        </w:rPr>
        <w:t>Hospital costs</w:t>
      </w:r>
      <w:bookmarkEnd w:id="333"/>
      <w:bookmarkEnd w:id="334"/>
    </w:p>
    <w:p w14:paraId="7129F030" w14:textId="4F2D2B5E" w:rsidR="002A383E" w:rsidRPr="00591BFC" w:rsidRDefault="002A383E" w:rsidP="00E86771">
      <w:pPr>
        <w:spacing w:line="360" w:lineRule="auto"/>
      </w:pPr>
      <w:r w:rsidRPr="00591BFC">
        <w:t xml:space="preserve">Each </w:t>
      </w:r>
      <w:r w:rsidR="00FA7660" w:rsidRPr="00591BFC">
        <w:t xml:space="preserve">FCE </w:t>
      </w:r>
      <w:r w:rsidRPr="00591BFC">
        <w:t>in a hospital spell was assigned into a 2012/13 Healthcare Resource Groups (HRG)</w:t>
      </w:r>
      <w:r w:rsidR="00D83E5F">
        <w:t xml:space="preserve"> using standard software</w:t>
      </w:r>
      <w:hyperlink w:anchor="_ENREF_140" w:tooltip=", 2013 #1121" w:history="1">
        <w:r w:rsidR="00B24FEE">
          <w:fldChar w:fldCharType="begin"/>
        </w:r>
        <w:r w:rsidR="00B24FEE">
          <w:instrText xml:space="preserve"> ADDIN EN.CITE &lt;EndNote&gt;&lt;Cite ExcludeAuth="1"&gt;&lt;Year&gt;2013&lt;/Year&gt;&lt;RecNum&gt;1121&lt;/RecNum&gt;&lt;DisplayText&gt;&lt;style face="superscript"&gt;140&lt;/style&gt;&lt;/DisplayText&gt;&lt;record&gt;&lt;rec-number&gt;1121&lt;/rec-number&gt;&lt;foreign-keys&gt;&lt;key app="EN" db-id="sxpszd2ti9dx04ewefrvfp5bpf5faazszr9p" timestamp="1435660567"&gt;1121&lt;/key&gt;&lt;/foreign-keys&gt;&lt;ref-type name="Report"&gt;27&lt;/ref-type&gt;&lt;contributors&gt;&lt;/contributors&gt;&lt;titles&gt;&lt;title&gt;Health &amp;amp; Social Care Information Centre  Casemix Grouper&lt;/title&gt;&lt;/titles&gt;&lt;dates&gt;&lt;year&gt;2013&lt;/year&gt;&lt;/dates&gt;&lt;urls&gt;&lt;related-urls&gt;&lt;url&gt;http://wwwhscicgovuk/casemix-grouper&lt;/url&gt;&lt;/related-urls&gt;&lt;/urls&gt;&lt;/record&gt;&lt;/Cite&gt;&lt;/EndNote&gt;</w:instrText>
        </w:r>
        <w:r w:rsidR="00B24FEE">
          <w:fldChar w:fldCharType="separate"/>
        </w:r>
        <w:r w:rsidR="00B24FEE" w:rsidRPr="00B24FEE">
          <w:rPr>
            <w:noProof/>
            <w:vertAlign w:val="superscript"/>
          </w:rPr>
          <w:t>140</w:t>
        </w:r>
        <w:r w:rsidR="00B24FEE">
          <w:fldChar w:fldCharType="end"/>
        </w:r>
      </w:hyperlink>
      <w:r w:rsidR="007E1C7D" w:rsidRPr="00591BFC">
        <w:rPr>
          <w:noProof/>
        </w:rPr>
        <w:t xml:space="preserve">. </w:t>
      </w:r>
      <w:r w:rsidRPr="00591BFC">
        <w:t>HRGs consist of standard groups of clinically similar treatments that consume a common set of healthcare resources. All resource use was valued using 2012-13 prices that were obtained from the schedule of reference costs for NHS trusts</w:t>
      </w:r>
      <w:hyperlink w:anchor="_ENREF_141" w:tooltip="Department of Health, 2011 #56" w:history="1">
        <w:r w:rsidR="00B24FEE">
          <w:fldChar w:fldCharType="begin"/>
        </w:r>
        <w:r w:rsidR="00B24FEE">
          <w:instrText xml:space="preserve"> ADDIN EN.CITE &lt;EndNote&gt;&lt;Cite&gt;&lt;Author&gt;Department of Health&lt;/Author&gt;&lt;Year&gt;2011&lt;/Year&gt;&lt;RecNum&gt;56&lt;/RecNum&gt;&lt;DisplayText&gt;&lt;style face="superscript"&gt;141&lt;/style&gt;&lt;/DisplayText&gt;&lt;record&gt;&lt;rec-number&gt;56&lt;/rec-number&gt;&lt;foreign-keys&gt;&lt;key app="EN" db-id="sxpszd2ti9dx04ewefrvfp5bpf5faazszr9p" timestamp="0"&gt;56&lt;/key&gt;&lt;/foreign-keys&gt;&lt;ref-type name="Report"&gt;27&lt;/ref-type&gt;&lt;contributors&gt;&lt;authors&gt;&lt;author&gt;Department of Health,&lt;/author&gt;&lt;/authors&gt;&lt;/contributors&gt;&lt;titles&gt;&lt;title&gt;NHS reference costs 2009-2010&lt;/title&gt;&lt;/titles&gt;&lt;dates&gt;&lt;year&gt;2011&lt;/year&gt;&lt;/dates&gt;&lt;urls&gt;&lt;related-urls&gt;&lt;url&gt;http://www.dh.gov.uk/en/Publicationsandstatistics/Publications/PublicationsPolicyAndGuidance/DH_123459&lt;/url&gt;&lt;/related-urls&gt;&lt;/urls&gt;&lt;/record&gt;&lt;/Cite&gt;&lt;/EndNote&gt;</w:instrText>
        </w:r>
        <w:r w:rsidR="00B24FEE">
          <w:fldChar w:fldCharType="separate"/>
        </w:r>
        <w:r w:rsidR="00B24FEE" w:rsidRPr="00B24FEE">
          <w:rPr>
            <w:noProof/>
            <w:vertAlign w:val="superscript"/>
          </w:rPr>
          <w:t>141</w:t>
        </w:r>
        <w:r w:rsidR="00B24FEE">
          <w:fldChar w:fldCharType="end"/>
        </w:r>
      </w:hyperlink>
      <w:r w:rsidRPr="00591BFC">
        <w:t>. Total costs per patient were aggregated into monthly and annual amounts for the purposes of the analysis.</w:t>
      </w:r>
    </w:p>
    <w:p w14:paraId="70F054F9" w14:textId="77777777" w:rsidR="002A383E" w:rsidRPr="00591BFC" w:rsidRDefault="002A383E" w:rsidP="00E86771">
      <w:pPr>
        <w:spacing w:line="360" w:lineRule="auto"/>
      </w:pPr>
    </w:p>
    <w:p w14:paraId="4EF8D841" w14:textId="77777777" w:rsidR="002A383E" w:rsidRPr="00591BFC" w:rsidRDefault="002A383E" w:rsidP="00E86771">
      <w:pPr>
        <w:pStyle w:val="Heading3"/>
        <w:spacing w:line="360" w:lineRule="auto"/>
        <w:rPr>
          <w:rFonts w:ascii="Calibri" w:hAnsi="Calibri"/>
          <w:lang w:val="en-GB"/>
        </w:rPr>
      </w:pPr>
      <w:bookmarkStart w:id="335" w:name="_Toc308300794"/>
      <w:bookmarkStart w:id="336" w:name="_Toc311366601"/>
      <w:r w:rsidRPr="00591BFC">
        <w:rPr>
          <w:rFonts w:ascii="Calibri" w:hAnsi="Calibri"/>
          <w:lang w:val="en-GB"/>
        </w:rPr>
        <w:t>Statistical analysis</w:t>
      </w:r>
      <w:bookmarkEnd w:id="335"/>
      <w:bookmarkEnd w:id="336"/>
    </w:p>
    <w:p w14:paraId="3B8D22EF" w14:textId="7C681726" w:rsidR="002A383E" w:rsidRPr="00591BFC" w:rsidRDefault="002A383E" w:rsidP="00E86771">
      <w:pPr>
        <w:spacing w:line="360" w:lineRule="auto"/>
      </w:pPr>
      <w:r w:rsidRPr="00591BFC">
        <w:t xml:space="preserve">We determined the marginal costs </w:t>
      </w:r>
      <w:r w:rsidR="00D83E5F">
        <w:t>attributable to a</w:t>
      </w:r>
      <w:r w:rsidRPr="00591BFC">
        <w:t xml:space="preserve"> hip fracture by comparing costs in the year before and after the index hip fracture. The national total annual primary and hospital costs of hip fracture w</w:t>
      </w:r>
      <w:r w:rsidR="00D83E5F">
        <w:t>ere</w:t>
      </w:r>
      <w:r w:rsidRPr="00591BFC">
        <w:t xml:space="preserve"> determined by multiplying the incidence of hip fracture in the UK (</w:t>
      </w:r>
      <w:r w:rsidRPr="00591BFC">
        <w:rPr>
          <w:rFonts w:eastAsia="Times New Roman" w:cs="Calibri"/>
          <w:color w:val="000000"/>
          <w:lang w:eastAsia="en-GB"/>
        </w:rPr>
        <w:t>79,243 in 2010)</w:t>
      </w:r>
      <w:r w:rsidRPr="00591BFC">
        <w:t xml:space="preserve"> by the estimated costs per hip fracture</w:t>
      </w:r>
      <w:hyperlink w:anchor="_ENREF_129" w:tooltip="Hernlund, 2013 #1108" w:history="1">
        <w:r w:rsidR="00B24FEE">
          <w:fldChar w:fldCharType="begin">
            <w:fldData xml:space="preserve">PEVuZE5vdGU+PENpdGU+PEF1dGhvcj5IZXJubHVuZDwvQXV0aG9yPjxZZWFyPjIwMTM8L1llYXI+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=
</w:fldData>
          </w:fldChar>
        </w:r>
        <w:r w:rsidR="00B24FEE">
          <w:instrText xml:space="preserve"> ADDIN EN.CITE </w:instrText>
        </w:r>
        <w:r w:rsidR="00B24FEE">
          <w:fldChar w:fldCharType="begin">
            <w:fldData xml:space="preserve">PEVuZE5vdGU+PENpdGU+PEF1dGhvcj5IZXJubHVuZDwvQXV0aG9yPjxZZWFyPjIwMTM8L1llYXI+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=
</w:fldData>
          </w:fldChar>
        </w:r>
        <w:r w:rsidR="00B24FEE">
          <w:instrText xml:space="preserve"> ADDIN EN.CITE.DATA </w:instrText>
        </w:r>
        <w:r w:rsidR="00B24FEE">
          <w:fldChar w:fldCharType="end"/>
        </w:r>
        <w:r w:rsidR="00B24FEE">
          <w:fldChar w:fldCharType="separate"/>
        </w:r>
        <w:r w:rsidR="00B24FEE" w:rsidRPr="00B24FEE">
          <w:rPr>
            <w:noProof/>
            <w:vertAlign w:val="superscript"/>
          </w:rPr>
          <w:t>129</w:t>
        </w:r>
        <w:r w:rsidR="00B24FEE">
          <w:fldChar w:fldCharType="end"/>
        </w:r>
      </w:hyperlink>
      <w:r w:rsidRPr="00591BFC">
        <w:t>.</w:t>
      </w:r>
      <w:r w:rsidRPr="00591BFC">
        <w:rPr>
          <w:strike/>
        </w:rPr>
        <w:t xml:space="preserve"> </w:t>
      </w:r>
    </w:p>
    <w:p w14:paraId="30820530" w14:textId="4D53C1A6" w:rsidR="002A383E" w:rsidRPr="00591BFC" w:rsidRDefault="002A383E" w:rsidP="00E86771">
      <w:pPr>
        <w:spacing w:line="360" w:lineRule="auto"/>
      </w:pPr>
      <w:r w:rsidRPr="00591BFC">
        <w:t xml:space="preserve">The HES database was censored in March 31, 2013, and complete follow up was not available for all cases. Hence, we report total hospital costs for those patients with complete follow-up data at years 1 and 2 following hip fracture and for the whole sample after adjusting for censoring using the methodology developed by Lin </w:t>
      </w:r>
      <w:r w:rsidRPr="00591BFC">
        <w:rPr>
          <w:i/>
        </w:rPr>
        <w:t>et al.</w:t>
      </w:r>
      <w:hyperlink w:anchor="_ENREF_142" w:tooltip="Lin, 2000 #1123" w:history="1">
        <w:r w:rsidR="00B24FEE">
          <w:fldChar w:fldCharType="begin"/>
        </w:r>
        <w:r w:rsidR="00B24FEE">
          <w:instrText xml:space="preserve"> ADDIN EN.CITE &lt;EndNote&gt;&lt;Cite&gt;&lt;Author&gt;Lin&lt;/Author&gt;&lt;Year&gt;2000&lt;/Year&gt;&lt;RecNum&gt;1123&lt;/RecNum&gt;&lt;DisplayText&gt;&lt;style face="superscript"&gt;142&lt;/style&gt;&lt;/DisplayText&gt;&lt;record&gt;&lt;rec-number&gt;1123&lt;/rec-number&gt;&lt;foreign-keys&gt;&lt;key app="EN" db-id="sxpszd2ti9dx04ewefrvfp5bpf5faazszr9p" timestamp="1435660675"&gt;1123&lt;/key&gt;&lt;/foreign-keys&gt;&lt;ref-type name="Journal Article"&gt;17&lt;/ref-type&gt;&lt;contributors&gt;&lt;authors&gt;&lt;author&gt;Lin, D. Y.&lt;/author&gt;&lt;/authors&gt;&lt;/contributors&gt;&lt;auth-address&gt;Department of Biostatistics, Box 357232, University of Washington, Seattle, WA 98195, USA. danyu@biostat.washington.edu&lt;/auth-address&gt;&lt;titles&gt;&lt;title&gt;Linear regression analysis of censored medical costs&lt;/title&gt;&lt;secondary-title&gt;Biostatistics&lt;/secondary-title&gt;&lt;/titles&gt;&lt;periodical&gt;&lt;full-title&gt;Biostatistics&lt;/full-title&gt;&lt;/periodical&gt;&lt;pages&gt;35-47&lt;/pages&gt;&lt;volume&gt;1&lt;/volume&gt;&lt;number&gt;1&lt;/number&gt;&lt;edition&gt;2003/08/23&lt;/edition&gt;&lt;dates&gt;&lt;year&gt;2000&lt;/year&gt;&lt;pub-dates&gt;&lt;date&gt;Mar&lt;/date&gt;&lt;/pub-dates&gt;&lt;/dates&gt;&lt;isbn&gt;1468-4357 (Electronic)&amp;#xD;1465-4644 (Linking)&lt;/isbn&gt;&lt;accession-num&gt;12933524&lt;/accession-num&gt;&lt;urls&gt;&lt;related-urls&gt;&lt;url&gt;http://www.ncbi.nlm.nih.gov/pubmed/12933524&lt;/url&gt;&lt;/related-urls&gt;&lt;/urls&gt;&lt;electronic-resource-num&gt;10.1093/biostatistics/1.1.35&amp;#xD;1/1/35 [pii]&lt;/electronic-resource-num&gt;&lt;language&gt;eng&lt;/language&gt;&lt;/record&gt;&lt;/Cite&gt;&lt;/EndNote&gt;</w:instrText>
        </w:r>
        <w:r w:rsidR="00B24FEE">
          <w:fldChar w:fldCharType="separate"/>
        </w:r>
        <w:r w:rsidR="00B24FEE" w:rsidRPr="00B24FEE">
          <w:rPr>
            <w:noProof/>
            <w:vertAlign w:val="superscript"/>
          </w:rPr>
          <w:t>142</w:t>
        </w:r>
        <w:r w:rsidR="00B24FEE">
          <w:fldChar w:fldCharType="end"/>
        </w:r>
      </w:hyperlink>
      <w:r w:rsidRPr="00591BFC">
        <w:t>. Costs are reported as means together with their 95% confidence intervals (CIs), obtained from 1000 bootstrap estimates.</w:t>
      </w:r>
    </w:p>
    <w:p w14:paraId="070DDE87" w14:textId="61283187" w:rsidR="002A383E" w:rsidRPr="00591BFC" w:rsidRDefault="002A383E" w:rsidP="00E86771">
      <w:pPr>
        <w:spacing w:line="360" w:lineRule="auto"/>
      </w:pPr>
      <w:r w:rsidRPr="00591BFC">
        <w:lastRenderedPageBreak/>
        <w:t>Predictors of primary care and hospitalisation costs of hip fracture were estimated using a generali</w:t>
      </w:r>
      <w:r w:rsidR="001F0197">
        <w:t>s</w:t>
      </w:r>
      <w:r w:rsidRPr="00591BFC">
        <w:t>ed linear model (GLM). After reviewing the literature, we examined the following predictors of costs in the year of the hip fracture: age at fracture; type of fracture (head and neck: S72.0; pertrochanteric: S72.1; subtrochanteric: S72.2; unspecified: S72.9); gender; Charlson co-morbidity score (complications at fracture and occurring up to 3 years before fracture)</w:t>
      </w:r>
      <w:hyperlink w:anchor="_ENREF_143" w:tooltip="Charlson, 1987 #1124" w:history="1">
        <w:r w:rsidR="00B24FEE">
          <w:fldChar w:fldCharType="begin"/>
        </w:r>
        <w:r w:rsidR="00B24FEE">
          <w:instrText xml:space="preserve"> ADDIN EN.CITE &lt;EndNote&gt;&lt;Cite&gt;&lt;Author&gt;Charlson&lt;/Author&gt;&lt;Year&gt;1987&lt;/Year&gt;&lt;RecNum&gt;1124&lt;/RecNum&gt;&lt;DisplayText&gt;&lt;style face="superscript"&gt;143&lt;/style&gt;&lt;/DisplayText&gt;&lt;record&gt;&lt;rec-number&gt;1124&lt;/rec-number&gt;&lt;foreign-keys&gt;&lt;key app="EN" db-id="sxpszd2ti9dx04ewefrvfp5bpf5faazszr9p" timestamp="1435660703"&gt;1124&lt;/key&gt;&lt;/foreign-keys&gt;&lt;ref-type name="Journal Article"&gt;17&lt;/ref-type&gt;&lt;contributors&gt;&lt;authors&gt;&lt;author&gt;Charlson, M. E.&lt;/author&gt;&lt;author&gt;Pompei, P.&lt;/author&gt;&lt;author&gt;Ales, K. L.&lt;/author&gt;&lt;author&gt;MacKenzie, C. R.&lt;/author&gt;&lt;/authors&gt;&lt;/contributors&gt;&lt;titles&gt;&lt;title&gt;A new method of classifying prognostic comorbidity in longitudinal studies: development and validation&lt;/title&gt;&lt;secondary-title&gt;J Chronic Dis&lt;/secondary-title&gt;&lt;/titles&gt;&lt;periodical&gt;&lt;full-title&gt;J Chronic Dis&lt;/full-title&gt;&lt;/periodical&gt;&lt;pages&gt;373-83&lt;/pages&gt;&lt;volume&gt;40&lt;/volume&gt;&lt;number&gt;5&lt;/number&gt;&lt;edition&gt;1987/01/01&lt;/edition&gt;&lt;keywords&gt;&lt;keyword&gt;Actuarial Analysis&lt;/keyword&gt;&lt;keyword&gt;Age Factors&lt;/keyword&gt;&lt;keyword&gt;Breast Neoplasms/epidemiology&lt;/keyword&gt;&lt;keyword&gt;*Epidemiologic Methods&lt;/keyword&gt;&lt;keyword&gt;Female&lt;/keyword&gt;&lt;keyword&gt;Follow-Up Studies&lt;/keyword&gt;&lt;keyword&gt;Humans&lt;/keyword&gt;&lt;keyword&gt;*Longitudinal Studies&lt;/keyword&gt;&lt;keyword&gt;*Morbidity&lt;/keyword&gt;&lt;keyword&gt;New York City&lt;/keyword&gt;&lt;keyword&gt;Prognosis&lt;/keyword&gt;&lt;keyword&gt;Prospective Studies&lt;/keyword&gt;&lt;keyword&gt;Risk&lt;/keyword&gt;&lt;/keywords&gt;&lt;dates&gt;&lt;year&gt;1987&lt;/year&gt;&lt;/dates&gt;&lt;isbn&gt;0021-9681 (Print)&amp;#xD;0021-9681 (Linking)&lt;/isbn&gt;&lt;accession-num&gt;3558716&lt;/accession-num&gt;&lt;urls&gt;&lt;related-urls&gt;&lt;url&gt;http://www.ncbi.nlm.nih.gov/pubmed/3558716&lt;/url&gt;&lt;/related-urls&gt;&lt;/urls&gt;&lt;language&gt;eng&lt;/language&gt;&lt;/record&gt;&lt;/Cite&gt;&lt;/EndNote&gt;</w:instrText>
        </w:r>
        <w:r w:rsidR="00B24FEE">
          <w:fldChar w:fldCharType="separate"/>
        </w:r>
        <w:r w:rsidR="00B24FEE" w:rsidRPr="00B24FEE">
          <w:rPr>
            <w:noProof/>
            <w:vertAlign w:val="superscript"/>
          </w:rPr>
          <w:t>143</w:t>
        </w:r>
        <w:r w:rsidR="00B24FEE">
          <w:fldChar w:fldCharType="end"/>
        </w:r>
      </w:hyperlink>
      <w:r w:rsidRPr="00591BFC">
        <w:t>; place of residence pre- and post-fracture (own home or care home: residential or nursing home); occurrence of second hip fracture; history of other osteoporatic major fragility fractures requiring hospitalisation pre- and post hip fracture (spine, wrist, pelvis, rib, humerus and other identified with ICD-10 diagnosis codes: S22, S32, S42, S52.0-S52.3, S22.5 and S22.6); primary hip replacement and revision</w:t>
      </w:r>
      <w:hyperlink w:anchor="_ENREF_144" w:tooltip=", 2013 #1125" w:history="1">
        <w:r w:rsidR="00B24FEE">
          <w:fldChar w:fldCharType="begin"/>
        </w:r>
        <w:r w:rsidR="00B24FEE">
          <w:instrText xml:space="preserve"> ADDIN EN.CITE &lt;EndNote&gt;&lt;Cite ExcludeAuth="1"&gt;&lt;Year&gt;2013&lt;/Year&gt;&lt;RecNum&gt;1125&lt;/RecNum&gt;&lt;DisplayText&gt;&lt;style face="superscript"&gt;144&lt;/style&gt;&lt;/DisplayText&gt;&lt;record&gt;&lt;rec-number&gt;1125&lt;/rec-number&gt;&lt;foreign-keys&gt;&lt;key app="EN" db-id="sxpszd2ti9dx04ewefrvfp5bpf5faazszr9p" timestamp="1435660748"&gt;1125&lt;/key&gt;&lt;/foreign-keys&gt;&lt;ref-type name="Report"&gt;27&lt;/ref-type&gt;&lt;contributors&gt;&lt;/contributors&gt;&lt;titles&gt;&lt;title&gt;National Joint Registry OPCS Codes relevant to procedures recorded in the NJR. Version 3&lt;/title&gt;&lt;/titles&gt;&lt;dates&gt;&lt;year&gt;2013&lt;/year&gt;&lt;/dates&gt;&lt;urls&gt;&lt;/urls&gt;&lt;/record&gt;&lt;/Cite&gt;&lt;/EndNote&gt;</w:instrText>
        </w:r>
        <w:r w:rsidR="00B24FEE">
          <w:fldChar w:fldCharType="separate"/>
        </w:r>
        <w:r w:rsidR="00B24FEE" w:rsidRPr="00B24FEE">
          <w:rPr>
            <w:noProof/>
            <w:vertAlign w:val="superscript"/>
          </w:rPr>
          <w:t>144</w:t>
        </w:r>
        <w:r w:rsidR="00B24FEE">
          <w:fldChar w:fldCharType="end"/>
        </w:r>
      </w:hyperlink>
      <w:r w:rsidRPr="00591BFC">
        <w:t xml:space="preserve">; complications of internal orthopaedic devices (ICD-10 code: T84) and infection or haemorrhage following procedure (T81.0 and T81.4); dislocation (M24.3 and M24.4); malunion and non-union of fracture (M84.0-M84.2); periprosthetic fracture (M96.6); other/unspecified postprocedural musculoskeletal disorders (M96.8, M96.9);  sequelae of fractures of the femur (T93.1); hip luxations (S73.0); ethnicity (white and non-white); year of hip fracture; and income deprivation measured by the index of multiple deprivation. </w:t>
      </w:r>
      <w:r w:rsidR="00D83E5F" w:rsidRPr="00D83E5F">
        <w:t xml:space="preserve">We assumed that once a patient moved to a care home they would remain there for the rest of their lives. </w:t>
      </w:r>
      <w:r w:rsidRPr="00591BFC">
        <w:t>We only included covariates that had a frequency of at least 100 patients in the samples available. Selection of covariates for the final model included the type of hip</w:t>
      </w:r>
      <w:r w:rsidR="00D83E5F">
        <w:t xml:space="preserve"> fracture and other covariates from</w:t>
      </w:r>
      <w:r w:rsidRPr="00591BFC">
        <w:t xml:space="preserve"> the list specified above that were found to be significant and met the inclusion criteria. For hospitalisation costs, a variable was deemed to be statistically significant if p&lt;0.01 to account for the large sample size and 95%CI were reported for easy of comparison with other studies. For primary care costs, a variable was deemed to be statistically significant if p&lt;0.05. The choice of the GLM model family and link functions was informed by the modified Park test and the Box-Cox test, respectively.  Model fit was assessed using Pregibon’s Link test and different family and link functions were compared using Akaike’s information criterion. Univariate analyses in continuous variables were performed using Student t-tests. All analyses were performed using STATA version 12 (StataCorp, College Station, Texas).</w:t>
      </w:r>
    </w:p>
    <w:p w14:paraId="3A1E9D96" w14:textId="77777777" w:rsidR="002A383E" w:rsidRPr="00591BFC" w:rsidRDefault="002A383E" w:rsidP="00E86771">
      <w:pPr>
        <w:spacing w:line="360" w:lineRule="auto"/>
      </w:pPr>
    </w:p>
    <w:p w14:paraId="43905457" w14:textId="77777777" w:rsidR="002A383E" w:rsidRPr="00591BFC" w:rsidRDefault="002A383E" w:rsidP="00E86771">
      <w:pPr>
        <w:pStyle w:val="Heading2"/>
        <w:spacing w:line="360" w:lineRule="auto"/>
        <w:rPr>
          <w:rFonts w:ascii="Calibri" w:hAnsi="Calibri"/>
          <w:lang w:val="en-GB"/>
        </w:rPr>
      </w:pPr>
      <w:bookmarkStart w:id="337" w:name="_Toc308300795"/>
      <w:bookmarkStart w:id="338" w:name="_Toc311366602"/>
      <w:r w:rsidRPr="00591BFC">
        <w:rPr>
          <w:rFonts w:ascii="Calibri" w:hAnsi="Calibri"/>
          <w:lang w:val="en-GB"/>
        </w:rPr>
        <w:t>Results</w:t>
      </w:r>
      <w:bookmarkEnd w:id="337"/>
      <w:bookmarkEnd w:id="338"/>
    </w:p>
    <w:p w14:paraId="13006713" w14:textId="77777777" w:rsidR="002A383E" w:rsidRPr="00591BFC" w:rsidRDefault="002A383E" w:rsidP="00E86771">
      <w:pPr>
        <w:pStyle w:val="Heading3"/>
        <w:spacing w:line="360" w:lineRule="auto"/>
        <w:rPr>
          <w:rFonts w:ascii="Calibri" w:hAnsi="Calibri"/>
          <w:lang w:val="en-GB"/>
        </w:rPr>
      </w:pPr>
      <w:bookmarkStart w:id="339" w:name="_Toc308300796"/>
      <w:bookmarkStart w:id="340" w:name="_Toc311366603"/>
      <w:r w:rsidRPr="00591BFC">
        <w:rPr>
          <w:rFonts w:ascii="Calibri" w:hAnsi="Calibri"/>
          <w:lang w:val="en-GB"/>
        </w:rPr>
        <w:t>Patient sample</w:t>
      </w:r>
      <w:bookmarkEnd w:id="339"/>
      <w:bookmarkEnd w:id="340"/>
    </w:p>
    <w:p w14:paraId="117EF2BC" w14:textId="77777777" w:rsidR="002A383E" w:rsidRPr="00591BFC" w:rsidRDefault="002A383E" w:rsidP="00E86771">
      <w:pPr>
        <w:pStyle w:val="Heading4"/>
        <w:spacing w:line="360" w:lineRule="auto"/>
        <w:rPr>
          <w:rFonts w:ascii="Calibri" w:hAnsi="Calibri"/>
        </w:rPr>
      </w:pPr>
      <w:r w:rsidRPr="00591BFC">
        <w:rPr>
          <w:rFonts w:ascii="Calibri" w:hAnsi="Calibri"/>
        </w:rPr>
        <w:t>Hospital care dataset</w:t>
      </w:r>
    </w:p>
    <w:p w14:paraId="4E32DDEE" w14:textId="77777777" w:rsidR="002A383E" w:rsidRPr="00591BFC" w:rsidRDefault="002A383E" w:rsidP="00E86771">
      <w:pPr>
        <w:spacing w:line="360" w:lineRule="auto"/>
      </w:pPr>
      <w:r w:rsidRPr="00591BFC">
        <w:t xml:space="preserve">Between April 1, 2003, and March 31, 2013, 33,152 patients were identified as having had a hip fracture. Mean age of the sample was 83 years (SD 8.2) and 75% were female. The majority of the population was of white ethnicity. Baseline characteristics of the study participants are shown in </w:t>
      </w:r>
      <w:r w:rsidRPr="00591BFC">
        <w:lastRenderedPageBreak/>
        <w:fldChar w:fldCharType="begin"/>
      </w:r>
      <w:r w:rsidRPr="00591BFC">
        <w:instrText xml:space="preserve"> REF _Ref423075551 \h </w:instrText>
      </w:r>
      <w:r w:rsidR="00E814C1" w:rsidRPr="00591BFC">
        <w:instrText xml:space="preserve"> \* MERGEFORMAT </w:instrText>
      </w:r>
      <w:r w:rsidRPr="00591BFC">
        <w:fldChar w:fldCharType="separate"/>
      </w:r>
      <w:r w:rsidR="00776C05" w:rsidRPr="00591BFC">
        <w:t xml:space="preserve">Table </w:t>
      </w:r>
      <w:r w:rsidR="00776C05">
        <w:rPr>
          <w:noProof/>
        </w:rPr>
        <w:t>18</w:t>
      </w:r>
      <w:r w:rsidRPr="00591BFC">
        <w:fldChar w:fldCharType="end"/>
      </w:r>
      <w:r w:rsidRPr="00591BFC">
        <w:t>. Women were older than men (+2.0 years) and less likely to have a history of complications (CCI score of 1.1 vs. 1.7 in men) at index hip fracture.</w:t>
      </w:r>
    </w:p>
    <w:p w14:paraId="1078BFD1" w14:textId="77777777" w:rsidR="002A383E" w:rsidRPr="00591BFC" w:rsidRDefault="002A383E" w:rsidP="00E86771">
      <w:pPr>
        <w:spacing w:line="360" w:lineRule="auto"/>
      </w:pPr>
    </w:p>
    <w:p w14:paraId="03636BED" w14:textId="77777777" w:rsidR="002A383E" w:rsidRPr="00591BFC" w:rsidRDefault="002A383E" w:rsidP="00E86771">
      <w:pPr>
        <w:pStyle w:val="Caption"/>
        <w:keepNext/>
        <w:spacing w:line="360" w:lineRule="auto"/>
      </w:pPr>
      <w:bookmarkStart w:id="341" w:name="_Ref423075551"/>
      <w:bookmarkStart w:id="342" w:name="_Toc308262413"/>
      <w:bookmarkStart w:id="343" w:name="_Toc311366679"/>
      <w:r w:rsidRPr="00591BFC">
        <w:t xml:space="preserve">Table </w:t>
      </w:r>
      <w:r w:rsidR="002149AD">
        <w:fldChar w:fldCharType="begin"/>
      </w:r>
      <w:r w:rsidR="002149AD">
        <w:instrText xml:space="preserve"> SEQ Table \* ARABIC </w:instrText>
      </w:r>
      <w:r w:rsidR="002149AD">
        <w:fldChar w:fldCharType="separate"/>
      </w:r>
      <w:r w:rsidR="00776C05">
        <w:rPr>
          <w:noProof/>
        </w:rPr>
        <w:t>18</w:t>
      </w:r>
      <w:r w:rsidR="002149AD">
        <w:rPr>
          <w:noProof/>
        </w:rPr>
        <w:fldChar w:fldCharType="end"/>
      </w:r>
      <w:bookmarkEnd w:id="341"/>
      <w:r w:rsidRPr="00591BFC">
        <w:t xml:space="preserve"> Baseline characteristics of patient sample informing hospital care costs</w:t>
      </w:r>
      <w:bookmarkEnd w:id="342"/>
      <w:bookmarkEnd w:id="343"/>
    </w:p>
    <w:tbl>
      <w:tblPr>
        <w:tblW w:w="5000" w:type="pct"/>
        <w:tblLook w:val="04A0" w:firstRow="1" w:lastRow="0" w:firstColumn="1" w:lastColumn="0" w:noHBand="0" w:noVBand="1"/>
      </w:tblPr>
      <w:tblGrid>
        <w:gridCol w:w="7191"/>
        <w:gridCol w:w="955"/>
        <w:gridCol w:w="1090"/>
      </w:tblGrid>
      <w:tr w:rsidR="002A383E" w:rsidRPr="00591BFC" w14:paraId="03658622" w14:textId="77777777" w:rsidTr="00DB4F65">
        <w:trPr>
          <w:trHeight w:val="320"/>
        </w:trPr>
        <w:tc>
          <w:tcPr>
            <w:tcW w:w="3893" w:type="pct"/>
            <w:shd w:val="clear" w:color="auto" w:fill="auto"/>
            <w:hideMark/>
          </w:tcPr>
          <w:p w14:paraId="18302304" w14:textId="77777777" w:rsidR="002A383E" w:rsidRPr="00591BFC" w:rsidRDefault="002A383E" w:rsidP="00E86771">
            <w:pPr>
              <w:spacing w:line="360" w:lineRule="auto"/>
            </w:pPr>
            <w:r w:rsidRPr="00591BFC">
              <w:t>Age, mean  (SD)</w:t>
            </w:r>
          </w:p>
        </w:tc>
        <w:tc>
          <w:tcPr>
            <w:tcW w:w="517" w:type="pct"/>
            <w:shd w:val="clear" w:color="auto" w:fill="auto"/>
            <w:hideMark/>
          </w:tcPr>
          <w:p w14:paraId="09BC019C" w14:textId="77777777" w:rsidR="002A383E" w:rsidRPr="00591BFC" w:rsidRDefault="002A383E" w:rsidP="00E86771">
            <w:pPr>
              <w:spacing w:line="360" w:lineRule="auto"/>
            </w:pPr>
            <w:r w:rsidRPr="00591BFC">
              <w:t xml:space="preserve">82.7 </w:t>
            </w:r>
          </w:p>
        </w:tc>
        <w:tc>
          <w:tcPr>
            <w:tcW w:w="590" w:type="pct"/>
            <w:shd w:val="clear" w:color="auto" w:fill="auto"/>
            <w:hideMark/>
          </w:tcPr>
          <w:p w14:paraId="0C967725" w14:textId="77777777" w:rsidR="002A383E" w:rsidRPr="00591BFC" w:rsidRDefault="002A383E" w:rsidP="00E86771">
            <w:pPr>
              <w:spacing w:line="360" w:lineRule="auto"/>
            </w:pPr>
            <w:r w:rsidRPr="00591BFC">
              <w:t>(8.2)</w:t>
            </w:r>
          </w:p>
        </w:tc>
      </w:tr>
      <w:tr w:rsidR="002A383E" w:rsidRPr="00591BFC" w14:paraId="2D8385B3" w14:textId="77777777" w:rsidTr="00DB4F65">
        <w:trPr>
          <w:trHeight w:val="320"/>
        </w:trPr>
        <w:tc>
          <w:tcPr>
            <w:tcW w:w="3893" w:type="pct"/>
            <w:shd w:val="clear" w:color="auto" w:fill="auto"/>
            <w:hideMark/>
          </w:tcPr>
          <w:p w14:paraId="68D788F6" w14:textId="77777777" w:rsidR="002A383E" w:rsidRPr="00591BFC" w:rsidRDefault="002A383E" w:rsidP="00E86771">
            <w:pPr>
              <w:spacing w:line="360" w:lineRule="auto"/>
            </w:pPr>
            <w:r w:rsidRPr="00591BFC">
              <w:t>Type of hip fracture, n (%)</w:t>
            </w:r>
          </w:p>
        </w:tc>
        <w:tc>
          <w:tcPr>
            <w:tcW w:w="517" w:type="pct"/>
            <w:shd w:val="clear" w:color="auto" w:fill="auto"/>
            <w:hideMark/>
          </w:tcPr>
          <w:p w14:paraId="2FAE3191" w14:textId="77777777" w:rsidR="002A383E" w:rsidRPr="00591BFC" w:rsidRDefault="002A383E" w:rsidP="00E86771">
            <w:pPr>
              <w:spacing w:line="360" w:lineRule="auto"/>
            </w:pPr>
            <w:r w:rsidRPr="00591BFC">
              <w:t> </w:t>
            </w:r>
          </w:p>
        </w:tc>
        <w:tc>
          <w:tcPr>
            <w:tcW w:w="590" w:type="pct"/>
            <w:shd w:val="clear" w:color="auto" w:fill="auto"/>
            <w:hideMark/>
          </w:tcPr>
          <w:p w14:paraId="48B0463E" w14:textId="77777777" w:rsidR="002A383E" w:rsidRPr="00591BFC" w:rsidRDefault="002A383E" w:rsidP="00E86771">
            <w:pPr>
              <w:spacing w:line="360" w:lineRule="auto"/>
            </w:pPr>
            <w:r w:rsidRPr="00591BFC">
              <w:t> </w:t>
            </w:r>
          </w:p>
        </w:tc>
      </w:tr>
      <w:tr w:rsidR="002A383E" w:rsidRPr="00591BFC" w14:paraId="0A940A58" w14:textId="77777777" w:rsidTr="00DB4F65">
        <w:trPr>
          <w:trHeight w:val="256"/>
        </w:trPr>
        <w:tc>
          <w:tcPr>
            <w:tcW w:w="3893" w:type="pct"/>
            <w:shd w:val="clear" w:color="auto" w:fill="auto"/>
            <w:hideMark/>
          </w:tcPr>
          <w:p w14:paraId="29AD0151" w14:textId="77777777" w:rsidR="002A383E" w:rsidRPr="00591BFC" w:rsidRDefault="002A383E" w:rsidP="00E86771">
            <w:pPr>
              <w:spacing w:line="360" w:lineRule="auto"/>
            </w:pPr>
            <w:r w:rsidRPr="00591BFC">
              <w:t xml:space="preserve">   Fracture of head and neck of femur</w:t>
            </w:r>
          </w:p>
        </w:tc>
        <w:tc>
          <w:tcPr>
            <w:tcW w:w="517" w:type="pct"/>
            <w:shd w:val="clear" w:color="auto" w:fill="auto"/>
            <w:hideMark/>
          </w:tcPr>
          <w:p w14:paraId="6D18395E" w14:textId="77777777" w:rsidR="002A383E" w:rsidRPr="00591BFC" w:rsidRDefault="002A383E" w:rsidP="00E86771">
            <w:pPr>
              <w:spacing w:line="360" w:lineRule="auto"/>
            </w:pPr>
            <w:r w:rsidRPr="00591BFC">
              <w:t>25,335</w:t>
            </w:r>
          </w:p>
        </w:tc>
        <w:tc>
          <w:tcPr>
            <w:tcW w:w="590" w:type="pct"/>
            <w:shd w:val="clear" w:color="auto" w:fill="auto"/>
            <w:hideMark/>
          </w:tcPr>
          <w:p w14:paraId="555DCD26" w14:textId="77777777" w:rsidR="002A383E" w:rsidRPr="00591BFC" w:rsidRDefault="002A383E" w:rsidP="00E86771">
            <w:pPr>
              <w:spacing w:line="360" w:lineRule="auto"/>
            </w:pPr>
            <w:r w:rsidRPr="00591BFC">
              <w:t>(76.4%)</w:t>
            </w:r>
          </w:p>
        </w:tc>
      </w:tr>
      <w:tr w:rsidR="002A383E" w:rsidRPr="00591BFC" w14:paraId="27ED4C52" w14:textId="77777777" w:rsidTr="00DB4F65">
        <w:trPr>
          <w:trHeight w:val="320"/>
        </w:trPr>
        <w:tc>
          <w:tcPr>
            <w:tcW w:w="3893" w:type="pct"/>
            <w:shd w:val="clear" w:color="auto" w:fill="auto"/>
            <w:hideMark/>
          </w:tcPr>
          <w:p w14:paraId="6C5D75C8" w14:textId="77777777" w:rsidR="002A383E" w:rsidRPr="00591BFC" w:rsidRDefault="002A383E" w:rsidP="00E86771">
            <w:pPr>
              <w:spacing w:line="360" w:lineRule="auto"/>
            </w:pPr>
            <w:r w:rsidRPr="00591BFC">
              <w:t xml:space="preserve">   Pertrochanteric fracture</w:t>
            </w:r>
          </w:p>
        </w:tc>
        <w:tc>
          <w:tcPr>
            <w:tcW w:w="517" w:type="pct"/>
            <w:shd w:val="clear" w:color="auto" w:fill="auto"/>
            <w:hideMark/>
          </w:tcPr>
          <w:p w14:paraId="587C731D" w14:textId="77777777" w:rsidR="002A383E" w:rsidRPr="00591BFC" w:rsidRDefault="002A383E" w:rsidP="00E86771">
            <w:pPr>
              <w:spacing w:line="360" w:lineRule="auto"/>
            </w:pPr>
            <w:r w:rsidRPr="00591BFC">
              <w:t>6,590</w:t>
            </w:r>
          </w:p>
        </w:tc>
        <w:tc>
          <w:tcPr>
            <w:tcW w:w="590" w:type="pct"/>
            <w:shd w:val="clear" w:color="auto" w:fill="auto"/>
            <w:hideMark/>
          </w:tcPr>
          <w:p w14:paraId="39590A4F" w14:textId="77777777" w:rsidR="002A383E" w:rsidRPr="00591BFC" w:rsidRDefault="002A383E" w:rsidP="00E86771">
            <w:pPr>
              <w:spacing w:line="360" w:lineRule="auto"/>
            </w:pPr>
            <w:r w:rsidRPr="00591BFC">
              <w:t>(19.9%)</w:t>
            </w:r>
          </w:p>
        </w:tc>
      </w:tr>
      <w:tr w:rsidR="002A383E" w:rsidRPr="00591BFC" w14:paraId="156463D0" w14:textId="77777777" w:rsidTr="00DB4F65">
        <w:trPr>
          <w:trHeight w:val="320"/>
        </w:trPr>
        <w:tc>
          <w:tcPr>
            <w:tcW w:w="3893" w:type="pct"/>
            <w:shd w:val="clear" w:color="auto" w:fill="auto"/>
            <w:hideMark/>
          </w:tcPr>
          <w:p w14:paraId="5595B48A" w14:textId="77777777" w:rsidR="002A383E" w:rsidRPr="00591BFC" w:rsidRDefault="002A383E" w:rsidP="00E86771">
            <w:pPr>
              <w:spacing w:line="360" w:lineRule="auto"/>
            </w:pPr>
            <w:r w:rsidRPr="00591BFC">
              <w:t xml:space="preserve">   Subtrochanteric fracture</w:t>
            </w:r>
          </w:p>
        </w:tc>
        <w:tc>
          <w:tcPr>
            <w:tcW w:w="517" w:type="pct"/>
            <w:shd w:val="clear" w:color="auto" w:fill="auto"/>
            <w:hideMark/>
          </w:tcPr>
          <w:p w14:paraId="6B3BE84C" w14:textId="77777777" w:rsidR="002A383E" w:rsidRPr="00591BFC" w:rsidRDefault="002A383E" w:rsidP="00E86771">
            <w:pPr>
              <w:spacing w:line="360" w:lineRule="auto"/>
            </w:pPr>
            <w:r w:rsidRPr="00591BFC">
              <w:t>913</w:t>
            </w:r>
          </w:p>
        </w:tc>
        <w:tc>
          <w:tcPr>
            <w:tcW w:w="590" w:type="pct"/>
            <w:shd w:val="clear" w:color="auto" w:fill="auto"/>
            <w:hideMark/>
          </w:tcPr>
          <w:p w14:paraId="744BA777" w14:textId="77777777" w:rsidR="002A383E" w:rsidRPr="00591BFC" w:rsidRDefault="002A383E" w:rsidP="00E86771">
            <w:pPr>
              <w:spacing w:line="360" w:lineRule="auto"/>
            </w:pPr>
            <w:r w:rsidRPr="00591BFC">
              <w:t>(2.8%)</w:t>
            </w:r>
          </w:p>
        </w:tc>
      </w:tr>
      <w:tr w:rsidR="002A383E" w:rsidRPr="00591BFC" w14:paraId="53B8C391" w14:textId="77777777" w:rsidTr="00DB4F65">
        <w:trPr>
          <w:trHeight w:val="320"/>
        </w:trPr>
        <w:tc>
          <w:tcPr>
            <w:tcW w:w="3893" w:type="pct"/>
            <w:shd w:val="clear" w:color="auto" w:fill="auto"/>
            <w:hideMark/>
          </w:tcPr>
          <w:p w14:paraId="4755E579" w14:textId="77777777" w:rsidR="002A383E" w:rsidRPr="00591BFC" w:rsidRDefault="002A383E" w:rsidP="00E86771">
            <w:pPr>
              <w:spacing w:line="360" w:lineRule="auto"/>
            </w:pPr>
            <w:r w:rsidRPr="00591BFC">
              <w:t xml:space="preserve">   Unspecified fracture of femur</w:t>
            </w:r>
          </w:p>
        </w:tc>
        <w:tc>
          <w:tcPr>
            <w:tcW w:w="517" w:type="pct"/>
            <w:shd w:val="clear" w:color="auto" w:fill="auto"/>
            <w:hideMark/>
          </w:tcPr>
          <w:p w14:paraId="455134AA" w14:textId="77777777" w:rsidR="002A383E" w:rsidRPr="00591BFC" w:rsidRDefault="002A383E" w:rsidP="00E86771">
            <w:pPr>
              <w:spacing w:line="360" w:lineRule="auto"/>
            </w:pPr>
            <w:r w:rsidRPr="00591BFC">
              <w:t>315</w:t>
            </w:r>
          </w:p>
        </w:tc>
        <w:tc>
          <w:tcPr>
            <w:tcW w:w="590" w:type="pct"/>
            <w:shd w:val="clear" w:color="auto" w:fill="auto"/>
            <w:hideMark/>
          </w:tcPr>
          <w:p w14:paraId="575E3233" w14:textId="77777777" w:rsidR="002A383E" w:rsidRPr="00591BFC" w:rsidRDefault="002A383E" w:rsidP="00E86771">
            <w:pPr>
              <w:spacing w:line="360" w:lineRule="auto"/>
            </w:pPr>
            <w:r w:rsidRPr="00591BFC">
              <w:t>(1.0%)</w:t>
            </w:r>
          </w:p>
        </w:tc>
      </w:tr>
      <w:tr w:rsidR="002A383E" w:rsidRPr="00591BFC" w14:paraId="36A4F863" w14:textId="77777777" w:rsidTr="00DB4F65">
        <w:trPr>
          <w:trHeight w:val="320"/>
        </w:trPr>
        <w:tc>
          <w:tcPr>
            <w:tcW w:w="3893" w:type="pct"/>
            <w:shd w:val="clear" w:color="auto" w:fill="auto"/>
            <w:hideMark/>
          </w:tcPr>
          <w:p w14:paraId="723360DF" w14:textId="77777777" w:rsidR="002A383E" w:rsidRPr="00591BFC" w:rsidRDefault="002A383E" w:rsidP="00E86771">
            <w:pPr>
              <w:spacing w:line="360" w:lineRule="auto"/>
            </w:pPr>
            <w:r w:rsidRPr="00591BFC">
              <w:t>Males, n (%)</w:t>
            </w:r>
          </w:p>
        </w:tc>
        <w:tc>
          <w:tcPr>
            <w:tcW w:w="517" w:type="pct"/>
            <w:shd w:val="clear" w:color="auto" w:fill="auto"/>
            <w:hideMark/>
          </w:tcPr>
          <w:p w14:paraId="38184AFD" w14:textId="77777777" w:rsidR="002A383E" w:rsidRPr="00591BFC" w:rsidRDefault="002A383E" w:rsidP="00E86771">
            <w:pPr>
              <w:spacing w:line="360" w:lineRule="auto"/>
            </w:pPr>
            <w:r w:rsidRPr="00591BFC">
              <w:t xml:space="preserve">8,355 </w:t>
            </w:r>
          </w:p>
        </w:tc>
        <w:tc>
          <w:tcPr>
            <w:tcW w:w="590" w:type="pct"/>
            <w:shd w:val="clear" w:color="auto" w:fill="auto"/>
            <w:hideMark/>
          </w:tcPr>
          <w:p w14:paraId="1701AF0B" w14:textId="77777777" w:rsidR="002A383E" w:rsidRPr="00591BFC" w:rsidRDefault="002A383E" w:rsidP="00E86771">
            <w:pPr>
              <w:spacing w:line="360" w:lineRule="auto"/>
            </w:pPr>
            <w:r w:rsidRPr="00591BFC">
              <w:t>(25.2%)</w:t>
            </w:r>
          </w:p>
        </w:tc>
      </w:tr>
      <w:tr w:rsidR="002A383E" w:rsidRPr="00591BFC" w14:paraId="59A3D027" w14:textId="77777777" w:rsidTr="00DB4F65">
        <w:trPr>
          <w:trHeight w:val="83"/>
        </w:trPr>
        <w:tc>
          <w:tcPr>
            <w:tcW w:w="3893" w:type="pct"/>
            <w:shd w:val="clear" w:color="auto" w:fill="auto"/>
            <w:hideMark/>
          </w:tcPr>
          <w:p w14:paraId="71D9BB10" w14:textId="77777777" w:rsidR="002A383E" w:rsidRPr="00591BFC" w:rsidRDefault="002A383E" w:rsidP="00E86771">
            <w:pPr>
              <w:spacing w:line="360" w:lineRule="auto"/>
            </w:pPr>
            <w:r w:rsidRPr="00591BFC">
              <w:t>White ethnicity</w:t>
            </w:r>
          </w:p>
        </w:tc>
        <w:tc>
          <w:tcPr>
            <w:tcW w:w="517" w:type="pct"/>
            <w:shd w:val="clear" w:color="auto" w:fill="auto"/>
            <w:hideMark/>
          </w:tcPr>
          <w:p w14:paraId="48EA517E" w14:textId="77777777" w:rsidR="002A383E" w:rsidRPr="00591BFC" w:rsidRDefault="002A383E" w:rsidP="00E86771">
            <w:pPr>
              <w:spacing w:line="360" w:lineRule="auto"/>
            </w:pPr>
            <w:r w:rsidRPr="00591BFC">
              <w:t>31,287</w:t>
            </w:r>
          </w:p>
        </w:tc>
        <w:tc>
          <w:tcPr>
            <w:tcW w:w="590" w:type="pct"/>
            <w:shd w:val="clear" w:color="auto" w:fill="auto"/>
            <w:hideMark/>
          </w:tcPr>
          <w:p w14:paraId="60453234" w14:textId="77777777" w:rsidR="002A383E" w:rsidRPr="00591BFC" w:rsidRDefault="002A383E" w:rsidP="00E86771">
            <w:pPr>
              <w:spacing w:line="360" w:lineRule="auto"/>
            </w:pPr>
            <w:r w:rsidRPr="00591BFC">
              <w:t>(98.9%)</w:t>
            </w:r>
          </w:p>
        </w:tc>
      </w:tr>
      <w:tr w:rsidR="002A383E" w:rsidRPr="00591BFC" w14:paraId="720D4E60" w14:textId="77777777" w:rsidTr="00DB4F65">
        <w:trPr>
          <w:trHeight w:val="320"/>
        </w:trPr>
        <w:tc>
          <w:tcPr>
            <w:tcW w:w="3893" w:type="pct"/>
            <w:shd w:val="clear" w:color="auto" w:fill="auto"/>
            <w:hideMark/>
          </w:tcPr>
          <w:p w14:paraId="7C754B25" w14:textId="77777777" w:rsidR="002A383E" w:rsidRPr="00591BFC" w:rsidRDefault="002A383E" w:rsidP="00E86771">
            <w:pPr>
              <w:spacing w:line="360" w:lineRule="auto"/>
            </w:pPr>
            <w:r w:rsidRPr="00591BFC">
              <w:t>Charlson co-morbidity index, mean (SD)</w:t>
            </w:r>
          </w:p>
        </w:tc>
        <w:tc>
          <w:tcPr>
            <w:tcW w:w="517" w:type="pct"/>
            <w:shd w:val="clear" w:color="auto" w:fill="auto"/>
            <w:hideMark/>
          </w:tcPr>
          <w:p w14:paraId="3AD0C89F" w14:textId="77777777" w:rsidR="002A383E" w:rsidRPr="00591BFC" w:rsidRDefault="002A383E" w:rsidP="00E86771">
            <w:pPr>
              <w:spacing w:line="360" w:lineRule="auto"/>
            </w:pPr>
            <w:r w:rsidRPr="00591BFC">
              <w:t>1.26</w:t>
            </w:r>
          </w:p>
        </w:tc>
        <w:tc>
          <w:tcPr>
            <w:tcW w:w="590" w:type="pct"/>
            <w:shd w:val="clear" w:color="auto" w:fill="auto"/>
            <w:hideMark/>
          </w:tcPr>
          <w:p w14:paraId="76AD511A" w14:textId="77777777" w:rsidR="002A383E" w:rsidRPr="00591BFC" w:rsidRDefault="002A383E" w:rsidP="00E86771">
            <w:pPr>
              <w:spacing w:line="360" w:lineRule="auto"/>
            </w:pPr>
            <w:r w:rsidRPr="00591BFC">
              <w:t>(1.57)</w:t>
            </w:r>
          </w:p>
        </w:tc>
      </w:tr>
      <w:tr w:rsidR="002A383E" w:rsidRPr="00591BFC" w14:paraId="4C44A87C" w14:textId="77777777" w:rsidTr="00DB4F65">
        <w:trPr>
          <w:trHeight w:val="306"/>
        </w:trPr>
        <w:tc>
          <w:tcPr>
            <w:tcW w:w="3893" w:type="pct"/>
            <w:shd w:val="clear" w:color="auto" w:fill="auto"/>
            <w:hideMark/>
          </w:tcPr>
          <w:p w14:paraId="0384A381" w14:textId="77777777" w:rsidR="002A383E" w:rsidRPr="00591BFC" w:rsidRDefault="002A383E" w:rsidP="00E86771">
            <w:pPr>
              <w:spacing w:line="360" w:lineRule="auto"/>
            </w:pPr>
            <w:r w:rsidRPr="00591BFC">
              <w:t xml:space="preserve">History of co-morbidities recorded in previous hospitalisations, n (%) </w:t>
            </w:r>
          </w:p>
        </w:tc>
        <w:tc>
          <w:tcPr>
            <w:tcW w:w="517" w:type="pct"/>
            <w:shd w:val="clear" w:color="auto" w:fill="auto"/>
            <w:hideMark/>
          </w:tcPr>
          <w:p w14:paraId="12812B43" w14:textId="77777777" w:rsidR="002A383E" w:rsidRPr="00591BFC" w:rsidRDefault="002A383E" w:rsidP="00E86771">
            <w:pPr>
              <w:spacing w:line="360" w:lineRule="auto"/>
            </w:pPr>
            <w:r w:rsidRPr="00591BFC">
              <w:t> </w:t>
            </w:r>
          </w:p>
        </w:tc>
        <w:tc>
          <w:tcPr>
            <w:tcW w:w="590" w:type="pct"/>
            <w:shd w:val="clear" w:color="auto" w:fill="auto"/>
            <w:hideMark/>
          </w:tcPr>
          <w:p w14:paraId="006560F1" w14:textId="77777777" w:rsidR="002A383E" w:rsidRPr="00591BFC" w:rsidRDefault="002A383E" w:rsidP="00E86771">
            <w:pPr>
              <w:spacing w:line="360" w:lineRule="auto"/>
            </w:pPr>
            <w:r w:rsidRPr="00591BFC">
              <w:t> </w:t>
            </w:r>
          </w:p>
        </w:tc>
      </w:tr>
      <w:tr w:rsidR="002A383E" w:rsidRPr="00591BFC" w14:paraId="153234DC" w14:textId="77777777" w:rsidTr="00DB4F65">
        <w:trPr>
          <w:trHeight w:val="320"/>
        </w:trPr>
        <w:tc>
          <w:tcPr>
            <w:tcW w:w="3893" w:type="pct"/>
            <w:shd w:val="clear" w:color="auto" w:fill="auto"/>
            <w:hideMark/>
          </w:tcPr>
          <w:p w14:paraId="010079F7" w14:textId="77777777" w:rsidR="002A383E" w:rsidRPr="00591BFC" w:rsidRDefault="002A383E" w:rsidP="00E86771">
            <w:pPr>
              <w:spacing w:line="360" w:lineRule="auto"/>
            </w:pPr>
            <w:r w:rsidRPr="00591BFC">
              <w:t xml:space="preserve">  Dementia</w:t>
            </w:r>
          </w:p>
        </w:tc>
        <w:tc>
          <w:tcPr>
            <w:tcW w:w="517" w:type="pct"/>
            <w:shd w:val="clear" w:color="auto" w:fill="auto"/>
            <w:hideMark/>
          </w:tcPr>
          <w:p w14:paraId="0A539D39" w14:textId="77777777" w:rsidR="002A383E" w:rsidRPr="00591BFC" w:rsidRDefault="002A383E" w:rsidP="00E86771">
            <w:pPr>
              <w:spacing w:line="360" w:lineRule="auto"/>
            </w:pPr>
            <w:r w:rsidRPr="00591BFC">
              <w:t>6,101</w:t>
            </w:r>
          </w:p>
        </w:tc>
        <w:tc>
          <w:tcPr>
            <w:tcW w:w="590" w:type="pct"/>
            <w:shd w:val="clear" w:color="auto" w:fill="auto"/>
            <w:hideMark/>
          </w:tcPr>
          <w:p w14:paraId="44C358CB" w14:textId="77777777" w:rsidR="002A383E" w:rsidRPr="00591BFC" w:rsidRDefault="002A383E" w:rsidP="00E86771">
            <w:pPr>
              <w:spacing w:line="360" w:lineRule="auto"/>
            </w:pPr>
            <w:r w:rsidRPr="00591BFC">
              <w:t>(18.4%)</w:t>
            </w:r>
          </w:p>
        </w:tc>
      </w:tr>
      <w:tr w:rsidR="002A383E" w:rsidRPr="00591BFC" w14:paraId="705415C5" w14:textId="77777777" w:rsidTr="00DB4F65">
        <w:trPr>
          <w:trHeight w:val="320"/>
        </w:trPr>
        <w:tc>
          <w:tcPr>
            <w:tcW w:w="3893" w:type="pct"/>
            <w:shd w:val="clear" w:color="auto" w:fill="auto"/>
            <w:hideMark/>
          </w:tcPr>
          <w:p w14:paraId="42229445" w14:textId="77777777" w:rsidR="002A383E" w:rsidRPr="00591BFC" w:rsidRDefault="002A383E" w:rsidP="00E86771">
            <w:pPr>
              <w:spacing w:line="360" w:lineRule="auto"/>
            </w:pPr>
            <w:r w:rsidRPr="00591BFC">
              <w:t xml:space="preserve">  Pulmonary disease</w:t>
            </w:r>
          </w:p>
        </w:tc>
        <w:tc>
          <w:tcPr>
            <w:tcW w:w="517" w:type="pct"/>
            <w:shd w:val="clear" w:color="auto" w:fill="auto"/>
            <w:hideMark/>
          </w:tcPr>
          <w:p w14:paraId="439EE552" w14:textId="77777777" w:rsidR="002A383E" w:rsidRPr="00591BFC" w:rsidRDefault="002A383E" w:rsidP="00E86771">
            <w:pPr>
              <w:spacing w:line="360" w:lineRule="auto"/>
            </w:pPr>
            <w:r w:rsidRPr="00591BFC">
              <w:t>4,594</w:t>
            </w:r>
          </w:p>
        </w:tc>
        <w:tc>
          <w:tcPr>
            <w:tcW w:w="590" w:type="pct"/>
            <w:shd w:val="clear" w:color="auto" w:fill="auto"/>
            <w:hideMark/>
          </w:tcPr>
          <w:p w14:paraId="41D054DA" w14:textId="77777777" w:rsidR="002A383E" w:rsidRPr="00591BFC" w:rsidRDefault="002A383E" w:rsidP="00E86771">
            <w:pPr>
              <w:spacing w:line="360" w:lineRule="auto"/>
            </w:pPr>
            <w:r w:rsidRPr="00591BFC">
              <w:t>(13.9%)</w:t>
            </w:r>
          </w:p>
        </w:tc>
      </w:tr>
      <w:tr w:rsidR="002A383E" w:rsidRPr="00591BFC" w14:paraId="090152C7" w14:textId="77777777" w:rsidTr="00DB4F65">
        <w:trPr>
          <w:trHeight w:val="320"/>
        </w:trPr>
        <w:tc>
          <w:tcPr>
            <w:tcW w:w="3893" w:type="pct"/>
            <w:shd w:val="clear" w:color="auto" w:fill="auto"/>
            <w:hideMark/>
          </w:tcPr>
          <w:p w14:paraId="64D419F4" w14:textId="77777777" w:rsidR="002A383E" w:rsidRPr="00591BFC" w:rsidRDefault="002A383E" w:rsidP="00E86771">
            <w:pPr>
              <w:spacing w:line="360" w:lineRule="auto"/>
            </w:pPr>
            <w:r w:rsidRPr="00591BFC">
              <w:t xml:space="preserve">  Diabetes</w:t>
            </w:r>
          </w:p>
        </w:tc>
        <w:tc>
          <w:tcPr>
            <w:tcW w:w="517" w:type="pct"/>
            <w:shd w:val="clear" w:color="auto" w:fill="auto"/>
            <w:hideMark/>
          </w:tcPr>
          <w:p w14:paraId="37F49B5B" w14:textId="77777777" w:rsidR="002A383E" w:rsidRPr="00591BFC" w:rsidRDefault="002A383E" w:rsidP="00E86771">
            <w:pPr>
              <w:spacing w:line="360" w:lineRule="auto"/>
            </w:pPr>
            <w:r w:rsidRPr="00591BFC">
              <w:t>3,841</w:t>
            </w:r>
          </w:p>
        </w:tc>
        <w:tc>
          <w:tcPr>
            <w:tcW w:w="590" w:type="pct"/>
            <w:shd w:val="clear" w:color="auto" w:fill="auto"/>
            <w:hideMark/>
          </w:tcPr>
          <w:p w14:paraId="3DF8B33F" w14:textId="77777777" w:rsidR="002A383E" w:rsidRPr="00591BFC" w:rsidRDefault="002A383E" w:rsidP="00E86771">
            <w:pPr>
              <w:spacing w:line="360" w:lineRule="auto"/>
            </w:pPr>
            <w:r w:rsidRPr="00591BFC">
              <w:t>(11.6%)</w:t>
            </w:r>
          </w:p>
        </w:tc>
      </w:tr>
      <w:tr w:rsidR="002A383E" w:rsidRPr="00591BFC" w14:paraId="6355A4B7" w14:textId="77777777" w:rsidTr="00DB4F65">
        <w:trPr>
          <w:trHeight w:val="320"/>
        </w:trPr>
        <w:tc>
          <w:tcPr>
            <w:tcW w:w="3893" w:type="pct"/>
            <w:shd w:val="clear" w:color="auto" w:fill="auto"/>
            <w:hideMark/>
          </w:tcPr>
          <w:p w14:paraId="12D15C6F" w14:textId="77777777" w:rsidR="002A383E" w:rsidRPr="00591BFC" w:rsidRDefault="002A383E" w:rsidP="00E86771">
            <w:pPr>
              <w:spacing w:line="360" w:lineRule="auto"/>
            </w:pPr>
            <w:r w:rsidRPr="00591BFC">
              <w:t>Source of admission at index fracture, n (%)</w:t>
            </w:r>
          </w:p>
        </w:tc>
        <w:tc>
          <w:tcPr>
            <w:tcW w:w="517" w:type="pct"/>
            <w:shd w:val="clear" w:color="auto" w:fill="auto"/>
            <w:hideMark/>
          </w:tcPr>
          <w:p w14:paraId="04D3D463" w14:textId="77777777" w:rsidR="002A383E" w:rsidRPr="00591BFC" w:rsidRDefault="002A383E" w:rsidP="00E86771">
            <w:pPr>
              <w:spacing w:line="360" w:lineRule="auto"/>
            </w:pPr>
            <w:r w:rsidRPr="00591BFC">
              <w:t> </w:t>
            </w:r>
          </w:p>
        </w:tc>
        <w:tc>
          <w:tcPr>
            <w:tcW w:w="590" w:type="pct"/>
            <w:shd w:val="clear" w:color="auto" w:fill="auto"/>
            <w:hideMark/>
          </w:tcPr>
          <w:p w14:paraId="4D878712" w14:textId="77777777" w:rsidR="002A383E" w:rsidRPr="00591BFC" w:rsidRDefault="002A383E" w:rsidP="00E86771">
            <w:pPr>
              <w:spacing w:line="360" w:lineRule="auto"/>
            </w:pPr>
            <w:r w:rsidRPr="00591BFC">
              <w:t> </w:t>
            </w:r>
          </w:p>
        </w:tc>
      </w:tr>
      <w:tr w:rsidR="002A383E" w:rsidRPr="00591BFC" w14:paraId="7992AB91" w14:textId="77777777" w:rsidTr="00DB4F65">
        <w:trPr>
          <w:trHeight w:val="92"/>
        </w:trPr>
        <w:tc>
          <w:tcPr>
            <w:tcW w:w="3893" w:type="pct"/>
            <w:shd w:val="clear" w:color="auto" w:fill="auto"/>
            <w:hideMark/>
          </w:tcPr>
          <w:p w14:paraId="679CDEE3" w14:textId="77777777" w:rsidR="002A383E" w:rsidRPr="00591BFC" w:rsidRDefault="002A383E" w:rsidP="00E86771">
            <w:pPr>
              <w:spacing w:line="360" w:lineRule="auto"/>
            </w:pPr>
            <w:r w:rsidRPr="00591BFC">
              <w:t xml:space="preserve">  Own home</w:t>
            </w:r>
          </w:p>
        </w:tc>
        <w:tc>
          <w:tcPr>
            <w:tcW w:w="517" w:type="pct"/>
            <w:shd w:val="clear" w:color="auto" w:fill="auto"/>
            <w:hideMark/>
          </w:tcPr>
          <w:p w14:paraId="081FA593" w14:textId="77777777" w:rsidR="002A383E" w:rsidRPr="00591BFC" w:rsidRDefault="002A383E" w:rsidP="00E86771">
            <w:pPr>
              <w:spacing w:line="360" w:lineRule="auto"/>
            </w:pPr>
            <w:r w:rsidRPr="00591BFC">
              <w:t>27,985</w:t>
            </w:r>
          </w:p>
        </w:tc>
        <w:tc>
          <w:tcPr>
            <w:tcW w:w="590" w:type="pct"/>
            <w:shd w:val="clear" w:color="auto" w:fill="auto"/>
            <w:hideMark/>
          </w:tcPr>
          <w:p w14:paraId="411FBC96" w14:textId="77777777" w:rsidR="002A383E" w:rsidRPr="00591BFC" w:rsidRDefault="002A383E" w:rsidP="00E86771">
            <w:pPr>
              <w:spacing w:line="360" w:lineRule="auto"/>
            </w:pPr>
            <w:r w:rsidRPr="00591BFC">
              <w:t>(84.4%)</w:t>
            </w:r>
          </w:p>
        </w:tc>
      </w:tr>
      <w:tr w:rsidR="002A383E" w:rsidRPr="00591BFC" w14:paraId="6EE99897" w14:textId="77777777" w:rsidTr="00DB4F65">
        <w:trPr>
          <w:trHeight w:val="320"/>
        </w:trPr>
        <w:tc>
          <w:tcPr>
            <w:tcW w:w="3893" w:type="pct"/>
            <w:shd w:val="clear" w:color="auto" w:fill="auto"/>
            <w:hideMark/>
          </w:tcPr>
          <w:p w14:paraId="0ACCDB28" w14:textId="77777777" w:rsidR="002A383E" w:rsidRPr="00591BFC" w:rsidRDefault="002A383E" w:rsidP="00E86771">
            <w:pPr>
              <w:spacing w:line="360" w:lineRule="auto"/>
            </w:pPr>
            <w:r w:rsidRPr="00591BFC">
              <w:t xml:space="preserve">  Care home or temporary accommodation</w:t>
            </w:r>
          </w:p>
        </w:tc>
        <w:tc>
          <w:tcPr>
            <w:tcW w:w="517" w:type="pct"/>
            <w:shd w:val="clear" w:color="auto" w:fill="auto"/>
            <w:hideMark/>
          </w:tcPr>
          <w:p w14:paraId="70003C35" w14:textId="77777777" w:rsidR="002A383E" w:rsidRPr="00591BFC" w:rsidRDefault="002A383E" w:rsidP="00E86771">
            <w:pPr>
              <w:spacing w:line="360" w:lineRule="auto"/>
            </w:pPr>
            <w:r w:rsidRPr="00591BFC">
              <w:t>3,681</w:t>
            </w:r>
          </w:p>
        </w:tc>
        <w:tc>
          <w:tcPr>
            <w:tcW w:w="590" w:type="pct"/>
            <w:shd w:val="clear" w:color="auto" w:fill="auto"/>
            <w:hideMark/>
          </w:tcPr>
          <w:p w14:paraId="5412C3AD" w14:textId="77777777" w:rsidR="002A383E" w:rsidRPr="00591BFC" w:rsidRDefault="002A383E" w:rsidP="00E86771">
            <w:pPr>
              <w:spacing w:line="360" w:lineRule="auto"/>
            </w:pPr>
            <w:r w:rsidRPr="00591BFC">
              <w:t>(11.1%)</w:t>
            </w:r>
          </w:p>
        </w:tc>
      </w:tr>
      <w:tr w:rsidR="002A383E" w:rsidRPr="00591BFC" w14:paraId="53537A13" w14:textId="77777777" w:rsidTr="00DB4F65">
        <w:trPr>
          <w:trHeight w:val="320"/>
        </w:trPr>
        <w:tc>
          <w:tcPr>
            <w:tcW w:w="3893" w:type="pct"/>
            <w:shd w:val="clear" w:color="auto" w:fill="auto"/>
            <w:hideMark/>
          </w:tcPr>
          <w:p w14:paraId="128FC368" w14:textId="77777777" w:rsidR="002A383E" w:rsidRPr="00591BFC" w:rsidRDefault="002A383E" w:rsidP="00E86771">
            <w:pPr>
              <w:spacing w:line="360" w:lineRule="auto"/>
            </w:pPr>
            <w:r w:rsidRPr="00591BFC">
              <w:t xml:space="preserve">  Another hospital</w:t>
            </w:r>
          </w:p>
        </w:tc>
        <w:tc>
          <w:tcPr>
            <w:tcW w:w="517" w:type="pct"/>
            <w:shd w:val="clear" w:color="auto" w:fill="auto"/>
            <w:hideMark/>
          </w:tcPr>
          <w:p w14:paraId="30482BA6" w14:textId="77777777" w:rsidR="002A383E" w:rsidRPr="00591BFC" w:rsidRDefault="002A383E" w:rsidP="00E86771">
            <w:pPr>
              <w:spacing w:line="360" w:lineRule="auto"/>
            </w:pPr>
            <w:r w:rsidRPr="00591BFC">
              <w:t>1,415</w:t>
            </w:r>
          </w:p>
        </w:tc>
        <w:tc>
          <w:tcPr>
            <w:tcW w:w="590" w:type="pct"/>
            <w:shd w:val="clear" w:color="auto" w:fill="auto"/>
            <w:hideMark/>
          </w:tcPr>
          <w:p w14:paraId="5BBF41FD" w14:textId="77777777" w:rsidR="002A383E" w:rsidRPr="00591BFC" w:rsidRDefault="002A383E" w:rsidP="00E86771">
            <w:pPr>
              <w:spacing w:line="360" w:lineRule="auto"/>
            </w:pPr>
            <w:r w:rsidRPr="00591BFC">
              <w:t>(4.4%)</w:t>
            </w:r>
          </w:p>
        </w:tc>
      </w:tr>
      <w:tr w:rsidR="002A383E" w:rsidRPr="00591BFC" w14:paraId="6BAFE62A" w14:textId="77777777" w:rsidTr="00DB4F65">
        <w:trPr>
          <w:trHeight w:val="320"/>
        </w:trPr>
        <w:tc>
          <w:tcPr>
            <w:tcW w:w="3893" w:type="pct"/>
            <w:shd w:val="clear" w:color="auto" w:fill="auto"/>
            <w:hideMark/>
          </w:tcPr>
          <w:p w14:paraId="447F0BB6" w14:textId="77777777" w:rsidR="002A383E" w:rsidRPr="00591BFC" w:rsidRDefault="002A383E" w:rsidP="00E86771">
            <w:pPr>
              <w:spacing w:line="360" w:lineRule="auto"/>
            </w:pPr>
            <w:r w:rsidRPr="00591BFC">
              <w:t xml:space="preserve">  Unknown</w:t>
            </w:r>
          </w:p>
        </w:tc>
        <w:tc>
          <w:tcPr>
            <w:tcW w:w="517" w:type="pct"/>
            <w:shd w:val="clear" w:color="auto" w:fill="auto"/>
            <w:hideMark/>
          </w:tcPr>
          <w:p w14:paraId="58F112AB" w14:textId="77777777" w:rsidR="002A383E" w:rsidRPr="00591BFC" w:rsidRDefault="002A383E" w:rsidP="00E86771">
            <w:pPr>
              <w:spacing w:line="360" w:lineRule="auto"/>
            </w:pPr>
            <w:r w:rsidRPr="00591BFC">
              <w:t>35</w:t>
            </w:r>
          </w:p>
        </w:tc>
        <w:tc>
          <w:tcPr>
            <w:tcW w:w="590" w:type="pct"/>
            <w:shd w:val="clear" w:color="auto" w:fill="auto"/>
            <w:hideMark/>
          </w:tcPr>
          <w:p w14:paraId="336603E3" w14:textId="77777777" w:rsidR="002A383E" w:rsidRPr="00591BFC" w:rsidRDefault="002A383E" w:rsidP="00E86771">
            <w:pPr>
              <w:spacing w:line="360" w:lineRule="auto"/>
            </w:pPr>
            <w:r w:rsidRPr="00591BFC">
              <w:t>(0.1%)</w:t>
            </w:r>
          </w:p>
        </w:tc>
      </w:tr>
    </w:tbl>
    <w:p w14:paraId="561DDD21" w14:textId="77777777" w:rsidR="002A383E" w:rsidRPr="00591BFC" w:rsidRDefault="002A383E" w:rsidP="00E86771">
      <w:pPr>
        <w:spacing w:line="360" w:lineRule="auto"/>
      </w:pPr>
    </w:p>
    <w:p w14:paraId="52B92F34" w14:textId="77777777" w:rsidR="002A383E" w:rsidRPr="00591BFC" w:rsidRDefault="002A383E" w:rsidP="00E86771">
      <w:pPr>
        <w:pStyle w:val="Heading4"/>
        <w:spacing w:line="360" w:lineRule="auto"/>
        <w:rPr>
          <w:rFonts w:ascii="Calibri" w:hAnsi="Calibri"/>
        </w:rPr>
      </w:pPr>
      <w:r w:rsidRPr="00591BFC">
        <w:rPr>
          <w:rFonts w:ascii="Calibri" w:hAnsi="Calibri"/>
        </w:rPr>
        <w:lastRenderedPageBreak/>
        <w:t>Primary care dataset</w:t>
      </w:r>
    </w:p>
    <w:p w14:paraId="2554AD2B" w14:textId="77777777" w:rsidR="002A383E" w:rsidRPr="00591BFC" w:rsidRDefault="002A383E" w:rsidP="00E86771">
      <w:pPr>
        <w:spacing w:line="360" w:lineRule="auto"/>
      </w:pPr>
      <w:r w:rsidRPr="00591BFC">
        <w:t>Between April 1, 2003, and March 31, 2012, 4,433 patients were identified as having had a hip fracture</w:t>
      </w:r>
      <w:r w:rsidR="00D83E5F" w:rsidRPr="00D83E5F">
        <w:t xml:space="preserve"> in England and in a primary care practice with linkage to the HES and ONS data. These represent 62% of all hip fracture patients identified using the READ codes (see Chapter 6) within the participating GP practices contributing data to the CPRD within England and Wales (n=7155), be</w:t>
      </w:r>
      <w:r w:rsidR="00D83E5F">
        <w:t>tween April 2003 and March 2012</w:t>
      </w:r>
      <w:r w:rsidRPr="00591BFC">
        <w:t xml:space="preserve">. The majority of the population was of white ethnicity, 82% of the sample were female and the average age was 82.7 years (SD 8.0). Baseline characteristics of the study participants are shown in </w:t>
      </w:r>
      <w:r w:rsidRPr="00591BFC">
        <w:rPr>
          <w:b/>
        </w:rPr>
        <w:fldChar w:fldCharType="begin"/>
      </w:r>
      <w:r w:rsidRPr="00591BFC">
        <w:instrText xml:space="preserve"> REF _Ref423075637 \h </w:instrText>
      </w:r>
      <w:r w:rsidR="00E814C1" w:rsidRPr="00591BFC">
        <w:rPr>
          <w:b/>
        </w:rPr>
        <w:instrText xml:space="preserve"> \* MERGEFORMAT </w:instrText>
      </w:r>
      <w:r w:rsidRPr="00591BFC">
        <w:rPr>
          <w:b/>
        </w:rPr>
      </w:r>
      <w:r w:rsidRPr="00591BFC">
        <w:rPr>
          <w:b/>
        </w:rPr>
        <w:fldChar w:fldCharType="separate"/>
      </w:r>
      <w:r w:rsidR="00776C05" w:rsidRPr="00591BFC">
        <w:t xml:space="preserve">Table </w:t>
      </w:r>
      <w:r w:rsidR="00776C05">
        <w:rPr>
          <w:noProof/>
        </w:rPr>
        <w:t>19</w:t>
      </w:r>
      <w:r w:rsidRPr="00591BFC">
        <w:rPr>
          <w:b/>
        </w:rPr>
        <w:fldChar w:fldCharType="end"/>
      </w:r>
      <w:r w:rsidRPr="00591BFC">
        <w:t>. Compared to the patient sample in the hospital care dataset, the proportion of patients with dementia was smaller in the primary care dataset and a higher proportion of patients were admitted from their own home at index fracture.</w:t>
      </w:r>
    </w:p>
    <w:p w14:paraId="3C8404D7" w14:textId="77777777" w:rsidR="002A383E" w:rsidRPr="00591BFC" w:rsidRDefault="002A383E" w:rsidP="00E86771">
      <w:pPr>
        <w:pStyle w:val="Caption"/>
        <w:keepNext/>
        <w:spacing w:line="360" w:lineRule="auto"/>
      </w:pPr>
      <w:bookmarkStart w:id="344" w:name="_Ref423075637"/>
      <w:bookmarkStart w:id="345" w:name="_Toc308262414"/>
      <w:bookmarkStart w:id="346" w:name="_Toc311366680"/>
      <w:r w:rsidRPr="00591BFC">
        <w:t xml:space="preserve">Table </w:t>
      </w:r>
      <w:r w:rsidR="002149AD">
        <w:fldChar w:fldCharType="begin"/>
      </w:r>
      <w:r w:rsidR="002149AD">
        <w:instrText xml:space="preserve"> SEQ Table \* ARABIC </w:instrText>
      </w:r>
      <w:r w:rsidR="002149AD">
        <w:fldChar w:fldCharType="separate"/>
      </w:r>
      <w:r w:rsidR="00776C05">
        <w:rPr>
          <w:noProof/>
        </w:rPr>
        <w:t>19</w:t>
      </w:r>
      <w:r w:rsidR="002149AD">
        <w:rPr>
          <w:noProof/>
        </w:rPr>
        <w:fldChar w:fldCharType="end"/>
      </w:r>
      <w:bookmarkEnd w:id="344"/>
      <w:r w:rsidRPr="00591BFC">
        <w:t xml:space="preserve"> Baseline characteristics of patient sample informing primary care costs</w:t>
      </w:r>
      <w:bookmarkEnd w:id="345"/>
      <w:bookmarkEnd w:id="346"/>
    </w:p>
    <w:tbl>
      <w:tblPr>
        <w:tblW w:w="5000" w:type="pct"/>
        <w:tblLook w:val="04A0" w:firstRow="1" w:lastRow="0" w:firstColumn="1" w:lastColumn="0" w:noHBand="0" w:noVBand="1"/>
      </w:tblPr>
      <w:tblGrid>
        <w:gridCol w:w="7191"/>
        <w:gridCol w:w="955"/>
        <w:gridCol w:w="1090"/>
      </w:tblGrid>
      <w:tr w:rsidR="002A383E" w:rsidRPr="00591BFC" w14:paraId="1F7E8752" w14:textId="77777777" w:rsidTr="00DB4F65">
        <w:trPr>
          <w:trHeight w:val="320"/>
        </w:trPr>
        <w:tc>
          <w:tcPr>
            <w:tcW w:w="3893" w:type="pct"/>
            <w:shd w:val="clear" w:color="auto" w:fill="auto"/>
            <w:hideMark/>
          </w:tcPr>
          <w:p w14:paraId="2FBA8B1E" w14:textId="77777777" w:rsidR="002A383E" w:rsidRPr="00591BFC" w:rsidRDefault="002A383E" w:rsidP="00E86771">
            <w:pPr>
              <w:spacing w:line="360" w:lineRule="auto"/>
            </w:pPr>
            <w:r w:rsidRPr="00591BFC">
              <w:t>Age, mean  (SD)</w:t>
            </w:r>
          </w:p>
        </w:tc>
        <w:tc>
          <w:tcPr>
            <w:tcW w:w="517" w:type="pct"/>
            <w:shd w:val="clear" w:color="auto" w:fill="auto"/>
            <w:hideMark/>
          </w:tcPr>
          <w:p w14:paraId="2277BDAA" w14:textId="77777777" w:rsidR="002A383E" w:rsidRPr="00591BFC" w:rsidRDefault="002A383E" w:rsidP="00E86771">
            <w:pPr>
              <w:spacing w:line="360" w:lineRule="auto"/>
            </w:pPr>
            <w:r w:rsidRPr="00591BFC">
              <w:t xml:space="preserve">82.7 </w:t>
            </w:r>
          </w:p>
        </w:tc>
        <w:tc>
          <w:tcPr>
            <w:tcW w:w="590" w:type="pct"/>
            <w:shd w:val="clear" w:color="auto" w:fill="auto"/>
            <w:hideMark/>
          </w:tcPr>
          <w:p w14:paraId="66B3EC56" w14:textId="77777777" w:rsidR="002A383E" w:rsidRPr="00591BFC" w:rsidRDefault="002A383E" w:rsidP="00E86771">
            <w:pPr>
              <w:spacing w:line="360" w:lineRule="auto"/>
            </w:pPr>
            <w:r w:rsidRPr="00591BFC">
              <w:t>(8.0)</w:t>
            </w:r>
          </w:p>
        </w:tc>
      </w:tr>
      <w:tr w:rsidR="002A383E" w:rsidRPr="00591BFC" w14:paraId="49CC73F4" w14:textId="77777777" w:rsidTr="00DB4F65">
        <w:trPr>
          <w:trHeight w:val="320"/>
        </w:trPr>
        <w:tc>
          <w:tcPr>
            <w:tcW w:w="3893" w:type="pct"/>
            <w:shd w:val="clear" w:color="auto" w:fill="auto"/>
            <w:hideMark/>
          </w:tcPr>
          <w:p w14:paraId="541A13BA" w14:textId="77777777" w:rsidR="002A383E" w:rsidRPr="00591BFC" w:rsidRDefault="002A383E" w:rsidP="00E86771">
            <w:pPr>
              <w:spacing w:line="360" w:lineRule="auto"/>
            </w:pPr>
            <w:r w:rsidRPr="00591BFC">
              <w:t>Type of hip fracture, n (%)</w:t>
            </w:r>
          </w:p>
        </w:tc>
        <w:tc>
          <w:tcPr>
            <w:tcW w:w="517" w:type="pct"/>
            <w:shd w:val="clear" w:color="auto" w:fill="auto"/>
            <w:hideMark/>
          </w:tcPr>
          <w:p w14:paraId="0773B698" w14:textId="77777777" w:rsidR="002A383E" w:rsidRPr="00591BFC" w:rsidRDefault="002A383E" w:rsidP="00E86771">
            <w:pPr>
              <w:spacing w:line="360" w:lineRule="auto"/>
            </w:pPr>
            <w:r w:rsidRPr="00591BFC">
              <w:t> </w:t>
            </w:r>
          </w:p>
        </w:tc>
        <w:tc>
          <w:tcPr>
            <w:tcW w:w="590" w:type="pct"/>
            <w:shd w:val="clear" w:color="auto" w:fill="auto"/>
            <w:hideMark/>
          </w:tcPr>
          <w:p w14:paraId="7D308788" w14:textId="77777777" w:rsidR="002A383E" w:rsidRPr="00591BFC" w:rsidRDefault="002A383E" w:rsidP="00E86771">
            <w:pPr>
              <w:spacing w:line="360" w:lineRule="auto"/>
            </w:pPr>
            <w:r w:rsidRPr="00591BFC">
              <w:t> </w:t>
            </w:r>
          </w:p>
        </w:tc>
      </w:tr>
      <w:tr w:rsidR="002A383E" w:rsidRPr="00591BFC" w14:paraId="2E4A807F" w14:textId="77777777" w:rsidTr="00DB4F65">
        <w:trPr>
          <w:trHeight w:val="256"/>
        </w:trPr>
        <w:tc>
          <w:tcPr>
            <w:tcW w:w="3893" w:type="pct"/>
            <w:shd w:val="clear" w:color="auto" w:fill="auto"/>
            <w:hideMark/>
          </w:tcPr>
          <w:p w14:paraId="438921BF" w14:textId="77777777" w:rsidR="002A383E" w:rsidRPr="00591BFC" w:rsidRDefault="002A383E" w:rsidP="00E86771">
            <w:pPr>
              <w:spacing w:line="360" w:lineRule="auto"/>
            </w:pPr>
            <w:r w:rsidRPr="00591BFC">
              <w:t xml:space="preserve">   Fracture of head and neck of femur</w:t>
            </w:r>
          </w:p>
        </w:tc>
        <w:tc>
          <w:tcPr>
            <w:tcW w:w="517" w:type="pct"/>
            <w:shd w:val="clear" w:color="auto" w:fill="auto"/>
            <w:hideMark/>
          </w:tcPr>
          <w:p w14:paraId="7EE06883" w14:textId="77777777" w:rsidR="002A383E" w:rsidRPr="00591BFC" w:rsidRDefault="002A383E" w:rsidP="00E86771">
            <w:pPr>
              <w:spacing w:line="360" w:lineRule="auto"/>
            </w:pPr>
            <w:r w:rsidRPr="00591BFC">
              <w:t>3,197</w:t>
            </w:r>
          </w:p>
        </w:tc>
        <w:tc>
          <w:tcPr>
            <w:tcW w:w="590" w:type="pct"/>
            <w:shd w:val="clear" w:color="auto" w:fill="auto"/>
            <w:hideMark/>
          </w:tcPr>
          <w:p w14:paraId="0216586A" w14:textId="77777777" w:rsidR="002A383E" w:rsidRPr="00591BFC" w:rsidRDefault="002A383E" w:rsidP="00E86771">
            <w:pPr>
              <w:spacing w:line="360" w:lineRule="auto"/>
            </w:pPr>
            <w:r w:rsidRPr="00591BFC">
              <w:t>(72.1%)</w:t>
            </w:r>
          </w:p>
        </w:tc>
      </w:tr>
      <w:tr w:rsidR="002A383E" w:rsidRPr="00591BFC" w14:paraId="5D2C2B72" w14:textId="77777777" w:rsidTr="00DB4F65">
        <w:trPr>
          <w:trHeight w:val="320"/>
        </w:trPr>
        <w:tc>
          <w:tcPr>
            <w:tcW w:w="3893" w:type="pct"/>
            <w:shd w:val="clear" w:color="auto" w:fill="auto"/>
            <w:hideMark/>
          </w:tcPr>
          <w:p w14:paraId="7B30657F" w14:textId="77777777" w:rsidR="002A383E" w:rsidRPr="00591BFC" w:rsidRDefault="002A383E" w:rsidP="00E86771">
            <w:pPr>
              <w:spacing w:line="360" w:lineRule="auto"/>
            </w:pPr>
            <w:r w:rsidRPr="00591BFC">
              <w:t xml:space="preserve">   Pertrochanteric fracture</w:t>
            </w:r>
          </w:p>
        </w:tc>
        <w:tc>
          <w:tcPr>
            <w:tcW w:w="517" w:type="pct"/>
            <w:shd w:val="clear" w:color="auto" w:fill="auto"/>
            <w:hideMark/>
          </w:tcPr>
          <w:p w14:paraId="0AB2B66C" w14:textId="77777777" w:rsidR="002A383E" w:rsidRPr="00591BFC" w:rsidRDefault="002A383E" w:rsidP="00E86771">
            <w:pPr>
              <w:spacing w:line="360" w:lineRule="auto"/>
            </w:pPr>
            <w:r w:rsidRPr="00591BFC">
              <w:t>1,081</w:t>
            </w:r>
          </w:p>
        </w:tc>
        <w:tc>
          <w:tcPr>
            <w:tcW w:w="590" w:type="pct"/>
            <w:shd w:val="clear" w:color="auto" w:fill="auto"/>
            <w:hideMark/>
          </w:tcPr>
          <w:p w14:paraId="050CF553" w14:textId="77777777" w:rsidR="002A383E" w:rsidRPr="00591BFC" w:rsidRDefault="002A383E" w:rsidP="00E86771">
            <w:pPr>
              <w:spacing w:line="360" w:lineRule="auto"/>
            </w:pPr>
            <w:r w:rsidRPr="00591BFC">
              <w:t>(24.4%)</w:t>
            </w:r>
          </w:p>
        </w:tc>
      </w:tr>
      <w:tr w:rsidR="002A383E" w:rsidRPr="00591BFC" w14:paraId="4BE7A2B8" w14:textId="77777777" w:rsidTr="00DB4F65">
        <w:trPr>
          <w:trHeight w:val="320"/>
        </w:trPr>
        <w:tc>
          <w:tcPr>
            <w:tcW w:w="3893" w:type="pct"/>
            <w:shd w:val="clear" w:color="auto" w:fill="auto"/>
            <w:hideMark/>
          </w:tcPr>
          <w:p w14:paraId="028B9A65" w14:textId="77777777" w:rsidR="002A383E" w:rsidRPr="00591BFC" w:rsidRDefault="002A383E" w:rsidP="00E86771">
            <w:pPr>
              <w:spacing w:line="360" w:lineRule="auto"/>
            </w:pPr>
            <w:r w:rsidRPr="00591BFC">
              <w:t xml:space="preserve">   Subtrochanteric fracture</w:t>
            </w:r>
          </w:p>
        </w:tc>
        <w:tc>
          <w:tcPr>
            <w:tcW w:w="517" w:type="pct"/>
            <w:shd w:val="clear" w:color="auto" w:fill="auto"/>
            <w:hideMark/>
          </w:tcPr>
          <w:p w14:paraId="40AED056" w14:textId="77777777" w:rsidR="002A383E" w:rsidRPr="00591BFC" w:rsidRDefault="002A383E" w:rsidP="00E86771">
            <w:pPr>
              <w:spacing w:line="360" w:lineRule="auto"/>
            </w:pPr>
            <w:r w:rsidRPr="00591BFC">
              <w:t>123</w:t>
            </w:r>
          </w:p>
        </w:tc>
        <w:tc>
          <w:tcPr>
            <w:tcW w:w="590" w:type="pct"/>
            <w:shd w:val="clear" w:color="auto" w:fill="auto"/>
            <w:hideMark/>
          </w:tcPr>
          <w:p w14:paraId="0D7B3D34" w14:textId="77777777" w:rsidR="002A383E" w:rsidRPr="00591BFC" w:rsidRDefault="002A383E" w:rsidP="00E86771">
            <w:pPr>
              <w:spacing w:line="360" w:lineRule="auto"/>
            </w:pPr>
            <w:r w:rsidRPr="00591BFC">
              <w:t>(2.8%)</w:t>
            </w:r>
          </w:p>
        </w:tc>
      </w:tr>
      <w:tr w:rsidR="002A383E" w:rsidRPr="00591BFC" w14:paraId="1C969BB7" w14:textId="77777777" w:rsidTr="00DB4F65">
        <w:trPr>
          <w:trHeight w:val="320"/>
        </w:trPr>
        <w:tc>
          <w:tcPr>
            <w:tcW w:w="3893" w:type="pct"/>
            <w:shd w:val="clear" w:color="auto" w:fill="auto"/>
            <w:hideMark/>
          </w:tcPr>
          <w:p w14:paraId="105A5AD7" w14:textId="77777777" w:rsidR="002A383E" w:rsidRPr="00591BFC" w:rsidRDefault="002A383E" w:rsidP="00E86771">
            <w:pPr>
              <w:spacing w:line="360" w:lineRule="auto"/>
            </w:pPr>
            <w:r w:rsidRPr="00591BFC">
              <w:t xml:space="preserve">   Unspecified fracture of femur</w:t>
            </w:r>
          </w:p>
        </w:tc>
        <w:tc>
          <w:tcPr>
            <w:tcW w:w="517" w:type="pct"/>
            <w:shd w:val="clear" w:color="auto" w:fill="auto"/>
            <w:hideMark/>
          </w:tcPr>
          <w:p w14:paraId="755BB674" w14:textId="77777777" w:rsidR="002A383E" w:rsidRPr="00591BFC" w:rsidRDefault="002A383E" w:rsidP="00E86771">
            <w:pPr>
              <w:spacing w:line="360" w:lineRule="auto"/>
            </w:pPr>
            <w:r w:rsidRPr="00591BFC">
              <w:t>32</w:t>
            </w:r>
          </w:p>
        </w:tc>
        <w:tc>
          <w:tcPr>
            <w:tcW w:w="590" w:type="pct"/>
            <w:shd w:val="clear" w:color="auto" w:fill="auto"/>
            <w:hideMark/>
          </w:tcPr>
          <w:p w14:paraId="5A7383DD" w14:textId="77777777" w:rsidR="002A383E" w:rsidRPr="00591BFC" w:rsidRDefault="002A383E" w:rsidP="00E86771">
            <w:pPr>
              <w:spacing w:line="360" w:lineRule="auto"/>
            </w:pPr>
            <w:r w:rsidRPr="00591BFC">
              <w:t>(0.7%)</w:t>
            </w:r>
          </w:p>
        </w:tc>
      </w:tr>
      <w:tr w:rsidR="002A383E" w:rsidRPr="00591BFC" w14:paraId="58625DD0" w14:textId="77777777" w:rsidTr="00DB4F65">
        <w:trPr>
          <w:trHeight w:val="320"/>
        </w:trPr>
        <w:tc>
          <w:tcPr>
            <w:tcW w:w="3893" w:type="pct"/>
            <w:shd w:val="clear" w:color="auto" w:fill="auto"/>
            <w:hideMark/>
          </w:tcPr>
          <w:p w14:paraId="58E07A92" w14:textId="77777777" w:rsidR="002A383E" w:rsidRPr="00591BFC" w:rsidRDefault="002A383E" w:rsidP="00E86771">
            <w:pPr>
              <w:spacing w:line="360" w:lineRule="auto"/>
            </w:pPr>
            <w:r w:rsidRPr="00591BFC">
              <w:t>Males, n (%)</w:t>
            </w:r>
          </w:p>
        </w:tc>
        <w:tc>
          <w:tcPr>
            <w:tcW w:w="517" w:type="pct"/>
            <w:shd w:val="clear" w:color="auto" w:fill="auto"/>
            <w:hideMark/>
          </w:tcPr>
          <w:p w14:paraId="36CB0AA2" w14:textId="77777777" w:rsidR="002A383E" w:rsidRPr="00591BFC" w:rsidRDefault="002A383E" w:rsidP="00E86771">
            <w:pPr>
              <w:spacing w:line="360" w:lineRule="auto"/>
            </w:pPr>
            <w:r w:rsidRPr="00591BFC">
              <w:t xml:space="preserve">988 </w:t>
            </w:r>
          </w:p>
        </w:tc>
        <w:tc>
          <w:tcPr>
            <w:tcW w:w="590" w:type="pct"/>
            <w:shd w:val="clear" w:color="auto" w:fill="auto"/>
            <w:hideMark/>
          </w:tcPr>
          <w:p w14:paraId="2663A94B" w14:textId="77777777" w:rsidR="002A383E" w:rsidRPr="00591BFC" w:rsidRDefault="002A383E" w:rsidP="00E86771">
            <w:pPr>
              <w:spacing w:line="360" w:lineRule="auto"/>
            </w:pPr>
            <w:r w:rsidRPr="00591BFC">
              <w:t>(22.3%)</w:t>
            </w:r>
          </w:p>
        </w:tc>
      </w:tr>
      <w:tr w:rsidR="002A383E" w:rsidRPr="00591BFC" w14:paraId="10949596" w14:textId="77777777" w:rsidTr="00DB4F65">
        <w:trPr>
          <w:trHeight w:val="83"/>
        </w:trPr>
        <w:tc>
          <w:tcPr>
            <w:tcW w:w="3893" w:type="pct"/>
            <w:shd w:val="clear" w:color="auto" w:fill="auto"/>
            <w:hideMark/>
          </w:tcPr>
          <w:p w14:paraId="50B5DDE9" w14:textId="77777777" w:rsidR="002A383E" w:rsidRPr="00591BFC" w:rsidRDefault="002A383E" w:rsidP="00E86771">
            <w:pPr>
              <w:spacing w:line="360" w:lineRule="auto"/>
            </w:pPr>
            <w:r w:rsidRPr="00591BFC">
              <w:t>White ethnicity</w:t>
            </w:r>
          </w:p>
        </w:tc>
        <w:tc>
          <w:tcPr>
            <w:tcW w:w="517" w:type="pct"/>
            <w:shd w:val="clear" w:color="auto" w:fill="auto"/>
            <w:hideMark/>
          </w:tcPr>
          <w:p w14:paraId="6C0F1C51" w14:textId="77777777" w:rsidR="002A383E" w:rsidRPr="00591BFC" w:rsidRDefault="002A383E" w:rsidP="00E86771">
            <w:pPr>
              <w:spacing w:line="360" w:lineRule="auto"/>
            </w:pPr>
            <w:r w:rsidRPr="00591BFC">
              <w:t>3,888</w:t>
            </w:r>
          </w:p>
        </w:tc>
        <w:tc>
          <w:tcPr>
            <w:tcW w:w="590" w:type="pct"/>
            <w:shd w:val="clear" w:color="auto" w:fill="auto"/>
            <w:hideMark/>
          </w:tcPr>
          <w:p w14:paraId="1ABE461D" w14:textId="77777777" w:rsidR="002A383E" w:rsidRPr="00591BFC" w:rsidRDefault="002A383E" w:rsidP="00E86771">
            <w:pPr>
              <w:spacing w:line="360" w:lineRule="auto"/>
            </w:pPr>
            <w:r w:rsidRPr="00591BFC">
              <w:t>(87.7%)</w:t>
            </w:r>
          </w:p>
        </w:tc>
      </w:tr>
      <w:tr w:rsidR="002A383E" w:rsidRPr="00591BFC" w14:paraId="77B8B7EF" w14:textId="77777777" w:rsidTr="00DB4F65">
        <w:trPr>
          <w:trHeight w:val="320"/>
        </w:trPr>
        <w:tc>
          <w:tcPr>
            <w:tcW w:w="3893" w:type="pct"/>
            <w:shd w:val="clear" w:color="auto" w:fill="auto"/>
            <w:hideMark/>
          </w:tcPr>
          <w:p w14:paraId="2F3B672C" w14:textId="77777777" w:rsidR="002A383E" w:rsidRPr="00591BFC" w:rsidRDefault="002A383E" w:rsidP="00E86771">
            <w:pPr>
              <w:spacing w:line="360" w:lineRule="auto"/>
            </w:pPr>
            <w:r w:rsidRPr="00591BFC">
              <w:t>Charlson co-morbidity index, mean (SD)</w:t>
            </w:r>
          </w:p>
        </w:tc>
        <w:tc>
          <w:tcPr>
            <w:tcW w:w="517" w:type="pct"/>
            <w:shd w:val="clear" w:color="auto" w:fill="auto"/>
            <w:hideMark/>
          </w:tcPr>
          <w:p w14:paraId="14F1C7FF" w14:textId="77777777" w:rsidR="002A383E" w:rsidRPr="00591BFC" w:rsidRDefault="002A383E" w:rsidP="00E86771">
            <w:pPr>
              <w:spacing w:line="360" w:lineRule="auto"/>
            </w:pPr>
            <w:r w:rsidRPr="00591BFC">
              <w:t>1.20</w:t>
            </w:r>
          </w:p>
        </w:tc>
        <w:tc>
          <w:tcPr>
            <w:tcW w:w="590" w:type="pct"/>
            <w:shd w:val="clear" w:color="auto" w:fill="auto"/>
            <w:hideMark/>
          </w:tcPr>
          <w:p w14:paraId="1A924048" w14:textId="77777777" w:rsidR="002A383E" w:rsidRPr="00591BFC" w:rsidRDefault="002A383E" w:rsidP="00E86771">
            <w:pPr>
              <w:spacing w:line="360" w:lineRule="auto"/>
            </w:pPr>
            <w:r w:rsidRPr="00591BFC">
              <w:t>(1.51)</w:t>
            </w:r>
          </w:p>
        </w:tc>
      </w:tr>
      <w:tr w:rsidR="002A383E" w:rsidRPr="00591BFC" w14:paraId="4C8031B1" w14:textId="77777777" w:rsidTr="00DB4F65">
        <w:trPr>
          <w:trHeight w:val="306"/>
        </w:trPr>
        <w:tc>
          <w:tcPr>
            <w:tcW w:w="3893" w:type="pct"/>
            <w:shd w:val="clear" w:color="auto" w:fill="auto"/>
            <w:hideMark/>
          </w:tcPr>
          <w:p w14:paraId="04754B5B" w14:textId="77777777" w:rsidR="002A383E" w:rsidRPr="00591BFC" w:rsidRDefault="002A383E" w:rsidP="00E86771">
            <w:pPr>
              <w:spacing w:line="360" w:lineRule="auto"/>
            </w:pPr>
            <w:r w:rsidRPr="00591BFC">
              <w:t xml:space="preserve">History of co-morbidities recorded in previous hospitalisations, n (%) </w:t>
            </w:r>
          </w:p>
        </w:tc>
        <w:tc>
          <w:tcPr>
            <w:tcW w:w="517" w:type="pct"/>
            <w:shd w:val="clear" w:color="auto" w:fill="auto"/>
            <w:hideMark/>
          </w:tcPr>
          <w:p w14:paraId="22D89B88" w14:textId="77777777" w:rsidR="002A383E" w:rsidRPr="00591BFC" w:rsidRDefault="002A383E" w:rsidP="00E86771">
            <w:pPr>
              <w:spacing w:line="360" w:lineRule="auto"/>
            </w:pPr>
            <w:r w:rsidRPr="00591BFC">
              <w:t> </w:t>
            </w:r>
          </w:p>
        </w:tc>
        <w:tc>
          <w:tcPr>
            <w:tcW w:w="590" w:type="pct"/>
            <w:shd w:val="clear" w:color="auto" w:fill="auto"/>
            <w:hideMark/>
          </w:tcPr>
          <w:p w14:paraId="6AD37018" w14:textId="77777777" w:rsidR="002A383E" w:rsidRPr="00591BFC" w:rsidRDefault="002A383E" w:rsidP="00E86771">
            <w:pPr>
              <w:spacing w:line="360" w:lineRule="auto"/>
            </w:pPr>
            <w:r w:rsidRPr="00591BFC">
              <w:t> </w:t>
            </w:r>
          </w:p>
        </w:tc>
      </w:tr>
      <w:tr w:rsidR="002A383E" w:rsidRPr="00591BFC" w14:paraId="626E4F2F" w14:textId="77777777" w:rsidTr="00DB4F65">
        <w:trPr>
          <w:trHeight w:val="320"/>
        </w:trPr>
        <w:tc>
          <w:tcPr>
            <w:tcW w:w="3893" w:type="pct"/>
            <w:shd w:val="clear" w:color="auto" w:fill="auto"/>
            <w:hideMark/>
          </w:tcPr>
          <w:p w14:paraId="6CFF3F92" w14:textId="77777777" w:rsidR="002A383E" w:rsidRPr="00591BFC" w:rsidRDefault="002A383E" w:rsidP="00E86771">
            <w:pPr>
              <w:spacing w:line="360" w:lineRule="auto"/>
            </w:pPr>
            <w:r w:rsidRPr="00591BFC">
              <w:t xml:space="preserve">  Dementia</w:t>
            </w:r>
          </w:p>
        </w:tc>
        <w:tc>
          <w:tcPr>
            <w:tcW w:w="517" w:type="pct"/>
            <w:shd w:val="clear" w:color="auto" w:fill="auto"/>
            <w:hideMark/>
          </w:tcPr>
          <w:p w14:paraId="1736AFF0" w14:textId="77777777" w:rsidR="002A383E" w:rsidRPr="00591BFC" w:rsidRDefault="002A383E" w:rsidP="00E86771">
            <w:pPr>
              <w:spacing w:line="360" w:lineRule="auto"/>
            </w:pPr>
            <w:r w:rsidRPr="00591BFC">
              <w:t>608</w:t>
            </w:r>
          </w:p>
        </w:tc>
        <w:tc>
          <w:tcPr>
            <w:tcW w:w="590" w:type="pct"/>
            <w:shd w:val="clear" w:color="auto" w:fill="auto"/>
            <w:hideMark/>
          </w:tcPr>
          <w:p w14:paraId="2808533F" w14:textId="77777777" w:rsidR="002A383E" w:rsidRPr="00591BFC" w:rsidRDefault="002A383E" w:rsidP="00E86771">
            <w:pPr>
              <w:spacing w:line="360" w:lineRule="auto"/>
            </w:pPr>
            <w:r w:rsidRPr="00591BFC">
              <w:t>(13.7%)</w:t>
            </w:r>
          </w:p>
        </w:tc>
      </w:tr>
      <w:tr w:rsidR="002A383E" w:rsidRPr="00591BFC" w14:paraId="00DD2872" w14:textId="77777777" w:rsidTr="00DB4F65">
        <w:trPr>
          <w:trHeight w:val="320"/>
        </w:trPr>
        <w:tc>
          <w:tcPr>
            <w:tcW w:w="3893" w:type="pct"/>
            <w:shd w:val="clear" w:color="auto" w:fill="auto"/>
            <w:hideMark/>
          </w:tcPr>
          <w:p w14:paraId="3CE099DD" w14:textId="77777777" w:rsidR="002A383E" w:rsidRPr="00591BFC" w:rsidRDefault="002A383E" w:rsidP="00E86771">
            <w:pPr>
              <w:spacing w:line="360" w:lineRule="auto"/>
            </w:pPr>
            <w:r w:rsidRPr="00591BFC">
              <w:t xml:space="preserve">  Pulmonary disease</w:t>
            </w:r>
          </w:p>
        </w:tc>
        <w:tc>
          <w:tcPr>
            <w:tcW w:w="517" w:type="pct"/>
            <w:shd w:val="clear" w:color="auto" w:fill="auto"/>
            <w:hideMark/>
          </w:tcPr>
          <w:p w14:paraId="0F7B7A52" w14:textId="77777777" w:rsidR="002A383E" w:rsidRPr="00591BFC" w:rsidRDefault="002A383E" w:rsidP="00E86771">
            <w:pPr>
              <w:spacing w:line="360" w:lineRule="auto"/>
            </w:pPr>
            <w:r w:rsidRPr="00591BFC">
              <w:t>649</w:t>
            </w:r>
          </w:p>
        </w:tc>
        <w:tc>
          <w:tcPr>
            <w:tcW w:w="590" w:type="pct"/>
            <w:shd w:val="clear" w:color="auto" w:fill="auto"/>
            <w:hideMark/>
          </w:tcPr>
          <w:p w14:paraId="0F1056C3" w14:textId="77777777" w:rsidR="002A383E" w:rsidRPr="00591BFC" w:rsidRDefault="002A383E" w:rsidP="00E86771">
            <w:pPr>
              <w:spacing w:line="360" w:lineRule="auto"/>
            </w:pPr>
            <w:r w:rsidRPr="00591BFC">
              <w:t>(14.6%)</w:t>
            </w:r>
          </w:p>
        </w:tc>
      </w:tr>
      <w:tr w:rsidR="002A383E" w:rsidRPr="00591BFC" w14:paraId="378D35D1" w14:textId="77777777" w:rsidTr="00DB4F65">
        <w:trPr>
          <w:trHeight w:val="320"/>
        </w:trPr>
        <w:tc>
          <w:tcPr>
            <w:tcW w:w="3893" w:type="pct"/>
            <w:shd w:val="clear" w:color="auto" w:fill="auto"/>
            <w:hideMark/>
          </w:tcPr>
          <w:p w14:paraId="3F655A55" w14:textId="77777777" w:rsidR="002A383E" w:rsidRPr="00591BFC" w:rsidRDefault="002A383E" w:rsidP="00E86771">
            <w:pPr>
              <w:spacing w:line="360" w:lineRule="auto"/>
            </w:pPr>
            <w:r w:rsidRPr="00591BFC">
              <w:t xml:space="preserve">  Diabetes</w:t>
            </w:r>
          </w:p>
        </w:tc>
        <w:tc>
          <w:tcPr>
            <w:tcW w:w="517" w:type="pct"/>
            <w:shd w:val="clear" w:color="auto" w:fill="auto"/>
            <w:hideMark/>
          </w:tcPr>
          <w:p w14:paraId="2E473C35" w14:textId="77777777" w:rsidR="002A383E" w:rsidRPr="00591BFC" w:rsidRDefault="002A383E" w:rsidP="00E86771">
            <w:pPr>
              <w:spacing w:line="360" w:lineRule="auto"/>
            </w:pPr>
            <w:r w:rsidRPr="00591BFC">
              <w:t>497</w:t>
            </w:r>
          </w:p>
        </w:tc>
        <w:tc>
          <w:tcPr>
            <w:tcW w:w="590" w:type="pct"/>
            <w:shd w:val="clear" w:color="auto" w:fill="auto"/>
            <w:hideMark/>
          </w:tcPr>
          <w:p w14:paraId="7DDD8D93" w14:textId="77777777" w:rsidR="002A383E" w:rsidRPr="00591BFC" w:rsidRDefault="002A383E" w:rsidP="00E86771">
            <w:pPr>
              <w:spacing w:line="360" w:lineRule="auto"/>
            </w:pPr>
            <w:r w:rsidRPr="00591BFC">
              <w:t>(11.2%)</w:t>
            </w:r>
          </w:p>
        </w:tc>
      </w:tr>
      <w:tr w:rsidR="002A383E" w:rsidRPr="00591BFC" w14:paraId="01579563" w14:textId="77777777" w:rsidTr="00DB4F65">
        <w:trPr>
          <w:trHeight w:val="320"/>
        </w:trPr>
        <w:tc>
          <w:tcPr>
            <w:tcW w:w="3893" w:type="pct"/>
            <w:shd w:val="clear" w:color="auto" w:fill="auto"/>
            <w:hideMark/>
          </w:tcPr>
          <w:p w14:paraId="3F565EAE" w14:textId="77777777" w:rsidR="002A383E" w:rsidRPr="00591BFC" w:rsidRDefault="002A383E" w:rsidP="00E86771">
            <w:pPr>
              <w:spacing w:line="360" w:lineRule="auto"/>
            </w:pPr>
            <w:r w:rsidRPr="00591BFC">
              <w:t>Source of admission at index fracture, n (%)</w:t>
            </w:r>
          </w:p>
        </w:tc>
        <w:tc>
          <w:tcPr>
            <w:tcW w:w="517" w:type="pct"/>
            <w:shd w:val="clear" w:color="auto" w:fill="auto"/>
            <w:hideMark/>
          </w:tcPr>
          <w:p w14:paraId="6F7B0530" w14:textId="77777777" w:rsidR="002A383E" w:rsidRPr="00591BFC" w:rsidRDefault="002A383E" w:rsidP="00E86771">
            <w:pPr>
              <w:spacing w:line="360" w:lineRule="auto"/>
            </w:pPr>
            <w:r w:rsidRPr="00591BFC">
              <w:t> </w:t>
            </w:r>
          </w:p>
        </w:tc>
        <w:tc>
          <w:tcPr>
            <w:tcW w:w="590" w:type="pct"/>
            <w:shd w:val="clear" w:color="auto" w:fill="auto"/>
            <w:hideMark/>
          </w:tcPr>
          <w:p w14:paraId="5D82E351" w14:textId="77777777" w:rsidR="002A383E" w:rsidRPr="00591BFC" w:rsidRDefault="002A383E" w:rsidP="00E86771">
            <w:pPr>
              <w:spacing w:line="360" w:lineRule="auto"/>
            </w:pPr>
            <w:r w:rsidRPr="00591BFC">
              <w:t> </w:t>
            </w:r>
          </w:p>
        </w:tc>
      </w:tr>
      <w:tr w:rsidR="002A383E" w:rsidRPr="00591BFC" w14:paraId="666EAB7E" w14:textId="77777777" w:rsidTr="00DB4F65">
        <w:trPr>
          <w:trHeight w:val="92"/>
        </w:trPr>
        <w:tc>
          <w:tcPr>
            <w:tcW w:w="3893" w:type="pct"/>
            <w:shd w:val="clear" w:color="auto" w:fill="auto"/>
            <w:hideMark/>
          </w:tcPr>
          <w:p w14:paraId="180AAD37" w14:textId="77777777" w:rsidR="002A383E" w:rsidRPr="00591BFC" w:rsidRDefault="002A383E" w:rsidP="00E86771">
            <w:pPr>
              <w:spacing w:line="360" w:lineRule="auto"/>
            </w:pPr>
            <w:r w:rsidRPr="00591BFC">
              <w:t xml:space="preserve">  Own home</w:t>
            </w:r>
          </w:p>
        </w:tc>
        <w:tc>
          <w:tcPr>
            <w:tcW w:w="517" w:type="pct"/>
            <w:shd w:val="clear" w:color="auto" w:fill="auto"/>
            <w:hideMark/>
          </w:tcPr>
          <w:p w14:paraId="6CA3DDF0" w14:textId="77777777" w:rsidR="002A383E" w:rsidRPr="00591BFC" w:rsidRDefault="002A383E" w:rsidP="00E86771">
            <w:pPr>
              <w:spacing w:line="360" w:lineRule="auto"/>
            </w:pPr>
            <w:r w:rsidRPr="00591BFC">
              <w:t>3,895</w:t>
            </w:r>
          </w:p>
        </w:tc>
        <w:tc>
          <w:tcPr>
            <w:tcW w:w="590" w:type="pct"/>
            <w:shd w:val="clear" w:color="auto" w:fill="auto"/>
            <w:hideMark/>
          </w:tcPr>
          <w:p w14:paraId="6586260D" w14:textId="77777777" w:rsidR="002A383E" w:rsidRPr="00591BFC" w:rsidRDefault="002A383E" w:rsidP="00E86771">
            <w:pPr>
              <w:spacing w:line="360" w:lineRule="auto"/>
            </w:pPr>
            <w:r w:rsidRPr="00591BFC">
              <w:t>(87.9%)</w:t>
            </w:r>
          </w:p>
        </w:tc>
      </w:tr>
      <w:tr w:rsidR="002A383E" w:rsidRPr="00591BFC" w14:paraId="34CE8FA8" w14:textId="77777777" w:rsidTr="00DB4F65">
        <w:trPr>
          <w:trHeight w:val="320"/>
        </w:trPr>
        <w:tc>
          <w:tcPr>
            <w:tcW w:w="3893" w:type="pct"/>
            <w:shd w:val="clear" w:color="auto" w:fill="auto"/>
            <w:hideMark/>
          </w:tcPr>
          <w:p w14:paraId="3EB5FAC2" w14:textId="77777777" w:rsidR="002A383E" w:rsidRPr="00591BFC" w:rsidRDefault="002A383E" w:rsidP="00E86771">
            <w:pPr>
              <w:spacing w:line="360" w:lineRule="auto"/>
            </w:pPr>
            <w:r w:rsidRPr="00591BFC">
              <w:lastRenderedPageBreak/>
              <w:t xml:space="preserve">  Care home or temporary accommodation</w:t>
            </w:r>
          </w:p>
        </w:tc>
        <w:tc>
          <w:tcPr>
            <w:tcW w:w="517" w:type="pct"/>
            <w:shd w:val="clear" w:color="auto" w:fill="auto"/>
            <w:hideMark/>
          </w:tcPr>
          <w:p w14:paraId="6661B339" w14:textId="77777777" w:rsidR="002A383E" w:rsidRPr="00591BFC" w:rsidRDefault="002A383E" w:rsidP="00E86771">
            <w:pPr>
              <w:spacing w:line="360" w:lineRule="auto"/>
            </w:pPr>
            <w:r w:rsidRPr="00591BFC">
              <w:t>421</w:t>
            </w:r>
          </w:p>
        </w:tc>
        <w:tc>
          <w:tcPr>
            <w:tcW w:w="590" w:type="pct"/>
            <w:shd w:val="clear" w:color="auto" w:fill="auto"/>
            <w:hideMark/>
          </w:tcPr>
          <w:p w14:paraId="4D258E3D" w14:textId="77777777" w:rsidR="002A383E" w:rsidRPr="00591BFC" w:rsidRDefault="002A383E" w:rsidP="00E86771">
            <w:pPr>
              <w:spacing w:line="360" w:lineRule="auto"/>
            </w:pPr>
            <w:r w:rsidRPr="00591BFC">
              <w:t>(9.5%)</w:t>
            </w:r>
          </w:p>
        </w:tc>
      </w:tr>
      <w:tr w:rsidR="002A383E" w:rsidRPr="00591BFC" w14:paraId="5A19372A" w14:textId="77777777" w:rsidTr="00DB4F65">
        <w:trPr>
          <w:trHeight w:val="320"/>
        </w:trPr>
        <w:tc>
          <w:tcPr>
            <w:tcW w:w="3893" w:type="pct"/>
            <w:shd w:val="clear" w:color="auto" w:fill="auto"/>
            <w:hideMark/>
          </w:tcPr>
          <w:p w14:paraId="7369DD2C" w14:textId="77777777" w:rsidR="002A383E" w:rsidRPr="00591BFC" w:rsidRDefault="002A383E" w:rsidP="00E86771">
            <w:pPr>
              <w:spacing w:line="360" w:lineRule="auto"/>
            </w:pPr>
            <w:r w:rsidRPr="00591BFC">
              <w:t xml:space="preserve">  Another hospital</w:t>
            </w:r>
          </w:p>
        </w:tc>
        <w:tc>
          <w:tcPr>
            <w:tcW w:w="517" w:type="pct"/>
            <w:shd w:val="clear" w:color="auto" w:fill="auto"/>
            <w:hideMark/>
          </w:tcPr>
          <w:p w14:paraId="3F56C337" w14:textId="77777777" w:rsidR="002A383E" w:rsidRPr="00591BFC" w:rsidRDefault="002A383E" w:rsidP="00E86771">
            <w:pPr>
              <w:spacing w:line="360" w:lineRule="auto"/>
            </w:pPr>
            <w:r w:rsidRPr="00591BFC">
              <w:t>114</w:t>
            </w:r>
          </w:p>
        </w:tc>
        <w:tc>
          <w:tcPr>
            <w:tcW w:w="590" w:type="pct"/>
            <w:shd w:val="clear" w:color="auto" w:fill="auto"/>
            <w:hideMark/>
          </w:tcPr>
          <w:p w14:paraId="7E8BF3E9" w14:textId="77777777" w:rsidR="002A383E" w:rsidRPr="00591BFC" w:rsidRDefault="002A383E" w:rsidP="00E86771">
            <w:pPr>
              <w:spacing w:line="360" w:lineRule="auto"/>
            </w:pPr>
            <w:r w:rsidRPr="00591BFC">
              <w:t>(2.8%)</w:t>
            </w:r>
          </w:p>
        </w:tc>
      </w:tr>
      <w:tr w:rsidR="002A383E" w:rsidRPr="00591BFC" w14:paraId="2EC8AB77" w14:textId="77777777" w:rsidTr="00DB4F65">
        <w:trPr>
          <w:trHeight w:val="320"/>
        </w:trPr>
        <w:tc>
          <w:tcPr>
            <w:tcW w:w="3893" w:type="pct"/>
            <w:shd w:val="clear" w:color="auto" w:fill="auto"/>
            <w:hideMark/>
          </w:tcPr>
          <w:p w14:paraId="14663A79" w14:textId="77777777" w:rsidR="002A383E" w:rsidRPr="00591BFC" w:rsidRDefault="002A383E" w:rsidP="00E86771">
            <w:pPr>
              <w:spacing w:line="360" w:lineRule="auto"/>
            </w:pPr>
            <w:r w:rsidRPr="00591BFC">
              <w:t xml:space="preserve">  Unknown</w:t>
            </w:r>
          </w:p>
        </w:tc>
        <w:tc>
          <w:tcPr>
            <w:tcW w:w="517" w:type="pct"/>
            <w:shd w:val="clear" w:color="auto" w:fill="auto"/>
            <w:hideMark/>
          </w:tcPr>
          <w:p w14:paraId="30DE033B" w14:textId="77777777" w:rsidR="002A383E" w:rsidRPr="00591BFC" w:rsidRDefault="002A383E" w:rsidP="00E86771">
            <w:pPr>
              <w:spacing w:line="360" w:lineRule="auto"/>
            </w:pPr>
            <w:r w:rsidRPr="00591BFC">
              <w:t>3</w:t>
            </w:r>
          </w:p>
        </w:tc>
        <w:tc>
          <w:tcPr>
            <w:tcW w:w="590" w:type="pct"/>
            <w:shd w:val="clear" w:color="auto" w:fill="auto"/>
            <w:hideMark/>
          </w:tcPr>
          <w:p w14:paraId="502ECF04" w14:textId="77777777" w:rsidR="002A383E" w:rsidRPr="00591BFC" w:rsidRDefault="002A383E" w:rsidP="00E86771">
            <w:pPr>
              <w:spacing w:line="360" w:lineRule="auto"/>
            </w:pPr>
            <w:r w:rsidRPr="00591BFC">
              <w:t>(0.1%)</w:t>
            </w:r>
          </w:p>
        </w:tc>
      </w:tr>
    </w:tbl>
    <w:p w14:paraId="6366B3FE" w14:textId="77777777" w:rsidR="002A383E" w:rsidRPr="00591BFC" w:rsidRDefault="002A383E" w:rsidP="00E86771">
      <w:pPr>
        <w:spacing w:line="360" w:lineRule="auto"/>
      </w:pPr>
    </w:p>
    <w:p w14:paraId="76140737" w14:textId="77777777" w:rsidR="002A383E" w:rsidRPr="00591BFC" w:rsidRDefault="002A383E" w:rsidP="00E86771">
      <w:pPr>
        <w:pStyle w:val="Heading3"/>
        <w:spacing w:line="360" w:lineRule="auto"/>
        <w:rPr>
          <w:rFonts w:ascii="Calibri" w:hAnsi="Calibri"/>
          <w:lang w:val="en-GB"/>
        </w:rPr>
      </w:pPr>
      <w:bookmarkStart w:id="347" w:name="_Toc308300797"/>
      <w:bookmarkStart w:id="348" w:name="_Toc311366604"/>
      <w:r w:rsidRPr="00591BFC">
        <w:rPr>
          <w:rFonts w:ascii="Calibri" w:hAnsi="Calibri"/>
          <w:lang w:val="en-GB"/>
        </w:rPr>
        <w:t>Patient outcomes and hospitalisation costs</w:t>
      </w:r>
      <w:r w:rsidR="00D83E5F">
        <w:rPr>
          <w:rFonts w:ascii="Calibri" w:hAnsi="Calibri"/>
          <w:lang w:val="en-GB"/>
        </w:rPr>
        <w:t xml:space="preserve"> (HES dataset)</w:t>
      </w:r>
      <w:bookmarkEnd w:id="347"/>
      <w:bookmarkEnd w:id="348"/>
    </w:p>
    <w:p w14:paraId="7965B10D" w14:textId="03D5A8D6" w:rsidR="002A383E" w:rsidRPr="00591BFC" w:rsidRDefault="002A383E" w:rsidP="00E86771">
      <w:pPr>
        <w:spacing w:line="360" w:lineRule="auto"/>
      </w:pPr>
      <w:r w:rsidRPr="00591BFC">
        <w:t>The average follow up of the cohort was 2.6 years (median 1.8 years; SD 2.5) from index hip fracture, during which time 6.6% of patients suffered a second hip fracture (</w:t>
      </w:r>
      <w:r w:rsidR="005D6C4C" w:rsidRPr="00591BFC">
        <w:rPr>
          <w:b/>
        </w:rPr>
        <w:fldChar w:fldCharType="begin"/>
      </w:r>
      <w:r w:rsidR="005D6C4C" w:rsidRPr="00591BFC">
        <w:instrText xml:space="preserve"> REF _Ref423075730 \h </w:instrText>
      </w:r>
      <w:r w:rsidR="00E814C1" w:rsidRPr="00591BFC">
        <w:rPr>
          <w:b/>
        </w:rPr>
        <w:instrText xml:space="preserve"> \* MERGEFORMAT </w:instrText>
      </w:r>
      <w:r w:rsidR="005D6C4C" w:rsidRPr="00591BFC">
        <w:rPr>
          <w:b/>
        </w:rPr>
      </w:r>
      <w:r w:rsidR="005D6C4C" w:rsidRPr="00591BFC">
        <w:rPr>
          <w:b/>
        </w:rPr>
        <w:fldChar w:fldCharType="separate"/>
      </w:r>
      <w:r w:rsidR="00776C05" w:rsidRPr="00591BFC">
        <w:t xml:space="preserve">Table </w:t>
      </w:r>
      <w:r w:rsidR="00776C05">
        <w:rPr>
          <w:noProof/>
        </w:rPr>
        <w:t>20</w:t>
      </w:r>
      <w:r w:rsidR="005D6C4C" w:rsidRPr="00591BFC">
        <w:rPr>
          <w:b/>
        </w:rPr>
        <w:fldChar w:fldCharType="end"/>
      </w:r>
      <w:r w:rsidRPr="00591BFC">
        <w:t xml:space="preserve">). Mortality at 30 days and one year was estimated to be 9.4% and 31.2% respectively. After index fracture, the majority of patients were recorded as being discharged to their own home (49%), </w:t>
      </w:r>
      <w:r w:rsidR="00D83E5F">
        <w:t xml:space="preserve">or </w:t>
      </w:r>
      <w:r w:rsidRPr="00591BFC">
        <w:t>transfer</w:t>
      </w:r>
      <w:r w:rsidR="00D83E5F">
        <w:t xml:space="preserve">red </w:t>
      </w:r>
      <w:r w:rsidRPr="00591BFC">
        <w:t xml:space="preserve">to another hospital (23%) </w:t>
      </w:r>
      <w:r w:rsidR="00D83E5F">
        <w:t>or to a</w:t>
      </w:r>
      <w:r w:rsidRPr="00591BFC">
        <w:t xml:space="preserve"> care home (18%). 10% of patients died in-hospital during the index admission. The number of patients in a care home increased to 24% after one year of complete follow up. In contrast, after a second hip fracture, 32% of patients were discharged to a care home after hospital discharge, which increased to 40% amongst patients with at least one year of follow up. Hospital re-admissions</w:t>
      </w:r>
      <w:r w:rsidR="00D83E5F">
        <w:t xml:space="preserve"> for any reason</w:t>
      </w:r>
      <w:r w:rsidRPr="00591BFC">
        <w:t xml:space="preserve"> with inpatient stay in the year following the index hip fracture totalled 0.9 (median 0, SD 1.4, IQR 0-19) per patient or 1.8 (median 1, SD 1.6, IQR 1-19) per patient re-admitted. Of these re-admissions 57% were emergency admissions and accounted for 18.1 (median 0, SD 35.9, IQR 0-22) additional days in hospital per patient or 37.2 (median 23, SD 43.9, IQR 8-50) additional days per patient re-admitted. About 50% of diagnosis codes in non-emergency inpatient admissions following index admission were hip fracture related.</w:t>
      </w:r>
    </w:p>
    <w:p w14:paraId="4D464B77" w14:textId="77777777" w:rsidR="002A383E" w:rsidRPr="00591BFC" w:rsidRDefault="002A383E" w:rsidP="00E86771">
      <w:pPr>
        <w:spacing w:line="360" w:lineRule="auto"/>
      </w:pPr>
      <w:r w:rsidRPr="00591BFC">
        <w:t xml:space="preserve">The hospitalisation costs associated with index admission for primary hip fracture were £8,663 (median £8,049, SD 4605) compared to £8,544 (median £8,049, SD 4112) for the second hip fracture. Length of stay in the index admission was 20.5 (median 14, SD 20.0, IQR 9-307) and 20.8 (median 15, SD 18.8, IQR 9-139) days for primary and second hip fracture, respectively. For patients suffering a subsequent hip fracture (6.6%), the hospital admission following the second hip fracture resulted in significantly higher length of stay (2.0 days, p&lt;0.001, 18.8 vs. 20.8 days) and costs (£406, p&lt;0.001, £8,138 vs. £8,544) relative to the index fracture. Within the first year following primary hip fracture, the total hospitalisation costs were estimated to be £13,826 (median £10,425, SD 11016), of which 75% were due to hip fracture-related admissions (£10,375, median £8,050). </w:t>
      </w:r>
      <w:r w:rsidR="00D83E5F" w:rsidRPr="00D83E5F">
        <w:t xml:space="preserve">The distribution of hospitalisation costs was skewed </w:t>
      </w:r>
      <w:r w:rsidR="00D83E5F">
        <w:t xml:space="preserve">(see </w:t>
      </w:r>
      <w:r w:rsidR="0069281C">
        <w:fldChar w:fldCharType="begin"/>
      </w:r>
      <w:r w:rsidR="0069281C">
        <w:instrText xml:space="preserve"> REF _Ref424551547 \h </w:instrText>
      </w:r>
      <w:r w:rsidR="0069281C">
        <w:fldChar w:fldCharType="separate"/>
      </w:r>
      <w:r w:rsidR="003B70E3">
        <w:t xml:space="preserve">Figure </w:t>
      </w:r>
      <w:r w:rsidR="003B70E3">
        <w:rPr>
          <w:noProof/>
        </w:rPr>
        <w:t>25</w:t>
      </w:r>
      <w:r w:rsidR="0069281C">
        <w:fldChar w:fldCharType="end"/>
      </w:r>
      <w:r w:rsidR="00D83E5F">
        <w:t>)</w:t>
      </w:r>
      <w:r w:rsidR="00D83E5F" w:rsidRPr="00D83E5F">
        <w:t xml:space="preserve"> with a small proportion of cases staying in hospital for a whole year incurring very high costs (36 patients had hospitalisation costs above £100,000). </w:t>
      </w:r>
      <w:r w:rsidRPr="00591BFC">
        <w:t>Hospitalisation costs and length of stay were highly correlated (Spearman correlation coefficient: 0.82, p&lt;0.001).</w:t>
      </w:r>
    </w:p>
    <w:p w14:paraId="1CC9E4EE" w14:textId="372ED137" w:rsidR="002A383E" w:rsidRPr="000D4504" w:rsidRDefault="00D86CB2" w:rsidP="00E86771">
      <w:pPr>
        <w:spacing w:line="360" w:lineRule="auto"/>
      </w:pPr>
      <w:r w:rsidRPr="00591BFC">
        <w:lastRenderedPageBreak/>
        <w:fldChar w:fldCharType="begin"/>
      </w:r>
      <w:r w:rsidRPr="00591BFC">
        <w:instrText xml:space="preserve"> REF _Ref423075842 \h </w:instrText>
      </w:r>
      <w:r w:rsidR="00E814C1" w:rsidRPr="00591BFC">
        <w:instrText xml:space="preserve"> \* MERGEFORMAT </w:instrText>
      </w:r>
      <w:r w:rsidRPr="00591BFC">
        <w:fldChar w:fldCharType="separate"/>
      </w:r>
      <w:r w:rsidR="003B70E3" w:rsidRPr="00591BFC">
        <w:t xml:space="preserve">Figure </w:t>
      </w:r>
      <w:r w:rsidR="003B70E3">
        <w:rPr>
          <w:noProof/>
        </w:rPr>
        <w:t>26</w:t>
      </w:r>
      <w:r w:rsidRPr="00591BFC">
        <w:fldChar w:fldCharType="end"/>
      </w:r>
      <w:r w:rsidR="004D147C" w:rsidRPr="00591BFC">
        <w:t xml:space="preserve"> </w:t>
      </w:r>
      <w:r w:rsidR="002A383E" w:rsidRPr="00591BFC">
        <w:t>reports the hospitalisation costs in the months before and after primary hip fracture. The annual cost in the year of the fracture was estimated to be £10,860 (95% CI: £10,710 to £11,011) higher compared to the previous year. The highest costs occur in the first six months post hip fracture dropping sharply afterwards to pre-fracture levels of expenditure and remaining fairly constant throughout the second year post fracture. The 2-year survivors show a similar pattern of costs relative to all patients. However, while the costs in the second year after hip fracture remain numerically higher than in the year pre-fracture (£112, 95%</w:t>
      </w:r>
      <w:r w:rsidR="00CA712A">
        <w:t xml:space="preserve"> </w:t>
      </w:r>
      <w:r w:rsidR="002A383E" w:rsidRPr="00591BFC">
        <w:t>CI: -£29 to £274) this was</w:t>
      </w:r>
      <w:r w:rsidR="000D4504">
        <w:t xml:space="preserve"> not statistically significant.</w:t>
      </w:r>
    </w:p>
    <w:p w14:paraId="086049FE" w14:textId="77777777" w:rsidR="005D6C4C" w:rsidRPr="00591BFC" w:rsidRDefault="005D6C4C" w:rsidP="00E86771">
      <w:pPr>
        <w:pStyle w:val="Caption"/>
        <w:keepNext/>
        <w:spacing w:line="360" w:lineRule="auto"/>
      </w:pPr>
      <w:bookmarkStart w:id="349" w:name="_Ref423075730"/>
      <w:bookmarkStart w:id="350" w:name="_Toc308262415"/>
      <w:bookmarkStart w:id="351" w:name="_Toc311366681"/>
      <w:r w:rsidRPr="00591BFC">
        <w:t xml:space="preserve">Table </w:t>
      </w:r>
      <w:r w:rsidR="002149AD">
        <w:fldChar w:fldCharType="begin"/>
      </w:r>
      <w:r w:rsidR="002149AD">
        <w:instrText xml:space="preserve"> SEQ Table \* ARABIC </w:instrText>
      </w:r>
      <w:r w:rsidR="002149AD">
        <w:fldChar w:fldCharType="separate"/>
      </w:r>
      <w:r w:rsidR="00776C05">
        <w:rPr>
          <w:noProof/>
        </w:rPr>
        <w:t>20</w:t>
      </w:r>
      <w:r w:rsidR="002149AD">
        <w:rPr>
          <w:noProof/>
        </w:rPr>
        <w:fldChar w:fldCharType="end"/>
      </w:r>
      <w:bookmarkEnd w:id="349"/>
      <w:r w:rsidRPr="00591BFC">
        <w:t xml:space="preserve"> Patient outcomes and hospitalisation costs after index hip fracture</w:t>
      </w:r>
      <w:bookmarkEnd w:id="350"/>
      <w:bookmarkEnd w:id="351"/>
    </w:p>
    <w:tbl>
      <w:tblPr>
        <w:tblW w:w="8152" w:type="dxa"/>
        <w:tblInd w:w="36" w:type="dxa"/>
        <w:tblBorders>
          <w:top w:val="single" w:sz="4" w:space="0" w:color="auto"/>
          <w:bottom w:val="single" w:sz="4" w:space="0" w:color="auto"/>
        </w:tblBorders>
        <w:tblLayout w:type="fixed"/>
        <w:tblLook w:val="04A0" w:firstRow="1" w:lastRow="0" w:firstColumn="1" w:lastColumn="0" w:noHBand="0" w:noVBand="1"/>
      </w:tblPr>
      <w:tblGrid>
        <w:gridCol w:w="6168"/>
        <w:gridCol w:w="992"/>
        <w:gridCol w:w="992"/>
      </w:tblGrid>
      <w:tr w:rsidR="002A383E" w:rsidRPr="00591BFC" w14:paraId="30A870D3" w14:textId="77777777" w:rsidTr="00FC3E10">
        <w:trPr>
          <w:trHeight w:val="274"/>
        </w:trPr>
        <w:tc>
          <w:tcPr>
            <w:tcW w:w="6168" w:type="dxa"/>
            <w:tcBorders>
              <w:top w:val="single" w:sz="4" w:space="0" w:color="auto"/>
            </w:tcBorders>
            <w:shd w:val="clear" w:color="auto" w:fill="auto"/>
            <w:hideMark/>
          </w:tcPr>
          <w:p w14:paraId="71034C58" w14:textId="77777777" w:rsidR="002A383E" w:rsidRPr="00591BFC" w:rsidRDefault="002A383E" w:rsidP="00E86771">
            <w:pPr>
              <w:pStyle w:val="NoSpacing"/>
              <w:spacing w:line="360" w:lineRule="auto"/>
            </w:pPr>
            <w:r w:rsidRPr="00591BFC">
              <w:t>Follow up time in years, mean (SD)</w:t>
            </w:r>
          </w:p>
        </w:tc>
        <w:tc>
          <w:tcPr>
            <w:tcW w:w="992" w:type="dxa"/>
            <w:tcBorders>
              <w:top w:val="single" w:sz="4" w:space="0" w:color="auto"/>
            </w:tcBorders>
            <w:shd w:val="clear" w:color="auto" w:fill="auto"/>
            <w:vAlign w:val="center"/>
            <w:hideMark/>
          </w:tcPr>
          <w:p w14:paraId="2694B937" w14:textId="77777777" w:rsidR="002A383E" w:rsidRPr="00591BFC" w:rsidRDefault="002A383E" w:rsidP="00E86771">
            <w:pPr>
              <w:pStyle w:val="NoSpacing"/>
              <w:spacing w:line="360" w:lineRule="auto"/>
              <w:jc w:val="right"/>
            </w:pPr>
            <w:r w:rsidRPr="00591BFC">
              <w:t>2.6 </w:t>
            </w:r>
          </w:p>
        </w:tc>
        <w:tc>
          <w:tcPr>
            <w:tcW w:w="992" w:type="dxa"/>
            <w:tcBorders>
              <w:top w:val="single" w:sz="4" w:space="0" w:color="auto"/>
            </w:tcBorders>
            <w:shd w:val="clear" w:color="auto" w:fill="auto"/>
            <w:vAlign w:val="center"/>
            <w:hideMark/>
          </w:tcPr>
          <w:p w14:paraId="32924687" w14:textId="77777777" w:rsidR="002A383E" w:rsidRPr="00591BFC" w:rsidRDefault="002A383E" w:rsidP="00E86771">
            <w:pPr>
              <w:pStyle w:val="NoSpacing"/>
              <w:spacing w:line="360" w:lineRule="auto"/>
              <w:jc w:val="right"/>
            </w:pPr>
            <w:r w:rsidRPr="00591BFC">
              <w:t>(2.5) </w:t>
            </w:r>
          </w:p>
        </w:tc>
      </w:tr>
      <w:tr w:rsidR="002A383E" w:rsidRPr="00591BFC" w14:paraId="66655747" w14:textId="77777777" w:rsidTr="00FC3E10">
        <w:tc>
          <w:tcPr>
            <w:tcW w:w="6168" w:type="dxa"/>
            <w:shd w:val="clear" w:color="auto" w:fill="auto"/>
            <w:hideMark/>
          </w:tcPr>
          <w:p w14:paraId="48FD28F1" w14:textId="77777777" w:rsidR="002A383E" w:rsidRPr="00591BFC" w:rsidRDefault="002A383E" w:rsidP="00E86771">
            <w:pPr>
              <w:pStyle w:val="NoSpacing"/>
              <w:spacing w:line="360" w:lineRule="auto"/>
            </w:pPr>
            <w:r w:rsidRPr="00591BFC">
              <w:t>Second hip fracture, n (%)</w:t>
            </w:r>
          </w:p>
        </w:tc>
        <w:tc>
          <w:tcPr>
            <w:tcW w:w="992" w:type="dxa"/>
            <w:shd w:val="clear" w:color="auto" w:fill="auto"/>
            <w:vAlign w:val="center"/>
          </w:tcPr>
          <w:p w14:paraId="33187AAC" w14:textId="77777777" w:rsidR="002A383E" w:rsidRPr="00591BFC" w:rsidRDefault="002A383E" w:rsidP="00E86771">
            <w:pPr>
              <w:pStyle w:val="NoSpacing"/>
              <w:spacing w:line="360" w:lineRule="auto"/>
              <w:jc w:val="right"/>
            </w:pPr>
            <w:r w:rsidRPr="00591BFC">
              <w:t>2,206</w:t>
            </w:r>
          </w:p>
        </w:tc>
        <w:tc>
          <w:tcPr>
            <w:tcW w:w="992" w:type="dxa"/>
            <w:shd w:val="clear" w:color="auto" w:fill="auto"/>
            <w:vAlign w:val="center"/>
            <w:hideMark/>
          </w:tcPr>
          <w:p w14:paraId="4D26D926" w14:textId="77777777" w:rsidR="002A383E" w:rsidRPr="00591BFC" w:rsidRDefault="002A383E" w:rsidP="00E86771">
            <w:pPr>
              <w:pStyle w:val="NoSpacing"/>
              <w:spacing w:line="360" w:lineRule="auto"/>
              <w:jc w:val="right"/>
            </w:pPr>
            <w:r w:rsidRPr="00591BFC">
              <w:t>(6.6%)</w:t>
            </w:r>
          </w:p>
        </w:tc>
      </w:tr>
      <w:tr w:rsidR="002A383E" w:rsidRPr="00591BFC" w14:paraId="25916F48" w14:textId="77777777" w:rsidTr="00FC3E10">
        <w:tc>
          <w:tcPr>
            <w:tcW w:w="6168" w:type="dxa"/>
            <w:shd w:val="clear" w:color="auto" w:fill="auto"/>
            <w:hideMark/>
          </w:tcPr>
          <w:p w14:paraId="58D21BC7" w14:textId="77777777" w:rsidR="002A383E" w:rsidRPr="00591BFC" w:rsidRDefault="002A383E" w:rsidP="00E86771">
            <w:pPr>
              <w:pStyle w:val="NoSpacing"/>
              <w:spacing w:line="360" w:lineRule="auto"/>
            </w:pPr>
            <w:r w:rsidRPr="00591BFC">
              <w:t xml:space="preserve">   Time to second hip fracture in years, mean (SD)</w:t>
            </w:r>
          </w:p>
        </w:tc>
        <w:tc>
          <w:tcPr>
            <w:tcW w:w="992" w:type="dxa"/>
            <w:shd w:val="clear" w:color="auto" w:fill="auto"/>
            <w:vAlign w:val="center"/>
            <w:hideMark/>
          </w:tcPr>
          <w:p w14:paraId="0F808B18" w14:textId="77777777" w:rsidR="002A383E" w:rsidRPr="00591BFC" w:rsidRDefault="002A383E" w:rsidP="00E86771">
            <w:pPr>
              <w:pStyle w:val="NoSpacing"/>
              <w:spacing w:line="360" w:lineRule="auto"/>
              <w:jc w:val="right"/>
            </w:pPr>
            <w:r w:rsidRPr="00591BFC">
              <w:t>2.2 </w:t>
            </w:r>
          </w:p>
        </w:tc>
        <w:tc>
          <w:tcPr>
            <w:tcW w:w="992" w:type="dxa"/>
            <w:shd w:val="clear" w:color="auto" w:fill="auto"/>
            <w:vAlign w:val="center"/>
            <w:hideMark/>
          </w:tcPr>
          <w:p w14:paraId="5164DD7A" w14:textId="77777777" w:rsidR="002A383E" w:rsidRPr="00591BFC" w:rsidRDefault="002A383E" w:rsidP="00E86771">
            <w:pPr>
              <w:pStyle w:val="NoSpacing"/>
              <w:spacing w:line="360" w:lineRule="auto"/>
              <w:jc w:val="right"/>
            </w:pPr>
            <w:r w:rsidRPr="00591BFC">
              <w:t>(2.0)</w:t>
            </w:r>
          </w:p>
        </w:tc>
      </w:tr>
      <w:tr w:rsidR="002A383E" w:rsidRPr="00591BFC" w14:paraId="0C588F78" w14:textId="77777777" w:rsidTr="00FC3E10">
        <w:tc>
          <w:tcPr>
            <w:tcW w:w="6168" w:type="dxa"/>
            <w:shd w:val="clear" w:color="auto" w:fill="auto"/>
          </w:tcPr>
          <w:p w14:paraId="5766EE74" w14:textId="77777777" w:rsidR="002A383E" w:rsidRPr="00591BFC" w:rsidRDefault="002A383E" w:rsidP="00E86771">
            <w:pPr>
              <w:pStyle w:val="NoSpacing"/>
              <w:spacing w:line="360" w:lineRule="auto"/>
            </w:pPr>
            <w:r w:rsidRPr="00591BFC">
              <w:t>Surgery or implant-related complications</w:t>
            </w:r>
            <w:r w:rsidRPr="00591BFC">
              <w:rPr>
                <w:vertAlign w:val="superscript"/>
              </w:rPr>
              <w:t>1</w:t>
            </w:r>
            <w:r w:rsidRPr="00591BFC">
              <w:t xml:space="preserve">, n (%) </w:t>
            </w:r>
          </w:p>
        </w:tc>
        <w:tc>
          <w:tcPr>
            <w:tcW w:w="992" w:type="dxa"/>
            <w:shd w:val="clear" w:color="auto" w:fill="auto"/>
            <w:vAlign w:val="center"/>
          </w:tcPr>
          <w:p w14:paraId="22D6B50E" w14:textId="77777777" w:rsidR="002A383E" w:rsidRPr="00591BFC" w:rsidRDefault="002A383E" w:rsidP="00E86771">
            <w:pPr>
              <w:pStyle w:val="NoSpacing"/>
              <w:spacing w:line="360" w:lineRule="auto"/>
              <w:jc w:val="right"/>
            </w:pPr>
          </w:p>
        </w:tc>
        <w:tc>
          <w:tcPr>
            <w:tcW w:w="992" w:type="dxa"/>
            <w:shd w:val="clear" w:color="auto" w:fill="auto"/>
            <w:vAlign w:val="center"/>
          </w:tcPr>
          <w:p w14:paraId="21EC968E" w14:textId="77777777" w:rsidR="002A383E" w:rsidRPr="00591BFC" w:rsidRDefault="002A383E" w:rsidP="00E86771">
            <w:pPr>
              <w:pStyle w:val="NoSpacing"/>
              <w:spacing w:line="360" w:lineRule="auto"/>
              <w:jc w:val="right"/>
            </w:pPr>
          </w:p>
        </w:tc>
      </w:tr>
      <w:tr w:rsidR="002A383E" w:rsidRPr="00591BFC" w14:paraId="35202017" w14:textId="77777777" w:rsidTr="00FC3E10">
        <w:tc>
          <w:tcPr>
            <w:tcW w:w="6168" w:type="dxa"/>
            <w:shd w:val="clear" w:color="auto" w:fill="auto"/>
          </w:tcPr>
          <w:p w14:paraId="3C84A5D1" w14:textId="77777777" w:rsidR="002A383E" w:rsidRPr="00591BFC" w:rsidRDefault="002A383E" w:rsidP="00E86771">
            <w:pPr>
              <w:pStyle w:val="NoSpacing"/>
              <w:spacing w:line="360" w:lineRule="auto"/>
            </w:pPr>
            <w:r w:rsidRPr="00591BFC">
              <w:t xml:space="preserve">   Within index fracture hospital</w:t>
            </w:r>
          </w:p>
        </w:tc>
        <w:tc>
          <w:tcPr>
            <w:tcW w:w="992" w:type="dxa"/>
            <w:shd w:val="clear" w:color="auto" w:fill="auto"/>
            <w:vAlign w:val="center"/>
          </w:tcPr>
          <w:p w14:paraId="47DA17BF" w14:textId="77777777" w:rsidR="002A383E" w:rsidRPr="00591BFC" w:rsidRDefault="002A383E" w:rsidP="00E86771">
            <w:pPr>
              <w:pStyle w:val="NoSpacing"/>
              <w:spacing w:line="360" w:lineRule="auto"/>
              <w:jc w:val="right"/>
            </w:pPr>
            <w:r w:rsidRPr="00591BFC">
              <w:t>1,015</w:t>
            </w:r>
          </w:p>
        </w:tc>
        <w:tc>
          <w:tcPr>
            <w:tcW w:w="992" w:type="dxa"/>
            <w:shd w:val="clear" w:color="auto" w:fill="auto"/>
            <w:vAlign w:val="center"/>
          </w:tcPr>
          <w:p w14:paraId="14CDC58B" w14:textId="77777777" w:rsidR="002A383E" w:rsidRPr="00591BFC" w:rsidRDefault="002A383E" w:rsidP="00E86771">
            <w:pPr>
              <w:pStyle w:val="NoSpacing"/>
              <w:spacing w:line="360" w:lineRule="auto"/>
              <w:jc w:val="right"/>
            </w:pPr>
            <w:r w:rsidRPr="00591BFC">
              <w:t>(3.1%)</w:t>
            </w:r>
          </w:p>
        </w:tc>
      </w:tr>
      <w:tr w:rsidR="002A383E" w:rsidRPr="00591BFC" w14:paraId="52E4CD09" w14:textId="77777777" w:rsidTr="00FC3E10">
        <w:tc>
          <w:tcPr>
            <w:tcW w:w="6168" w:type="dxa"/>
            <w:shd w:val="clear" w:color="auto" w:fill="auto"/>
          </w:tcPr>
          <w:p w14:paraId="2C7BEDD8" w14:textId="77777777" w:rsidR="002A383E" w:rsidRPr="00591BFC" w:rsidRDefault="002A383E" w:rsidP="00E86771">
            <w:pPr>
              <w:pStyle w:val="NoSpacing"/>
              <w:spacing w:line="360" w:lineRule="auto"/>
            </w:pPr>
            <w:r w:rsidRPr="00591BFC">
              <w:t xml:space="preserve">   Within 1 year of fracture</w:t>
            </w:r>
            <w:r w:rsidRPr="00591BFC">
              <w:rPr>
                <w:vertAlign w:val="superscript"/>
              </w:rPr>
              <w:t>2</w:t>
            </w:r>
          </w:p>
        </w:tc>
        <w:tc>
          <w:tcPr>
            <w:tcW w:w="992" w:type="dxa"/>
            <w:shd w:val="clear" w:color="auto" w:fill="auto"/>
            <w:vAlign w:val="center"/>
          </w:tcPr>
          <w:p w14:paraId="296048FE" w14:textId="77777777" w:rsidR="002A383E" w:rsidRPr="00591BFC" w:rsidRDefault="002A383E" w:rsidP="00E86771">
            <w:pPr>
              <w:pStyle w:val="NoSpacing"/>
              <w:spacing w:line="360" w:lineRule="auto"/>
              <w:jc w:val="right"/>
            </w:pPr>
            <w:r w:rsidRPr="00591BFC">
              <w:t>1,942</w:t>
            </w:r>
          </w:p>
        </w:tc>
        <w:tc>
          <w:tcPr>
            <w:tcW w:w="992" w:type="dxa"/>
            <w:shd w:val="clear" w:color="auto" w:fill="auto"/>
            <w:vAlign w:val="center"/>
          </w:tcPr>
          <w:p w14:paraId="6DDD03B9" w14:textId="77777777" w:rsidR="002A383E" w:rsidRPr="00591BFC" w:rsidRDefault="002A383E" w:rsidP="00E86771">
            <w:pPr>
              <w:pStyle w:val="NoSpacing"/>
              <w:spacing w:line="360" w:lineRule="auto"/>
              <w:jc w:val="right"/>
            </w:pPr>
            <w:r w:rsidRPr="00591BFC">
              <w:t>(6.4%)</w:t>
            </w:r>
          </w:p>
        </w:tc>
      </w:tr>
      <w:tr w:rsidR="002A383E" w:rsidRPr="00591BFC" w14:paraId="52EF7839" w14:textId="77777777" w:rsidTr="00FC3E10">
        <w:tc>
          <w:tcPr>
            <w:tcW w:w="6168" w:type="dxa"/>
            <w:shd w:val="clear" w:color="auto" w:fill="auto"/>
          </w:tcPr>
          <w:p w14:paraId="2E9AC3CA" w14:textId="77777777" w:rsidR="002A383E" w:rsidRPr="00591BFC" w:rsidRDefault="002A383E" w:rsidP="00E86771">
            <w:pPr>
              <w:pStyle w:val="NoSpacing"/>
              <w:spacing w:line="360" w:lineRule="auto"/>
            </w:pPr>
            <w:r w:rsidRPr="00591BFC">
              <w:t>Hip replacement surgery</w:t>
            </w:r>
            <w:r w:rsidRPr="00591BFC">
              <w:rPr>
                <w:vertAlign w:val="superscript"/>
              </w:rPr>
              <w:t>3</w:t>
            </w:r>
            <w:r w:rsidRPr="00591BFC">
              <w:t>, n (%)</w:t>
            </w:r>
          </w:p>
        </w:tc>
        <w:tc>
          <w:tcPr>
            <w:tcW w:w="992" w:type="dxa"/>
            <w:shd w:val="clear" w:color="auto" w:fill="auto"/>
            <w:vAlign w:val="center"/>
          </w:tcPr>
          <w:p w14:paraId="0255D6FB" w14:textId="77777777" w:rsidR="002A383E" w:rsidRPr="00591BFC" w:rsidRDefault="002A383E" w:rsidP="00E86771">
            <w:pPr>
              <w:pStyle w:val="NoSpacing"/>
              <w:spacing w:line="360" w:lineRule="auto"/>
              <w:jc w:val="right"/>
            </w:pPr>
          </w:p>
        </w:tc>
        <w:tc>
          <w:tcPr>
            <w:tcW w:w="992" w:type="dxa"/>
            <w:shd w:val="clear" w:color="auto" w:fill="auto"/>
            <w:vAlign w:val="center"/>
          </w:tcPr>
          <w:p w14:paraId="3225104F" w14:textId="77777777" w:rsidR="002A383E" w:rsidRPr="00591BFC" w:rsidRDefault="002A383E" w:rsidP="00E86771">
            <w:pPr>
              <w:pStyle w:val="NoSpacing"/>
              <w:spacing w:line="360" w:lineRule="auto"/>
              <w:jc w:val="right"/>
            </w:pPr>
          </w:p>
        </w:tc>
      </w:tr>
      <w:tr w:rsidR="002A383E" w:rsidRPr="00591BFC" w14:paraId="0D9A91A8" w14:textId="77777777" w:rsidTr="00FC3E10">
        <w:tc>
          <w:tcPr>
            <w:tcW w:w="6168" w:type="dxa"/>
            <w:shd w:val="clear" w:color="auto" w:fill="auto"/>
          </w:tcPr>
          <w:p w14:paraId="47E4052A" w14:textId="77777777" w:rsidR="002A383E" w:rsidRPr="00591BFC" w:rsidRDefault="002A383E" w:rsidP="00E86771">
            <w:pPr>
              <w:pStyle w:val="NoSpacing"/>
              <w:spacing w:line="360" w:lineRule="auto"/>
            </w:pPr>
            <w:r w:rsidRPr="00591BFC">
              <w:t xml:space="preserve">   Within index fracture hospitalisation</w:t>
            </w:r>
          </w:p>
        </w:tc>
        <w:tc>
          <w:tcPr>
            <w:tcW w:w="992" w:type="dxa"/>
            <w:shd w:val="clear" w:color="auto" w:fill="auto"/>
            <w:vAlign w:val="center"/>
          </w:tcPr>
          <w:p w14:paraId="11A6E9A9" w14:textId="77777777" w:rsidR="002A383E" w:rsidRPr="00591BFC" w:rsidRDefault="002A383E" w:rsidP="00E86771">
            <w:pPr>
              <w:pStyle w:val="NoSpacing"/>
              <w:spacing w:line="360" w:lineRule="auto"/>
              <w:jc w:val="right"/>
            </w:pPr>
            <w:r w:rsidRPr="00591BFC">
              <w:t>1,522</w:t>
            </w:r>
          </w:p>
        </w:tc>
        <w:tc>
          <w:tcPr>
            <w:tcW w:w="992" w:type="dxa"/>
            <w:shd w:val="clear" w:color="auto" w:fill="auto"/>
            <w:vAlign w:val="center"/>
          </w:tcPr>
          <w:p w14:paraId="4B5EC439" w14:textId="77777777" w:rsidR="002A383E" w:rsidRPr="00591BFC" w:rsidRDefault="002A383E" w:rsidP="00E86771">
            <w:pPr>
              <w:pStyle w:val="NoSpacing"/>
              <w:spacing w:line="360" w:lineRule="auto"/>
              <w:jc w:val="right"/>
            </w:pPr>
            <w:r w:rsidRPr="00591BFC">
              <w:t>(5.0%)</w:t>
            </w:r>
          </w:p>
        </w:tc>
      </w:tr>
      <w:tr w:rsidR="002A383E" w:rsidRPr="00591BFC" w14:paraId="04A0A6EC" w14:textId="77777777" w:rsidTr="00FC3E10">
        <w:tc>
          <w:tcPr>
            <w:tcW w:w="6168" w:type="dxa"/>
            <w:shd w:val="clear" w:color="auto" w:fill="auto"/>
          </w:tcPr>
          <w:p w14:paraId="7DD2906D" w14:textId="77777777" w:rsidR="002A383E" w:rsidRPr="00591BFC" w:rsidRDefault="002A383E" w:rsidP="00E86771">
            <w:pPr>
              <w:pStyle w:val="NoSpacing"/>
              <w:spacing w:line="360" w:lineRule="auto"/>
            </w:pPr>
            <w:r w:rsidRPr="00591BFC">
              <w:t xml:space="preserve">   Within 1 year of fracture</w:t>
            </w:r>
            <w:r w:rsidRPr="00591BFC">
              <w:rPr>
                <w:vertAlign w:val="superscript"/>
              </w:rPr>
              <w:t>2</w:t>
            </w:r>
          </w:p>
        </w:tc>
        <w:tc>
          <w:tcPr>
            <w:tcW w:w="992" w:type="dxa"/>
            <w:shd w:val="clear" w:color="auto" w:fill="auto"/>
            <w:vAlign w:val="center"/>
          </w:tcPr>
          <w:p w14:paraId="11FBA0DC" w14:textId="77777777" w:rsidR="002A383E" w:rsidRPr="00591BFC" w:rsidRDefault="002A383E" w:rsidP="00E86771">
            <w:pPr>
              <w:pStyle w:val="NoSpacing"/>
              <w:spacing w:line="360" w:lineRule="auto"/>
              <w:jc w:val="right"/>
            </w:pPr>
            <w:r w:rsidRPr="00591BFC">
              <w:t>1,781</w:t>
            </w:r>
          </w:p>
        </w:tc>
        <w:tc>
          <w:tcPr>
            <w:tcW w:w="992" w:type="dxa"/>
            <w:shd w:val="clear" w:color="auto" w:fill="auto"/>
            <w:vAlign w:val="center"/>
          </w:tcPr>
          <w:p w14:paraId="7D56C3C0" w14:textId="77777777" w:rsidR="002A383E" w:rsidRPr="00591BFC" w:rsidRDefault="002A383E" w:rsidP="00E86771">
            <w:pPr>
              <w:pStyle w:val="NoSpacing"/>
              <w:spacing w:line="360" w:lineRule="auto"/>
              <w:jc w:val="right"/>
            </w:pPr>
            <w:r w:rsidRPr="00591BFC">
              <w:t>(5.9%)</w:t>
            </w:r>
          </w:p>
        </w:tc>
      </w:tr>
      <w:tr w:rsidR="002A383E" w:rsidRPr="00591BFC" w14:paraId="70AA81FA" w14:textId="77777777" w:rsidTr="00FC3E10">
        <w:tc>
          <w:tcPr>
            <w:tcW w:w="6168" w:type="dxa"/>
            <w:shd w:val="clear" w:color="auto" w:fill="auto"/>
          </w:tcPr>
          <w:p w14:paraId="22305D1D" w14:textId="77777777" w:rsidR="002A383E" w:rsidRPr="00591BFC" w:rsidRDefault="002A383E" w:rsidP="00E86771">
            <w:pPr>
              <w:pStyle w:val="NoSpacing"/>
              <w:spacing w:line="360" w:lineRule="auto"/>
            </w:pPr>
            <w:r w:rsidRPr="00591BFC">
              <w:t>Hip revision surgery</w:t>
            </w:r>
            <w:r w:rsidRPr="00591BFC">
              <w:rPr>
                <w:vertAlign w:val="superscript"/>
              </w:rPr>
              <w:t>3</w:t>
            </w:r>
            <w:r w:rsidRPr="00591BFC">
              <w:t>, n (%)</w:t>
            </w:r>
          </w:p>
        </w:tc>
        <w:tc>
          <w:tcPr>
            <w:tcW w:w="992" w:type="dxa"/>
            <w:shd w:val="clear" w:color="auto" w:fill="auto"/>
            <w:vAlign w:val="center"/>
          </w:tcPr>
          <w:p w14:paraId="3470EFE9" w14:textId="77777777" w:rsidR="002A383E" w:rsidRPr="00591BFC" w:rsidRDefault="002A383E" w:rsidP="00E86771">
            <w:pPr>
              <w:pStyle w:val="NoSpacing"/>
              <w:spacing w:line="360" w:lineRule="auto"/>
              <w:jc w:val="right"/>
            </w:pPr>
          </w:p>
        </w:tc>
        <w:tc>
          <w:tcPr>
            <w:tcW w:w="992" w:type="dxa"/>
            <w:shd w:val="clear" w:color="auto" w:fill="auto"/>
            <w:vAlign w:val="center"/>
          </w:tcPr>
          <w:p w14:paraId="6BB09755" w14:textId="77777777" w:rsidR="002A383E" w:rsidRPr="00591BFC" w:rsidRDefault="002A383E" w:rsidP="00E86771">
            <w:pPr>
              <w:pStyle w:val="NoSpacing"/>
              <w:spacing w:line="360" w:lineRule="auto"/>
              <w:jc w:val="right"/>
            </w:pPr>
          </w:p>
        </w:tc>
      </w:tr>
      <w:tr w:rsidR="002A383E" w:rsidRPr="00591BFC" w14:paraId="0ED926E2" w14:textId="77777777" w:rsidTr="00FC3E10">
        <w:tc>
          <w:tcPr>
            <w:tcW w:w="6168" w:type="dxa"/>
            <w:shd w:val="clear" w:color="auto" w:fill="auto"/>
          </w:tcPr>
          <w:p w14:paraId="58493573" w14:textId="77777777" w:rsidR="002A383E" w:rsidRPr="00591BFC" w:rsidRDefault="002A383E" w:rsidP="00E86771">
            <w:pPr>
              <w:pStyle w:val="NoSpacing"/>
              <w:spacing w:line="360" w:lineRule="auto"/>
            </w:pPr>
            <w:r w:rsidRPr="00591BFC">
              <w:t xml:space="preserve">   Within index fracture admission</w:t>
            </w:r>
          </w:p>
        </w:tc>
        <w:tc>
          <w:tcPr>
            <w:tcW w:w="992" w:type="dxa"/>
            <w:shd w:val="clear" w:color="auto" w:fill="auto"/>
            <w:vAlign w:val="center"/>
          </w:tcPr>
          <w:p w14:paraId="0B9470B2" w14:textId="77777777" w:rsidR="002A383E" w:rsidRPr="00591BFC" w:rsidRDefault="002A383E" w:rsidP="00E86771">
            <w:pPr>
              <w:pStyle w:val="NoSpacing"/>
              <w:spacing w:line="360" w:lineRule="auto"/>
              <w:jc w:val="right"/>
            </w:pPr>
            <w:r w:rsidRPr="00591BFC">
              <w:t>247</w:t>
            </w:r>
          </w:p>
        </w:tc>
        <w:tc>
          <w:tcPr>
            <w:tcW w:w="992" w:type="dxa"/>
            <w:shd w:val="clear" w:color="auto" w:fill="auto"/>
            <w:vAlign w:val="center"/>
          </w:tcPr>
          <w:p w14:paraId="58B41010" w14:textId="77777777" w:rsidR="002A383E" w:rsidRPr="00591BFC" w:rsidRDefault="002A383E" w:rsidP="00E86771">
            <w:pPr>
              <w:pStyle w:val="NoSpacing"/>
              <w:spacing w:line="360" w:lineRule="auto"/>
              <w:jc w:val="right"/>
            </w:pPr>
            <w:r w:rsidRPr="00591BFC">
              <w:t>(0.7%)</w:t>
            </w:r>
          </w:p>
        </w:tc>
      </w:tr>
      <w:tr w:rsidR="002A383E" w:rsidRPr="00591BFC" w14:paraId="0BFB136E" w14:textId="77777777" w:rsidTr="00FC3E10">
        <w:tc>
          <w:tcPr>
            <w:tcW w:w="6168" w:type="dxa"/>
            <w:shd w:val="clear" w:color="auto" w:fill="auto"/>
          </w:tcPr>
          <w:p w14:paraId="3BB56340" w14:textId="77777777" w:rsidR="002A383E" w:rsidRPr="00591BFC" w:rsidRDefault="002A383E" w:rsidP="00E86771">
            <w:pPr>
              <w:pStyle w:val="NoSpacing"/>
              <w:spacing w:line="360" w:lineRule="auto"/>
            </w:pPr>
            <w:r w:rsidRPr="00591BFC">
              <w:t xml:space="preserve">   Within 1 year of fracture</w:t>
            </w:r>
            <w:r w:rsidRPr="00591BFC">
              <w:rPr>
                <w:vertAlign w:val="superscript"/>
              </w:rPr>
              <w:t>2</w:t>
            </w:r>
          </w:p>
        </w:tc>
        <w:tc>
          <w:tcPr>
            <w:tcW w:w="992" w:type="dxa"/>
            <w:shd w:val="clear" w:color="auto" w:fill="auto"/>
            <w:vAlign w:val="center"/>
          </w:tcPr>
          <w:p w14:paraId="38AD5C1A" w14:textId="77777777" w:rsidR="002A383E" w:rsidRPr="00591BFC" w:rsidRDefault="002A383E" w:rsidP="00E86771">
            <w:pPr>
              <w:pStyle w:val="NoSpacing"/>
              <w:spacing w:line="360" w:lineRule="auto"/>
              <w:jc w:val="right"/>
            </w:pPr>
            <w:r w:rsidRPr="00591BFC">
              <w:t>463</w:t>
            </w:r>
          </w:p>
        </w:tc>
        <w:tc>
          <w:tcPr>
            <w:tcW w:w="992" w:type="dxa"/>
            <w:shd w:val="clear" w:color="auto" w:fill="auto"/>
            <w:vAlign w:val="center"/>
          </w:tcPr>
          <w:p w14:paraId="6DB320B8" w14:textId="77777777" w:rsidR="002A383E" w:rsidRPr="00591BFC" w:rsidRDefault="002A383E" w:rsidP="00E86771">
            <w:pPr>
              <w:pStyle w:val="NoSpacing"/>
              <w:spacing w:line="360" w:lineRule="auto"/>
              <w:jc w:val="right"/>
            </w:pPr>
            <w:r w:rsidRPr="00591BFC">
              <w:t>(1.5%)</w:t>
            </w:r>
          </w:p>
        </w:tc>
      </w:tr>
      <w:tr w:rsidR="002A383E" w:rsidRPr="00591BFC" w14:paraId="179C19FC" w14:textId="77777777" w:rsidTr="00FC3E10">
        <w:tc>
          <w:tcPr>
            <w:tcW w:w="6168" w:type="dxa"/>
            <w:shd w:val="clear" w:color="auto" w:fill="auto"/>
            <w:hideMark/>
          </w:tcPr>
          <w:p w14:paraId="3A251BAF" w14:textId="77777777" w:rsidR="002A383E" w:rsidRPr="00591BFC" w:rsidRDefault="002A383E" w:rsidP="00E86771">
            <w:pPr>
              <w:pStyle w:val="NoSpacing"/>
              <w:spacing w:line="360" w:lineRule="auto"/>
            </w:pPr>
            <w:r w:rsidRPr="00591BFC">
              <w:t>Mortality, n (%)</w:t>
            </w:r>
          </w:p>
        </w:tc>
        <w:tc>
          <w:tcPr>
            <w:tcW w:w="992" w:type="dxa"/>
            <w:shd w:val="clear" w:color="auto" w:fill="auto"/>
            <w:vAlign w:val="center"/>
            <w:hideMark/>
          </w:tcPr>
          <w:p w14:paraId="3CA3CF4F" w14:textId="77777777" w:rsidR="002A383E" w:rsidRPr="00591BFC" w:rsidRDefault="002A383E" w:rsidP="00E86771">
            <w:pPr>
              <w:pStyle w:val="NoSpacing"/>
              <w:spacing w:line="360" w:lineRule="auto"/>
              <w:jc w:val="right"/>
            </w:pPr>
          </w:p>
        </w:tc>
        <w:tc>
          <w:tcPr>
            <w:tcW w:w="992" w:type="dxa"/>
            <w:shd w:val="clear" w:color="auto" w:fill="auto"/>
            <w:vAlign w:val="center"/>
            <w:hideMark/>
          </w:tcPr>
          <w:p w14:paraId="7354CF28" w14:textId="77777777" w:rsidR="002A383E" w:rsidRPr="00591BFC" w:rsidRDefault="002A383E" w:rsidP="00E86771">
            <w:pPr>
              <w:pStyle w:val="NoSpacing"/>
              <w:spacing w:line="360" w:lineRule="auto"/>
              <w:jc w:val="right"/>
            </w:pPr>
          </w:p>
        </w:tc>
      </w:tr>
      <w:tr w:rsidR="002A383E" w:rsidRPr="00591BFC" w14:paraId="45C97D9E" w14:textId="77777777" w:rsidTr="00FC3E10">
        <w:tc>
          <w:tcPr>
            <w:tcW w:w="6168" w:type="dxa"/>
            <w:shd w:val="clear" w:color="auto" w:fill="auto"/>
            <w:hideMark/>
          </w:tcPr>
          <w:p w14:paraId="5A9D941D" w14:textId="77777777" w:rsidR="002A383E" w:rsidRPr="00591BFC" w:rsidRDefault="002A383E" w:rsidP="00E86771">
            <w:pPr>
              <w:pStyle w:val="NoSpacing"/>
              <w:spacing w:line="360" w:lineRule="auto"/>
            </w:pPr>
            <w:r w:rsidRPr="00591BFC">
              <w:t xml:space="preserve">  Within 30 days</w:t>
            </w:r>
            <w:r w:rsidRPr="00591BFC">
              <w:rPr>
                <w:vertAlign w:val="superscript"/>
              </w:rPr>
              <w:t>4</w:t>
            </w:r>
            <w:r w:rsidRPr="00591BFC">
              <w:t xml:space="preserve"> </w:t>
            </w:r>
          </w:p>
        </w:tc>
        <w:tc>
          <w:tcPr>
            <w:tcW w:w="992" w:type="dxa"/>
            <w:shd w:val="clear" w:color="auto" w:fill="auto"/>
            <w:vAlign w:val="center"/>
          </w:tcPr>
          <w:p w14:paraId="6A4805E2" w14:textId="77777777" w:rsidR="002A383E" w:rsidRPr="00591BFC" w:rsidRDefault="002A383E" w:rsidP="00E86771">
            <w:pPr>
              <w:pStyle w:val="NoSpacing"/>
              <w:spacing w:line="360" w:lineRule="auto"/>
              <w:jc w:val="right"/>
            </w:pPr>
            <w:r w:rsidRPr="00591BFC">
              <w:t>3,101</w:t>
            </w:r>
          </w:p>
        </w:tc>
        <w:tc>
          <w:tcPr>
            <w:tcW w:w="992" w:type="dxa"/>
            <w:shd w:val="clear" w:color="auto" w:fill="auto"/>
            <w:vAlign w:val="center"/>
            <w:hideMark/>
          </w:tcPr>
          <w:p w14:paraId="681697C6" w14:textId="77777777" w:rsidR="002A383E" w:rsidRPr="00591BFC" w:rsidRDefault="002A383E" w:rsidP="00E86771">
            <w:pPr>
              <w:pStyle w:val="NoSpacing"/>
              <w:spacing w:line="360" w:lineRule="auto"/>
              <w:jc w:val="right"/>
            </w:pPr>
            <w:r w:rsidRPr="00591BFC">
              <w:t>(9.4%)</w:t>
            </w:r>
          </w:p>
        </w:tc>
      </w:tr>
      <w:tr w:rsidR="002A383E" w:rsidRPr="00591BFC" w14:paraId="0AAF7799" w14:textId="77777777" w:rsidTr="00FC3E10">
        <w:tc>
          <w:tcPr>
            <w:tcW w:w="6168" w:type="dxa"/>
            <w:shd w:val="clear" w:color="auto" w:fill="auto"/>
            <w:hideMark/>
          </w:tcPr>
          <w:p w14:paraId="5DE4E572" w14:textId="77777777" w:rsidR="002A383E" w:rsidRPr="00591BFC" w:rsidRDefault="002A383E" w:rsidP="00E86771">
            <w:pPr>
              <w:pStyle w:val="NoSpacing"/>
              <w:spacing w:line="360" w:lineRule="auto"/>
            </w:pPr>
            <w:r w:rsidRPr="00591BFC">
              <w:t xml:space="preserve">  Within 1 year</w:t>
            </w:r>
            <w:r w:rsidRPr="00591BFC">
              <w:rPr>
                <w:vertAlign w:val="superscript"/>
              </w:rPr>
              <w:t>2</w:t>
            </w:r>
            <w:r w:rsidRPr="00591BFC">
              <w:t xml:space="preserve"> </w:t>
            </w:r>
          </w:p>
        </w:tc>
        <w:tc>
          <w:tcPr>
            <w:tcW w:w="992" w:type="dxa"/>
            <w:shd w:val="clear" w:color="auto" w:fill="auto"/>
            <w:vAlign w:val="center"/>
          </w:tcPr>
          <w:p w14:paraId="31433875" w14:textId="77777777" w:rsidR="002A383E" w:rsidRPr="00591BFC" w:rsidRDefault="002A383E" w:rsidP="00E86771">
            <w:pPr>
              <w:pStyle w:val="NoSpacing"/>
              <w:spacing w:line="360" w:lineRule="auto"/>
              <w:jc w:val="right"/>
            </w:pPr>
            <w:r w:rsidRPr="00591BFC">
              <w:t>9,492</w:t>
            </w:r>
          </w:p>
        </w:tc>
        <w:tc>
          <w:tcPr>
            <w:tcW w:w="992" w:type="dxa"/>
            <w:shd w:val="clear" w:color="auto" w:fill="auto"/>
            <w:vAlign w:val="center"/>
            <w:hideMark/>
          </w:tcPr>
          <w:p w14:paraId="7AD9A582" w14:textId="77777777" w:rsidR="002A383E" w:rsidRPr="00591BFC" w:rsidRDefault="002A383E" w:rsidP="00E86771">
            <w:pPr>
              <w:pStyle w:val="NoSpacing"/>
              <w:spacing w:line="360" w:lineRule="auto"/>
              <w:jc w:val="right"/>
            </w:pPr>
            <w:r w:rsidRPr="00591BFC">
              <w:t>(31.2%)</w:t>
            </w:r>
          </w:p>
        </w:tc>
      </w:tr>
      <w:tr w:rsidR="002A383E" w:rsidRPr="00591BFC" w14:paraId="5E89708E" w14:textId="77777777" w:rsidTr="00FC3E10">
        <w:tc>
          <w:tcPr>
            <w:tcW w:w="6168" w:type="dxa"/>
            <w:shd w:val="clear" w:color="auto" w:fill="auto"/>
            <w:hideMark/>
          </w:tcPr>
          <w:p w14:paraId="088BD65E" w14:textId="77777777" w:rsidR="002A383E" w:rsidRPr="00591BFC" w:rsidRDefault="002A383E" w:rsidP="00E86771">
            <w:pPr>
              <w:pStyle w:val="NoSpacing"/>
              <w:spacing w:line="360" w:lineRule="auto"/>
            </w:pPr>
            <w:r w:rsidRPr="00591BFC">
              <w:t>Discharge destination following index fracture admission, n (%)</w:t>
            </w:r>
          </w:p>
        </w:tc>
        <w:tc>
          <w:tcPr>
            <w:tcW w:w="992" w:type="dxa"/>
            <w:shd w:val="clear" w:color="auto" w:fill="auto"/>
            <w:vAlign w:val="center"/>
            <w:hideMark/>
          </w:tcPr>
          <w:p w14:paraId="77AB86F2" w14:textId="77777777" w:rsidR="002A383E" w:rsidRPr="00591BFC" w:rsidRDefault="002A383E" w:rsidP="00E86771">
            <w:pPr>
              <w:pStyle w:val="NoSpacing"/>
              <w:spacing w:line="360" w:lineRule="auto"/>
              <w:jc w:val="right"/>
            </w:pPr>
            <w:r w:rsidRPr="00591BFC">
              <w:t> </w:t>
            </w:r>
          </w:p>
        </w:tc>
        <w:tc>
          <w:tcPr>
            <w:tcW w:w="992" w:type="dxa"/>
            <w:shd w:val="clear" w:color="auto" w:fill="auto"/>
            <w:vAlign w:val="center"/>
            <w:hideMark/>
          </w:tcPr>
          <w:p w14:paraId="0A64F7F7" w14:textId="77777777" w:rsidR="002A383E" w:rsidRPr="00591BFC" w:rsidRDefault="002A383E" w:rsidP="00E86771">
            <w:pPr>
              <w:pStyle w:val="NoSpacing"/>
              <w:spacing w:line="360" w:lineRule="auto"/>
              <w:jc w:val="right"/>
            </w:pPr>
            <w:r w:rsidRPr="00591BFC">
              <w:t> </w:t>
            </w:r>
          </w:p>
        </w:tc>
      </w:tr>
      <w:tr w:rsidR="002A383E" w:rsidRPr="00591BFC" w14:paraId="62CB5CD9" w14:textId="77777777" w:rsidTr="00FC3E10">
        <w:tc>
          <w:tcPr>
            <w:tcW w:w="6168" w:type="dxa"/>
            <w:shd w:val="clear" w:color="auto" w:fill="auto"/>
            <w:hideMark/>
          </w:tcPr>
          <w:p w14:paraId="59AFEFC5" w14:textId="77777777" w:rsidR="002A383E" w:rsidRPr="00591BFC" w:rsidRDefault="002A383E" w:rsidP="00E86771">
            <w:pPr>
              <w:pStyle w:val="NoSpacing"/>
              <w:spacing w:line="360" w:lineRule="auto"/>
            </w:pPr>
            <w:r w:rsidRPr="00591BFC">
              <w:t xml:space="preserve">  Own home</w:t>
            </w:r>
          </w:p>
        </w:tc>
        <w:tc>
          <w:tcPr>
            <w:tcW w:w="992" w:type="dxa"/>
            <w:shd w:val="clear" w:color="auto" w:fill="auto"/>
            <w:vAlign w:val="center"/>
          </w:tcPr>
          <w:p w14:paraId="4D8E3FE4" w14:textId="77777777" w:rsidR="002A383E" w:rsidRPr="00591BFC" w:rsidRDefault="002A383E" w:rsidP="00E86771">
            <w:pPr>
              <w:pStyle w:val="NoSpacing"/>
              <w:spacing w:line="360" w:lineRule="auto"/>
              <w:jc w:val="right"/>
            </w:pPr>
            <w:r w:rsidRPr="00591BFC">
              <w:t>16,126</w:t>
            </w:r>
          </w:p>
        </w:tc>
        <w:tc>
          <w:tcPr>
            <w:tcW w:w="992" w:type="dxa"/>
            <w:shd w:val="clear" w:color="auto" w:fill="auto"/>
            <w:vAlign w:val="center"/>
            <w:hideMark/>
          </w:tcPr>
          <w:p w14:paraId="6535FA2C" w14:textId="77777777" w:rsidR="002A383E" w:rsidRPr="00591BFC" w:rsidRDefault="002A383E" w:rsidP="00E86771">
            <w:pPr>
              <w:pStyle w:val="NoSpacing"/>
              <w:spacing w:line="360" w:lineRule="auto"/>
              <w:jc w:val="right"/>
            </w:pPr>
            <w:r w:rsidRPr="00591BFC">
              <w:t> (48.6%)</w:t>
            </w:r>
          </w:p>
        </w:tc>
      </w:tr>
      <w:tr w:rsidR="002A383E" w:rsidRPr="00591BFC" w14:paraId="62499034" w14:textId="77777777" w:rsidTr="00FC3E10">
        <w:tc>
          <w:tcPr>
            <w:tcW w:w="6168" w:type="dxa"/>
            <w:shd w:val="clear" w:color="auto" w:fill="auto"/>
            <w:hideMark/>
          </w:tcPr>
          <w:p w14:paraId="2EB5DC21" w14:textId="77777777" w:rsidR="002A383E" w:rsidRPr="00591BFC" w:rsidRDefault="002A383E" w:rsidP="00E86771">
            <w:pPr>
              <w:pStyle w:val="NoSpacing"/>
              <w:spacing w:line="360" w:lineRule="auto"/>
            </w:pPr>
            <w:r w:rsidRPr="00591BFC">
              <w:t xml:space="preserve">  Care home or temporary accommodation</w:t>
            </w:r>
          </w:p>
        </w:tc>
        <w:tc>
          <w:tcPr>
            <w:tcW w:w="992" w:type="dxa"/>
            <w:shd w:val="clear" w:color="auto" w:fill="auto"/>
            <w:vAlign w:val="center"/>
          </w:tcPr>
          <w:p w14:paraId="11CABC07" w14:textId="77777777" w:rsidR="002A383E" w:rsidRPr="00591BFC" w:rsidRDefault="002A383E" w:rsidP="00E86771">
            <w:pPr>
              <w:pStyle w:val="NoSpacing"/>
              <w:spacing w:line="360" w:lineRule="auto"/>
              <w:jc w:val="right"/>
            </w:pPr>
            <w:r w:rsidRPr="00591BFC">
              <w:t>5,957</w:t>
            </w:r>
          </w:p>
        </w:tc>
        <w:tc>
          <w:tcPr>
            <w:tcW w:w="992" w:type="dxa"/>
            <w:shd w:val="clear" w:color="auto" w:fill="auto"/>
            <w:vAlign w:val="center"/>
            <w:hideMark/>
          </w:tcPr>
          <w:p w14:paraId="299C0A72" w14:textId="77777777" w:rsidR="002A383E" w:rsidRPr="00591BFC" w:rsidRDefault="002A383E" w:rsidP="00E86771">
            <w:pPr>
              <w:pStyle w:val="NoSpacing"/>
              <w:spacing w:line="360" w:lineRule="auto"/>
              <w:jc w:val="right"/>
            </w:pPr>
            <w:r w:rsidRPr="00591BFC">
              <w:t> (18.0%)</w:t>
            </w:r>
          </w:p>
        </w:tc>
      </w:tr>
      <w:tr w:rsidR="002A383E" w:rsidRPr="00591BFC" w14:paraId="7BA944BF" w14:textId="77777777" w:rsidTr="00FC3E10">
        <w:tc>
          <w:tcPr>
            <w:tcW w:w="6168" w:type="dxa"/>
            <w:shd w:val="clear" w:color="auto" w:fill="auto"/>
            <w:hideMark/>
          </w:tcPr>
          <w:p w14:paraId="3B2DFE19" w14:textId="77777777" w:rsidR="002A383E" w:rsidRPr="00591BFC" w:rsidRDefault="002A383E" w:rsidP="00E86771">
            <w:pPr>
              <w:pStyle w:val="NoSpacing"/>
              <w:spacing w:line="360" w:lineRule="auto"/>
            </w:pPr>
            <w:r w:rsidRPr="00591BFC">
              <w:t xml:space="preserve">  NHS hospital</w:t>
            </w:r>
          </w:p>
        </w:tc>
        <w:tc>
          <w:tcPr>
            <w:tcW w:w="992" w:type="dxa"/>
            <w:shd w:val="clear" w:color="auto" w:fill="auto"/>
            <w:vAlign w:val="center"/>
          </w:tcPr>
          <w:p w14:paraId="6E79CB70" w14:textId="77777777" w:rsidR="002A383E" w:rsidRPr="00591BFC" w:rsidRDefault="002A383E" w:rsidP="00E86771">
            <w:pPr>
              <w:pStyle w:val="NoSpacing"/>
              <w:spacing w:line="360" w:lineRule="auto"/>
              <w:jc w:val="right"/>
            </w:pPr>
            <w:r w:rsidRPr="00591BFC">
              <w:t>7,453</w:t>
            </w:r>
          </w:p>
        </w:tc>
        <w:tc>
          <w:tcPr>
            <w:tcW w:w="992" w:type="dxa"/>
            <w:shd w:val="clear" w:color="auto" w:fill="auto"/>
            <w:vAlign w:val="center"/>
            <w:hideMark/>
          </w:tcPr>
          <w:p w14:paraId="517E7708" w14:textId="77777777" w:rsidR="002A383E" w:rsidRPr="00591BFC" w:rsidRDefault="002A383E" w:rsidP="00E86771">
            <w:pPr>
              <w:pStyle w:val="NoSpacing"/>
              <w:spacing w:line="360" w:lineRule="auto"/>
              <w:jc w:val="right"/>
            </w:pPr>
            <w:r w:rsidRPr="00591BFC">
              <w:t> (22.5%)</w:t>
            </w:r>
          </w:p>
        </w:tc>
      </w:tr>
      <w:tr w:rsidR="002A383E" w:rsidRPr="00591BFC" w14:paraId="4430E7CE" w14:textId="77777777" w:rsidTr="00FC3E10">
        <w:tc>
          <w:tcPr>
            <w:tcW w:w="6168" w:type="dxa"/>
            <w:shd w:val="clear" w:color="auto" w:fill="auto"/>
            <w:hideMark/>
          </w:tcPr>
          <w:p w14:paraId="27BF413C" w14:textId="77777777" w:rsidR="002A383E" w:rsidRPr="00591BFC" w:rsidRDefault="002A383E" w:rsidP="00E86771">
            <w:pPr>
              <w:pStyle w:val="NoSpacing"/>
              <w:spacing w:line="360" w:lineRule="auto"/>
            </w:pPr>
            <w:r w:rsidRPr="00591BFC">
              <w:t xml:space="preserve">  Unknown</w:t>
            </w:r>
          </w:p>
        </w:tc>
        <w:tc>
          <w:tcPr>
            <w:tcW w:w="992" w:type="dxa"/>
            <w:shd w:val="clear" w:color="auto" w:fill="auto"/>
            <w:vAlign w:val="center"/>
          </w:tcPr>
          <w:p w14:paraId="6F36595C" w14:textId="77777777" w:rsidR="002A383E" w:rsidRPr="00591BFC" w:rsidRDefault="002A383E" w:rsidP="00E86771">
            <w:pPr>
              <w:pStyle w:val="NoSpacing"/>
              <w:spacing w:line="360" w:lineRule="auto"/>
              <w:jc w:val="right"/>
            </w:pPr>
            <w:r w:rsidRPr="00591BFC">
              <w:t>371</w:t>
            </w:r>
          </w:p>
        </w:tc>
        <w:tc>
          <w:tcPr>
            <w:tcW w:w="992" w:type="dxa"/>
            <w:shd w:val="clear" w:color="auto" w:fill="auto"/>
            <w:vAlign w:val="center"/>
            <w:hideMark/>
          </w:tcPr>
          <w:p w14:paraId="130F11F7" w14:textId="77777777" w:rsidR="002A383E" w:rsidRPr="00591BFC" w:rsidRDefault="002A383E" w:rsidP="00E86771">
            <w:pPr>
              <w:pStyle w:val="NoSpacing"/>
              <w:spacing w:line="360" w:lineRule="auto"/>
              <w:jc w:val="right"/>
            </w:pPr>
            <w:r w:rsidRPr="00591BFC">
              <w:t> (1.1%)</w:t>
            </w:r>
          </w:p>
        </w:tc>
      </w:tr>
      <w:tr w:rsidR="002A383E" w:rsidRPr="00591BFC" w14:paraId="4F5852AE" w14:textId="77777777" w:rsidTr="00FC3E10">
        <w:tc>
          <w:tcPr>
            <w:tcW w:w="6168" w:type="dxa"/>
            <w:shd w:val="clear" w:color="auto" w:fill="auto"/>
            <w:hideMark/>
          </w:tcPr>
          <w:p w14:paraId="233990B8" w14:textId="77777777" w:rsidR="002A383E" w:rsidRPr="00591BFC" w:rsidRDefault="002A383E" w:rsidP="00E86771">
            <w:pPr>
              <w:pStyle w:val="NoSpacing"/>
              <w:spacing w:line="360" w:lineRule="auto"/>
            </w:pPr>
            <w:r w:rsidRPr="00591BFC">
              <w:t xml:space="preserve">  Dead</w:t>
            </w:r>
          </w:p>
        </w:tc>
        <w:tc>
          <w:tcPr>
            <w:tcW w:w="992" w:type="dxa"/>
            <w:shd w:val="clear" w:color="auto" w:fill="auto"/>
            <w:vAlign w:val="center"/>
          </w:tcPr>
          <w:p w14:paraId="7271B63C" w14:textId="77777777" w:rsidR="002A383E" w:rsidRPr="00591BFC" w:rsidRDefault="002A383E" w:rsidP="00E86771">
            <w:pPr>
              <w:pStyle w:val="NoSpacing"/>
              <w:spacing w:line="360" w:lineRule="auto"/>
              <w:jc w:val="right"/>
            </w:pPr>
            <w:r w:rsidRPr="00591BFC">
              <w:t>3,245</w:t>
            </w:r>
          </w:p>
        </w:tc>
        <w:tc>
          <w:tcPr>
            <w:tcW w:w="992" w:type="dxa"/>
            <w:shd w:val="clear" w:color="auto" w:fill="auto"/>
            <w:vAlign w:val="center"/>
            <w:hideMark/>
          </w:tcPr>
          <w:p w14:paraId="0F69225F" w14:textId="77777777" w:rsidR="002A383E" w:rsidRPr="00591BFC" w:rsidRDefault="002A383E" w:rsidP="00E86771">
            <w:pPr>
              <w:pStyle w:val="NoSpacing"/>
              <w:spacing w:line="360" w:lineRule="auto"/>
              <w:jc w:val="right"/>
            </w:pPr>
            <w:r w:rsidRPr="00591BFC">
              <w:t> (9.8%)</w:t>
            </w:r>
          </w:p>
        </w:tc>
      </w:tr>
      <w:tr w:rsidR="002A383E" w:rsidRPr="00591BFC" w14:paraId="642F180D" w14:textId="77777777" w:rsidTr="00FC3E10">
        <w:tc>
          <w:tcPr>
            <w:tcW w:w="6168" w:type="dxa"/>
            <w:shd w:val="clear" w:color="auto" w:fill="auto"/>
            <w:hideMark/>
          </w:tcPr>
          <w:p w14:paraId="0A68B195" w14:textId="77777777" w:rsidR="002A383E" w:rsidRPr="00591BFC" w:rsidRDefault="002A383E" w:rsidP="00E86771">
            <w:pPr>
              <w:pStyle w:val="NoSpacing"/>
              <w:spacing w:line="360" w:lineRule="auto"/>
            </w:pPr>
            <w:r w:rsidRPr="00591BFC">
              <w:t>Care home within 1 year of index fracture</w:t>
            </w:r>
            <w:r w:rsidRPr="00591BFC">
              <w:rPr>
                <w:vertAlign w:val="superscript"/>
              </w:rPr>
              <w:t>2</w:t>
            </w:r>
          </w:p>
        </w:tc>
        <w:tc>
          <w:tcPr>
            <w:tcW w:w="992" w:type="dxa"/>
            <w:shd w:val="clear" w:color="auto" w:fill="auto"/>
            <w:vAlign w:val="center"/>
          </w:tcPr>
          <w:p w14:paraId="6D7168D5" w14:textId="77777777" w:rsidR="002A383E" w:rsidRPr="00591BFC" w:rsidRDefault="002A383E" w:rsidP="00E86771">
            <w:pPr>
              <w:pStyle w:val="NoSpacing"/>
              <w:spacing w:line="360" w:lineRule="auto"/>
              <w:jc w:val="right"/>
            </w:pPr>
            <w:r w:rsidRPr="00591BFC">
              <w:t>7,409</w:t>
            </w:r>
          </w:p>
        </w:tc>
        <w:tc>
          <w:tcPr>
            <w:tcW w:w="992" w:type="dxa"/>
            <w:shd w:val="clear" w:color="auto" w:fill="auto"/>
            <w:vAlign w:val="center"/>
            <w:hideMark/>
          </w:tcPr>
          <w:p w14:paraId="32CFAD10" w14:textId="77777777" w:rsidR="002A383E" w:rsidRPr="00591BFC" w:rsidRDefault="002A383E" w:rsidP="00E86771">
            <w:pPr>
              <w:pStyle w:val="NoSpacing"/>
              <w:spacing w:line="360" w:lineRule="auto"/>
              <w:jc w:val="right"/>
            </w:pPr>
            <w:r w:rsidRPr="00591BFC">
              <w:t> (24.4%)</w:t>
            </w:r>
          </w:p>
        </w:tc>
      </w:tr>
      <w:tr w:rsidR="002A383E" w:rsidRPr="00591BFC" w14:paraId="390EC508" w14:textId="77777777" w:rsidTr="00FC3E10">
        <w:tc>
          <w:tcPr>
            <w:tcW w:w="6168" w:type="dxa"/>
            <w:shd w:val="clear" w:color="auto" w:fill="auto"/>
          </w:tcPr>
          <w:p w14:paraId="7DBA915F" w14:textId="77777777" w:rsidR="002A383E" w:rsidRPr="00591BFC" w:rsidRDefault="002A383E" w:rsidP="00E86771">
            <w:pPr>
              <w:spacing w:line="360" w:lineRule="auto"/>
            </w:pPr>
            <w:r w:rsidRPr="00591BFC">
              <w:t>Total Length of hospital stay within 1 year of fracture</w:t>
            </w:r>
            <w:r w:rsidRPr="00591BFC">
              <w:rPr>
                <w:vertAlign w:val="superscript"/>
              </w:rPr>
              <w:t>2</w:t>
            </w:r>
            <w:r w:rsidRPr="00591BFC">
              <w:t>, mean (SD)</w:t>
            </w:r>
          </w:p>
        </w:tc>
        <w:tc>
          <w:tcPr>
            <w:tcW w:w="992" w:type="dxa"/>
            <w:shd w:val="clear" w:color="auto" w:fill="auto"/>
            <w:vAlign w:val="center"/>
          </w:tcPr>
          <w:p w14:paraId="7967E3DE" w14:textId="77777777" w:rsidR="002A383E" w:rsidRPr="00591BFC" w:rsidRDefault="002A383E" w:rsidP="00E86771">
            <w:pPr>
              <w:spacing w:line="360" w:lineRule="auto"/>
              <w:jc w:val="right"/>
            </w:pPr>
          </w:p>
        </w:tc>
        <w:tc>
          <w:tcPr>
            <w:tcW w:w="992" w:type="dxa"/>
            <w:shd w:val="clear" w:color="auto" w:fill="auto"/>
            <w:vAlign w:val="center"/>
          </w:tcPr>
          <w:p w14:paraId="219DAD51" w14:textId="77777777" w:rsidR="002A383E" w:rsidRPr="00591BFC" w:rsidRDefault="002A383E" w:rsidP="00E86771">
            <w:pPr>
              <w:spacing w:line="360" w:lineRule="auto"/>
              <w:jc w:val="right"/>
            </w:pPr>
          </w:p>
        </w:tc>
      </w:tr>
      <w:tr w:rsidR="002A383E" w:rsidRPr="00591BFC" w14:paraId="03A51959" w14:textId="77777777" w:rsidTr="00FC3E10">
        <w:tc>
          <w:tcPr>
            <w:tcW w:w="6168" w:type="dxa"/>
            <w:shd w:val="clear" w:color="auto" w:fill="auto"/>
          </w:tcPr>
          <w:p w14:paraId="06A99E20" w14:textId="77777777" w:rsidR="002A383E" w:rsidRPr="00591BFC" w:rsidRDefault="002A383E" w:rsidP="00E86771">
            <w:pPr>
              <w:spacing w:line="360" w:lineRule="auto"/>
            </w:pPr>
            <w:r w:rsidRPr="00591BFC">
              <w:lastRenderedPageBreak/>
              <w:t xml:space="preserve">  Initial hospitalisation </w:t>
            </w:r>
          </w:p>
        </w:tc>
        <w:tc>
          <w:tcPr>
            <w:tcW w:w="992" w:type="dxa"/>
            <w:shd w:val="clear" w:color="auto" w:fill="auto"/>
            <w:vAlign w:val="center"/>
          </w:tcPr>
          <w:p w14:paraId="3423D96A" w14:textId="77777777" w:rsidR="002A383E" w:rsidRPr="00591BFC" w:rsidRDefault="002A383E" w:rsidP="00E86771">
            <w:pPr>
              <w:spacing w:line="360" w:lineRule="auto"/>
              <w:jc w:val="right"/>
            </w:pPr>
            <w:r w:rsidRPr="00591BFC">
              <w:t>20.5</w:t>
            </w:r>
          </w:p>
        </w:tc>
        <w:tc>
          <w:tcPr>
            <w:tcW w:w="992" w:type="dxa"/>
            <w:shd w:val="clear" w:color="auto" w:fill="auto"/>
            <w:vAlign w:val="center"/>
          </w:tcPr>
          <w:p w14:paraId="5E587C4A" w14:textId="77777777" w:rsidR="002A383E" w:rsidRPr="00591BFC" w:rsidRDefault="002A383E" w:rsidP="00E86771">
            <w:pPr>
              <w:spacing w:line="360" w:lineRule="auto"/>
              <w:jc w:val="right"/>
            </w:pPr>
            <w:r w:rsidRPr="00591BFC">
              <w:t>(20.0)</w:t>
            </w:r>
          </w:p>
        </w:tc>
      </w:tr>
      <w:tr w:rsidR="002A383E" w:rsidRPr="00591BFC" w14:paraId="2B594F90" w14:textId="77777777" w:rsidTr="00FC3E10">
        <w:tc>
          <w:tcPr>
            <w:tcW w:w="6168" w:type="dxa"/>
            <w:shd w:val="clear" w:color="auto" w:fill="auto"/>
          </w:tcPr>
          <w:p w14:paraId="6FCA2579" w14:textId="77777777" w:rsidR="002A383E" w:rsidRPr="00591BFC" w:rsidRDefault="002A383E" w:rsidP="00E86771">
            <w:pPr>
              <w:spacing w:line="360" w:lineRule="auto"/>
            </w:pPr>
            <w:r w:rsidRPr="00591BFC">
              <w:t xml:space="preserve">  Emergency hospitalisations after discharge</w:t>
            </w:r>
          </w:p>
        </w:tc>
        <w:tc>
          <w:tcPr>
            <w:tcW w:w="992" w:type="dxa"/>
            <w:shd w:val="clear" w:color="auto" w:fill="auto"/>
            <w:vAlign w:val="center"/>
          </w:tcPr>
          <w:p w14:paraId="390C915D" w14:textId="77777777" w:rsidR="002A383E" w:rsidRPr="00591BFC" w:rsidRDefault="002A383E" w:rsidP="00E86771">
            <w:pPr>
              <w:spacing w:line="360" w:lineRule="auto"/>
              <w:jc w:val="right"/>
            </w:pPr>
            <w:r w:rsidRPr="00591BFC">
              <w:t>6.9</w:t>
            </w:r>
          </w:p>
        </w:tc>
        <w:tc>
          <w:tcPr>
            <w:tcW w:w="992" w:type="dxa"/>
            <w:shd w:val="clear" w:color="auto" w:fill="auto"/>
            <w:vAlign w:val="center"/>
          </w:tcPr>
          <w:p w14:paraId="323160BF" w14:textId="77777777" w:rsidR="002A383E" w:rsidRPr="00591BFC" w:rsidRDefault="002A383E" w:rsidP="00E86771">
            <w:pPr>
              <w:spacing w:line="360" w:lineRule="auto"/>
              <w:jc w:val="right"/>
            </w:pPr>
            <w:r w:rsidRPr="00591BFC">
              <w:t>(19.0)</w:t>
            </w:r>
          </w:p>
        </w:tc>
      </w:tr>
      <w:tr w:rsidR="002A383E" w:rsidRPr="00591BFC" w14:paraId="545FF686" w14:textId="77777777" w:rsidTr="00FC3E10">
        <w:tc>
          <w:tcPr>
            <w:tcW w:w="6168" w:type="dxa"/>
            <w:shd w:val="clear" w:color="auto" w:fill="auto"/>
          </w:tcPr>
          <w:p w14:paraId="1C4E086D" w14:textId="77777777" w:rsidR="002A383E" w:rsidRPr="00591BFC" w:rsidRDefault="002A383E" w:rsidP="00E86771">
            <w:pPr>
              <w:spacing w:line="360" w:lineRule="auto"/>
            </w:pPr>
            <w:r w:rsidRPr="00591BFC">
              <w:t xml:space="preserve">  Non-emergency hospitalisations after discharge</w:t>
            </w:r>
          </w:p>
        </w:tc>
        <w:tc>
          <w:tcPr>
            <w:tcW w:w="992" w:type="dxa"/>
            <w:shd w:val="clear" w:color="auto" w:fill="auto"/>
            <w:vAlign w:val="center"/>
          </w:tcPr>
          <w:p w14:paraId="78A61184" w14:textId="77777777" w:rsidR="002A383E" w:rsidRPr="00591BFC" w:rsidRDefault="002A383E" w:rsidP="00E86771">
            <w:pPr>
              <w:spacing w:line="360" w:lineRule="auto"/>
              <w:jc w:val="right"/>
            </w:pPr>
            <w:r w:rsidRPr="00591BFC">
              <w:t>11.3</w:t>
            </w:r>
          </w:p>
        </w:tc>
        <w:tc>
          <w:tcPr>
            <w:tcW w:w="992" w:type="dxa"/>
            <w:shd w:val="clear" w:color="auto" w:fill="auto"/>
            <w:vAlign w:val="center"/>
          </w:tcPr>
          <w:p w14:paraId="15FADF94" w14:textId="77777777" w:rsidR="002A383E" w:rsidRPr="00591BFC" w:rsidRDefault="002A383E" w:rsidP="00E86771">
            <w:pPr>
              <w:spacing w:line="360" w:lineRule="auto"/>
              <w:jc w:val="right"/>
            </w:pPr>
            <w:r w:rsidRPr="00591BFC">
              <w:t>(28.6)</w:t>
            </w:r>
          </w:p>
        </w:tc>
      </w:tr>
      <w:tr w:rsidR="002A383E" w:rsidRPr="00591BFC" w14:paraId="5F7FE8E3" w14:textId="77777777" w:rsidTr="00FC3E10">
        <w:tc>
          <w:tcPr>
            <w:tcW w:w="6168" w:type="dxa"/>
            <w:shd w:val="clear" w:color="auto" w:fill="auto"/>
          </w:tcPr>
          <w:p w14:paraId="008150A5" w14:textId="77777777" w:rsidR="002A383E" w:rsidRPr="00591BFC" w:rsidRDefault="002A383E" w:rsidP="00E86771">
            <w:pPr>
              <w:spacing w:line="360" w:lineRule="auto"/>
            </w:pPr>
            <w:r w:rsidRPr="00591BFC">
              <w:t xml:space="preserve">  Total </w:t>
            </w:r>
          </w:p>
        </w:tc>
        <w:tc>
          <w:tcPr>
            <w:tcW w:w="992" w:type="dxa"/>
            <w:shd w:val="clear" w:color="auto" w:fill="auto"/>
            <w:vAlign w:val="center"/>
          </w:tcPr>
          <w:p w14:paraId="7BFF74DF" w14:textId="77777777" w:rsidR="002A383E" w:rsidRPr="00591BFC" w:rsidRDefault="002A383E" w:rsidP="00E86771">
            <w:pPr>
              <w:spacing w:line="360" w:lineRule="auto"/>
              <w:jc w:val="right"/>
            </w:pPr>
            <w:r w:rsidRPr="00591BFC">
              <w:t>38.6</w:t>
            </w:r>
          </w:p>
        </w:tc>
        <w:tc>
          <w:tcPr>
            <w:tcW w:w="992" w:type="dxa"/>
            <w:shd w:val="clear" w:color="auto" w:fill="auto"/>
            <w:vAlign w:val="center"/>
          </w:tcPr>
          <w:p w14:paraId="1233924A" w14:textId="77777777" w:rsidR="002A383E" w:rsidRPr="00591BFC" w:rsidRDefault="002A383E" w:rsidP="00E86771">
            <w:pPr>
              <w:spacing w:line="360" w:lineRule="auto"/>
              <w:jc w:val="right"/>
            </w:pPr>
            <w:r w:rsidRPr="00591BFC">
              <w:t>(41.2)</w:t>
            </w:r>
          </w:p>
        </w:tc>
      </w:tr>
      <w:tr w:rsidR="002A383E" w:rsidRPr="00591BFC" w14:paraId="77C8350F" w14:textId="77777777" w:rsidTr="00FC3E10">
        <w:tc>
          <w:tcPr>
            <w:tcW w:w="6168" w:type="dxa"/>
            <w:shd w:val="clear" w:color="auto" w:fill="auto"/>
          </w:tcPr>
          <w:p w14:paraId="49163BA8" w14:textId="77777777" w:rsidR="002A383E" w:rsidRPr="00591BFC" w:rsidRDefault="002A383E" w:rsidP="00E86771">
            <w:pPr>
              <w:spacing w:line="360" w:lineRule="auto"/>
            </w:pPr>
            <w:r w:rsidRPr="00591BFC">
              <w:t>Hospital inpatient re-admissions within 1 year of fracture</w:t>
            </w:r>
            <w:r w:rsidRPr="00591BFC">
              <w:rPr>
                <w:vertAlign w:val="superscript"/>
              </w:rPr>
              <w:t>2</w:t>
            </w:r>
          </w:p>
        </w:tc>
        <w:tc>
          <w:tcPr>
            <w:tcW w:w="992" w:type="dxa"/>
            <w:shd w:val="clear" w:color="auto" w:fill="auto"/>
            <w:vAlign w:val="center"/>
          </w:tcPr>
          <w:p w14:paraId="74FB8B26" w14:textId="77777777" w:rsidR="002A383E" w:rsidRPr="00591BFC" w:rsidRDefault="002A383E" w:rsidP="00E86771">
            <w:pPr>
              <w:spacing w:line="360" w:lineRule="auto"/>
              <w:jc w:val="right"/>
            </w:pPr>
          </w:p>
        </w:tc>
        <w:tc>
          <w:tcPr>
            <w:tcW w:w="992" w:type="dxa"/>
            <w:shd w:val="clear" w:color="auto" w:fill="auto"/>
            <w:vAlign w:val="center"/>
          </w:tcPr>
          <w:p w14:paraId="711618F4" w14:textId="77777777" w:rsidR="002A383E" w:rsidRPr="00591BFC" w:rsidRDefault="002A383E" w:rsidP="00E86771">
            <w:pPr>
              <w:spacing w:line="360" w:lineRule="auto"/>
              <w:jc w:val="right"/>
            </w:pPr>
          </w:p>
        </w:tc>
      </w:tr>
      <w:tr w:rsidR="002A383E" w:rsidRPr="00591BFC" w14:paraId="62DB4FB8" w14:textId="77777777" w:rsidTr="00FC3E10">
        <w:tc>
          <w:tcPr>
            <w:tcW w:w="6168" w:type="dxa"/>
            <w:shd w:val="clear" w:color="auto" w:fill="auto"/>
          </w:tcPr>
          <w:p w14:paraId="56A87A5B" w14:textId="77777777" w:rsidR="002A383E" w:rsidRPr="00591BFC" w:rsidRDefault="002A383E" w:rsidP="00E86771">
            <w:pPr>
              <w:spacing w:line="360" w:lineRule="auto"/>
            </w:pPr>
            <w:r w:rsidRPr="00591BFC">
              <w:t xml:space="preserve">  Emergency, mean (SD)</w:t>
            </w:r>
          </w:p>
        </w:tc>
        <w:tc>
          <w:tcPr>
            <w:tcW w:w="992" w:type="dxa"/>
            <w:shd w:val="clear" w:color="auto" w:fill="auto"/>
            <w:vAlign w:val="center"/>
          </w:tcPr>
          <w:p w14:paraId="186AE348" w14:textId="77777777" w:rsidR="002A383E" w:rsidRPr="00591BFC" w:rsidRDefault="002A383E" w:rsidP="00E86771">
            <w:pPr>
              <w:spacing w:line="360" w:lineRule="auto"/>
              <w:jc w:val="right"/>
            </w:pPr>
            <w:r w:rsidRPr="00591BFC">
              <w:t>0.5</w:t>
            </w:r>
          </w:p>
        </w:tc>
        <w:tc>
          <w:tcPr>
            <w:tcW w:w="992" w:type="dxa"/>
            <w:shd w:val="clear" w:color="auto" w:fill="auto"/>
            <w:vAlign w:val="center"/>
          </w:tcPr>
          <w:p w14:paraId="579DFC0C" w14:textId="77777777" w:rsidR="002A383E" w:rsidRPr="00591BFC" w:rsidRDefault="002A383E" w:rsidP="00E86771">
            <w:pPr>
              <w:spacing w:line="360" w:lineRule="auto"/>
              <w:jc w:val="right"/>
            </w:pPr>
            <w:r w:rsidRPr="00591BFC">
              <w:t>(0.9)</w:t>
            </w:r>
          </w:p>
        </w:tc>
      </w:tr>
      <w:tr w:rsidR="002A383E" w:rsidRPr="00591BFC" w14:paraId="61E646DE" w14:textId="77777777" w:rsidTr="00FC3E10">
        <w:tc>
          <w:tcPr>
            <w:tcW w:w="6168" w:type="dxa"/>
            <w:shd w:val="clear" w:color="auto" w:fill="auto"/>
          </w:tcPr>
          <w:p w14:paraId="128E2D3F" w14:textId="77777777" w:rsidR="002A383E" w:rsidRPr="00591BFC" w:rsidRDefault="002A383E" w:rsidP="00E86771">
            <w:pPr>
              <w:spacing w:line="360" w:lineRule="auto"/>
            </w:pPr>
            <w:r w:rsidRPr="00591BFC">
              <w:t xml:space="preserve">  Non-emergency, mean (SD)</w:t>
            </w:r>
          </w:p>
        </w:tc>
        <w:tc>
          <w:tcPr>
            <w:tcW w:w="992" w:type="dxa"/>
            <w:shd w:val="clear" w:color="auto" w:fill="auto"/>
            <w:vAlign w:val="center"/>
          </w:tcPr>
          <w:p w14:paraId="736A96D6" w14:textId="77777777" w:rsidR="002A383E" w:rsidRPr="00591BFC" w:rsidRDefault="002A383E" w:rsidP="00E86771">
            <w:pPr>
              <w:spacing w:line="360" w:lineRule="auto"/>
              <w:jc w:val="right"/>
            </w:pPr>
            <w:r w:rsidRPr="00591BFC">
              <w:t>0.4</w:t>
            </w:r>
          </w:p>
        </w:tc>
        <w:tc>
          <w:tcPr>
            <w:tcW w:w="992" w:type="dxa"/>
            <w:shd w:val="clear" w:color="auto" w:fill="auto"/>
            <w:vAlign w:val="center"/>
          </w:tcPr>
          <w:p w14:paraId="5B297E7C" w14:textId="77777777" w:rsidR="002A383E" w:rsidRPr="00591BFC" w:rsidRDefault="002A383E" w:rsidP="00E86771">
            <w:pPr>
              <w:spacing w:line="360" w:lineRule="auto"/>
              <w:jc w:val="right"/>
            </w:pPr>
            <w:r w:rsidRPr="00591BFC">
              <w:t>(0.9)</w:t>
            </w:r>
          </w:p>
        </w:tc>
      </w:tr>
      <w:tr w:rsidR="002A383E" w:rsidRPr="00591BFC" w14:paraId="3936B995" w14:textId="77777777" w:rsidTr="00FC3E10">
        <w:tc>
          <w:tcPr>
            <w:tcW w:w="6168" w:type="dxa"/>
            <w:shd w:val="clear" w:color="auto" w:fill="auto"/>
          </w:tcPr>
          <w:p w14:paraId="5A399B19" w14:textId="77777777" w:rsidR="002A383E" w:rsidRPr="00591BFC" w:rsidRDefault="002A383E" w:rsidP="00E86771">
            <w:pPr>
              <w:spacing w:line="360" w:lineRule="auto"/>
            </w:pPr>
            <w:r w:rsidRPr="00591BFC">
              <w:t xml:space="preserve">  Total, mean (SD)</w:t>
            </w:r>
          </w:p>
        </w:tc>
        <w:tc>
          <w:tcPr>
            <w:tcW w:w="992" w:type="dxa"/>
            <w:shd w:val="clear" w:color="auto" w:fill="auto"/>
            <w:vAlign w:val="center"/>
          </w:tcPr>
          <w:p w14:paraId="6EFFEFDC" w14:textId="77777777" w:rsidR="002A383E" w:rsidRPr="00591BFC" w:rsidRDefault="002A383E" w:rsidP="00E86771">
            <w:pPr>
              <w:spacing w:line="360" w:lineRule="auto"/>
              <w:jc w:val="right"/>
            </w:pPr>
            <w:r w:rsidRPr="00591BFC">
              <w:t>0.9</w:t>
            </w:r>
          </w:p>
        </w:tc>
        <w:tc>
          <w:tcPr>
            <w:tcW w:w="992" w:type="dxa"/>
            <w:shd w:val="clear" w:color="auto" w:fill="auto"/>
            <w:vAlign w:val="center"/>
          </w:tcPr>
          <w:p w14:paraId="6BA1CCB2" w14:textId="77777777" w:rsidR="002A383E" w:rsidRPr="00591BFC" w:rsidRDefault="002A383E" w:rsidP="00E86771">
            <w:pPr>
              <w:spacing w:line="360" w:lineRule="auto"/>
              <w:jc w:val="right"/>
            </w:pPr>
            <w:r w:rsidRPr="00591BFC">
              <w:t>(1.4)</w:t>
            </w:r>
          </w:p>
        </w:tc>
      </w:tr>
      <w:tr w:rsidR="002A383E" w:rsidRPr="00591BFC" w14:paraId="76C04EDD" w14:textId="77777777" w:rsidTr="00FC3E10">
        <w:tc>
          <w:tcPr>
            <w:tcW w:w="6168" w:type="dxa"/>
            <w:shd w:val="clear" w:color="auto" w:fill="auto"/>
          </w:tcPr>
          <w:p w14:paraId="037A58C8" w14:textId="77777777" w:rsidR="002A383E" w:rsidRPr="00591BFC" w:rsidRDefault="002A383E" w:rsidP="00E86771">
            <w:pPr>
              <w:pStyle w:val="NoSpacing"/>
              <w:spacing w:line="360" w:lineRule="auto"/>
            </w:pPr>
            <w:r w:rsidRPr="00591BFC">
              <w:t>Initial hospitalisation costs (index admission to discharge)</w:t>
            </w:r>
          </w:p>
        </w:tc>
        <w:tc>
          <w:tcPr>
            <w:tcW w:w="992" w:type="dxa"/>
            <w:shd w:val="clear" w:color="auto" w:fill="auto"/>
            <w:vAlign w:val="center"/>
          </w:tcPr>
          <w:p w14:paraId="07ACA75C" w14:textId="77777777" w:rsidR="002A383E" w:rsidRPr="00591BFC" w:rsidRDefault="002A383E" w:rsidP="00E86771">
            <w:pPr>
              <w:pStyle w:val="NoSpacing"/>
              <w:spacing w:line="360" w:lineRule="auto"/>
              <w:jc w:val="right"/>
            </w:pPr>
          </w:p>
        </w:tc>
        <w:tc>
          <w:tcPr>
            <w:tcW w:w="992" w:type="dxa"/>
            <w:shd w:val="clear" w:color="auto" w:fill="auto"/>
            <w:vAlign w:val="center"/>
          </w:tcPr>
          <w:p w14:paraId="059D1877" w14:textId="77777777" w:rsidR="002A383E" w:rsidRPr="00591BFC" w:rsidRDefault="002A383E" w:rsidP="00E86771">
            <w:pPr>
              <w:pStyle w:val="NoSpacing"/>
              <w:spacing w:line="360" w:lineRule="auto"/>
              <w:jc w:val="right"/>
            </w:pPr>
          </w:p>
        </w:tc>
      </w:tr>
      <w:tr w:rsidR="002A383E" w:rsidRPr="00591BFC" w14:paraId="2977601A" w14:textId="77777777" w:rsidTr="00FC3E10">
        <w:tc>
          <w:tcPr>
            <w:tcW w:w="6168" w:type="dxa"/>
            <w:shd w:val="clear" w:color="auto" w:fill="auto"/>
          </w:tcPr>
          <w:p w14:paraId="4A9E78FC" w14:textId="77777777" w:rsidR="002A383E" w:rsidRPr="00591BFC" w:rsidRDefault="002A383E" w:rsidP="00E86771">
            <w:pPr>
              <w:pStyle w:val="NoSpacing"/>
              <w:spacing w:line="360" w:lineRule="auto"/>
            </w:pPr>
            <w:r w:rsidRPr="00591BFC">
              <w:t xml:space="preserve">  Primary hip fracture, mean (SD)</w:t>
            </w:r>
          </w:p>
        </w:tc>
        <w:tc>
          <w:tcPr>
            <w:tcW w:w="992" w:type="dxa"/>
            <w:shd w:val="clear" w:color="auto" w:fill="auto"/>
            <w:vAlign w:val="center"/>
          </w:tcPr>
          <w:p w14:paraId="3C942966" w14:textId="77777777" w:rsidR="002A383E" w:rsidRPr="00591BFC" w:rsidRDefault="002A383E" w:rsidP="00E86771">
            <w:pPr>
              <w:pStyle w:val="NoSpacing"/>
              <w:spacing w:line="360" w:lineRule="auto"/>
              <w:jc w:val="right"/>
            </w:pPr>
            <w:r w:rsidRPr="00591BFC">
              <w:t>£8,663</w:t>
            </w:r>
          </w:p>
        </w:tc>
        <w:tc>
          <w:tcPr>
            <w:tcW w:w="992" w:type="dxa"/>
            <w:shd w:val="clear" w:color="auto" w:fill="auto"/>
            <w:vAlign w:val="center"/>
          </w:tcPr>
          <w:p w14:paraId="1B04FD55" w14:textId="77777777" w:rsidR="002A383E" w:rsidRPr="00591BFC" w:rsidRDefault="002A383E" w:rsidP="00E86771">
            <w:pPr>
              <w:pStyle w:val="NoSpacing"/>
              <w:spacing w:line="360" w:lineRule="auto"/>
              <w:jc w:val="right"/>
            </w:pPr>
            <w:r w:rsidRPr="00591BFC">
              <w:t>(4605)</w:t>
            </w:r>
          </w:p>
        </w:tc>
      </w:tr>
      <w:tr w:rsidR="002A383E" w:rsidRPr="00591BFC" w14:paraId="35239634" w14:textId="77777777" w:rsidTr="00FC3E10">
        <w:tc>
          <w:tcPr>
            <w:tcW w:w="6168" w:type="dxa"/>
            <w:shd w:val="clear" w:color="auto" w:fill="auto"/>
          </w:tcPr>
          <w:p w14:paraId="63AE7E17" w14:textId="77777777" w:rsidR="002A383E" w:rsidRPr="00591BFC" w:rsidRDefault="002A383E" w:rsidP="00E86771">
            <w:pPr>
              <w:pStyle w:val="NoSpacing"/>
              <w:spacing w:line="360" w:lineRule="auto"/>
            </w:pPr>
            <w:r w:rsidRPr="00591BFC">
              <w:t xml:space="preserve">  Second hip fracture, mean (SD)</w:t>
            </w:r>
          </w:p>
        </w:tc>
        <w:tc>
          <w:tcPr>
            <w:tcW w:w="992" w:type="dxa"/>
            <w:shd w:val="clear" w:color="auto" w:fill="auto"/>
            <w:vAlign w:val="center"/>
          </w:tcPr>
          <w:p w14:paraId="38281E7C" w14:textId="77777777" w:rsidR="002A383E" w:rsidRPr="00591BFC" w:rsidRDefault="002A383E" w:rsidP="00E86771">
            <w:pPr>
              <w:pStyle w:val="NoSpacing"/>
              <w:spacing w:line="360" w:lineRule="auto"/>
              <w:jc w:val="right"/>
            </w:pPr>
            <w:r w:rsidRPr="00591BFC">
              <w:t>£8,544</w:t>
            </w:r>
          </w:p>
        </w:tc>
        <w:tc>
          <w:tcPr>
            <w:tcW w:w="992" w:type="dxa"/>
            <w:shd w:val="clear" w:color="auto" w:fill="auto"/>
            <w:vAlign w:val="center"/>
          </w:tcPr>
          <w:p w14:paraId="762644A0" w14:textId="77777777" w:rsidR="002A383E" w:rsidRPr="00591BFC" w:rsidRDefault="002A383E" w:rsidP="00E86771">
            <w:pPr>
              <w:pStyle w:val="NoSpacing"/>
              <w:spacing w:line="360" w:lineRule="auto"/>
              <w:jc w:val="right"/>
            </w:pPr>
            <w:r w:rsidRPr="00591BFC">
              <w:t>(4178)</w:t>
            </w:r>
          </w:p>
        </w:tc>
      </w:tr>
      <w:tr w:rsidR="002A383E" w:rsidRPr="00591BFC" w14:paraId="5F16D8A9" w14:textId="77777777" w:rsidTr="00FC3E10">
        <w:tc>
          <w:tcPr>
            <w:tcW w:w="6168" w:type="dxa"/>
            <w:shd w:val="clear" w:color="auto" w:fill="auto"/>
          </w:tcPr>
          <w:p w14:paraId="314607E8" w14:textId="77777777" w:rsidR="002A383E" w:rsidRPr="00591BFC" w:rsidRDefault="002A383E" w:rsidP="00E86771">
            <w:pPr>
              <w:pStyle w:val="NoSpacing"/>
              <w:spacing w:line="360" w:lineRule="auto"/>
            </w:pPr>
            <w:r w:rsidRPr="00591BFC">
              <w:t>Hospitalisation costs within 1 year of fracture</w:t>
            </w:r>
            <w:r w:rsidRPr="00591BFC">
              <w:rPr>
                <w:vertAlign w:val="superscript"/>
              </w:rPr>
              <w:t>2</w:t>
            </w:r>
          </w:p>
        </w:tc>
        <w:tc>
          <w:tcPr>
            <w:tcW w:w="992" w:type="dxa"/>
            <w:shd w:val="clear" w:color="auto" w:fill="auto"/>
            <w:vAlign w:val="center"/>
          </w:tcPr>
          <w:p w14:paraId="66AA1FE7" w14:textId="77777777" w:rsidR="002A383E" w:rsidRPr="00591BFC" w:rsidRDefault="002A383E" w:rsidP="00E86771">
            <w:pPr>
              <w:pStyle w:val="NoSpacing"/>
              <w:spacing w:line="360" w:lineRule="auto"/>
              <w:jc w:val="right"/>
            </w:pPr>
          </w:p>
        </w:tc>
        <w:tc>
          <w:tcPr>
            <w:tcW w:w="992" w:type="dxa"/>
            <w:shd w:val="clear" w:color="auto" w:fill="auto"/>
            <w:vAlign w:val="center"/>
          </w:tcPr>
          <w:p w14:paraId="2796CBD8" w14:textId="77777777" w:rsidR="002A383E" w:rsidRPr="00591BFC" w:rsidRDefault="002A383E" w:rsidP="00E86771">
            <w:pPr>
              <w:pStyle w:val="NoSpacing"/>
              <w:spacing w:line="360" w:lineRule="auto"/>
              <w:jc w:val="right"/>
            </w:pPr>
          </w:p>
        </w:tc>
      </w:tr>
      <w:tr w:rsidR="002A383E" w:rsidRPr="00591BFC" w14:paraId="61FCE946" w14:textId="77777777" w:rsidTr="00FC3E10">
        <w:tc>
          <w:tcPr>
            <w:tcW w:w="6168" w:type="dxa"/>
            <w:shd w:val="clear" w:color="auto" w:fill="auto"/>
          </w:tcPr>
          <w:p w14:paraId="0A82B845" w14:textId="77777777" w:rsidR="002A383E" w:rsidRPr="00591BFC" w:rsidRDefault="002A383E" w:rsidP="00E86771">
            <w:pPr>
              <w:pStyle w:val="NoSpacing"/>
              <w:spacing w:line="360" w:lineRule="auto"/>
            </w:pPr>
            <w:r w:rsidRPr="00591BFC">
              <w:t xml:space="preserve">  Emergency-related costs, mean (SD)</w:t>
            </w:r>
          </w:p>
        </w:tc>
        <w:tc>
          <w:tcPr>
            <w:tcW w:w="992" w:type="dxa"/>
            <w:shd w:val="clear" w:color="auto" w:fill="auto"/>
            <w:vAlign w:val="center"/>
          </w:tcPr>
          <w:p w14:paraId="53E3DF9E" w14:textId="77777777" w:rsidR="002A383E" w:rsidRPr="00591BFC" w:rsidRDefault="002A383E" w:rsidP="00E86771">
            <w:pPr>
              <w:pStyle w:val="NoSpacing"/>
              <w:spacing w:line="360" w:lineRule="auto"/>
              <w:jc w:val="right"/>
            </w:pPr>
            <w:r w:rsidRPr="00591BFC">
              <w:t>£10,854</w:t>
            </w:r>
          </w:p>
        </w:tc>
        <w:tc>
          <w:tcPr>
            <w:tcW w:w="992" w:type="dxa"/>
            <w:shd w:val="clear" w:color="auto" w:fill="auto"/>
            <w:vAlign w:val="center"/>
          </w:tcPr>
          <w:p w14:paraId="6806A536" w14:textId="77777777" w:rsidR="002A383E" w:rsidRPr="00591BFC" w:rsidRDefault="002A383E" w:rsidP="00E86771">
            <w:pPr>
              <w:pStyle w:val="NoSpacing"/>
              <w:spacing w:line="360" w:lineRule="auto"/>
              <w:jc w:val="right"/>
            </w:pPr>
            <w:r w:rsidRPr="00591BFC">
              <w:t>(7268)</w:t>
            </w:r>
          </w:p>
        </w:tc>
      </w:tr>
      <w:tr w:rsidR="002A383E" w:rsidRPr="00591BFC" w14:paraId="3B32D1CC" w14:textId="77777777" w:rsidTr="00FC3E10">
        <w:tc>
          <w:tcPr>
            <w:tcW w:w="6168" w:type="dxa"/>
            <w:shd w:val="clear" w:color="auto" w:fill="auto"/>
          </w:tcPr>
          <w:p w14:paraId="3E8E0868" w14:textId="77777777" w:rsidR="002A383E" w:rsidRPr="00591BFC" w:rsidRDefault="002A383E" w:rsidP="00E86771">
            <w:pPr>
              <w:pStyle w:val="NoSpacing"/>
              <w:spacing w:line="360" w:lineRule="auto"/>
            </w:pPr>
            <w:r w:rsidRPr="00591BFC">
              <w:t xml:space="preserve">  Non-emergency-related costs , mean (SD)</w:t>
            </w:r>
          </w:p>
        </w:tc>
        <w:tc>
          <w:tcPr>
            <w:tcW w:w="992" w:type="dxa"/>
            <w:shd w:val="clear" w:color="auto" w:fill="auto"/>
            <w:vAlign w:val="center"/>
          </w:tcPr>
          <w:p w14:paraId="69E55FC9" w14:textId="77777777" w:rsidR="002A383E" w:rsidRPr="00591BFC" w:rsidRDefault="002A383E" w:rsidP="00E86771">
            <w:pPr>
              <w:pStyle w:val="NoSpacing"/>
              <w:spacing w:line="360" w:lineRule="auto"/>
              <w:jc w:val="right"/>
            </w:pPr>
            <w:r w:rsidRPr="00591BFC">
              <w:t>£2,972</w:t>
            </w:r>
          </w:p>
        </w:tc>
        <w:tc>
          <w:tcPr>
            <w:tcW w:w="992" w:type="dxa"/>
            <w:shd w:val="clear" w:color="auto" w:fill="auto"/>
            <w:vAlign w:val="center"/>
          </w:tcPr>
          <w:p w14:paraId="1F989257" w14:textId="77777777" w:rsidR="002A383E" w:rsidRPr="00591BFC" w:rsidRDefault="002A383E" w:rsidP="00E86771">
            <w:pPr>
              <w:pStyle w:val="NoSpacing"/>
              <w:spacing w:line="360" w:lineRule="auto"/>
              <w:jc w:val="right"/>
            </w:pPr>
            <w:r w:rsidRPr="00591BFC">
              <w:t>(7896)</w:t>
            </w:r>
          </w:p>
        </w:tc>
      </w:tr>
      <w:tr w:rsidR="002A383E" w:rsidRPr="00591BFC" w14:paraId="7BDA979B" w14:textId="77777777" w:rsidTr="00FC3E10">
        <w:tc>
          <w:tcPr>
            <w:tcW w:w="6168" w:type="dxa"/>
            <w:shd w:val="clear" w:color="auto" w:fill="auto"/>
          </w:tcPr>
          <w:p w14:paraId="27A74FCF" w14:textId="77777777" w:rsidR="002A383E" w:rsidRPr="00591BFC" w:rsidRDefault="002A383E" w:rsidP="00E86771">
            <w:pPr>
              <w:pStyle w:val="NoSpacing"/>
              <w:spacing w:line="360" w:lineRule="auto"/>
            </w:pPr>
            <w:r w:rsidRPr="00591BFC">
              <w:t xml:space="preserve">  Total, mean (SD)</w:t>
            </w:r>
          </w:p>
        </w:tc>
        <w:tc>
          <w:tcPr>
            <w:tcW w:w="992" w:type="dxa"/>
            <w:shd w:val="clear" w:color="auto" w:fill="auto"/>
            <w:vAlign w:val="center"/>
          </w:tcPr>
          <w:p w14:paraId="58AD83BA" w14:textId="77777777" w:rsidR="002A383E" w:rsidRPr="00591BFC" w:rsidRDefault="002A383E" w:rsidP="00E86771">
            <w:pPr>
              <w:pStyle w:val="NoSpacing"/>
              <w:spacing w:line="360" w:lineRule="auto"/>
              <w:jc w:val="right"/>
            </w:pPr>
            <w:r w:rsidRPr="00591BFC">
              <w:t>£13,826</w:t>
            </w:r>
          </w:p>
        </w:tc>
        <w:tc>
          <w:tcPr>
            <w:tcW w:w="992" w:type="dxa"/>
            <w:shd w:val="clear" w:color="auto" w:fill="auto"/>
            <w:vAlign w:val="center"/>
          </w:tcPr>
          <w:p w14:paraId="13A35402" w14:textId="77777777" w:rsidR="002A383E" w:rsidRPr="00591BFC" w:rsidRDefault="002A383E" w:rsidP="00E86771">
            <w:pPr>
              <w:pStyle w:val="NoSpacing"/>
              <w:spacing w:line="360" w:lineRule="auto"/>
              <w:jc w:val="right"/>
            </w:pPr>
            <w:r w:rsidRPr="00591BFC">
              <w:t>11016</w:t>
            </w:r>
          </w:p>
        </w:tc>
      </w:tr>
      <w:tr w:rsidR="002A383E" w:rsidRPr="00591BFC" w14:paraId="4C6B779C" w14:textId="77777777" w:rsidTr="00FC3E10">
        <w:tc>
          <w:tcPr>
            <w:tcW w:w="6168" w:type="dxa"/>
            <w:shd w:val="clear" w:color="auto" w:fill="auto"/>
          </w:tcPr>
          <w:p w14:paraId="0BF70F12" w14:textId="77777777" w:rsidR="002A383E" w:rsidRPr="00591BFC" w:rsidRDefault="002A383E" w:rsidP="00E86771">
            <w:pPr>
              <w:pStyle w:val="NoSpacing"/>
              <w:spacing w:line="360" w:lineRule="auto"/>
            </w:pPr>
            <w:r w:rsidRPr="00591BFC">
              <w:t>Hip fracture related hospitalisation costs within 1 year of admission</w:t>
            </w:r>
            <w:r w:rsidRPr="00591BFC">
              <w:rPr>
                <w:vertAlign w:val="superscript"/>
              </w:rPr>
              <w:t>2</w:t>
            </w:r>
            <w:r w:rsidRPr="00591BFC">
              <w:t>, mean (SD)</w:t>
            </w:r>
          </w:p>
        </w:tc>
        <w:tc>
          <w:tcPr>
            <w:tcW w:w="992" w:type="dxa"/>
            <w:shd w:val="clear" w:color="auto" w:fill="auto"/>
            <w:vAlign w:val="center"/>
          </w:tcPr>
          <w:p w14:paraId="2009DF76" w14:textId="77777777" w:rsidR="002A383E" w:rsidRPr="00591BFC" w:rsidRDefault="002A383E" w:rsidP="00E86771">
            <w:pPr>
              <w:pStyle w:val="NoSpacing"/>
              <w:spacing w:line="360" w:lineRule="auto"/>
              <w:jc w:val="right"/>
            </w:pPr>
            <w:r w:rsidRPr="00591BFC">
              <w:t>£10,375</w:t>
            </w:r>
          </w:p>
        </w:tc>
        <w:tc>
          <w:tcPr>
            <w:tcW w:w="992" w:type="dxa"/>
            <w:shd w:val="clear" w:color="auto" w:fill="auto"/>
            <w:vAlign w:val="center"/>
          </w:tcPr>
          <w:p w14:paraId="35CE7501" w14:textId="77777777" w:rsidR="002A383E" w:rsidRPr="00591BFC" w:rsidRDefault="002A383E" w:rsidP="00E86771">
            <w:pPr>
              <w:pStyle w:val="NoSpacing"/>
              <w:spacing w:line="360" w:lineRule="auto"/>
              <w:jc w:val="right"/>
            </w:pPr>
            <w:r w:rsidRPr="00591BFC">
              <w:t>(6962)</w:t>
            </w:r>
          </w:p>
        </w:tc>
      </w:tr>
    </w:tbl>
    <w:p w14:paraId="51D88A1E" w14:textId="77777777" w:rsidR="002A383E" w:rsidRDefault="002A383E" w:rsidP="00E86771">
      <w:pPr>
        <w:spacing w:line="360" w:lineRule="auto"/>
      </w:pPr>
      <w:r w:rsidRPr="00591BFC">
        <w:rPr>
          <w:vertAlign w:val="superscript"/>
        </w:rPr>
        <w:t>1</w:t>
      </w:r>
      <w:r w:rsidRPr="00591BFC">
        <w:t xml:space="preserve">ICD-10 codes T81.0, T81.4 and T84; </w:t>
      </w:r>
      <w:r w:rsidRPr="00591BFC">
        <w:rPr>
          <w:vertAlign w:val="superscript"/>
        </w:rPr>
        <w:t xml:space="preserve">2 </w:t>
      </w:r>
      <w:r w:rsidRPr="00591BFC">
        <w:t xml:space="preserve">Cases with complete follow up, including those who died in that year (n=30,430); </w:t>
      </w:r>
      <w:r w:rsidRPr="00591BFC">
        <w:rPr>
          <w:vertAlign w:val="superscript"/>
        </w:rPr>
        <w:t xml:space="preserve">3 </w:t>
      </w:r>
      <w:r w:rsidRPr="00591BFC">
        <w:t xml:space="preserve">Using OPCS codes defined by the National Joint Registry </w:t>
      </w:r>
      <w:r w:rsidRPr="00591BFC">
        <w:rPr>
          <w:noProof/>
        </w:rPr>
        <w:t>[13]</w:t>
      </w:r>
      <w:r w:rsidRPr="00591BFC">
        <w:t xml:space="preserve">; </w:t>
      </w:r>
      <w:r w:rsidRPr="00591BFC">
        <w:rPr>
          <w:vertAlign w:val="superscript"/>
        </w:rPr>
        <w:t xml:space="preserve">4 </w:t>
      </w:r>
      <w:r w:rsidRPr="00591BFC">
        <w:t>Cases with complete follow up during the 30 days (n=32,989).</w:t>
      </w:r>
    </w:p>
    <w:p w14:paraId="7B3770B2" w14:textId="77777777" w:rsidR="0069281C" w:rsidRDefault="002149AD" w:rsidP="00E86771">
      <w:pPr>
        <w:keepNext/>
        <w:spacing w:line="360" w:lineRule="auto"/>
      </w:pPr>
      <w:r>
        <w:rPr>
          <w:noProof/>
          <w:lang w:eastAsia="en-GB"/>
        </w:rPr>
        <w:lastRenderedPageBreak/>
        <w:pict w14:anchorId="349AA3E3">
          <v:shape id="Picture 9" o:spid="_x0000_i1049" type="#_x0000_t75" style="width:402.6pt;height:295.1pt;visibility:visible">
            <v:imagedata r:id="rId36" o:title=""/>
          </v:shape>
        </w:pict>
      </w:r>
    </w:p>
    <w:p w14:paraId="18EB47AA" w14:textId="77777777" w:rsidR="0069281C" w:rsidRDefault="0069281C" w:rsidP="00E86771">
      <w:pPr>
        <w:pStyle w:val="Caption"/>
        <w:spacing w:line="360" w:lineRule="auto"/>
      </w:pPr>
      <w:bookmarkStart w:id="352" w:name="_Ref424551547"/>
      <w:bookmarkStart w:id="353" w:name="_Toc424650336"/>
      <w:bookmarkStart w:id="354" w:name="_Toc311366721"/>
      <w:r>
        <w:t xml:space="preserve">Figure </w:t>
      </w:r>
      <w:r w:rsidR="002149AD">
        <w:fldChar w:fldCharType="begin"/>
      </w:r>
      <w:r w:rsidR="002149AD">
        <w:instrText xml:space="preserve"> SEQ Figure \* ARABIC </w:instrText>
      </w:r>
      <w:r w:rsidR="002149AD">
        <w:fldChar w:fldCharType="separate"/>
      </w:r>
      <w:r w:rsidR="003B70E3">
        <w:rPr>
          <w:noProof/>
        </w:rPr>
        <w:t>25</w:t>
      </w:r>
      <w:r w:rsidR="002149AD">
        <w:rPr>
          <w:noProof/>
        </w:rPr>
        <w:fldChar w:fldCharType="end"/>
      </w:r>
      <w:bookmarkEnd w:id="352"/>
      <w:r>
        <w:t xml:space="preserve"> </w:t>
      </w:r>
      <w:r w:rsidRPr="00FE359D">
        <w:t>Distribution of hospitalisation costs in the year after primary hip fracture</w:t>
      </w:r>
      <w:bookmarkEnd w:id="353"/>
      <w:bookmarkEnd w:id="354"/>
    </w:p>
    <w:p w14:paraId="152906EC" w14:textId="77777777" w:rsidR="0069281C" w:rsidRPr="00591BFC" w:rsidRDefault="0069281C" w:rsidP="00E86771">
      <w:pPr>
        <w:spacing w:line="360" w:lineRule="auto"/>
      </w:pPr>
    </w:p>
    <w:p w14:paraId="00F0D28F" w14:textId="77777777" w:rsidR="00D86CB2" w:rsidRPr="00591BFC" w:rsidRDefault="002149AD" w:rsidP="00E86771">
      <w:pPr>
        <w:keepNext/>
        <w:spacing w:line="360" w:lineRule="auto"/>
      </w:pPr>
      <w:r>
        <w:pict w14:anchorId="0868B8EA">
          <v:group id="Canvas 2" o:spid="_x0000_s1039" style="width:465.95pt;height:477.55pt;mso-position-horizontal-relative:char;mso-position-vertical-relative:line" coordsize="59175,60648">
            <v:shape id="_x0000_s1040" type="#_x0000_t75" style="position:absolute;width:59175;height:60648;visibility:visible">
              <v:fill o:detectmouseclick="t"/>
              <v:path o:connecttype="none"/>
            </v:shape>
            <v:shape id="Picture 5" o:spid="_x0000_s1041" type="#_x0000_t75" style="position:absolute;left:3411;width:55751;height:370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wMmPBAAAA2gAAAA8AAABkcnMvZG93bnJldi54bWxEj0GLwjAUhO8L/ofwBG9rqlBZqlGkuOBB&#10;lFXx/GiebbF5CU221n9vBMHjMDPfMItVbxrRUetrywom4wQEcWF1zaWC8+n3+weED8gaG8uk4EEe&#10;VsvB1wIzbe/8R90xlCJC2GeooArBZVL6oiKDfmwdcfSutjUYomxLqVu8R7hp5DRJZtJgzXGhQkd5&#10;RcXt+G8UnLC85Lv9Jj/kZ5e4bj9NJ+lFqdGwX89BBOrDJ/xub7WCFF5X4g2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wMmPBAAAA2gAAAA8AAAAAAAAAAAAAAAAAnwIA&#10;AGRycy9kb3ducmV2LnhtbFBLBQYAAAAABAAEAPcAAACNAwAAAAA=&#10;">
              <v:imagedata r:id="rId37" o:title=""/>
              <v:path arrowok="t"/>
            </v:shape>
            <v:shape id="Picture 3" o:spid="_x0000_s1042" type="#_x0000_t75" style="position:absolute;top:37891;width:59150;height:224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MA/fEAAAA2gAAAA8AAABkcnMvZG93bnJldi54bWxEj0Frg0AUhO+B/oflFXIJzZoKRaxrKIWE&#10;JpdSzSG5PdwXlbhvxd2o/ffdQqHHYWa+YbLtbDox0uBaywo26wgEcWV1y7WCU7l7SkA4j6yxs0wK&#10;vsnBNn9YZJhqO/EXjYWvRYCwS1FB432fSumqhgy6te2Jg3e1g0Ef5FBLPeAU4KaTz1H0Ig22HBYa&#10;7Om9oepW3I2CupD7yxTH7Zgk53F1TA7l5/Gi1PJxfnsF4Wn2/+G/9odWEMPvlXAD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MA/fEAAAA2gAAAA8AAAAAAAAAAAAAAAAA&#10;nwIAAGRycy9kb3ducmV2LnhtbFBLBQYAAAAABAAEAPcAAACQAwAAAAA=&#10;">
              <v:imagedata r:id="rId38" o:title=""/>
              <v:path arrowok="t"/>
            </v:shape>
            <v:shape id="Picture 7" o:spid="_x0000_s1043" type="#_x0000_t75" style="position:absolute;top:57694;width:59175;height:2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POLfCAAAA2gAAAA8AAABkcnMvZG93bnJldi54bWxEj0FrAjEUhO8F/0N4Qm81aw+2rEYRwWp7&#10;ka4KHh+b52Zx87Ikcd39902h0OMwM98wi1VvG9GRD7VjBdNJBoK4dLrmSsHpuH15BxEissbGMSkY&#10;KMBqOXpaYK7dg7+pK2IlEoRDjgpMjG0uZSgNWQwT1xIn7+q8xZikr6T2+Ehw28jXLJtJizWnBYMt&#10;bQyVt+JuFVDl7aYbbL07X4rPdTkcPr7MQanncb+eg4jUx//wX3uvFbzB75V0A+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Tzi3wgAAANoAAAAPAAAAAAAAAAAAAAAAAJ8C&#10;AABkcnMvZG93bnJldi54bWxQSwUGAAAAAAQABAD3AAAAjgMAAAAA&#10;">
              <v:imagedata r:id="rId39" o:title=""/>
              <v:path arrowok="t"/>
            </v:shape>
            <w10:wrap type="none"/>
            <w10:anchorlock/>
          </v:group>
        </w:pict>
      </w:r>
    </w:p>
    <w:p w14:paraId="31CA5C84" w14:textId="77777777" w:rsidR="002A383E" w:rsidRPr="00591BFC" w:rsidRDefault="00D86CB2" w:rsidP="00E86771">
      <w:pPr>
        <w:pStyle w:val="Caption"/>
        <w:spacing w:line="360" w:lineRule="auto"/>
      </w:pPr>
      <w:bookmarkStart w:id="355" w:name="_Ref423075842"/>
      <w:bookmarkStart w:id="356" w:name="_Toc424650337"/>
      <w:bookmarkStart w:id="357" w:name="_Toc311366722"/>
      <w:r w:rsidRPr="00591BFC">
        <w:t xml:space="preserve">Figure </w:t>
      </w:r>
      <w:r w:rsidR="002149AD">
        <w:fldChar w:fldCharType="begin"/>
      </w:r>
      <w:r w:rsidR="002149AD">
        <w:instrText xml:space="preserve"> SEQ Figure \* ARABIC </w:instrText>
      </w:r>
      <w:r w:rsidR="002149AD">
        <w:fldChar w:fldCharType="separate"/>
      </w:r>
      <w:r w:rsidR="00776C05">
        <w:rPr>
          <w:noProof/>
        </w:rPr>
        <w:t>26</w:t>
      </w:r>
      <w:r w:rsidR="002149AD">
        <w:rPr>
          <w:noProof/>
        </w:rPr>
        <w:fldChar w:fldCharType="end"/>
      </w:r>
      <w:bookmarkEnd w:id="355"/>
      <w:r w:rsidRPr="00591BFC">
        <w:t xml:space="preserve"> </w:t>
      </w:r>
      <w:r w:rsidR="0069281C">
        <w:t>Hospitalisation costs in the months before and after primary hip fracture</w:t>
      </w:r>
      <w:bookmarkEnd w:id="356"/>
      <w:bookmarkEnd w:id="357"/>
    </w:p>
    <w:p w14:paraId="3B4C0002" w14:textId="77777777" w:rsidR="002A383E" w:rsidRPr="00591BFC" w:rsidRDefault="002A383E" w:rsidP="00E86771">
      <w:pPr>
        <w:pStyle w:val="Heading3"/>
        <w:spacing w:line="360" w:lineRule="auto"/>
        <w:rPr>
          <w:rFonts w:ascii="Calibri" w:hAnsi="Calibri"/>
          <w:lang w:val="en-GB"/>
        </w:rPr>
      </w:pPr>
      <w:bookmarkStart w:id="358" w:name="_Toc308300798"/>
      <w:bookmarkStart w:id="359" w:name="_Toc311366605"/>
      <w:r w:rsidRPr="00591BFC">
        <w:rPr>
          <w:rFonts w:ascii="Calibri" w:hAnsi="Calibri"/>
          <w:lang w:val="en-GB"/>
        </w:rPr>
        <w:t>Patient outcomes and primary care costs</w:t>
      </w:r>
      <w:r w:rsidR="0069281C">
        <w:rPr>
          <w:rFonts w:ascii="Calibri" w:hAnsi="Calibri"/>
          <w:lang w:val="en-GB"/>
        </w:rPr>
        <w:t xml:space="preserve"> (CPRD dataset)</w:t>
      </w:r>
      <w:bookmarkEnd w:id="358"/>
      <w:bookmarkEnd w:id="359"/>
    </w:p>
    <w:p w14:paraId="6DA919B7" w14:textId="3A934D8A" w:rsidR="002A383E" w:rsidRPr="00591BFC" w:rsidRDefault="002A383E" w:rsidP="00E86771">
      <w:pPr>
        <w:spacing w:line="360" w:lineRule="auto"/>
      </w:pPr>
      <w:r w:rsidRPr="00591BFC">
        <w:t>The average follow up of the cohort was 2.5 years (median 1.9; SD 2.3) from index hip fracture, during which time 7.2% of patients suffered a second hip fracture (</w:t>
      </w:r>
      <w:r w:rsidR="00101047" w:rsidRPr="00591BFC">
        <w:rPr>
          <w:b/>
        </w:rPr>
        <w:fldChar w:fldCharType="begin"/>
      </w:r>
      <w:r w:rsidR="00101047" w:rsidRPr="00591BFC">
        <w:instrText xml:space="preserve"> REF _Ref423076146 \h </w:instrText>
      </w:r>
      <w:r w:rsidR="00E814C1" w:rsidRPr="00591BFC">
        <w:rPr>
          <w:b/>
        </w:rPr>
        <w:instrText xml:space="preserve"> \* MERGEFORMAT </w:instrText>
      </w:r>
      <w:r w:rsidR="00101047" w:rsidRPr="00591BFC">
        <w:rPr>
          <w:b/>
        </w:rPr>
      </w:r>
      <w:r w:rsidR="00101047" w:rsidRPr="00591BFC">
        <w:rPr>
          <w:b/>
        </w:rPr>
        <w:fldChar w:fldCharType="separate"/>
      </w:r>
      <w:r w:rsidR="00776C05" w:rsidRPr="00591BFC">
        <w:t xml:space="preserve">Table </w:t>
      </w:r>
      <w:r w:rsidR="00776C05">
        <w:rPr>
          <w:noProof/>
        </w:rPr>
        <w:t>21</w:t>
      </w:r>
      <w:r w:rsidR="00101047" w:rsidRPr="00591BFC">
        <w:rPr>
          <w:b/>
        </w:rPr>
        <w:fldChar w:fldCharType="end"/>
      </w:r>
      <w:r w:rsidRPr="00591BFC">
        <w:t>). Mortality at 30 days and one year was estimated to be 5.7% and 26.3%, respectively</w:t>
      </w:r>
      <w:r w:rsidR="0069281C">
        <w:t>; these were</w:t>
      </w:r>
      <w:r w:rsidRPr="00591BFC">
        <w:t xml:space="preserve"> lower than </w:t>
      </w:r>
      <w:r w:rsidR="0069281C" w:rsidRPr="0069281C">
        <w:t xml:space="preserve">the mortality rates </w:t>
      </w:r>
      <w:r w:rsidRPr="00591BFC">
        <w:t xml:space="preserve">found in the hospital care dataset. After index fracture, the majority of patients were recorded as being discharged to their own home (55%), </w:t>
      </w:r>
      <w:r w:rsidR="0069281C">
        <w:t xml:space="preserve">or </w:t>
      </w:r>
      <w:r w:rsidRPr="00591BFC">
        <w:t>transfer</w:t>
      </w:r>
      <w:r w:rsidR="0069281C">
        <w:t>red</w:t>
      </w:r>
      <w:r w:rsidRPr="00591BFC">
        <w:t xml:space="preserve"> to another hospital (19%) </w:t>
      </w:r>
      <w:r w:rsidR="0069281C">
        <w:t xml:space="preserve">or to a </w:t>
      </w:r>
      <w:r w:rsidRPr="00591BFC">
        <w:t xml:space="preserve">care home (19%). The number of patients in a care home increased to 23% after one year of complete follow up. GP contacts in the year of the hip fracture amounted to </w:t>
      </w:r>
      <w:r w:rsidR="0069281C">
        <w:t>8.3</w:t>
      </w:r>
      <w:r w:rsidRPr="00591BFC">
        <w:t xml:space="preserve"> (median </w:t>
      </w:r>
      <w:r w:rsidR="0069281C">
        <w:t>6</w:t>
      </w:r>
      <w:r w:rsidRPr="00591BFC">
        <w:t xml:space="preserve">, SD </w:t>
      </w:r>
      <w:r w:rsidR="0069281C">
        <w:t>9.3) per person, of which 77</w:t>
      </w:r>
      <w:r w:rsidRPr="00591BFC">
        <w:t xml:space="preserve">% were clinic or surgery appointments and the rest were telephone contacts </w:t>
      </w:r>
      <w:r w:rsidRPr="00591BFC">
        <w:lastRenderedPageBreak/>
        <w:t>and out-of-office visits. In the same year, 6</w:t>
      </w:r>
      <w:r w:rsidR="0069281C">
        <w:t>7 (median 43</w:t>
      </w:r>
      <w:r w:rsidRPr="00591BFC">
        <w:t xml:space="preserve">, SD </w:t>
      </w:r>
      <w:r w:rsidR="0069281C">
        <w:t>86.6</w:t>
      </w:r>
      <w:r w:rsidRPr="00591BFC">
        <w:t xml:space="preserve">) </w:t>
      </w:r>
      <w:r w:rsidR="0069281C">
        <w:t>medication</w:t>
      </w:r>
      <w:r w:rsidRPr="00591BFC">
        <w:t xml:space="preserve">s were prescribed per </w:t>
      </w:r>
      <w:r w:rsidR="0069281C" w:rsidRPr="0069281C">
        <w:t>patient including non-medication items (e</w:t>
      </w:r>
      <w:r w:rsidR="0069281C">
        <w:t>.g.  wound management bandages)</w:t>
      </w:r>
      <w:r w:rsidRPr="00591BFC">
        <w:t xml:space="preserve">. Excluding </w:t>
      </w:r>
      <w:r w:rsidR="004B242D" w:rsidRPr="004B242D">
        <w:t>non-pharmaceutical items</w:t>
      </w:r>
      <w:r w:rsidRPr="00591BFC">
        <w:t xml:space="preserve">, the most common type of </w:t>
      </w:r>
      <w:r w:rsidR="00F72F86">
        <w:t xml:space="preserve">medications </w:t>
      </w:r>
      <w:r w:rsidRPr="00591BFC">
        <w:t>were for the cardiovascular system (</w:t>
      </w:r>
      <w:r w:rsidR="00FA7660" w:rsidRPr="00591BFC">
        <w:t>British National Formulary (</w:t>
      </w:r>
      <w:r w:rsidRPr="00591BFC">
        <w:t>BNF</w:t>
      </w:r>
      <w:r w:rsidR="00FA7660" w:rsidRPr="00591BFC">
        <w:t>)</w:t>
      </w:r>
      <w:r w:rsidRPr="00591BFC">
        <w:t xml:space="preserve"> Chapter 2)</w:t>
      </w:r>
      <w:hyperlink w:anchor="_ENREF_138" w:tooltip="Royal Pharmaceutical Society,  #1136" w:history="1">
        <w:r w:rsidR="00B24FEE">
          <w:fldChar w:fldCharType="begin"/>
        </w:r>
        <w:r w:rsidR="00B24FEE">
          <w:instrText xml:space="preserve"> ADDIN EN.CITE &lt;EndNote&gt;&lt;Cite ExcludeAuth="1" ExcludeYear="1"&gt;&lt;Author&gt;Royal Pharmaceutical Society&lt;/Author&gt;&lt;RecNum&gt;1136&lt;/RecNum&gt;&lt;DisplayText&gt;&lt;style face="superscript"&gt;138&lt;/style&gt;&lt;/DisplayText&gt;&lt;record&gt;&lt;rec-number&gt;1136&lt;/rec-number&gt;&lt;foreign-keys&gt;&lt;key app="EN" db-id="sxpszd2ti9dx04ewefrvfp5bpf5faazszr9p" timestamp="1435664118"&gt;1136&lt;/key&gt;&lt;/foreign-keys&gt;&lt;ref-type name="Web Page"&gt;12&lt;/ref-type&gt;&lt;contributors&gt;&lt;authors&gt;&lt;author&gt;Royal Pharmaceutical Society,&lt;/author&gt;&lt;/authors&gt;&lt;/contributors&gt;&lt;titles&gt;&lt;title&gt;British National Formulary BNF Categories&lt;/title&gt;&lt;/titles&gt;&lt;number&gt;3rd October 2015&lt;/number&gt;&lt;dates&gt;&lt;/dates&gt;&lt;publisher&gt;BMJ Publishing Group Ltd&lt;/publisher&gt;&lt;urls&gt;&lt;related-urls&gt;&lt;url&gt;http://www.bnf.org/bnf/org_450080.htm&lt;/url&gt;&lt;/related-urls&gt;&lt;/urls&gt;&lt;/record&gt;&lt;/Cite&gt;&lt;/EndNote&gt;</w:instrText>
        </w:r>
        <w:r w:rsidR="00B24FEE">
          <w:fldChar w:fldCharType="separate"/>
        </w:r>
        <w:r w:rsidR="00B24FEE" w:rsidRPr="00B24FEE">
          <w:rPr>
            <w:noProof/>
            <w:vertAlign w:val="superscript"/>
          </w:rPr>
          <w:t>138</w:t>
        </w:r>
        <w:r w:rsidR="00B24FEE">
          <w:fldChar w:fldCharType="end"/>
        </w:r>
      </w:hyperlink>
      <w:r w:rsidRPr="00591BFC">
        <w:t xml:space="preserve"> accounting for 3</w:t>
      </w:r>
      <w:r w:rsidR="00F72F86">
        <w:t>3</w:t>
      </w:r>
      <w:r w:rsidRPr="00591BFC">
        <w:t xml:space="preserve">% of all </w:t>
      </w:r>
      <w:r w:rsidR="00F72F86">
        <w:t>medications</w:t>
      </w:r>
      <w:r w:rsidRPr="00591BFC">
        <w:t xml:space="preserve">, central nervous system (BNF Chapter 4) accounting for 19%, followed by gastro-intestinal (BNF Chapter 1) and nutrition and blood systems (BNF Chapter 9) accounting for 12% each, and endocrine system (BNF Chapter 6) with 10%. </w:t>
      </w:r>
    </w:p>
    <w:p w14:paraId="0B4C607E" w14:textId="77777777" w:rsidR="002A383E" w:rsidRPr="00591BFC" w:rsidRDefault="002A383E" w:rsidP="00E86771">
      <w:pPr>
        <w:spacing w:line="360" w:lineRule="auto"/>
      </w:pPr>
      <w:r w:rsidRPr="00591BFC">
        <w:t>The primary care costs associated with primary hip fracture were £1,</w:t>
      </w:r>
      <w:r w:rsidR="00F72F86">
        <w:t>065 (median £660</w:t>
      </w:r>
      <w:r w:rsidRPr="00591BFC">
        <w:t>, SD 1</w:t>
      </w:r>
      <w:r w:rsidR="00F72F86">
        <w:t>798</w:t>
      </w:r>
      <w:r w:rsidRPr="00591BFC">
        <w:t xml:space="preserve">), of which </w:t>
      </w:r>
      <w:r w:rsidR="00F72F86" w:rsidRPr="00F72F86">
        <w:t>medications and non-pharmaceuticals</w:t>
      </w:r>
      <w:r w:rsidR="00F72F86">
        <w:t xml:space="preserve"> </w:t>
      </w:r>
      <w:r w:rsidRPr="00591BFC">
        <w:t>a</w:t>
      </w:r>
      <w:r w:rsidR="00F72F86">
        <w:t>ccounted for £614 (median £248, SD 1586</w:t>
      </w:r>
      <w:r w:rsidRPr="00591BFC">
        <w:t>) of the costs and GP contacts accounted for £</w:t>
      </w:r>
      <w:r w:rsidR="00F72F86">
        <w:t>358</w:t>
      </w:r>
      <w:r w:rsidRPr="00591BFC">
        <w:t xml:space="preserve"> (median £</w:t>
      </w:r>
      <w:r w:rsidR="00F72F86">
        <w:t>246</w:t>
      </w:r>
      <w:r w:rsidRPr="00591BFC">
        <w:t xml:space="preserve">, SD </w:t>
      </w:r>
      <w:r w:rsidR="00F72F86">
        <w:t>409</w:t>
      </w:r>
      <w:r w:rsidRPr="00591BFC">
        <w:t>).</w:t>
      </w:r>
    </w:p>
    <w:p w14:paraId="0C1E818A" w14:textId="78F9D214" w:rsidR="002A383E" w:rsidRPr="00591BFC" w:rsidRDefault="00101047" w:rsidP="00E86771">
      <w:pPr>
        <w:spacing w:line="360" w:lineRule="auto"/>
      </w:pPr>
      <w:r w:rsidRPr="00591BFC">
        <w:rPr>
          <w:b/>
        </w:rPr>
        <w:fldChar w:fldCharType="begin"/>
      </w:r>
      <w:r w:rsidRPr="00591BFC">
        <w:instrText xml:space="preserve"> REF _Ref423076198 \h </w:instrText>
      </w:r>
      <w:r w:rsidR="00E814C1" w:rsidRPr="00591BFC">
        <w:rPr>
          <w:b/>
        </w:rPr>
        <w:instrText xml:space="preserve"> \* MERGEFORMAT </w:instrText>
      </w:r>
      <w:r w:rsidRPr="00591BFC">
        <w:rPr>
          <w:b/>
        </w:rPr>
      </w:r>
      <w:r w:rsidRPr="00591BFC">
        <w:rPr>
          <w:b/>
        </w:rPr>
        <w:fldChar w:fldCharType="separate"/>
      </w:r>
      <w:r w:rsidR="003B70E3" w:rsidRPr="00591BFC">
        <w:t xml:space="preserve">Figure </w:t>
      </w:r>
      <w:r w:rsidR="003B70E3">
        <w:rPr>
          <w:noProof/>
        </w:rPr>
        <w:t>27</w:t>
      </w:r>
      <w:r w:rsidRPr="00591BFC">
        <w:rPr>
          <w:b/>
        </w:rPr>
        <w:fldChar w:fldCharType="end"/>
      </w:r>
      <w:r w:rsidRPr="00591BFC">
        <w:rPr>
          <w:b/>
        </w:rPr>
        <w:t xml:space="preserve"> </w:t>
      </w:r>
      <w:r w:rsidR="002A383E" w:rsidRPr="00591BFC">
        <w:t xml:space="preserve">reports the primary care costs in the months before and after primary hip fracture. Similar to hospital care, there is an increase in costs before hip fracture with the highest costs occurring in the first six months post hip fracture. Nonetheless, while the costs </w:t>
      </w:r>
      <w:r w:rsidR="00F72F86">
        <w:t xml:space="preserve">for all patients </w:t>
      </w:r>
      <w:r w:rsidR="002A383E" w:rsidRPr="00591BFC">
        <w:t xml:space="preserve">in the first year after hip fracture were numerically </w:t>
      </w:r>
      <w:r w:rsidR="00D62EC9">
        <w:t xml:space="preserve">lower </w:t>
      </w:r>
      <w:r w:rsidR="002A383E" w:rsidRPr="00591BFC">
        <w:t>compared to the year pre-fracture (£</w:t>
      </w:r>
      <w:r w:rsidR="00F72F86">
        <w:t>26</w:t>
      </w:r>
      <w:r w:rsidR="002A383E" w:rsidRPr="00591BFC">
        <w:t>, 95%</w:t>
      </w:r>
      <w:r w:rsidR="00CA712A">
        <w:t xml:space="preserve"> </w:t>
      </w:r>
      <w:r w:rsidR="002A383E" w:rsidRPr="00591BFC">
        <w:t>CI: -£</w:t>
      </w:r>
      <w:r w:rsidR="00F72F86">
        <w:t>102 to £50</w:t>
      </w:r>
      <w:r w:rsidR="002A383E" w:rsidRPr="00591BFC">
        <w:t>) this was not statistically significant. However, when we considered</w:t>
      </w:r>
      <w:r w:rsidR="00F72F86">
        <w:t xml:space="preserve"> only</w:t>
      </w:r>
      <w:r w:rsidR="002A383E" w:rsidRPr="00591BFC">
        <w:t xml:space="preserve"> the 2-year survivors we found the costs in the first and second year post hip fracture to be significantly higher than the costs in the year prior to hip fracture. Compared to the year prior to the hip fracture, primary care costs </w:t>
      </w:r>
      <w:r w:rsidR="00E53F9C" w:rsidRPr="00E53F9C">
        <w:t xml:space="preserve">, in patients who were alive 2 years post hip fracture, </w:t>
      </w:r>
      <w:r w:rsidR="002A383E" w:rsidRPr="00591BFC">
        <w:t>were £</w:t>
      </w:r>
      <w:r w:rsidR="00C67148">
        <w:t>256</w:t>
      </w:r>
      <w:r w:rsidR="002A383E" w:rsidRPr="00591BFC">
        <w:t xml:space="preserve"> (95%</w:t>
      </w:r>
      <w:r w:rsidR="00CA712A">
        <w:t xml:space="preserve"> </w:t>
      </w:r>
      <w:r w:rsidR="002A383E" w:rsidRPr="00591BFC">
        <w:t>CI: £</w:t>
      </w:r>
      <w:r w:rsidR="00C67148">
        <w:t>160</w:t>
      </w:r>
      <w:r w:rsidR="002A383E" w:rsidRPr="00591BFC">
        <w:t xml:space="preserve"> to £</w:t>
      </w:r>
      <w:r w:rsidR="00C67148">
        <w:t>352</w:t>
      </w:r>
      <w:r w:rsidR="002A383E" w:rsidRPr="00591BFC">
        <w:t>) and £</w:t>
      </w:r>
      <w:r w:rsidR="00C67148">
        <w:t xml:space="preserve">273 </w:t>
      </w:r>
      <w:r w:rsidR="002A383E" w:rsidRPr="00591BFC">
        <w:t>(95%</w:t>
      </w:r>
      <w:r w:rsidR="00CA712A">
        <w:t xml:space="preserve"> </w:t>
      </w:r>
      <w:r w:rsidR="002A383E" w:rsidRPr="00591BFC">
        <w:t>CI: £</w:t>
      </w:r>
      <w:r w:rsidR="00C67148">
        <w:t>167</w:t>
      </w:r>
      <w:r w:rsidR="002A383E" w:rsidRPr="00591BFC">
        <w:t xml:space="preserve"> to £</w:t>
      </w:r>
      <w:r w:rsidR="00C67148">
        <w:t>380</w:t>
      </w:r>
      <w:r w:rsidR="002A383E" w:rsidRPr="00591BFC">
        <w:t xml:space="preserve">) higher in the first and second year following hip fracture, respectively. This was mostly led by a significant increase in GP contacts and in the costs of </w:t>
      </w:r>
      <w:r w:rsidR="00C67148" w:rsidRPr="00C67148">
        <w:t>medications and non-pharmaceuticals</w:t>
      </w:r>
      <w:r w:rsidR="000D4504">
        <w:t xml:space="preserve">. </w:t>
      </w:r>
    </w:p>
    <w:p w14:paraId="095C54B7" w14:textId="77777777" w:rsidR="00101047" w:rsidRPr="00591BFC" w:rsidRDefault="00101047" w:rsidP="00E86771">
      <w:pPr>
        <w:pStyle w:val="Caption"/>
        <w:keepNext/>
        <w:spacing w:line="360" w:lineRule="auto"/>
      </w:pPr>
      <w:bookmarkStart w:id="360" w:name="_Ref423076146"/>
      <w:bookmarkStart w:id="361" w:name="_Toc308262416"/>
      <w:bookmarkStart w:id="362" w:name="_Toc311366682"/>
      <w:r w:rsidRPr="00591BFC">
        <w:t xml:space="preserve">Table </w:t>
      </w:r>
      <w:r w:rsidR="002149AD">
        <w:fldChar w:fldCharType="begin"/>
      </w:r>
      <w:r w:rsidR="002149AD">
        <w:instrText xml:space="preserve"> SEQ Table \* ARABIC </w:instrText>
      </w:r>
      <w:r w:rsidR="002149AD">
        <w:fldChar w:fldCharType="separate"/>
      </w:r>
      <w:r w:rsidR="00776C05">
        <w:rPr>
          <w:noProof/>
        </w:rPr>
        <w:t>21</w:t>
      </w:r>
      <w:r w:rsidR="002149AD">
        <w:rPr>
          <w:noProof/>
        </w:rPr>
        <w:fldChar w:fldCharType="end"/>
      </w:r>
      <w:bookmarkEnd w:id="360"/>
      <w:r w:rsidRPr="00591BFC">
        <w:t xml:space="preserve"> Patient outcomes and primary care costs after index hip fracture</w:t>
      </w:r>
      <w:bookmarkEnd w:id="361"/>
      <w:bookmarkEnd w:id="362"/>
    </w:p>
    <w:tbl>
      <w:tblPr>
        <w:tblW w:w="5181" w:type="pct"/>
        <w:tblLook w:val="04A0" w:firstRow="1" w:lastRow="0" w:firstColumn="1" w:lastColumn="0" w:noHBand="0" w:noVBand="1"/>
      </w:tblPr>
      <w:tblGrid>
        <w:gridCol w:w="6974"/>
        <w:gridCol w:w="237"/>
        <w:gridCol w:w="855"/>
        <w:gridCol w:w="277"/>
        <w:gridCol w:w="816"/>
        <w:gridCol w:w="411"/>
      </w:tblGrid>
      <w:tr w:rsidR="002A383E" w:rsidRPr="00591BFC" w14:paraId="46AC5DE9" w14:textId="77777777" w:rsidTr="00DB4F65">
        <w:trPr>
          <w:gridAfter w:val="1"/>
          <w:wAfter w:w="333" w:type="dxa"/>
          <w:trHeight w:val="46"/>
        </w:trPr>
        <w:tc>
          <w:tcPr>
            <w:tcW w:w="3652" w:type="pct"/>
            <w:shd w:val="clear" w:color="auto" w:fill="auto"/>
          </w:tcPr>
          <w:p w14:paraId="362AB232" w14:textId="77777777" w:rsidR="002A383E" w:rsidRPr="00591BFC" w:rsidRDefault="002A383E" w:rsidP="00E86771">
            <w:pPr>
              <w:spacing w:line="360" w:lineRule="auto"/>
              <w:rPr>
                <w:b/>
                <w:bCs/>
              </w:rPr>
            </w:pPr>
          </w:p>
        </w:tc>
        <w:tc>
          <w:tcPr>
            <w:tcW w:w="587" w:type="pct"/>
            <w:gridSpan w:val="2"/>
            <w:shd w:val="clear" w:color="auto" w:fill="auto"/>
          </w:tcPr>
          <w:p w14:paraId="1F02E71B" w14:textId="77777777" w:rsidR="002A383E" w:rsidRPr="00591BFC" w:rsidRDefault="002A383E" w:rsidP="00E86771">
            <w:pPr>
              <w:spacing w:line="360" w:lineRule="auto"/>
              <w:rPr>
                <w:b/>
                <w:bCs/>
              </w:rPr>
            </w:pPr>
          </w:p>
        </w:tc>
        <w:tc>
          <w:tcPr>
            <w:tcW w:w="587" w:type="pct"/>
            <w:gridSpan w:val="2"/>
            <w:shd w:val="clear" w:color="auto" w:fill="auto"/>
          </w:tcPr>
          <w:p w14:paraId="4D68C076" w14:textId="77777777" w:rsidR="002A383E" w:rsidRPr="00591BFC" w:rsidRDefault="002A383E" w:rsidP="00E86771">
            <w:pPr>
              <w:spacing w:line="360" w:lineRule="auto"/>
              <w:rPr>
                <w:b/>
                <w:bCs/>
              </w:rPr>
            </w:pPr>
          </w:p>
        </w:tc>
      </w:tr>
      <w:tr w:rsidR="00C67148" w14:paraId="612A92E4" w14:textId="77777777" w:rsidTr="00DB4F65">
        <w:trPr>
          <w:trHeight w:val="46"/>
        </w:trPr>
        <w:tc>
          <w:tcPr>
            <w:tcW w:w="3784" w:type="pct"/>
            <w:gridSpan w:val="2"/>
            <w:hideMark/>
          </w:tcPr>
          <w:p w14:paraId="5D9B94D3" w14:textId="77777777" w:rsidR="00C67148" w:rsidRDefault="00C67148" w:rsidP="00E86771">
            <w:pPr>
              <w:spacing w:line="360" w:lineRule="auto"/>
              <w:rPr>
                <w:b/>
                <w:bCs/>
              </w:rPr>
            </w:pPr>
            <w:r>
              <w:rPr>
                <w:b/>
                <w:bCs/>
              </w:rPr>
              <w:t>Follow up time in years, mean (SD)</w:t>
            </w:r>
          </w:p>
        </w:tc>
        <w:tc>
          <w:tcPr>
            <w:tcW w:w="608" w:type="pct"/>
            <w:gridSpan w:val="2"/>
            <w:hideMark/>
          </w:tcPr>
          <w:p w14:paraId="34A9530C" w14:textId="77777777" w:rsidR="00C67148" w:rsidRDefault="00C67148" w:rsidP="00E86771">
            <w:pPr>
              <w:spacing w:line="360" w:lineRule="auto"/>
              <w:rPr>
                <w:b/>
                <w:bCs/>
              </w:rPr>
            </w:pPr>
            <w:r>
              <w:rPr>
                <w:b/>
                <w:bCs/>
              </w:rPr>
              <w:t>2.5 </w:t>
            </w:r>
          </w:p>
        </w:tc>
        <w:tc>
          <w:tcPr>
            <w:tcW w:w="608" w:type="pct"/>
            <w:gridSpan w:val="2"/>
            <w:hideMark/>
          </w:tcPr>
          <w:p w14:paraId="5EE3B884" w14:textId="77777777" w:rsidR="00C67148" w:rsidRDefault="00C67148" w:rsidP="00E86771">
            <w:pPr>
              <w:spacing w:line="360" w:lineRule="auto"/>
              <w:rPr>
                <w:b/>
                <w:bCs/>
              </w:rPr>
            </w:pPr>
            <w:r>
              <w:rPr>
                <w:b/>
                <w:bCs/>
              </w:rPr>
              <w:t>(2.3) </w:t>
            </w:r>
          </w:p>
        </w:tc>
      </w:tr>
      <w:tr w:rsidR="00C67148" w14:paraId="5E5C3F0A" w14:textId="77777777" w:rsidTr="00DB4F65">
        <w:trPr>
          <w:trHeight w:val="352"/>
        </w:trPr>
        <w:tc>
          <w:tcPr>
            <w:tcW w:w="3784" w:type="pct"/>
            <w:gridSpan w:val="2"/>
            <w:hideMark/>
          </w:tcPr>
          <w:p w14:paraId="39522718" w14:textId="77777777" w:rsidR="00C67148" w:rsidRDefault="00C67148" w:rsidP="00E86771">
            <w:pPr>
              <w:spacing w:line="360" w:lineRule="auto"/>
              <w:rPr>
                <w:b/>
                <w:bCs/>
              </w:rPr>
            </w:pPr>
            <w:r>
              <w:rPr>
                <w:b/>
                <w:bCs/>
              </w:rPr>
              <w:t>Second hip fracture, n (%)</w:t>
            </w:r>
          </w:p>
        </w:tc>
        <w:tc>
          <w:tcPr>
            <w:tcW w:w="608" w:type="pct"/>
            <w:gridSpan w:val="2"/>
            <w:hideMark/>
          </w:tcPr>
          <w:p w14:paraId="1FB29DA3" w14:textId="77777777" w:rsidR="00C67148" w:rsidRDefault="00C67148" w:rsidP="00E86771">
            <w:pPr>
              <w:spacing w:line="360" w:lineRule="auto"/>
            </w:pPr>
            <w:r>
              <w:t>320</w:t>
            </w:r>
          </w:p>
        </w:tc>
        <w:tc>
          <w:tcPr>
            <w:tcW w:w="608" w:type="pct"/>
            <w:gridSpan w:val="2"/>
            <w:hideMark/>
          </w:tcPr>
          <w:p w14:paraId="2256287E" w14:textId="77777777" w:rsidR="00C67148" w:rsidRDefault="00C67148" w:rsidP="00E86771">
            <w:pPr>
              <w:spacing w:line="360" w:lineRule="auto"/>
            </w:pPr>
            <w:r>
              <w:t>(7.2%)</w:t>
            </w:r>
          </w:p>
        </w:tc>
      </w:tr>
      <w:tr w:rsidR="00C67148" w14:paraId="2EA85B5E" w14:textId="77777777" w:rsidTr="00DB4F65">
        <w:tc>
          <w:tcPr>
            <w:tcW w:w="3784" w:type="pct"/>
            <w:gridSpan w:val="2"/>
            <w:hideMark/>
          </w:tcPr>
          <w:p w14:paraId="13EB5799" w14:textId="77777777" w:rsidR="00C67148" w:rsidRDefault="00C67148" w:rsidP="00E86771">
            <w:pPr>
              <w:spacing w:line="360" w:lineRule="auto"/>
              <w:rPr>
                <w:b/>
                <w:bCs/>
              </w:rPr>
            </w:pPr>
            <w:r>
              <w:rPr>
                <w:b/>
                <w:bCs/>
              </w:rPr>
              <w:t xml:space="preserve">   Time to second hip fracture in years, mean (SD)</w:t>
            </w:r>
          </w:p>
        </w:tc>
        <w:tc>
          <w:tcPr>
            <w:tcW w:w="608" w:type="pct"/>
            <w:gridSpan w:val="2"/>
            <w:hideMark/>
          </w:tcPr>
          <w:p w14:paraId="468C50D0" w14:textId="77777777" w:rsidR="00C67148" w:rsidRDefault="00C67148" w:rsidP="00E86771">
            <w:pPr>
              <w:spacing w:line="360" w:lineRule="auto"/>
            </w:pPr>
            <w:r>
              <w:t>2.0 </w:t>
            </w:r>
          </w:p>
        </w:tc>
        <w:tc>
          <w:tcPr>
            <w:tcW w:w="608" w:type="pct"/>
            <w:gridSpan w:val="2"/>
            <w:hideMark/>
          </w:tcPr>
          <w:p w14:paraId="1005194D" w14:textId="77777777" w:rsidR="00C67148" w:rsidRDefault="00C67148" w:rsidP="00E86771">
            <w:pPr>
              <w:spacing w:line="360" w:lineRule="auto"/>
            </w:pPr>
            <w:r>
              <w:t>(1.9)</w:t>
            </w:r>
          </w:p>
        </w:tc>
      </w:tr>
      <w:tr w:rsidR="00C67148" w14:paraId="5590007E" w14:textId="77777777" w:rsidTr="00DB4F65">
        <w:tc>
          <w:tcPr>
            <w:tcW w:w="3784" w:type="pct"/>
            <w:gridSpan w:val="2"/>
            <w:hideMark/>
          </w:tcPr>
          <w:p w14:paraId="0BC5E810" w14:textId="77777777" w:rsidR="00C67148" w:rsidRDefault="00C67148" w:rsidP="00E86771">
            <w:pPr>
              <w:spacing w:line="360" w:lineRule="auto"/>
              <w:rPr>
                <w:b/>
                <w:bCs/>
              </w:rPr>
            </w:pPr>
            <w:r>
              <w:rPr>
                <w:b/>
                <w:bCs/>
              </w:rPr>
              <w:t>Mortality, n (%)</w:t>
            </w:r>
          </w:p>
        </w:tc>
        <w:tc>
          <w:tcPr>
            <w:tcW w:w="608" w:type="pct"/>
            <w:gridSpan w:val="2"/>
            <w:hideMark/>
          </w:tcPr>
          <w:p w14:paraId="42646928" w14:textId="77777777" w:rsidR="00C67148" w:rsidRDefault="00C67148" w:rsidP="00E86771">
            <w:pPr>
              <w:spacing w:after="0" w:line="360" w:lineRule="auto"/>
              <w:rPr>
                <w:sz w:val="20"/>
                <w:szCs w:val="20"/>
                <w:lang w:eastAsia="en-GB"/>
              </w:rPr>
            </w:pPr>
          </w:p>
        </w:tc>
        <w:tc>
          <w:tcPr>
            <w:tcW w:w="608" w:type="pct"/>
            <w:gridSpan w:val="2"/>
            <w:hideMark/>
          </w:tcPr>
          <w:p w14:paraId="2122F7FA" w14:textId="77777777" w:rsidR="00C67148" w:rsidRDefault="00C67148" w:rsidP="00E86771">
            <w:pPr>
              <w:spacing w:after="0" w:line="360" w:lineRule="auto"/>
              <w:rPr>
                <w:sz w:val="20"/>
                <w:szCs w:val="20"/>
                <w:lang w:eastAsia="en-GB"/>
              </w:rPr>
            </w:pPr>
          </w:p>
        </w:tc>
      </w:tr>
      <w:tr w:rsidR="00C67148" w14:paraId="35A178B1" w14:textId="77777777" w:rsidTr="00DB4F65">
        <w:tc>
          <w:tcPr>
            <w:tcW w:w="3784" w:type="pct"/>
            <w:gridSpan w:val="2"/>
            <w:hideMark/>
          </w:tcPr>
          <w:p w14:paraId="106FD757" w14:textId="77777777" w:rsidR="00C67148" w:rsidRDefault="00C67148" w:rsidP="00E86771">
            <w:pPr>
              <w:spacing w:line="360" w:lineRule="auto"/>
              <w:rPr>
                <w:b/>
                <w:bCs/>
              </w:rPr>
            </w:pPr>
            <w:r>
              <w:rPr>
                <w:b/>
                <w:bCs/>
              </w:rPr>
              <w:t xml:space="preserve">  Within 30 days </w:t>
            </w:r>
          </w:p>
        </w:tc>
        <w:tc>
          <w:tcPr>
            <w:tcW w:w="608" w:type="pct"/>
            <w:gridSpan w:val="2"/>
            <w:hideMark/>
          </w:tcPr>
          <w:p w14:paraId="2DA4D7DC" w14:textId="77777777" w:rsidR="00C67148" w:rsidRDefault="00C67148" w:rsidP="00E86771">
            <w:pPr>
              <w:spacing w:line="360" w:lineRule="auto"/>
            </w:pPr>
            <w:r>
              <w:t>252</w:t>
            </w:r>
          </w:p>
        </w:tc>
        <w:tc>
          <w:tcPr>
            <w:tcW w:w="608" w:type="pct"/>
            <w:gridSpan w:val="2"/>
            <w:hideMark/>
          </w:tcPr>
          <w:p w14:paraId="27F9CFB1" w14:textId="77777777" w:rsidR="00C67148" w:rsidRDefault="00C67148" w:rsidP="00E86771">
            <w:pPr>
              <w:spacing w:line="360" w:lineRule="auto"/>
            </w:pPr>
            <w:r>
              <w:t>(5.7%)</w:t>
            </w:r>
          </w:p>
        </w:tc>
      </w:tr>
      <w:tr w:rsidR="00C67148" w14:paraId="1E27F1D6" w14:textId="77777777" w:rsidTr="00DB4F65">
        <w:tc>
          <w:tcPr>
            <w:tcW w:w="3784" w:type="pct"/>
            <w:gridSpan w:val="2"/>
            <w:hideMark/>
          </w:tcPr>
          <w:p w14:paraId="0E9FEB68" w14:textId="77777777" w:rsidR="00C67148" w:rsidRDefault="00C67148" w:rsidP="00E86771">
            <w:pPr>
              <w:spacing w:line="360" w:lineRule="auto"/>
              <w:rPr>
                <w:b/>
                <w:bCs/>
              </w:rPr>
            </w:pPr>
            <w:r>
              <w:rPr>
                <w:b/>
                <w:bCs/>
              </w:rPr>
              <w:t xml:space="preserve">  Within 1 year</w:t>
            </w:r>
          </w:p>
        </w:tc>
        <w:tc>
          <w:tcPr>
            <w:tcW w:w="608" w:type="pct"/>
            <w:gridSpan w:val="2"/>
            <w:hideMark/>
          </w:tcPr>
          <w:p w14:paraId="2816A4BD" w14:textId="77777777" w:rsidR="00C67148" w:rsidRDefault="00C67148" w:rsidP="00E86771">
            <w:pPr>
              <w:spacing w:line="360" w:lineRule="auto"/>
            </w:pPr>
            <w:r>
              <w:t>1,028</w:t>
            </w:r>
          </w:p>
        </w:tc>
        <w:tc>
          <w:tcPr>
            <w:tcW w:w="608" w:type="pct"/>
            <w:gridSpan w:val="2"/>
            <w:hideMark/>
          </w:tcPr>
          <w:p w14:paraId="07BAA3BB" w14:textId="77777777" w:rsidR="00C67148" w:rsidRDefault="00C67148" w:rsidP="00E86771">
            <w:pPr>
              <w:spacing w:line="360" w:lineRule="auto"/>
            </w:pPr>
            <w:r>
              <w:t>(26.3%)</w:t>
            </w:r>
          </w:p>
        </w:tc>
      </w:tr>
      <w:tr w:rsidR="00C67148" w14:paraId="6839CF6E" w14:textId="77777777" w:rsidTr="00DB4F65">
        <w:tc>
          <w:tcPr>
            <w:tcW w:w="3784" w:type="pct"/>
            <w:gridSpan w:val="2"/>
            <w:hideMark/>
          </w:tcPr>
          <w:p w14:paraId="7D755B5B" w14:textId="77777777" w:rsidR="00C67148" w:rsidRDefault="00C67148" w:rsidP="00E86771">
            <w:pPr>
              <w:spacing w:line="360" w:lineRule="auto"/>
              <w:rPr>
                <w:b/>
                <w:bCs/>
              </w:rPr>
            </w:pPr>
            <w:r>
              <w:rPr>
                <w:b/>
                <w:bCs/>
              </w:rPr>
              <w:lastRenderedPageBreak/>
              <w:t>Discharge destination following index fracture admission, n (%)</w:t>
            </w:r>
          </w:p>
        </w:tc>
        <w:tc>
          <w:tcPr>
            <w:tcW w:w="608" w:type="pct"/>
            <w:gridSpan w:val="2"/>
            <w:hideMark/>
          </w:tcPr>
          <w:p w14:paraId="1A3EB03E" w14:textId="77777777" w:rsidR="00C67148" w:rsidRDefault="00C67148" w:rsidP="00E86771">
            <w:pPr>
              <w:spacing w:line="360" w:lineRule="auto"/>
            </w:pPr>
            <w:r>
              <w:t> </w:t>
            </w:r>
          </w:p>
        </w:tc>
        <w:tc>
          <w:tcPr>
            <w:tcW w:w="608" w:type="pct"/>
            <w:gridSpan w:val="2"/>
            <w:hideMark/>
          </w:tcPr>
          <w:p w14:paraId="71FBE980" w14:textId="77777777" w:rsidR="00C67148" w:rsidRDefault="00C67148" w:rsidP="00E86771">
            <w:pPr>
              <w:spacing w:line="360" w:lineRule="auto"/>
            </w:pPr>
            <w:r>
              <w:t> </w:t>
            </w:r>
          </w:p>
        </w:tc>
      </w:tr>
      <w:tr w:rsidR="00C67148" w14:paraId="39003D06" w14:textId="77777777" w:rsidTr="00DB4F65">
        <w:tc>
          <w:tcPr>
            <w:tcW w:w="3784" w:type="pct"/>
            <w:gridSpan w:val="2"/>
            <w:hideMark/>
          </w:tcPr>
          <w:p w14:paraId="0CD79996" w14:textId="77777777" w:rsidR="00C67148" w:rsidRDefault="00C67148" w:rsidP="00E86771">
            <w:pPr>
              <w:spacing w:line="360" w:lineRule="auto"/>
              <w:rPr>
                <w:b/>
                <w:bCs/>
              </w:rPr>
            </w:pPr>
            <w:r>
              <w:rPr>
                <w:b/>
                <w:bCs/>
              </w:rPr>
              <w:t xml:space="preserve">  Own home</w:t>
            </w:r>
          </w:p>
        </w:tc>
        <w:tc>
          <w:tcPr>
            <w:tcW w:w="608" w:type="pct"/>
            <w:gridSpan w:val="2"/>
            <w:hideMark/>
          </w:tcPr>
          <w:p w14:paraId="462BD52D" w14:textId="77777777" w:rsidR="00C67148" w:rsidRDefault="00C67148" w:rsidP="00E86771">
            <w:pPr>
              <w:spacing w:line="360" w:lineRule="auto"/>
            </w:pPr>
            <w:r>
              <w:t>2,436</w:t>
            </w:r>
          </w:p>
        </w:tc>
        <w:tc>
          <w:tcPr>
            <w:tcW w:w="608" w:type="pct"/>
            <w:gridSpan w:val="2"/>
            <w:hideMark/>
          </w:tcPr>
          <w:p w14:paraId="1A9DF658" w14:textId="77777777" w:rsidR="00C67148" w:rsidRDefault="00C67148" w:rsidP="00E86771">
            <w:pPr>
              <w:spacing w:line="360" w:lineRule="auto"/>
            </w:pPr>
            <w:r>
              <w:t> (55.0%)</w:t>
            </w:r>
          </w:p>
        </w:tc>
      </w:tr>
      <w:tr w:rsidR="00C67148" w14:paraId="540CF812" w14:textId="77777777" w:rsidTr="00DB4F65">
        <w:tc>
          <w:tcPr>
            <w:tcW w:w="3784" w:type="pct"/>
            <w:gridSpan w:val="2"/>
            <w:hideMark/>
          </w:tcPr>
          <w:p w14:paraId="5931EBB7" w14:textId="77777777" w:rsidR="00C67148" w:rsidRDefault="00C67148" w:rsidP="00E86771">
            <w:pPr>
              <w:spacing w:line="360" w:lineRule="auto"/>
              <w:rPr>
                <w:b/>
                <w:bCs/>
              </w:rPr>
            </w:pPr>
            <w:r>
              <w:rPr>
                <w:b/>
                <w:bCs/>
              </w:rPr>
              <w:t xml:space="preserve">  Care home or temporary accommodation</w:t>
            </w:r>
          </w:p>
        </w:tc>
        <w:tc>
          <w:tcPr>
            <w:tcW w:w="608" w:type="pct"/>
            <w:gridSpan w:val="2"/>
            <w:hideMark/>
          </w:tcPr>
          <w:p w14:paraId="6B2CB1D5" w14:textId="77777777" w:rsidR="00C67148" w:rsidRDefault="00C67148" w:rsidP="00E86771">
            <w:pPr>
              <w:spacing w:line="360" w:lineRule="auto"/>
            </w:pPr>
            <w:r>
              <w:t>855</w:t>
            </w:r>
          </w:p>
        </w:tc>
        <w:tc>
          <w:tcPr>
            <w:tcW w:w="608" w:type="pct"/>
            <w:gridSpan w:val="2"/>
            <w:hideMark/>
          </w:tcPr>
          <w:p w14:paraId="2CAF16DD" w14:textId="77777777" w:rsidR="00C67148" w:rsidRDefault="00C67148" w:rsidP="00E86771">
            <w:pPr>
              <w:spacing w:line="360" w:lineRule="auto"/>
            </w:pPr>
            <w:r>
              <w:t> (19.3%)</w:t>
            </w:r>
          </w:p>
        </w:tc>
      </w:tr>
      <w:tr w:rsidR="00C67148" w14:paraId="7645FE6A" w14:textId="77777777" w:rsidTr="00DB4F65">
        <w:tc>
          <w:tcPr>
            <w:tcW w:w="3784" w:type="pct"/>
            <w:gridSpan w:val="2"/>
            <w:hideMark/>
          </w:tcPr>
          <w:p w14:paraId="1095B7F0" w14:textId="77777777" w:rsidR="00C67148" w:rsidRDefault="00C67148" w:rsidP="00E86771">
            <w:pPr>
              <w:spacing w:line="360" w:lineRule="auto"/>
              <w:rPr>
                <w:b/>
                <w:bCs/>
              </w:rPr>
            </w:pPr>
            <w:r>
              <w:rPr>
                <w:b/>
                <w:bCs/>
              </w:rPr>
              <w:t xml:space="preserve">  NHS hospital</w:t>
            </w:r>
          </w:p>
        </w:tc>
        <w:tc>
          <w:tcPr>
            <w:tcW w:w="608" w:type="pct"/>
            <w:gridSpan w:val="2"/>
            <w:hideMark/>
          </w:tcPr>
          <w:p w14:paraId="5ABE2D28" w14:textId="77777777" w:rsidR="00C67148" w:rsidRDefault="00C67148" w:rsidP="00E86771">
            <w:pPr>
              <w:spacing w:line="360" w:lineRule="auto"/>
            </w:pPr>
            <w:r>
              <w:t>835</w:t>
            </w:r>
          </w:p>
        </w:tc>
        <w:tc>
          <w:tcPr>
            <w:tcW w:w="608" w:type="pct"/>
            <w:gridSpan w:val="2"/>
            <w:hideMark/>
          </w:tcPr>
          <w:p w14:paraId="4CD72F7F" w14:textId="77777777" w:rsidR="00C67148" w:rsidRDefault="00C67148" w:rsidP="00E86771">
            <w:pPr>
              <w:spacing w:line="360" w:lineRule="auto"/>
            </w:pPr>
            <w:r>
              <w:t> (18.8%)</w:t>
            </w:r>
          </w:p>
        </w:tc>
      </w:tr>
      <w:tr w:rsidR="00C67148" w14:paraId="246EC52A" w14:textId="77777777" w:rsidTr="00DB4F65">
        <w:tc>
          <w:tcPr>
            <w:tcW w:w="3784" w:type="pct"/>
            <w:gridSpan w:val="2"/>
            <w:hideMark/>
          </w:tcPr>
          <w:p w14:paraId="763E1C32" w14:textId="77777777" w:rsidR="00C67148" w:rsidRDefault="00C67148" w:rsidP="00E86771">
            <w:pPr>
              <w:spacing w:line="360" w:lineRule="auto"/>
              <w:rPr>
                <w:b/>
                <w:bCs/>
              </w:rPr>
            </w:pPr>
            <w:r>
              <w:rPr>
                <w:b/>
                <w:bCs/>
              </w:rPr>
              <w:t xml:space="preserve">  Unknown</w:t>
            </w:r>
          </w:p>
        </w:tc>
        <w:tc>
          <w:tcPr>
            <w:tcW w:w="608" w:type="pct"/>
            <w:gridSpan w:val="2"/>
            <w:hideMark/>
          </w:tcPr>
          <w:p w14:paraId="47CC9563" w14:textId="77777777" w:rsidR="00C67148" w:rsidRDefault="00C67148" w:rsidP="00E86771">
            <w:pPr>
              <w:spacing w:line="360" w:lineRule="auto"/>
            </w:pPr>
            <w:r>
              <w:t>41</w:t>
            </w:r>
          </w:p>
        </w:tc>
        <w:tc>
          <w:tcPr>
            <w:tcW w:w="608" w:type="pct"/>
            <w:gridSpan w:val="2"/>
            <w:hideMark/>
          </w:tcPr>
          <w:p w14:paraId="0E8BCE1C" w14:textId="77777777" w:rsidR="00C67148" w:rsidRDefault="00C67148" w:rsidP="00E86771">
            <w:pPr>
              <w:spacing w:line="360" w:lineRule="auto"/>
            </w:pPr>
            <w:r>
              <w:t> (0.9%)</w:t>
            </w:r>
          </w:p>
        </w:tc>
      </w:tr>
      <w:tr w:rsidR="00C67148" w14:paraId="0DC62316" w14:textId="77777777" w:rsidTr="00DB4F65">
        <w:tc>
          <w:tcPr>
            <w:tcW w:w="3784" w:type="pct"/>
            <w:gridSpan w:val="2"/>
            <w:hideMark/>
          </w:tcPr>
          <w:p w14:paraId="488EB08D" w14:textId="77777777" w:rsidR="00C67148" w:rsidRDefault="00C67148" w:rsidP="00E86771">
            <w:pPr>
              <w:spacing w:line="360" w:lineRule="auto"/>
              <w:rPr>
                <w:b/>
                <w:bCs/>
              </w:rPr>
            </w:pPr>
            <w:r>
              <w:rPr>
                <w:b/>
                <w:bCs/>
              </w:rPr>
              <w:t xml:space="preserve">  Dead</w:t>
            </w:r>
          </w:p>
        </w:tc>
        <w:tc>
          <w:tcPr>
            <w:tcW w:w="608" w:type="pct"/>
            <w:gridSpan w:val="2"/>
            <w:hideMark/>
          </w:tcPr>
          <w:p w14:paraId="2517F853" w14:textId="77777777" w:rsidR="00C67148" w:rsidRDefault="00C67148" w:rsidP="00E86771">
            <w:pPr>
              <w:spacing w:line="360" w:lineRule="auto"/>
            </w:pPr>
            <w:r>
              <w:t>266</w:t>
            </w:r>
          </w:p>
        </w:tc>
        <w:tc>
          <w:tcPr>
            <w:tcW w:w="608" w:type="pct"/>
            <w:gridSpan w:val="2"/>
            <w:hideMark/>
          </w:tcPr>
          <w:p w14:paraId="239E5F99" w14:textId="77777777" w:rsidR="00C67148" w:rsidRDefault="00C67148" w:rsidP="00E86771">
            <w:pPr>
              <w:spacing w:line="360" w:lineRule="auto"/>
            </w:pPr>
            <w:r>
              <w:t> (6.0%)</w:t>
            </w:r>
          </w:p>
        </w:tc>
      </w:tr>
      <w:tr w:rsidR="00C67148" w14:paraId="32CED826" w14:textId="77777777" w:rsidTr="00DB4F65">
        <w:tc>
          <w:tcPr>
            <w:tcW w:w="3784" w:type="pct"/>
            <w:gridSpan w:val="2"/>
            <w:hideMark/>
          </w:tcPr>
          <w:p w14:paraId="053CC6CE" w14:textId="77777777" w:rsidR="00C67148" w:rsidRDefault="00C67148" w:rsidP="00E86771">
            <w:pPr>
              <w:spacing w:line="360" w:lineRule="auto"/>
              <w:rPr>
                <w:b/>
                <w:bCs/>
              </w:rPr>
            </w:pPr>
            <w:r>
              <w:rPr>
                <w:b/>
                <w:bCs/>
              </w:rPr>
              <w:t>Care home within 1 year of index fracture</w:t>
            </w:r>
          </w:p>
        </w:tc>
        <w:tc>
          <w:tcPr>
            <w:tcW w:w="608" w:type="pct"/>
            <w:gridSpan w:val="2"/>
            <w:hideMark/>
          </w:tcPr>
          <w:p w14:paraId="07A38F14" w14:textId="77777777" w:rsidR="00C67148" w:rsidRDefault="00C67148" w:rsidP="00E86771">
            <w:pPr>
              <w:spacing w:line="360" w:lineRule="auto"/>
            </w:pPr>
            <w:r>
              <w:t>706</w:t>
            </w:r>
          </w:p>
        </w:tc>
        <w:tc>
          <w:tcPr>
            <w:tcW w:w="608" w:type="pct"/>
            <w:gridSpan w:val="2"/>
            <w:hideMark/>
          </w:tcPr>
          <w:p w14:paraId="28B49542" w14:textId="77777777" w:rsidR="00C67148" w:rsidRDefault="00C67148" w:rsidP="00E86771">
            <w:pPr>
              <w:spacing w:line="360" w:lineRule="auto"/>
            </w:pPr>
            <w:r>
              <w:t> (22.5%)</w:t>
            </w:r>
          </w:p>
        </w:tc>
      </w:tr>
      <w:tr w:rsidR="00C67148" w14:paraId="63936E8F" w14:textId="77777777" w:rsidTr="00DB4F65">
        <w:tc>
          <w:tcPr>
            <w:tcW w:w="3784" w:type="pct"/>
            <w:gridSpan w:val="2"/>
            <w:hideMark/>
          </w:tcPr>
          <w:p w14:paraId="4446F51C" w14:textId="77777777" w:rsidR="00C67148" w:rsidRDefault="00C67148" w:rsidP="00E86771">
            <w:pPr>
              <w:spacing w:line="360" w:lineRule="auto"/>
              <w:rPr>
                <w:b/>
                <w:bCs/>
              </w:rPr>
            </w:pPr>
            <w:r>
              <w:rPr>
                <w:b/>
                <w:bCs/>
              </w:rPr>
              <w:t>Primary care contacts within 1 year of fracture, mean (SD)</w:t>
            </w:r>
          </w:p>
        </w:tc>
        <w:tc>
          <w:tcPr>
            <w:tcW w:w="608" w:type="pct"/>
            <w:gridSpan w:val="2"/>
            <w:hideMark/>
          </w:tcPr>
          <w:p w14:paraId="7135FBB3" w14:textId="77777777" w:rsidR="00C67148" w:rsidRDefault="00C67148" w:rsidP="00E86771">
            <w:pPr>
              <w:spacing w:line="360" w:lineRule="auto"/>
            </w:pPr>
            <w:r>
              <w:t> </w:t>
            </w:r>
          </w:p>
        </w:tc>
        <w:tc>
          <w:tcPr>
            <w:tcW w:w="608" w:type="pct"/>
            <w:gridSpan w:val="2"/>
            <w:hideMark/>
          </w:tcPr>
          <w:p w14:paraId="3F05FBA3" w14:textId="77777777" w:rsidR="00C67148" w:rsidRDefault="00C67148" w:rsidP="00E86771">
            <w:pPr>
              <w:spacing w:line="360" w:lineRule="auto"/>
            </w:pPr>
            <w:r>
              <w:t> </w:t>
            </w:r>
          </w:p>
        </w:tc>
      </w:tr>
      <w:tr w:rsidR="00C67148" w14:paraId="4223313A" w14:textId="77777777" w:rsidTr="00DB4F65">
        <w:tc>
          <w:tcPr>
            <w:tcW w:w="3784" w:type="pct"/>
            <w:gridSpan w:val="2"/>
            <w:hideMark/>
          </w:tcPr>
          <w:p w14:paraId="2A0555B1" w14:textId="77777777" w:rsidR="00C67148" w:rsidRDefault="00C67148" w:rsidP="00E86771">
            <w:pPr>
              <w:spacing w:line="360" w:lineRule="auto"/>
              <w:rPr>
                <w:b/>
                <w:bCs/>
              </w:rPr>
            </w:pPr>
            <w:r>
              <w:rPr>
                <w:b/>
                <w:bCs/>
              </w:rPr>
              <w:t xml:space="preserve">  GP consultation at clinic/surgery </w:t>
            </w:r>
          </w:p>
        </w:tc>
        <w:tc>
          <w:tcPr>
            <w:tcW w:w="608" w:type="pct"/>
            <w:gridSpan w:val="2"/>
            <w:hideMark/>
          </w:tcPr>
          <w:p w14:paraId="29B536CD" w14:textId="77777777" w:rsidR="00C67148" w:rsidRDefault="00C67148" w:rsidP="00E86771">
            <w:pPr>
              <w:spacing w:line="360" w:lineRule="auto"/>
            </w:pPr>
            <w:r>
              <w:t>6.5</w:t>
            </w:r>
          </w:p>
        </w:tc>
        <w:tc>
          <w:tcPr>
            <w:tcW w:w="608" w:type="pct"/>
            <w:gridSpan w:val="2"/>
            <w:hideMark/>
          </w:tcPr>
          <w:p w14:paraId="28042599" w14:textId="77777777" w:rsidR="00C67148" w:rsidRDefault="00C67148" w:rsidP="00E86771">
            <w:pPr>
              <w:spacing w:line="360" w:lineRule="auto"/>
            </w:pPr>
            <w:r>
              <w:t>(7.2)</w:t>
            </w:r>
          </w:p>
        </w:tc>
      </w:tr>
      <w:tr w:rsidR="00C67148" w14:paraId="31F80F73" w14:textId="77777777" w:rsidTr="00DB4F65">
        <w:tc>
          <w:tcPr>
            <w:tcW w:w="3784" w:type="pct"/>
            <w:gridSpan w:val="2"/>
            <w:hideMark/>
          </w:tcPr>
          <w:p w14:paraId="5B246552" w14:textId="77777777" w:rsidR="00C67148" w:rsidRDefault="00C67148" w:rsidP="00E86771">
            <w:pPr>
              <w:spacing w:line="360" w:lineRule="auto"/>
              <w:rPr>
                <w:b/>
                <w:bCs/>
              </w:rPr>
            </w:pPr>
            <w:r>
              <w:rPr>
                <w:b/>
                <w:bCs/>
              </w:rPr>
              <w:t xml:space="preserve">  GP consultation out of office</w:t>
            </w:r>
          </w:p>
        </w:tc>
        <w:tc>
          <w:tcPr>
            <w:tcW w:w="608" w:type="pct"/>
            <w:gridSpan w:val="2"/>
            <w:hideMark/>
          </w:tcPr>
          <w:p w14:paraId="1E4FE02B" w14:textId="77777777" w:rsidR="00C67148" w:rsidRDefault="00C67148" w:rsidP="00E86771">
            <w:pPr>
              <w:spacing w:line="360" w:lineRule="auto"/>
            </w:pPr>
            <w:r>
              <w:t>0.8</w:t>
            </w:r>
          </w:p>
        </w:tc>
        <w:tc>
          <w:tcPr>
            <w:tcW w:w="608" w:type="pct"/>
            <w:gridSpan w:val="2"/>
            <w:hideMark/>
          </w:tcPr>
          <w:p w14:paraId="7957A23E" w14:textId="77777777" w:rsidR="00C67148" w:rsidRDefault="00C67148" w:rsidP="00E86771">
            <w:pPr>
              <w:spacing w:line="360" w:lineRule="auto"/>
            </w:pPr>
            <w:r>
              <w:t>(2.0)</w:t>
            </w:r>
          </w:p>
        </w:tc>
      </w:tr>
      <w:tr w:rsidR="00C67148" w14:paraId="4FCE8408" w14:textId="77777777" w:rsidTr="00DB4F65">
        <w:tc>
          <w:tcPr>
            <w:tcW w:w="3784" w:type="pct"/>
            <w:gridSpan w:val="2"/>
            <w:hideMark/>
          </w:tcPr>
          <w:p w14:paraId="14756A0C" w14:textId="77777777" w:rsidR="00C67148" w:rsidRDefault="00C67148" w:rsidP="00E86771">
            <w:pPr>
              <w:spacing w:line="360" w:lineRule="auto"/>
              <w:rPr>
                <w:b/>
                <w:bCs/>
              </w:rPr>
            </w:pPr>
            <w:r>
              <w:rPr>
                <w:b/>
                <w:bCs/>
              </w:rPr>
              <w:t xml:space="preserve">  GP telephone contact</w:t>
            </w:r>
          </w:p>
        </w:tc>
        <w:tc>
          <w:tcPr>
            <w:tcW w:w="608" w:type="pct"/>
            <w:gridSpan w:val="2"/>
            <w:hideMark/>
          </w:tcPr>
          <w:p w14:paraId="77721BD5" w14:textId="77777777" w:rsidR="00C67148" w:rsidRDefault="00C67148" w:rsidP="00E86771">
            <w:pPr>
              <w:spacing w:line="360" w:lineRule="auto"/>
            </w:pPr>
            <w:r>
              <w:t>1.1</w:t>
            </w:r>
          </w:p>
        </w:tc>
        <w:tc>
          <w:tcPr>
            <w:tcW w:w="608" w:type="pct"/>
            <w:gridSpan w:val="2"/>
            <w:hideMark/>
          </w:tcPr>
          <w:p w14:paraId="6FA2B389" w14:textId="77777777" w:rsidR="00C67148" w:rsidRDefault="00C67148" w:rsidP="00E86771">
            <w:pPr>
              <w:spacing w:line="360" w:lineRule="auto"/>
            </w:pPr>
            <w:r>
              <w:t>(2.5)</w:t>
            </w:r>
          </w:p>
        </w:tc>
      </w:tr>
      <w:tr w:rsidR="00C67148" w14:paraId="52AEB350" w14:textId="77777777" w:rsidTr="00DB4F65">
        <w:tc>
          <w:tcPr>
            <w:tcW w:w="3784" w:type="pct"/>
            <w:gridSpan w:val="2"/>
            <w:hideMark/>
          </w:tcPr>
          <w:p w14:paraId="40AC0B16" w14:textId="77777777" w:rsidR="00C67148" w:rsidRDefault="00C67148" w:rsidP="00E86771">
            <w:pPr>
              <w:spacing w:line="360" w:lineRule="auto"/>
              <w:rPr>
                <w:b/>
                <w:bCs/>
              </w:rPr>
            </w:pPr>
            <w:r>
              <w:rPr>
                <w:b/>
                <w:bCs/>
              </w:rPr>
              <w:t xml:space="preserve">  Nurse contacts (surgery/out of office/telephone)</w:t>
            </w:r>
          </w:p>
        </w:tc>
        <w:tc>
          <w:tcPr>
            <w:tcW w:w="608" w:type="pct"/>
            <w:gridSpan w:val="2"/>
            <w:hideMark/>
          </w:tcPr>
          <w:p w14:paraId="23321F37" w14:textId="77777777" w:rsidR="00C67148" w:rsidRDefault="00C67148" w:rsidP="00E86771">
            <w:pPr>
              <w:spacing w:line="360" w:lineRule="auto"/>
            </w:pPr>
            <w:r>
              <w:t>0.2</w:t>
            </w:r>
          </w:p>
        </w:tc>
        <w:tc>
          <w:tcPr>
            <w:tcW w:w="608" w:type="pct"/>
            <w:gridSpan w:val="2"/>
            <w:hideMark/>
          </w:tcPr>
          <w:p w14:paraId="54E43AC0" w14:textId="77777777" w:rsidR="00C67148" w:rsidRDefault="00C67148" w:rsidP="00E86771">
            <w:pPr>
              <w:spacing w:line="360" w:lineRule="auto"/>
            </w:pPr>
            <w:r>
              <w:t>(0.8)</w:t>
            </w:r>
          </w:p>
        </w:tc>
      </w:tr>
      <w:tr w:rsidR="00C67148" w14:paraId="293A6577" w14:textId="77777777" w:rsidTr="00DB4F65">
        <w:tc>
          <w:tcPr>
            <w:tcW w:w="3784" w:type="pct"/>
            <w:gridSpan w:val="2"/>
            <w:hideMark/>
          </w:tcPr>
          <w:p w14:paraId="1321DC8E" w14:textId="77777777" w:rsidR="00C67148" w:rsidRDefault="00C67148" w:rsidP="00E86771">
            <w:pPr>
              <w:spacing w:line="360" w:lineRule="auto"/>
              <w:rPr>
                <w:b/>
                <w:bCs/>
              </w:rPr>
            </w:pPr>
            <w:r>
              <w:rPr>
                <w:b/>
                <w:bCs/>
              </w:rPr>
              <w:t xml:space="preserve">  Other healthcare professionals contacts (surgery/out of office/telephone)</w:t>
            </w:r>
          </w:p>
        </w:tc>
        <w:tc>
          <w:tcPr>
            <w:tcW w:w="608" w:type="pct"/>
            <w:gridSpan w:val="2"/>
            <w:hideMark/>
          </w:tcPr>
          <w:p w14:paraId="1516FAEC" w14:textId="77777777" w:rsidR="00C67148" w:rsidRDefault="00C67148" w:rsidP="00E86771">
            <w:pPr>
              <w:spacing w:line="360" w:lineRule="auto"/>
            </w:pPr>
            <w:r>
              <w:t>0.6</w:t>
            </w:r>
          </w:p>
        </w:tc>
        <w:tc>
          <w:tcPr>
            <w:tcW w:w="608" w:type="pct"/>
            <w:gridSpan w:val="2"/>
            <w:hideMark/>
          </w:tcPr>
          <w:p w14:paraId="2DA4E037" w14:textId="77777777" w:rsidR="00C67148" w:rsidRDefault="00C67148" w:rsidP="00E86771">
            <w:pPr>
              <w:spacing w:line="360" w:lineRule="auto"/>
            </w:pPr>
            <w:r>
              <w:t>(2.1)</w:t>
            </w:r>
          </w:p>
        </w:tc>
      </w:tr>
      <w:tr w:rsidR="00C67148" w14:paraId="0A9781BE" w14:textId="77777777" w:rsidTr="00DB4F65">
        <w:tc>
          <w:tcPr>
            <w:tcW w:w="3784" w:type="pct"/>
            <w:gridSpan w:val="2"/>
            <w:hideMark/>
          </w:tcPr>
          <w:p w14:paraId="405344A5" w14:textId="77777777" w:rsidR="00C67148" w:rsidRDefault="00C67148" w:rsidP="00E86771">
            <w:pPr>
              <w:spacing w:line="360" w:lineRule="auto"/>
              <w:rPr>
                <w:b/>
                <w:bCs/>
              </w:rPr>
            </w:pPr>
            <w:r>
              <w:rPr>
                <w:b/>
                <w:bCs/>
              </w:rPr>
              <w:t xml:space="preserve">  Medications and non-pharmaceuticals prescribed</w:t>
            </w:r>
          </w:p>
        </w:tc>
        <w:tc>
          <w:tcPr>
            <w:tcW w:w="608" w:type="pct"/>
            <w:gridSpan w:val="2"/>
            <w:hideMark/>
          </w:tcPr>
          <w:p w14:paraId="557D538B" w14:textId="77777777" w:rsidR="00C67148" w:rsidRDefault="00C67148" w:rsidP="00E86771">
            <w:pPr>
              <w:spacing w:line="360" w:lineRule="auto"/>
            </w:pPr>
            <w:r>
              <w:t>66.8</w:t>
            </w:r>
          </w:p>
        </w:tc>
        <w:tc>
          <w:tcPr>
            <w:tcW w:w="608" w:type="pct"/>
            <w:gridSpan w:val="2"/>
            <w:hideMark/>
          </w:tcPr>
          <w:p w14:paraId="43FAE106" w14:textId="77777777" w:rsidR="00C67148" w:rsidRDefault="00C67148" w:rsidP="00E86771">
            <w:pPr>
              <w:spacing w:line="360" w:lineRule="auto"/>
            </w:pPr>
            <w:r>
              <w:t>(86.6)</w:t>
            </w:r>
          </w:p>
        </w:tc>
      </w:tr>
      <w:tr w:rsidR="00C67148" w14:paraId="76036306" w14:textId="77777777" w:rsidTr="00DB4F65">
        <w:tc>
          <w:tcPr>
            <w:tcW w:w="3784" w:type="pct"/>
            <w:gridSpan w:val="2"/>
            <w:hideMark/>
          </w:tcPr>
          <w:p w14:paraId="71591257" w14:textId="77777777" w:rsidR="00C67148" w:rsidRDefault="00C67148" w:rsidP="00E86771">
            <w:pPr>
              <w:spacing w:line="360" w:lineRule="auto"/>
              <w:rPr>
                <w:b/>
                <w:bCs/>
              </w:rPr>
            </w:pPr>
            <w:r>
              <w:rPr>
                <w:b/>
                <w:bCs/>
              </w:rPr>
              <w:t>Primary costs within 1 year of fracture</w:t>
            </w:r>
            <w:r>
              <w:rPr>
                <w:b/>
                <w:bCs/>
                <w:vertAlign w:val="superscript"/>
              </w:rPr>
              <w:t>1</w:t>
            </w:r>
            <w:r>
              <w:rPr>
                <w:b/>
                <w:bCs/>
              </w:rPr>
              <w:t>, mean (SD)</w:t>
            </w:r>
          </w:p>
        </w:tc>
        <w:tc>
          <w:tcPr>
            <w:tcW w:w="608" w:type="pct"/>
            <w:gridSpan w:val="2"/>
          </w:tcPr>
          <w:p w14:paraId="012175EA" w14:textId="77777777" w:rsidR="00C67148" w:rsidRDefault="00C67148" w:rsidP="00E86771">
            <w:pPr>
              <w:spacing w:line="360" w:lineRule="auto"/>
            </w:pPr>
          </w:p>
        </w:tc>
        <w:tc>
          <w:tcPr>
            <w:tcW w:w="608" w:type="pct"/>
            <w:gridSpan w:val="2"/>
          </w:tcPr>
          <w:p w14:paraId="7BB55178" w14:textId="77777777" w:rsidR="00C67148" w:rsidRDefault="00C67148" w:rsidP="00E86771">
            <w:pPr>
              <w:spacing w:line="360" w:lineRule="auto"/>
            </w:pPr>
          </w:p>
        </w:tc>
      </w:tr>
      <w:tr w:rsidR="00C67148" w14:paraId="6397B2D1" w14:textId="77777777" w:rsidTr="00DB4F65">
        <w:tc>
          <w:tcPr>
            <w:tcW w:w="3784" w:type="pct"/>
            <w:gridSpan w:val="2"/>
            <w:hideMark/>
          </w:tcPr>
          <w:p w14:paraId="7AFAE146" w14:textId="77777777" w:rsidR="00C67148" w:rsidRDefault="00C67148" w:rsidP="00E86771">
            <w:pPr>
              <w:spacing w:line="360" w:lineRule="auto"/>
              <w:rPr>
                <w:b/>
                <w:bCs/>
              </w:rPr>
            </w:pPr>
            <w:r>
              <w:rPr>
                <w:b/>
                <w:bCs/>
              </w:rPr>
              <w:t xml:space="preserve">  GP contacts</w:t>
            </w:r>
          </w:p>
        </w:tc>
        <w:tc>
          <w:tcPr>
            <w:tcW w:w="608" w:type="pct"/>
            <w:gridSpan w:val="2"/>
            <w:hideMark/>
          </w:tcPr>
          <w:p w14:paraId="05A143A1" w14:textId="77777777" w:rsidR="00C67148" w:rsidRDefault="00C67148" w:rsidP="00E86771">
            <w:pPr>
              <w:spacing w:line="360" w:lineRule="auto"/>
            </w:pPr>
            <w:r>
              <w:t>£358</w:t>
            </w:r>
          </w:p>
        </w:tc>
        <w:tc>
          <w:tcPr>
            <w:tcW w:w="608" w:type="pct"/>
            <w:gridSpan w:val="2"/>
            <w:hideMark/>
          </w:tcPr>
          <w:p w14:paraId="16AC1B15" w14:textId="77777777" w:rsidR="00C67148" w:rsidRDefault="00C67148" w:rsidP="00E86771">
            <w:pPr>
              <w:spacing w:line="360" w:lineRule="auto"/>
            </w:pPr>
            <w:r>
              <w:t>(409)</w:t>
            </w:r>
          </w:p>
        </w:tc>
      </w:tr>
      <w:tr w:rsidR="00C67148" w14:paraId="407FB782" w14:textId="77777777" w:rsidTr="00DB4F65">
        <w:tc>
          <w:tcPr>
            <w:tcW w:w="3784" w:type="pct"/>
            <w:gridSpan w:val="2"/>
            <w:hideMark/>
          </w:tcPr>
          <w:p w14:paraId="4DB3F2FC" w14:textId="77777777" w:rsidR="00C67148" w:rsidRDefault="00C67148" w:rsidP="00E86771">
            <w:pPr>
              <w:spacing w:line="360" w:lineRule="auto"/>
              <w:rPr>
                <w:b/>
                <w:bCs/>
              </w:rPr>
            </w:pPr>
            <w:r>
              <w:rPr>
                <w:b/>
                <w:bCs/>
              </w:rPr>
              <w:t xml:space="preserve">  Contacts with nurse and other healthcare professionals</w:t>
            </w:r>
          </w:p>
        </w:tc>
        <w:tc>
          <w:tcPr>
            <w:tcW w:w="608" w:type="pct"/>
            <w:gridSpan w:val="2"/>
            <w:hideMark/>
          </w:tcPr>
          <w:p w14:paraId="0B7D9F71" w14:textId="77777777" w:rsidR="00C67148" w:rsidRDefault="00C67148" w:rsidP="00E86771">
            <w:pPr>
              <w:spacing w:line="360" w:lineRule="auto"/>
            </w:pPr>
            <w:r>
              <w:t>£76</w:t>
            </w:r>
          </w:p>
        </w:tc>
        <w:tc>
          <w:tcPr>
            <w:tcW w:w="608" w:type="pct"/>
            <w:gridSpan w:val="2"/>
            <w:hideMark/>
          </w:tcPr>
          <w:p w14:paraId="6D5A691F" w14:textId="77777777" w:rsidR="00C67148" w:rsidRDefault="00C67148" w:rsidP="00E86771">
            <w:pPr>
              <w:spacing w:line="360" w:lineRule="auto"/>
            </w:pPr>
            <w:r>
              <w:t>(365)</w:t>
            </w:r>
          </w:p>
        </w:tc>
      </w:tr>
      <w:tr w:rsidR="00C67148" w14:paraId="5F2802A4" w14:textId="77777777" w:rsidTr="00DB4F65">
        <w:tc>
          <w:tcPr>
            <w:tcW w:w="3784" w:type="pct"/>
            <w:gridSpan w:val="2"/>
            <w:hideMark/>
          </w:tcPr>
          <w:p w14:paraId="7EAFC9C5" w14:textId="77777777" w:rsidR="00C67148" w:rsidRDefault="00C67148" w:rsidP="00E86771">
            <w:pPr>
              <w:spacing w:line="360" w:lineRule="auto"/>
              <w:rPr>
                <w:b/>
                <w:bCs/>
              </w:rPr>
            </w:pPr>
            <w:r>
              <w:rPr>
                <w:b/>
                <w:bCs/>
              </w:rPr>
              <w:t xml:space="preserve">  Medications and non-pharmaceuticals</w:t>
            </w:r>
          </w:p>
        </w:tc>
        <w:tc>
          <w:tcPr>
            <w:tcW w:w="608" w:type="pct"/>
            <w:gridSpan w:val="2"/>
            <w:hideMark/>
          </w:tcPr>
          <w:p w14:paraId="38DC78B6" w14:textId="77777777" w:rsidR="00C67148" w:rsidRDefault="00C67148" w:rsidP="00E86771">
            <w:pPr>
              <w:spacing w:line="360" w:lineRule="auto"/>
            </w:pPr>
            <w:r>
              <w:t>£614</w:t>
            </w:r>
          </w:p>
        </w:tc>
        <w:tc>
          <w:tcPr>
            <w:tcW w:w="608" w:type="pct"/>
            <w:gridSpan w:val="2"/>
            <w:hideMark/>
          </w:tcPr>
          <w:p w14:paraId="7D0FB88D" w14:textId="77777777" w:rsidR="00C67148" w:rsidRDefault="00C67148" w:rsidP="00E86771">
            <w:pPr>
              <w:spacing w:line="360" w:lineRule="auto"/>
            </w:pPr>
            <w:r>
              <w:t>(1586)</w:t>
            </w:r>
          </w:p>
        </w:tc>
      </w:tr>
      <w:tr w:rsidR="00C67148" w14:paraId="3751E67B" w14:textId="77777777" w:rsidTr="00DB4F65">
        <w:tc>
          <w:tcPr>
            <w:tcW w:w="3784" w:type="pct"/>
            <w:gridSpan w:val="2"/>
            <w:hideMark/>
          </w:tcPr>
          <w:p w14:paraId="1CFA2C84" w14:textId="77777777" w:rsidR="00C67148" w:rsidRDefault="00C67148" w:rsidP="00E86771">
            <w:pPr>
              <w:spacing w:line="360" w:lineRule="auto"/>
              <w:rPr>
                <w:b/>
                <w:bCs/>
              </w:rPr>
            </w:pPr>
            <w:r>
              <w:rPr>
                <w:b/>
                <w:bCs/>
              </w:rPr>
              <w:t xml:space="preserve">  Tests taken</w:t>
            </w:r>
          </w:p>
        </w:tc>
        <w:tc>
          <w:tcPr>
            <w:tcW w:w="608" w:type="pct"/>
            <w:gridSpan w:val="2"/>
            <w:hideMark/>
          </w:tcPr>
          <w:p w14:paraId="448A7CC0" w14:textId="77777777" w:rsidR="00C67148" w:rsidRDefault="00C67148" w:rsidP="00E86771">
            <w:pPr>
              <w:spacing w:line="360" w:lineRule="auto"/>
            </w:pPr>
            <w:r>
              <w:t>£111</w:t>
            </w:r>
          </w:p>
        </w:tc>
        <w:tc>
          <w:tcPr>
            <w:tcW w:w="608" w:type="pct"/>
            <w:gridSpan w:val="2"/>
            <w:hideMark/>
          </w:tcPr>
          <w:p w14:paraId="0FE09F74" w14:textId="77777777" w:rsidR="00C67148" w:rsidRDefault="00C67148" w:rsidP="00E86771">
            <w:pPr>
              <w:spacing w:line="360" w:lineRule="auto"/>
            </w:pPr>
            <w:r>
              <w:t>(144)</w:t>
            </w:r>
          </w:p>
        </w:tc>
      </w:tr>
      <w:tr w:rsidR="00C67148" w14:paraId="35495CF5" w14:textId="77777777" w:rsidTr="00DB4F65">
        <w:tc>
          <w:tcPr>
            <w:tcW w:w="3784" w:type="pct"/>
            <w:gridSpan w:val="2"/>
            <w:hideMark/>
          </w:tcPr>
          <w:p w14:paraId="5C03BF25" w14:textId="77777777" w:rsidR="00C67148" w:rsidRDefault="00C67148" w:rsidP="00E86771">
            <w:pPr>
              <w:spacing w:line="360" w:lineRule="auto"/>
              <w:rPr>
                <w:b/>
                <w:bCs/>
              </w:rPr>
            </w:pPr>
            <w:r>
              <w:rPr>
                <w:b/>
                <w:bCs/>
              </w:rPr>
              <w:t xml:space="preserve">  Total costs</w:t>
            </w:r>
          </w:p>
        </w:tc>
        <w:tc>
          <w:tcPr>
            <w:tcW w:w="608" w:type="pct"/>
            <w:gridSpan w:val="2"/>
            <w:hideMark/>
          </w:tcPr>
          <w:p w14:paraId="16C8CCB4" w14:textId="77777777" w:rsidR="00C67148" w:rsidRDefault="00C67148" w:rsidP="00E86771">
            <w:pPr>
              <w:spacing w:line="360" w:lineRule="auto"/>
            </w:pPr>
            <w:r>
              <w:t>£1065</w:t>
            </w:r>
          </w:p>
        </w:tc>
        <w:tc>
          <w:tcPr>
            <w:tcW w:w="608" w:type="pct"/>
            <w:gridSpan w:val="2"/>
            <w:hideMark/>
          </w:tcPr>
          <w:p w14:paraId="3061DC33" w14:textId="77777777" w:rsidR="00C67148" w:rsidRDefault="00C67148" w:rsidP="00E86771">
            <w:pPr>
              <w:spacing w:line="360" w:lineRule="auto"/>
            </w:pPr>
            <w:r>
              <w:t>(1798)</w:t>
            </w:r>
          </w:p>
        </w:tc>
      </w:tr>
    </w:tbl>
    <w:p w14:paraId="5A7FE0F8" w14:textId="77777777" w:rsidR="002A383E" w:rsidRPr="00591BFC" w:rsidRDefault="002A383E" w:rsidP="00E86771">
      <w:pPr>
        <w:spacing w:line="360" w:lineRule="auto"/>
      </w:pPr>
      <w:r w:rsidRPr="00591BFC">
        <w:rPr>
          <w:b/>
          <w:vertAlign w:val="superscript"/>
        </w:rPr>
        <w:t>1</w:t>
      </w:r>
      <w:r w:rsidRPr="00591BFC">
        <w:t xml:space="preserve"> Cases with complete follow up, including those who died in that year (n=3910)</w:t>
      </w:r>
    </w:p>
    <w:p w14:paraId="00D3AB25" w14:textId="77777777" w:rsidR="00101047" w:rsidRPr="00591BFC" w:rsidRDefault="002149AD" w:rsidP="00E86771">
      <w:pPr>
        <w:keepNext/>
        <w:spacing w:line="360" w:lineRule="auto"/>
      </w:pPr>
      <w:r>
        <w:pict w14:anchorId="7C078B33">
          <v:group id="Canvas 11" o:spid="_x0000_s1034" style="width:465.95pt;height:456.45pt;mso-position-horizontal-relative:char;mso-position-vertical-relative:line" coordsize="59175,57962">
            <v:shape id="_x0000_s1035" type="#_x0000_t75" style="position:absolute;width:59175;height:57962;visibility:visible">
              <v:fill o:detectmouseclick="t"/>
              <v:path o:connecttype="none"/>
            </v:shape>
            <v:shape id="Picture 10" o:spid="_x0000_s1036" type="#_x0000_t75" style="position:absolute;top:54653;width:59175;height:2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2sAvEAAAA2wAAAA8AAABkcnMvZG93bnJldi54bWxEj0FrwzAMhe+D/QejQW+r0x7KyOqWUmi7&#10;7VKWbrCjiLU4LJaD7abJv58Og90k3tN7n9bb0XdqoJjawAYW8wIUcR1sy42Bj8vh8QlUysgWu8Bk&#10;YKIE28393RpLG278TkOVGyUhnEo04HLuS61T7chjmoeeWLTvED1mWWOjbcSbhPtOL4tipT22LA0O&#10;e9o7qn+qqzdATfT7YfLt6fOret3V0/n45s7GzB7G3TOoTGP+N/9dv1jBF3r5RQb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2sAvEAAAA2wAAAA8AAAAAAAAAAAAAAAAA&#10;nwIAAGRycy9kb3ducmV2LnhtbFBLBQYAAAAABAAEAPcAAACQAwAAAAA=&#10;">
              <v:imagedata r:id="rId39" o:title=""/>
              <v:path arrowok="t"/>
            </v:shape>
            <v:shape id="Picture 8" o:spid="_x0000_s1037" type="#_x0000_t75" style="position:absolute;left:6324;width:52851;height:345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saW7BAAAA2gAAAA8AAABkcnMvZG93bnJldi54bWxET89rwjAUvgv7H8ITdrOpG4hUUxFhbOw0&#10;teB2ezavTbF56ZrMdv71y2Hg8eP7vd6MthVX6n3jWME8SUEQl043XCsoji+zJQgfkDW2jknBL3nY&#10;5A+TNWbaDbyn6yHUIoawz1CBCaHLpPSlIYs+cR1x5CrXWwwR9rXUPQ4x3LbyKU0X0mLDscFgRztD&#10;5eXwYxV8YCeL76/F+2t1/hxuhTmda/2s1ON03K5ABBrDXfzvftMK4tZ4Jd4Am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saW7BAAAA2gAAAA8AAAAAAAAAAAAAAAAAnwIA&#10;AGRycy9kb3ducmV2LnhtbFBLBQYAAAAABAAEAPcAAACNAwAAAAA=&#10;">
              <v:imagedata r:id="rId40" o:title=""/>
              <v:path arrowok="t"/>
            </v:shape>
            <v:shape id="Picture 9" o:spid="_x0000_s1038" type="#_x0000_t75" style="position:absolute;top:34213;width:59175;height:22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3j/7CAAAA2gAAAA8AAABkcnMvZG93bnJldi54bWxEj0+LwjAUxO+C3yE8wZumLvivGsUVBMWT&#10;XS/eHs2zLTYvtYna+unNwsIeh5n5DbNcN6YUT6pdYVnBaBiBIE6tLjhTcP7ZDWYgnEfWWFomBS05&#10;WK+6nSXG2r74RM/EZyJA2MWoIPe+iqV0aU4G3dBWxMG72tqgD7LOpK7xFeCmlF9RNJEGCw4LOVa0&#10;zSm9JQ+jYFq1Fzd+oxkVh317uW/a+fcxUarfazYLEJ4a/x/+a++1gjn8Xgk3QK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N4/+wgAAANoAAAAPAAAAAAAAAAAAAAAAAJ8C&#10;AABkcnMvZG93bnJldi54bWxQSwUGAAAAAAQABAD3AAAAjgMAAAAA&#10;">
              <v:imagedata r:id="rId41" o:title=""/>
              <v:path arrowok="t"/>
            </v:shape>
            <w10:wrap type="none"/>
            <w10:anchorlock/>
          </v:group>
        </w:pict>
      </w:r>
    </w:p>
    <w:p w14:paraId="53596077" w14:textId="77777777" w:rsidR="002A383E" w:rsidRPr="00591BFC" w:rsidRDefault="00101047" w:rsidP="000D4504">
      <w:pPr>
        <w:pStyle w:val="Caption"/>
        <w:spacing w:line="360" w:lineRule="auto"/>
      </w:pPr>
      <w:bookmarkStart w:id="363" w:name="_Ref423076198"/>
      <w:bookmarkStart w:id="364" w:name="_Toc424650338"/>
      <w:bookmarkStart w:id="365" w:name="_Toc311366723"/>
      <w:r w:rsidRPr="00591BFC">
        <w:t xml:space="preserve">Figure </w:t>
      </w:r>
      <w:r w:rsidR="002149AD">
        <w:fldChar w:fldCharType="begin"/>
      </w:r>
      <w:r w:rsidR="002149AD">
        <w:instrText xml:space="preserve"> SEQ Figure \* ARABIC </w:instrText>
      </w:r>
      <w:r w:rsidR="002149AD">
        <w:fldChar w:fldCharType="separate"/>
      </w:r>
      <w:r w:rsidR="003B70E3">
        <w:rPr>
          <w:noProof/>
        </w:rPr>
        <w:t>27</w:t>
      </w:r>
      <w:r w:rsidR="002149AD">
        <w:rPr>
          <w:noProof/>
        </w:rPr>
        <w:fldChar w:fldCharType="end"/>
      </w:r>
      <w:bookmarkEnd w:id="363"/>
      <w:r w:rsidRPr="00591BFC">
        <w:t xml:space="preserve"> Primary care costs in the months before and after primary hip fracture</w:t>
      </w:r>
      <w:r w:rsidR="00C67148">
        <w:t>.</w:t>
      </w:r>
      <w:r w:rsidR="00C67148" w:rsidRPr="00C67148">
        <w:t xml:space="preserve"> 2 year-survivors concerns patients who did not die within 2 years post hip fracture and follow up data were available for this period.</w:t>
      </w:r>
      <w:bookmarkEnd w:id="364"/>
      <w:bookmarkEnd w:id="365"/>
    </w:p>
    <w:p w14:paraId="26D68DA6" w14:textId="77777777" w:rsidR="002A383E" w:rsidRPr="00591BFC" w:rsidRDefault="002A383E" w:rsidP="00E86771">
      <w:pPr>
        <w:pStyle w:val="Heading3"/>
        <w:spacing w:line="360" w:lineRule="auto"/>
        <w:rPr>
          <w:rFonts w:ascii="Calibri" w:hAnsi="Calibri"/>
          <w:lang w:val="en-GB"/>
        </w:rPr>
      </w:pPr>
      <w:bookmarkStart w:id="366" w:name="_Toc308300799"/>
      <w:bookmarkStart w:id="367" w:name="_Toc311366606"/>
      <w:r w:rsidRPr="00591BFC">
        <w:rPr>
          <w:rFonts w:ascii="Calibri" w:hAnsi="Calibri"/>
          <w:lang w:val="en-GB"/>
        </w:rPr>
        <w:t>Total hospital costs before and after index fracture</w:t>
      </w:r>
      <w:bookmarkEnd w:id="366"/>
      <w:bookmarkEnd w:id="367"/>
    </w:p>
    <w:p w14:paraId="1004E523" w14:textId="77777777" w:rsidR="002A383E" w:rsidRPr="00591BFC" w:rsidRDefault="002A383E" w:rsidP="00E86771">
      <w:pPr>
        <w:spacing w:line="360" w:lineRule="auto"/>
      </w:pPr>
      <w:r w:rsidRPr="00591BFC">
        <w:t>Patients who had a primary hip fracture after 1 April 2008 and complete 1-year follow up (44%, n=14,552) were used to compare hospital resource use and total costs in the years before and after the fracture (</w:t>
      </w:r>
      <w:r w:rsidR="00101047" w:rsidRPr="00591BFC">
        <w:rPr>
          <w:b/>
        </w:rPr>
        <w:fldChar w:fldCharType="begin"/>
      </w:r>
      <w:r w:rsidR="00101047" w:rsidRPr="00591BFC">
        <w:instrText xml:space="preserve"> REF _Ref423076303 \h </w:instrText>
      </w:r>
      <w:r w:rsidR="00E814C1" w:rsidRPr="00591BFC">
        <w:rPr>
          <w:b/>
        </w:rPr>
        <w:instrText xml:space="preserve"> \* MERGEFORMAT </w:instrText>
      </w:r>
      <w:r w:rsidR="00101047" w:rsidRPr="00591BFC">
        <w:rPr>
          <w:b/>
        </w:rPr>
      </w:r>
      <w:r w:rsidR="00101047" w:rsidRPr="00591BFC">
        <w:rPr>
          <w:b/>
        </w:rPr>
        <w:fldChar w:fldCharType="separate"/>
      </w:r>
      <w:r w:rsidR="00776C05" w:rsidRPr="00591BFC">
        <w:t xml:space="preserve">Table </w:t>
      </w:r>
      <w:r w:rsidR="00776C05">
        <w:rPr>
          <w:noProof/>
        </w:rPr>
        <w:t>22</w:t>
      </w:r>
      <w:r w:rsidR="00101047" w:rsidRPr="00591BFC">
        <w:rPr>
          <w:b/>
        </w:rPr>
        <w:fldChar w:fldCharType="end"/>
      </w:r>
      <w:r w:rsidRPr="00591BFC">
        <w:t xml:space="preserve">).  In the year of the hip fracture, patients had 1.03 additional hospital admissions (i.e. inpatient stay, day cases and regular day/night attenders) (p&lt;0.001), 27.9 additional hospital inpatient days (p&lt;0.001), 0.54 additional accident and emergency contacts (p&lt;0.001) and 0.01 additional outpatient visits (p&lt;0.001) compared with the previous year. </w:t>
      </w:r>
    </w:p>
    <w:p w14:paraId="26D71C4D" w14:textId="77777777" w:rsidR="002A383E" w:rsidRPr="00591BFC" w:rsidRDefault="002A383E" w:rsidP="00E86771">
      <w:pPr>
        <w:spacing w:line="360" w:lineRule="auto"/>
      </w:pPr>
      <w:r w:rsidRPr="00591BFC">
        <w:lastRenderedPageBreak/>
        <w:t xml:space="preserve">Including both outpatient and emergency contacts, the total costs were estimated at £14,264 </w:t>
      </w:r>
      <w:r w:rsidR="00C67148" w:rsidRPr="00C67148">
        <w:t>(95%</w:t>
      </w:r>
      <w:r w:rsidR="00CA712A">
        <w:t xml:space="preserve"> </w:t>
      </w:r>
      <w:r w:rsidR="00C67148" w:rsidRPr="00C67148">
        <w:t>CI: £14,092-£14,436)</w:t>
      </w:r>
      <w:r w:rsidR="00C67148">
        <w:t xml:space="preserve"> </w:t>
      </w:r>
      <w:r w:rsidRPr="00591BFC">
        <w:t>in the year of the fracture, of which 96% (£13,635) w</w:t>
      </w:r>
      <w:r w:rsidR="00C67148">
        <w:t>as</w:t>
      </w:r>
      <w:r w:rsidRPr="00591BFC">
        <w:t xml:space="preserve"> due to inpatient stay and critical care. Unadjusted for other covariates, men had significantly higher total hospital costs compared to women (£1,188, p&lt;0.001). Having a hip fracture resulted in additional costs of £10,964 (95%</w:t>
      </w:r>
      <w:r w:rsidR="00CA712A">
        <w:t xml:space="preserve"> </w:t>
      </w:r>
      <w:r w:rsidRPr="00591BFC">
        <w:t>CI: £10,767 to £11,161) compared to the year prior to hip fracture. Adjusting for censoring, the 1-year costs were similar to the complete-case analysis at £14,163 (95%</w:t>
      </w:r>
      <w:r w:rsidR="00CA712A">
        <w:t xml:space="preserve"> </w:t>
      </w:r>
      <w:r w:rsidRPr="00591BFC">
        <w:t>CI: £14,008 to £14,317). The costs in the first two years following hip fracture (2-year) adjusted for censoring were £16,302 (95%</w:t>
      </w:r>
      <w:r w:rsidR="00CA712A">
        <w:t xml:space="preserve"> </w:t>
      </w:r>
      <w:r w:rsidRPr="00591BFC">
        <w:t xml:space="preserve">CI: £16,097 to £16,515) compared to £16,270 using only the complete cases (n=12,155). </w:t>
      </w:r>
    </w:p>
    <w:p w14:paraId="25656C5F" w14:textId="77777777" w:rsidR="002A383E" w:rsidRPr="00591BFC" w:rsidRDefault="002A383E" w:rsidP="00E86771">
      <w:pPr>
        <w:spacing w:line="360" w:lineRule="auto"/>
      </w:pPr>
    </w:p>
    <w:p w14:paraId="3EFB4D68" w14:textId="77777777" w:rsidR="00101047" w:rsidRPr="00591BFC" w:rsidRDefault="00101047" w:rsidP="00E86771">
      <w:pPr>
        <w:pStyle w:val="Caption"/>
        <w:keepNext/>
        <w:spacing w:line="360" w:lineRule="auto"/>
      </w:pPr>
      <w:bookmarkStart w:id="368" w:name="_Ref423076303"/>
      <w:bookmarkStart w:id="369" w:name="_Toc308262417"/>
      <w:bookmarkStart w:id="370" w:name="_Toc311366683"/>
      <w:r w:rsidRPr="00591BFC">
        <w:t xml:space="preserve">Table </w:t>
      </w:r>
      <w:r w:rsidR="002149AD">
        <w:fldChar w:fldCharType="begin"/>
      </w:r>
      <w:r w:rsidR="002149AD">
        <w:instrText xml:space="preserve"> SEQ Table \* ARABIC </w:instrText>
      </w:r>
      <w:r w:rsidR="002149AD">
        <w:fldChar w:fldCharType="separate"/>
      </w:r>
      <w:r w:rsidR="00776C05">
        <w:rPr>
          <w:noProof/>
        </w:rPr>
        <w:t>22</w:t>
      </w:r>
      <w:r w:rsidR="002149AD">
        <w:rPr>
          <w:noProof/>
        </w:rPr>
        <w:fldChar w:fldCharType="end"/>
      </w:r>
      <w:bookmarkEnd w:id="368"/>
      <w:r w:rsidRPr="00591BFC">
        <w:t xml:space="preserve"> Resource use and costs in the year prior and after hip fracture (April 2008-May 2013)</w:t>
      </w:r>
      <w:bookmarkEnd w:id="369"/>
      <w:bookmarkEnd w:id="370"/>
    </w:p>
    <w:tbl>
      <w:tblPr>
        <w:tblW w:w="9039" w:type="dxa"/>
        <w:tblBorders>
          <w:top w:val="single" w:sz="4" w:space="0" w:color="auto"/>
          <w:bottom w:val="single" w:sz="4" w:space="0" w:color="auto"/>
        </w:tblBorders>
        <w:tblLayout w:type="fixed"/>
        <w:tblLook w:val="04A0" w:firstRow="1" w:lastRow="0" w:firstColumn="1" w:lastColumn="0" w:noHBand="0" w:noVBand="1"/>
      </w:tblPr>
      <w:tblGrid>
        <w:gridCol w:w="2413"/>
        <w:gridCol w:w="956"/>
        <w:gridCol w:w="1275"/>
        <w:gridCol w:w="1134"/>
        <w:gridCol w:w="993"/>
        <w:gridCol w:w="1275"/>
        <w:gridCol w:w="993"/>
      </w:tblGrid>
      <w:tr w:rsidR="002A383E" w:rsidRPr="00591BFC" w14:paraId="56EC405E" w14:textId="77777777" w:rsidTr="00FC3E10">
        <w:tc>
          <w:tcPr>
            <w:tcW w:w="2413" w:type="dxa"/>
            <w:tcBorders>
              <w:top w:val="single" w:sz="4" w:space="0" w:color="auto"/>
              <w:bottom w:val="single" w:sz="4" w:space="0" w:color="auto"/>
            </w:tcBorders>
            <w:shd w:val="clear" w:color="auto" w:fill="auto"/>
            <w:hideMark/>
          </w:tcPr>
          <w:p w14:paraId="49D560E7" w14:textId="77777777" w:rsidR="002A383E" w:rsidRPr="00591BFC" w:rsidRDefault="002A383E" w:rsidP="00E86771">
            <w:pPr>
              <w:spacing w:line="360" w:lineRule="auto"/>
            </w:pPr>
            <w:r w:rsidRPr="00591BFC">
              <w:t>Resource use, annual</w:t>
            </w:r>
          </w:p>
        </w:tc>
        <w:tc>
          <w:tcPr>
            <w:tcW w:w="956" w:type="dxa"/>
            <w:tcBorders>
              <w:top w:val="single" w:sz="4" w:space="0" w:color="auto"/>
              <w:bottom w:val="single" w:sz="4" w:space="0" w:color="auto"/>
            </w:tcBorders>
            <w:shd w:val="clear" w:color="auto" w:fill="auto"/>
            <w:hideMark/>
          </w:tcPr>
          <w:p w14:paraId="19F35AC2" w14:textId="77777777" w:rsidR="002A383E" w:rsidRPr="00591BFC" w:rsidRDefault="002A383E" w:rsidP="00E86771">
            <w:pPr>
              <w:spacing w:line="360" w:lineRule="auto"/>
            </w:pPr>
            <w:r w:rsidRPr="00591BFC">
              <w:t>Sample</w:t>
            </w:r>
          </w:p>
        </w:tc>
        <w:tc>
          <w:tcPr>
            <w:tcW w:w="1275" w:type="dxa"/>
            <w:tcBorders>
              <w:top w:val="single" w:sz="4" w:space="0" w:color="auto"/>
              <w:bottom w:val="single" w:sz="4" w:space="0" w:color="auto"/>
            </w:tcBorders>
            <w:shd w:val="clear" w:color="auto" w:fill="auto"/>
          </w:tcPr>
          <w:p w14:paraId="27ED79FA" w14:textId="77777777" w:rsidR="002A383E" w:rsidRPr="00591BFC" w:rsidRDefault="002A383E" w:rsidP="00E86771">
            <w:pPr>
              <w:spacing w:line="360" w:lineRule="auto"/>
            </w:pPr>
            <w:r w:rsidRPr="00591BFC">
              <w:t>Total</w:t>
            </w:r>
          </w:p>
        </w:tc>
        <w:tc>
          <w:tcPr>
            <w:tcW w:w="1134" w:type="dxa"/>
            <w:tcBorders>
              <w:top w:val="single" w:sz="4" w:space="0" w:color="auto"/>
              <w:bottom w:val="single" w:sz="4" w:space="0" w:color="auto"/>
            </w:tcBorders>
            <w:shd w:val="clear" w:color="auto" w:fill="auto"/>
          </w:tcPr>
          <w:p w14:paraId="5C6D39D2" w14:textId="77777777" w:rsidR="002A383E" w:rsidRPr="00591BFC" w:rsidRDefault="002A383E" w:rsidP="00E86771">
            <w:pPr>
              <w:spacing w:line="360" w:lineRule="auto"/>
            </w:pPr>
            <w:r w:rsidRPr="00591BFC">
              <w:t xml:space="preserve">A&amp;E </w:t>
            </w:r>
          </w:p>
        </w:tc>
        <w:tc>
          <w:tcPr>
            <w:tcW w:w="993" w:type="dxa"/>
            <w:tcBorders>
              <w:top w:val="single" w:sz="4" w:space="0" w:color="auto"/>
              <w:bottom w:val="single" w:sz="4" w:space="0" w:color="auto"/>
            </w:tcBorders>
            <w:shd w:val="clear" w:color="auto" w:fill="auto"/>
            <w:hideMark/>
          </w:tcPr>
          <w:p w14:paraId="65500A7F" w14:textId="77777777" w:rsidR="002A383E" w:rsidRPr="00591BFC" w:rsidRDefault="002A383E" w:rsidP="00E86771">
            <w:pPr>
              <w:spacing w:line="360" w:lineRule="auto"/>
            </w:pPr>
            <w:r w:rsidRPr="00591BFC">
              <w:t>Out-patient care</w:t>
            </w:r>
          </w:p>
        </w:tc>
        <w:tc>
          <w:tcPr>
            <w:tcW w:w="1275" w:type="dxa"/>
            <w:tcBorders>
              <w:top w:val="single" w:sz="4" w:space="0" w:color="auto"/>
              <w:bottom w:val="single" w:sz="4" w:space="0" w:color="auto"/>
            </w:tcBorders>
            <w:shd w:val="clear" w:color="auto" w:fill="auto"/>
            <w:hideMark/>
          </w:tcPr>
          <w:p w14:paraId="4AAFA8D7" w14:textId="77777777" w:rsidR="002A383E" w:rsidRPr="00591BFC" w:rsidRDefault="002A383E" w:rsidP="00E86771">
            <w:pPr>
              <w:spacing w:line="360" w:lineRule="auto"/>
            </w:pPr>
            <w:r w:rsidRPr="00591BFC">
              <w:t>Inpatient care</w:t>
            </w:r>
          </w:p>
        </w:tc>
        <w:tc>
          <w:tcPr>
            <w:tcW w:w="993" w:type="dxa"/>
            <w:tcBorders>
              <w:top w:val="single" w:sz="4" w:space="0" w:color="auto"/>
              <w:bottom w:val="single" w:sz="4" w:space="0" w:color="auto"/>
            </w:tcBorders>
            <w:shd w:val="clear" w:color="auto" w:fill="auto"/>
            <w:hideMark/>
          </w:tcPr>
          <w:p w14:paraId="4FED1FDD" w14:textId="77777777" w:rsidR="002A383E" w:rsidRPr="00591BFC" w:rsidRDefault="002A383E" w:rsidP="00E86771">
            <w:pPr>
              <w:spacing w:line="360" w:lineRule="auto"/>
            </w:pPr>
            <w:r w:rsidRPr="00591BFC">
              <w:t>Length of stay</w:t>
            </w:r>
          </w:p>
        </w:tc>
      </w:tr>
      <w:tr w:rsidR="002A383E" w:rsidRPr="00591BFC" w14:paraId="0208A959" w14:textId="77777777" w:rsidTr="00FC3E10">
        <w:tc>
          <w:tcPr>
            <w:tcW w:w="2413" w:type="dxa"/>
            <w:tcBorders>
              <w:top w:val="single" w:sz="4" w:space="0" w:color="auto"/>
            </w:tcBorders>
            <w:shd w:val="clear" w:color="auto" w:fill="auto"/>
            <w:hideMark/>
          </w:tcPr>
          <w:p w14:paraId="406E433F" w14:textId="77777777" w:rsidR="002A383E" w:rsidRPr="00591BFC" w:rsidRDefault="002A383E" w:rsidP="00E86771">
            <w:pPr>
              <w:spacing w:line="360" w:lineRule="auto"/>
            </w:pPr>
            <w:r w:rsidRPr="00591BFC">
              <w:t>Before index fracture</w:t>
            </w:r>
          </w:p>
        </w:tc>
        <w:tc>
          <w:tcPr>
            <w:tcW w:w="956" w:type="dxa"/>
            <w:tcBorders>
              <w:top w:val="single" w:sz="4" w:space="0" w:color="auto"/>
            </w:tcBorders>
            <w:shd w:val="clear" w:color="auto" w:fill="auto"/>
            <w:hideMark/>
          </w:tcPr>
          <w:p w14:paraId="61168D58" w14:textId="77777777" w:rsidR="002A383E" w:rsidRPr="00591BFC" w:rsidRDefault="002A383E" w:rsidP="00E86771">
            <w:pPr>
              <w:spacing w:line="360" w:lineRule="auto"/>
            </w:pPr>
            <w:r w:rsidRPr="00591BFC">
              <w:t>14,552</w:t>
            </w:r>
          </w:p>
        </w:tc>
        <w:tc>
          <w:tcPr>
            <w:tcW w:w="1275" w:type="dxa"/>
            <w:tcBorders>
              <w:top w:val="single" w:sz="4" w:space="0" w:color="auto"/>
            </w:tcBorders>
            <w:shd w:val="clear" w:color="auto" w:fill="auto"/>
          </w:tcPr>
          <w:p w14:paraId="3939516B" w14:textId="77777777" w:rsidR="002A383E" w:rsidRPr="00591BFC" w:rsidRDefault="002A383E" w:rsidP="00E86771">
            <w:pPr>
              <w:spacing w:line="360" w:lineRule="auto"/>
            </w:pPr>
            <w:r w:rsidRPr="00591BFC">
              <w:t>-</w:t>
            </w:r>
          </w:p>
        </w:tc>
        <w:tc>
          <w:tcPr>
            <w:tcW w:w="1134" w:type="dxa"/>
            <w:tcBorders>
              <w:top w:val="single" w:sz="4" w:space="0" w:color="auto"/>
            </w:tcBorders>
            <w:shd w:val="clear" w:color="auto" w:fill="auto"/>
          </w:tcPr>
          <w:p w14:paraId="66F557A7" w14:textId="77777777" w:rsidR="002A383E" w:rsidRPr="00591BFC" w:rsidRDefault="002A383E" w:rsidP="00E86771">
            <w:pPr>
              <w:spacing w:line="360" w:lineRule="auto"/>
            </w:pPr>
            <w:r w:rsidRPr="00591BFC">
              <w:t>0.71</w:t>
            </w:r>
          </w:p>
        </w:tc>
        <w:tc>
          <w:tcPr>
            <w:tcW w:w="993" w:type="dxa"/>
            <w:tcBorders>
              <w:top w:val="single" w:sz="4" w:space="0" w:color="auto"/>
            </w:tcBorders>
            <w:shd w:val="clear" w:color="auto" w:fill="auto"/>
            <w:hideMark/>
          </w:tcPr>
          <w:p w14:paraId="6D307D14" w14:textId="77777777" w:rsidR="002A383E" w:rsidRPr="00591BFC" w:rsidRDefault="002A383E" w:rsidP="00E86771">
            <w:pPr>
              <w:spacing w:line="360" w:lineRule="auto"/>
            </w:pPr>
            <w:r w:rsidRPr="00591BFC">
              <w:t>3.10</w:t>
            </w:r>
          </w:p>
        </w:tc>
        <w:tc>
          <w:tcPr>
            <w:tcW w:w="1275" w:type="dxa"/>
            <w:tcBorders>
              <w:top w:val="single" w:sz="4" w:space="0" w:color="auto"/>
            </w:tcBorders>
            <w:shd w:val="clear" w:color="auto" w:fill="auto"/>
            <w:hideMark/>
          </w:tcPr>
          <w:p w14:paraId="783B592E" w14:textId="77777777" w:rsidR="002A383E" w:rsidRPr="00591BFC" w:rsidRDefault="002A383E" w:rsidP="00E86771">
            <w:pPr>
              <w:spacing w:line="360" w:lineRule="auto"/>
            </w:pPr>
            <w:r w:rsidRPr="00591BFC">
              <w:t>1.20</w:t>
            </w:r>
          </w:p>
        </w:tc>
        <w:tc>
          <w:tcPr>
            <w:tcW w:w="993" w:type="dxa"/>
            <w:tcBorders>
              <w:top w:val="single" w:sz="4" w:space="0" w:color="auto"/>
            </w:tcBorders>
            <w:shd w:val="clear" w:color="auto" w:fill="auto"/>
            <w:hideMark/>
          </w:tcPr>
          <w:p w14:paraId="17D92FBA" w14:textId="77777777" w:rsidR="002A383E" w:rsidRPr="00591BFC" w:rsidRDefault="002A383E" w:rsidP="00E86771">
            <w:pPr>
              <w:spacing w:line="360" w:lineRule="auto"/>
            </w:pPr>
            <w:r w:rsidRPr="00591BFC">
              <w:t>8.29</w:t>
            </w:r>
          </w:p>
        </w:tc>
      </w:tr>
      <w:tr w:rsidR="002A383E" w:rsidRPr="00591BFC" w14:paraId="325B0D5B" w14:textId="77777777" w:rsidTr="00FC3E10">
        <w:tc>
          <w:tcPr>
            <w:tcW w:w="2413" w:type="dxa"/>
            <w:shd w:val="clear" w:color="auto" w:fill="auto"/>
            <w:hideMark/>
          </w:tcPr>
          <w:p w14:paraId="21556658" w14:textId="77777777" w:rsidR="002A383E" w:rsidRPr="00591BFC" w:rsidRDefault="002A383E" w:rsidP="00E86771">
            <w:pPr>
              <w:spacing w:line="360" w:lineRule="auto"/>
            </w:pPr>
          </w:p>
        </w:tc>
        <w:tc>
          <w:tcPr>
            <w:tcW w:w="956" w:type="dxa"/>
            <w:shd w:val="clear" w:color="auto" w:fill="auto"/>
            <w:hideMark/>
          </w:tcPr>
          <w:p w14:paraId="6443FB7C" w14:textId="77777777" w:rsidR="002A383E" w:rsidRPr="00591BFC" w:rsidRDefault="002A383E" w:rsidP="00E86771">
            <w:pPr>
              <w:spacing w:line="360" w:lineRule="auto"/>
            </w:pPr>
          </w:p>
        </w:tc>
        <w:tc>
          <w:tcPr>
            <w:tcW w:w="1275" w:type="dxa"/>
            <w:shd w:val="clear" w:color="auto" w:fill="auto"/>
          </w:tcPr>
          <w:p w14:paraId="1F13B9C3" w14:textId="77777777" w:rsidR="002A383E" w:rsidRPr="00591BFC" w:rsidRDefault="002A383E" w:rsidP="00E86771">
            <w:pPr>
              <w:spacing w:line="360" w:lineRule="auto"/>
            </w:pPr>
          </w:p>
        </w:tc>
        <w:tc>
          <w:tcPr>
            <w:tcW w:w="1134" w:type="dxa"/>
            <w:shd w:val="clear" w:color="auto" w:fill="auto"/>
          </w:tcPr>
          <w:p w14:paraId="52CA2F07" w14:textId="77777777" w:rsidR="002A383E" w:rsidRPr="00591BFC" w:rsidRDefault="002A383E" w:rsidP="00E86771">
            <w:pPr>
              <w:spacing w:line="360" w:lineRule="auto"/>
            </w:pPr>
          </w:p>
        </w:tc>
        <w:tc>
          <w:tcPr>
            <w:tcW w:w="993" w:type="dxa"/>
            <w:shd w:val="clear" w:color="auto" w:fill="auto"/>
            <w:hideMark/>
          </w:tcPr>
          <w:p w14:paraId="317AFA6F" w14:textId="77777777" w:rsidR="002A383E" w:rsidRPr="00591BFC" w:rsidRDefault="002A383E" w:rsidP="00E86771">
            <w:pPr>
              <w:spacing w:line="360" w:lineRule="auto"/>
            </w:pPr>
          </w:p>
        </w:tc>
        <w:tc>
          <w:tcPr>
            <w:tcW w:w="1275" w:type="dxa"/>
            <w:shd w:val="clear" w:color="auto" w:fill="auto"/>
            <w:hideMark/>
          </w:tcPr>
          <w:p w14:paraId="55E63476" w14:textId="77777777" w:rsidR="002A383E" w:rsidRPr="00591BFC" w:rsidRDefault="002A383E" w:rsidP="00E86771">
            <w:pPr>
              <w:spacing w:line="360" w:lineRule="auto"/>
            </w:pPr>
          </w:p>
        </w:tc>
        <w:tc>
          <w:tcPr>
            <w:tcW w:w="993" w:type="dxa"/>
            <w:shd w:val="clear" w:color="auto" w:fill="auto"/>
            <w:hideMark/>
          </w:tcPr>
          <w:p w14:paraId="7B777F49" w14:textId="77777777" w:rsidR="002A383E" w:rsidRPr="00591BFC" w:rsidRDefault="002A383E" w:rsidP="00E86771">
            <w:pPr>
              <w:spacing w:line="360" w:lineRule="auto"/>
            </w:pPr>
          </w:p>
        </w:tc>
      </w:tr>
      <w:tr w:rsidR="002A383E" w:rsidRPr="00591BFC" w14:paraId="338E50E1" w14:textId="77777777" w:rsidTr="00FC3E10">
        <w:tc>
          <w:tcPr>
            <w:tcW w:w="2413" w:type="dxa"/>
            <w:shd w:val="clear" w:color="auto" w:fill="auto"/>
            <w:hideMark/>
          </w:tcPr>
          <w:p w14:paraId="6A1C1D05" w14:textId="77777777" w:rsidR="002A383E" w:rsidRPr="00591BFC" w:rsidRDefault="002A383E" w:rsidP="00E86771">
            <w:pPr>
              <w:spacing w:line="360" w:lineRule="auto"/>
            </w:pPr>
            <w:r w:rsidRPr="00591BFC">
              <w:t>After, complete cases*</w:t>
            </w:r>
          </w:p>
        </w:tc>
        <w:tc>
          <w:tcPr>
            <w:tcW w:w="956" w:type="dxa"/>
            <w:shd w:val="clear" w:color="auto" w:fill="auto"/>
            <w:hideMark/>
          </w:tcPr>
          <w:p w14:paraId="53923529" w14:textId="77777777" w:rsidR="002A383E" w:rsidRPr="00591BFC" w:rsidRDefault="002A383E" w:rsidP="00E86771">
            <w:pPr>
              <w:spacing w:line="360" w:lineRule="auto"/>
            </w:pPr>
            <w:r w:rsidRPr="00591BFC">
              <w:t>14,552</w:t>
            </w:r>
          </w:p>
        </w:tc>
        <w:tc>
          <w:tcPr>
            <w:tcW w:w="1275" w:type="dxa"/>
            <w:shd w:val="clear" w:color="auto" w:fill="auto"/>
          </w:tcPr>
          <w:p w14:paraId="2B0E58C3" w14:textId="77777777" w:rsidR="002A383E" w:rsidRPr="00591BFC" w:rsidRDefault="002A383E" w:rsidP="00E86771">
            <w:pPr>
              <w:spacing w:line="360" w:lineRule="auto"/>
            </w:pPr>
            <w:r w:rsidRPr="00591BFC">
              <w:t>-</w:t>
            </w:r>
          </w:p>
        </w:tc>
        <w:tc>
          <w:tcPr>
            <w:tcW w:w="1134" w:type="dxa"/>
            <w:shd w:val="clear" w:color="auto" w:fill="auto"/>
          </w:tcPr>
          <w:p w14:paraId="606FF5C6" w14:textId="77777777" w:rsidR="002A383E" w:rsidRPr="00591BFC" w:rsidRDefault="002A383E" w:rsidP="00E86771">
            <w:pPr>
              <w:spacing w:line="360" w:lineRule="auto"/>
            </w:pPr>
            <w:r w:rsidRPr="00591BFC">
              <w:t>1.26</w:t>
            </w:r>
          </w:p>
        </w:tc>
        <w:tc>
          <w:tcPr>
            <w:tcW w:w="993" w:type="dxa"/>
            <w:shd w:val="clear" w:color="auto" w:fill="auto"/>
            <w:hideMark/>
          </w:tcPr>
          <w:p w14:paraId="42348AF7" w14:textId="77777777" w:rsidR="002A383E" w:rsidRPr="00591BFC" w:rsidRDefault="002A383E" w:rsidP="00E86771">
            <w:pPr>
              <w:spacing w:line="360" w:lineRule="auto"/>
            </w:pPr>
            <w:r w:rsidRPr="00591BFC">
              <w:t>3.13</w:t>
            </w:r>
          </w:p>
        </w:tc>
        <w:tc>
          <w:tcPr>
            <w:tcW w:w="1275" w:type="dxa"/>
            <w:shd w:val="clear" w:color="auto" w:fill="auto"/>
            <w:hideMark/>
          </w:tcPr>
          <w:p w14:paraId="74C3FDFE" w14:textId="77777777" w:rsidR="002A383E" w:rsidRPr="00591BFC" w:rsidRDefault="002A383E" w:rsidP="00E86771">
            <w:pPr>
              <w:spacing w:line="360" w:lineRule="auto"/>
            </w:pPr>
            <w:r w:rsidRPr="00591BFC">
              <w:t>2.23</w:t>
            </w:r>
          </w:p>
        </w:tc>
        <w:tc>
          <w:tcPr>
            <w:tcW w:w="993" w:type="dxa"/>
            <w:shd w:val="clear" w:color="auto" w:fill="auto"/>
            <w:hideMark/>
          </w:tcPr>
          <w:p w14:paraId="1DF3F86E" w14:textId="77777777" w:rsidR="002A383E" w:rsidRPr="00591BFC" w:rsidRDefault="002A383E" w:rsidP="00E86771">
            <w:pPr>
              <w:spacing w:line="360" w:lineRule="auto"/>
            </w:pPr>
            <w:r w:rsidRPr="00591BFC">
              <w:t>36.14</w:t>
            </w:r>
          </w:p>
        </w:tc>
      </w:tr>
      <w:tr w:rsidR="002A383E" w:rsidRPr="00591BFC" w14:paraId="12DB8F4C" w14:textId="77777777" w:rsidTr="00FC3E10">
        <w:tc>
          <w:tcPr>
            <w:tcW w:w="2413" w:type="dxa"/>
            <w:shd w:val="clear" w:color="auto" w:fill="auto"/>
            <w:hideMark/>
          </w:tcPr>
          <w:p w14:paraId="75C19510" w14:textId="77777777" w:rsidR="002A383E" w:rsidRPr="00591BFC" w:rsidRDefault="002A383E" w:rsidP="00E86771">
            <w:pPr>
              <w:spacing w:line="360" w:lineRule="auto"/>
            </w:pPr>
          </w:p>
        </w:tc>
        <w:tc>
          <w:tcPr>
            <w:tcW w:w="956" w:type="dxa"/>
            <w:shd w:val="clear" w:color="auto" w:fill="auto"/>
            <w:hideMark/>
          </w:tcPr>
          <w:p w14:paraId="1E80720A" w14:textId="77777777" w:rsidR="002A383E" w:rsidRPr="00591BFC" w:rsidRDefault="002A383E" w:rsidP="00E86771">
            <w:pPr>
              <w:spacing w:line="360" w:lineRule="auto"/>
            </w:pPr>
          </w:p>
        </w:tc>
        <w:tc>
          <w:tcPr>
            <w:tcW w:w="1275" w:type="dxa"/>
            <w:shd w:val="clear" w:color="auto" w:fill="auto"/>
          </w:tcPr>
          <w:p w14:paraId="40A39A69" w14:textId="77777777" w:rsidR="002A383E" w:rsidRPr="00591BFC" w:rsidRDefault="002A383E" w:rsidP="00E86771">
            <w:pPr>
              <w:spacing w:line="360" w:lineRule="auto"/>
            </w:pPr>
          </w:p>
        </w:tc>
        <w:tc>
          <w:tcPr>
            <w:tcW w:w="1134" w:type="dxa"/>
            <w:shd w:val="clear" w:color="auto" w:fill="auto"/>
          </w:tcPr>
          <w:p w14:paraId="5F67917F" w14:textId="77777777" w:rsidR="002A383E" w:rsidRPr="00591BFC" w:rsidRDefault="002A383E" w:rsidP="00E86771">
            <w:pPr>
              <w:spacing w:line="360" w:lineRule="auto"/>
            </w:pPr>
          </w:p>
        </w:tc>
        <w:tc>
          <w:tcPr>
            <w:tcW w:w="993" w:type="dxa"/>
            <w:shd w:val="clear" w:color="auto" w:fill="auto"/>
            <w:hideMark/>
          </w:tcPr>
          <w:p w14:paraId="2345AFCC" w14:textId="77777777" w:rsidR="002A383E" w:rsidRPr="00591BFC" w:rsidRDefault="002A383E" w:rsidP="00E86771">
            <w:pPr>
              <w:spacing w:line="360" w:lineRule="auto"/>
            </w:pPr>
          </w:p>
        </w:tc>
        <w:tc>
          <w:tcPr>
            <w:tcW w:w="1275" w:type="dxa"/>
            <w:shd w:val="clear" w:color="auto" w:fill="auto"/>
            <w:hideMark/>
          </w:tcPr>
          <w:p w14:paraId="4375E5D9" w14:textId="77777777" w:rsidR="002A383E" w:rsidRPr="00591BFC" w:rsidRDefault="002A383E" w:rsidP="00E86771">
            <w:pPr>
              <w:spacing w:line="360" w:lineRule="auto"/>
            </w:pPr>
          </w:p>
        </w:tc>
        <w:tc>
          <w:tcPr>
            <w:tcW w:w="993" w:type="dxa"/>
            <w:shd w:val="clear" w:color="auto" w:fill="auto"/>
            <w:hideMark/>
          </w:tcPr>
          <w:p w14:paraId="1CFF8D47" w14:textId="77777777" w:rsidR="002A383E" w:rsidRPr="00591BFC" w:rsidRDefault="002A383E" w:rsidP="00E86771">
            <w:pPr>
              <w:spacing w:line="360" w:lineRule="auto"/>
            </w:pPr>
          </w:p>
        </w:tc>
      </w:tr>
      <w:tr w:rsidR="002A383E" w:rsidRPr="00591BFC" w14:paraId="52200C72" w14:textId="77777777" w:rsidTr="00FC3E10">
        <w:tc>
          <w:tcPr>
            <w:tcW w:w="2413" w:type="dxa"/>
            <w:shd w:val="clear" w:color="auto" w:fill="auto"/>
            <w:hideMark/>
          </w:tcPr>
          <w:p w14:paraId="0C151A6C" w14:textId="77777777" w:rsidR="002A383E" w:rsidRPr="00591BFC" w:rsidRDefault="002A383E" w:rsidP="00E86771">
            <w:pPr>
              <w:spacing w:line="360" w:lineRule="auto"/>
            </w:pPr>
            <w:r w:rsidRPr="00591BFC">
              <w:t xml:space="preserve">Difference </w:t>
            </w:r>
          </w:p>
        </w:tc>
        <w:tc>
          <w:tcPr>
            <w:tcW w:w="956" w:type="dxa"/>
            <w:shd w:val="clear" w:color="auto" w:fill="auto"/>
            <w:hideMark/>
          </w:tcPr>
          <w:p w14:paraId="20A36379" w14:textId="77777777" w:rsidR="002A383E" w:rsidRPr="00591BFC" w:rsidRDefault="002A383E" w:rsidP="00E86771">
            <w:pPr>
              <w:spacing w:line="360" w:lineRule="auto"/>
            </w:pPr>
          </w:p>
        </w:tc>
        <w:tc>
          <w:tcPr>
            <w:tcW w:w="1275" w:type="dxa"/>
            <w:shd w:val="clear" w:color="auto" w:fill="auto"/>
          </w:tcPr>
          <w:p w14:paraId="372BE250" w14:textId="77777777" w:rsidR="002A383E" w:rsidRPr="00591BFC" w:rsidRDefault="002A383E" w:rsidP="00E86771">
            <w:pPr>
              <w:spacing w:line="360" w:lineRule="auto"/>
            </w:pPr>
            <w:r w:rsidRPr="00591BFC">
              <w:t>-</w:t>
            </w:r>
          </w:p>
        </w:tc>
        <w:tc>
          <w:tcPr>
            <w:tcW w:w="1134" w:type="dxa"/>
            <w:shd w:val="clear" w:color="auto" w:fill="auto"/>
          </w:tcPr>
          <w:p w14:paraId="2995EA3C" w14:textId="77777777" w:rsidR="002A383E" w:rsidRPr="00591BFC" w:rsidRDefault="002A383E" w:rsidP="00E86771">
            <w:pPr>
              <w:spacing w:line="360" w:lineRule="auto"/>
            </w:pPr>
            <w:r w:rsidRPr="00591BFC">
              <w:t>0.54**</w:t>
            </w:r>
          </w:p>
        </w:tc>
        <w:tc>
          <w:tcPr>
            <w:tcW w:w="993" w:type="dxa"/>
            <w:shd w:val="clear" w:color="auto" w:fill="auto"/>
            <w:hideMark/>
          </w:tcPr>
          <w:p w14:paraId="7747CB19" w14:textId="77777777" w:rsidR="002A383E" w:rsidRPr="00591BFC" w:rsidRDefault="002A383E" w:rsidP="00E86771">
            <w:pPr>
              <w:spacing w:line="360" w:lineRule="auto"/>
            </w:pPr>
            <w:r w:rsidRPr="00591BFC">
              <w:t>0.03**</w:t>
            </w:r>
          </w:p>
        </w:tc>
        <w:tc>
          <w:tcPr>
            <w:tcW w:w="1275" w:type="dxa"/>
            <w:shd w:val="clear" w:color="auto" w:fill="auto"/>
            <w:hideMark/>
          </w:tcPr>
          <w:p w14:paraId="18476CFB" w14:textId="77777777" w:rsidR="002A383E" w:rsidRPr="00591BFC" w:rsidRDefault="002A383E" w:rsidP="00E86771">
            <w:pPr>
              <w:spacing w:line="360" w:lineRule="auto"/>
            </w:pPr>
            <w:r w:rsidRPr="00591BFC">
              <w:t>1.03**</w:t>
            </w:r>
          </w:p>
        </w:tc>
        <w:tc>
          <w:tcPr>
            <w:tcW w:w="993" w:type="dxa"/>
            <w:shd w:val="clear" w:color="auto" w:fill="auto"/>
            <w:hideMark/>
          </w:tcPr>
          <w:p w14:paraId="072C8612" w14:textId="77777777" w:rsidR="002A383E" w:rsidRPr="00591BFC" w:rsidRDefault="002A383E" w:rsidP="00E86771">
            <w:pPr>
              <w:spacing w:line="360" w:lineRule="auto"/>
            </w:pPr>
            <w:r w:rsidRPr="00591BFC">
              <w:t>27.85**</w:t>
            </w:r>
          </w:p>
        </w:tc>
      </w:tr>
      <w:tr w:rsidR="002A383E" w:rsidRPr="00591BFC" w14:paraId="72741762" w14:textId="77777777" w:rsidTr="00FC3E10">
        <w:tc>
          <w:tcPr>
            <w:tcW w:w="2413" w:type="dxa"/>
            <w:shd w:val="clear" w:color="auto" w:fill="auto"/>
          </w:tcPr>
          <w:p w14:paraId="328A5C30" w14:textId="77777777" w:rsidR="002A383E" w:rsidRPr="00591BFC" w:rsidRDefault="002A383E" w:rsidP="00E86771">
            <w:pPr>
              <w:spacing w:line="360" w:lineRule="auto"/>
            </w:pPr>
          </w:p>
        </w:tc>
        <w:tc>
          <w:tcPr>
            <w:tcW w:w="956" w:type="dxa"/>
            <w:shd w:val="clear" w:color="auto" w:fill="auto"/>
          </w:tcPr>
          <w:p w14:paraId="00FF7110" w14:textId="77777777" w:rsidR="002A383E" w:rsidRPr="00591BFC" w:rsidRDefault="002A383E" w:rsidP="00E86771">
            <w:pPr>
              <w:spacing w:line="360" w:lineRule="auto"/>
            </w:pPr>
          </w:p>
        </w:tc>
        <w:tc>
          <w:tcPr>
            <w:tcW w:w="1275" w:type="dxa"/>
            <w:shd w:val="clear" w:color="auto" w:fill="auto"/>
          </w:tcPr>
          <w:p w14:paraId="62A11B32" w14:textId="77777777" w:rsidR="002A383E" w:rsidRPr="00591BFC" w:rsidRDefault="002A383E" w:rsidP="00E86771">
            <w:pPr>
              <w:spacing w:line="360" w:lineRule="auto"/>
            </w:pPr>
          </w:p>
        </w:tc>
        <w:tc>
          <w:tcPr>
            <w:tcW w:w="1134" w:type="dxa"/>
            <w:shd w:val="clear" w:color="auto" w:fill="auto"/>
          </w:tcPr>
          <w:p w14:paraId="599D49B2" w14:textId="77777777" w:rsidR="002A383E" w:rsidRPr="00591BFC" w:rsidRDefault="002A383E" w:rsidP="00E86771">
            <w:pPr>
              <w:spacing w:line="360" w:lineRule="auto"/>
            </w:pPr>
          </w:p>
        </w:tc>
        <w:tc>
          <w:tcPr>
            <w:tcW w:w="993" w:type="dxa"/>
            <w:shd w:val="clear" w:color="auto" w:fill="auto"/>
          </w:tcPr>
          <w:p w14:paraId="022112A0" w14:textId="77777777" w:rsidR="002A383E" w:rsidRPr="00591BFC" w:rsidRDefault="002A383E" w:rsidP="00E86771">
            <w:pPr>
              <w:spacing w:line="360" w:lineRule="auto"/>
            </w:pPr>
          </w:p>
        </w:tc>
        <w:tc>
          <w:tcPr>
            <w:tcW w:w="1275" w:type="dxa"/>
            <w:shd w:val="clear" w:color="auto" w:fill="auto"/>
          </w:tcPr>
          <w:p w14:paraId="49D43940" w14:textId="77777777" w:rsidR="002A383E" w:rsidRPr="00591BFC" w:rsidRDefault="002A383E" w:rsidP="00E86771">
            <w:pPr>
              <w:spacing w:line="360" w:lineRule="auto"/>
            </w:pPr>
          </w:p>
        </w:tc>
        <w:tc>
          <w:tcPr>
            <w:tcW w:w="993" w:type="dxa"/>
            <w:shd w:val="clear" w:color="auto" w:fill="auto"/>
          </w:tcPr>
          <w:p w14:paraId="6DA51DC6" w14:textId="77777777" w:rsidR="002A383E" w:rsidRPr="00591BFC" w:rsidRDefault="002A383E" w:rsidP="00E86771">
            <w:pPr>
              <w:spacing w:line="360" w:lineRule="auto"/>
            </w:pPr>
          </w:p>
        </w:tc>
      </w:tr>
      <w:tr w:rsidR="002A383E" w:rsidRPr="00591BFC" w14:paraId="5936EB45" w14:textId="77777777" w:rsidTr="00FC3E10">
        <w:tc>
          <w:tcPr>
            <w:tcW w:w="2413" w:type="dxa"/>
            <w:shd w:val="clear" w:color="auto" w:fill="auto"/>
          </w:tcPr>
          <w:p w14:paraId="6AB1FE83" w14:textId="77777777" w:rsidR="002A383E" w:rsidRPr="00591BFC" w:rsidRDefault="002A383E" w:rsidP="00E86771">
            <w:pPr>
              <w:spacing w:line="360" w:lineRule="auto"/>
            </w:pPr>
            <w:r w:rsidRPr="00591BFC">
              <w:t>Before index fracture</w:t>
            </w:r>
          </w:p>
        </w:tc>
        <w:tc>
          <w:tcPr>
            <w:tcW w:w="956" w:type="dxa"/>
            <w:shd w:val="clear" w:color="auto" w:fill="auto"/>
          </w:tcPr>
          <w:p w14:paraId="497DE7CB" w14:textId="77777777" w:rsidR="002A383E" w:rsidRPr="00591BFC" w:rsidRDefault="002A383E" w:rsidP="00E86771">
            <w:pPr>
              <w:spacing w:line="360" w:lineRule="auto"/>
            </w:pPr>
            <w:r w:rsidRPr="00591BFC">
              <w:t>14,552</w:t>
            </w:r>
          </w:p>
        </w:tc>
        <w:tc>
          <w:tcPr>
            <w:tcW w:w="1275" w:type="dxa"/>
            <w:shd w:val="clear" w:color="auto" w:fill="auto"/>
          </w:tcPr>
          <w:p w14:paraId="7E32286A" w14:textId="77777777" w:rsidR="002A383E" w:rsidRPr="00591BFC" w:rsidRDefault="002A383E" w:rsidP="00E86771">
            <w:pPr>
              <w:spacing w:line="360" w:lineRule="auto"/>
            </w:pPr>
            <w:r w:rsidRPr="00591BFC">
              <w:t>£3,299</w:t>
            </w:r>
          </w:p>
        </w:tc>
        <w:tc>
          <w:tcPr>
            <w:tcW w:w="1134" w:type="dxa"/>
            <w:shd w:val="clear" w:color="auto" w:fill="auto"/>
          </w:tcPr>
          <w:p w14:paraId="65456A42" w14:textId="77777777" w:rsidR="002A383E" w:rsidRPr="00591BFC" w:rsidRDefault="002A383E" w:rsidP="00E86771">
            <w:pPr>
              <w:spacing w:line="360" w:lineRule="auto"/>
            </w:pPr>
            <w:r w:rsidRPr="00591BFC">
              <w:t>£105</w:t>
            </w:r>
          </w:p>
        </w:tc>
        <w:tc>
          <w:tcPr>
            <w:tcW w:w="993" w:type="dxa"/>
            <w:shd w:val="clear" w:color="auto" w:fill="auto"/>
          </w:tcPr>
          <w:p w14:paraId="330A5AA4" w14:textId="77777777" w:rsidR="002A383E" w:rsidRPr="00591BFC" w:rsidRDefault="002A383E" w:rsidP="00E86771">
            <w:pPr>
              <w:spacing w:line="360" w:lineRule="auto"/>
            </w:pPr>
            <w:r w:rsidRPr="00591BFC">
              <w:t>£295</w:t>
            </w:r>
          </w:p>
        </w:tc>
        <w:tc>
          <w:tcPr>
            <w:tcW w:w="1275" w:type="dxa"/>
            <w:shd w:val="clear" w:color="auto" w:fill="auto"/>
          </w:tcPr>
          <w:p w14:paraId="2F44184D" w14:textId="77777777" w:rsidR="002A383E" w:rsidRPr="00591BFC" w:rsidRDefault="002A383E" w:rsidP="00E86771">
            <w:pPr>
              <w:spacing w:line="360" w:lineRule="auto"/>
            </w:pPr>
            <w:r w:rsidRPr="00591BFC">
              <w:t>£2,899</w:t>
            </w:r>
          </w:p>
        </w:tc>
        <w:tc>
          <w:tcPr>
            <w:tcW w:w="993" w:type="dxa"/>
            <w:shd w:val="clear" w:color="auto" w:fill="auto"/>
          </w:tcPr>
          <w:p w14:paraId="626509D4" w14:textId="77777777" w:rsidR="002A383E" w:rsidRPr="00591BFC" w:rsidRDefault="002A383E" w:rsidP="00E86771">
            <w:pPr>
              <w:spacing w:line="360" w:lineRule="auto"/>
            </w:pPr>
            <w:r w:rsidRPr="00591BFC">
              <w:t>-</w:t>
            </w:r>
          </w:p>
        </w:tc>
      </w:tr>
      <w:tr w:rsidR="002A383E" w:rsidRPr="00591BFC" w14:paraId="01E0B738" w14:textId="77777777" w:rsidTr="00FC3E10">
        <w:tc>
          <w:tcPr>
            <w:tcW w:w="2413" w:type="dxa"/>
            <w:shd w:val="clear" w:color="auto" w:fill="auto"/>
          </w:tcPr>
          <w:p w14:paraId="2AECAD6E" w14:textId="77777777" w:rsidR="002A383E" w:rsidRPr="00591BFC" w:rsidRDefault="002A383E" w:rsidP="00E86771">
            <w:pPr>
              <w:spacing w:line="360" w:lineRule="auto"/>
            </w:pPr>
          </w:p>
        </w:tc>
        <w:tc>
          <w:tcPr>
            <w:tcW w:w="956" w:type="dxa"/>
            <w:shd w:val="clear" w:color="auto" w:fill="auto"/>
          </w:tcPr>
          <w:p w14:paraId="54C615FF" w14:textId="77777777" w:rsidR="002A383E" w:rsidRPr="00591BFC" w:rsidRDefault="002A383E" w:rsidP="00E86771">
            <w:pPr>
              <w:spacing w:line="360" w:lineRule="auto"/>
            </w:pPr>
          </w:p>
        </w:tc>
        <w:tc>
          <w:tcPr>
            <w:tcW w:w="1275" w:type="dxa"/>
            <w:shd w:val="clear" w:color="auto" w:fill="auto"/>
          </w:tcPr>
          <w:p w14:paraId="4E46CAF3" w14:textId="77777777" w:rsidR="002A383E" w:rsidRPr="00591BFC" w:rsidRDefault="002A383E" w:rsidP="00E86771">
            <w:pPr>
              <w:spacing w:line="360" w:lineRule="auto"/>
            </w:pPr>
          </w:p>
        </w:tc>
        <w:tc>
          <w:tcPr>
            <w:tcW w:w="1134" w:type="dxa"/>
            <w:shd w:val="clear" w:color="auto" w:fill="auto"/>
          </w:tcPr>
          <w:p w14:paraId="0CE4BB06" w14:textId="77777777" w:rsidR="002A383E" w:rsidRPr="00591BFC" w:rsidRDefault="002A383E" w:rsidP="00E86771">
            <w:pPr>
              <w:spacing w:line="360" w:lineRule="auto"/>
            </w:pPr>
          </w:p>
        </w:tc>
        <w:tc>
          <w:tcPr>
            <w:tcW w:w="993" w:type="dxa"/>
            <w:shd w:val="clear" w:color="auto" w:fill="auto"/>
          </w:tcPr>
          <w:p w14:paraId="3DE79A7D" w14:textId="77777777" w:rsidR="002A383E" w:rsidRPr="00591BFC" w:rsidRDefault="002A383E" w:rsidP="00E86771">
            <w:pPr>
              <w:spacing w:line="360" w:lineRule="auto"/>
            </w:pPr>
          </w:p>
        </w:tc>
        <w:tc>
          <w:tcPr>
            <w:tcW w:w="1275" w:type="dxa"/>
            <w:shd w:val="clear" w:color="auto" w:fill="auto"/>
          </w:tcPr>
          <w:p w14:paraId="791E87EC" w14:textId="77777777" w:rsidR="002A383E" w:rsidRPr="00591BFC" w:rsidRDefault="002A383E" w:rsidP="00E86771">
            <w:pPr>
              <w:spacing w:line="360" w:lineRule="auto"/>
            </w:pPr>
          </w:p>
        </w:tc>
        <w:tc>
          <w:tcPr>
            <w:tcW w:w="993" w:type="dxa"/>
            <w:shd w:val="clear" w:color="auto" w:fill="auto"/>
          </w:tcPr>
          <w:p w14:paraId="235152C3" w14:textId="77777777" w:rsidR="002A383E" w:rsidRPr="00591BFC" w:rsidRDefault="002A383E" w:rsidP="00E86771">
            <w:pPr>
              <w:spacing w:line="360" w:lineRule="auto"/>
            </w:pPr>
          </w:p>
        </w:tc>
      </w:tr>
      <w:tr w:rsidR="002A383E" w:rsidRPr="00591BFC" w14:paraId="4185725E" w14:textId="77777777" w:rsidTr="00FC3E10">
        <w:tc>
          <w:tcPr>
            <w:tcW w:w="2413" w:type="dxa"/>
            <w:shd w:val="clear" w:color="auto" w:fill="auto"/>
          </w:tcPr>
          <w:p w14:paraId="24E1918C" w14:textId="77777777" w:rsidR="002A383E" w:rsidRPr="00591BFC" w:rsidRDefault="002A383E" w:rsidP="00E86771">
            <w:pPr>
              <w:spacing w:line="360" w:lineRule="auto"/>
            </w:pPr>
            <w:r w:rsidRPr="00591BFC">
              <w:t>After, complete cases*</w:t>
            </w:r>
          </w:p>
        </w:tc>
        <w:tc>
          <w:tcPr>
            <w:tcW w:w="956" w:type="dxa"/>
            <w:shd w:val="clear" w:color="auto" w:fill="auto"/>
          </w:tcPr>
          <w:p w14:paraId="7C997629" w14:textId="77777777" w:rsidR="002A383E" w:rsidRPr="00591BFC" w:rsidRDefault="002A383E" w:rsidP="00E86771">
            <w:pPr>
              <w:spacing w:line="360" w:lineRule="auto"/>
            </w:pPr>
            <w:r w:rsidRPr="00591BFC">
              <w:t>14,552</w:t>
            </w:r>
          </w:p>
        </w:tc>
        <w:tc>
          <w:tcPr>
            <w:tcW w:w="1275" w:type="dxa"/>
            <w:shd w:val="clear" w:color="auto" w:fill="auto"/>
          </w:tcPr>
          <w:p w14:paraId="2656EC9F" w14:textId="77777777" w:rsidR="002A383E" w:rsidRPr="00591BFC" w:rsidRDefault="002A383E" w:rsidP="00E86771">
            <w:pPr>
              <w:spacing w:line="360" w:lineRule="auto"/>
            </w:pPr>
            <w:r w:rsidRPr="00591BFC">
              <w:t>£14,264</w:t>
            </w:r>
          </w:p>
        </w:tc>
        <w:tc>
          <w:tcPr>
            <w:tcW w:w="1134" w:type="dxa"/>
            <w:shd w:val="clear" w:color="auto" w:fill="auto"/>
          </w:tcPr>
          <w:p w14:paraId="6FC04EA0" w14:textId="77777777" w:rsidR="002A383E" w:rsidRPr="00591BFC" w:rsidRDefault="002A383E" w:rsidP="00E86771">
            <w:pPr>
              <w:spacing w:line="360" w:lineRule="auto"/>
            </w:pPr>
            <w:r w:rsidRPr="00591BFC">
              <w:t>£202</w:t>
            </w:r>
          </w:p>
        </w:tc>
        <w:tc>
          <w:tcPr>
            <w:tcW w:w="993" w:type="dxa"/>
            <w:shd w:val="clear" w:color="auto" w:fill="auto"/>
          </w:tcPr>
          <w:p w14:paraId="3F95392D" w14:textId="77777777" w:rsidR="002A383E" w:rsidRPr="00591BFC" w:rsidRDefault="002A383E" w:rsidP="00E86771">
            <w:pPr>
              <w:spacing w:line="360" w:lineRule="auto"/>
            </w:pPr>
            <w:r w:rsidRPr="00591BFC">
              <w:t>£297</w:t>
            </w:r>
          </w:p>
        </w:tc>
        <w:tc>
          <w:tcPr>
            <w:tcW w:w="1275" w:type="dxa"/>
            <w:shd w:val="clear" w:color="auto" w:fill="auto"/>
          </w:tcPr>
          <w:p w14:paraId="5ABF404C" w14:textId="77777777" w:rsidR="002A383E" w:rsidRPr="00591BFC" w:rsidRDefault="002A383E" w:rsidP="00E86771">
            <w:pPr>
              <w:spacing w:line="360" w:lineRule="auto"/>
            </w:pPr>
            <w:r w:rsidRPr="00591BFC">
              <w:t>£13,765</w:t>
            </w:r>
          </w:p>
        </w:tc>
        <w:tc>
          <w:tcPr>
            <w:tcW w:w="993" w:type="dxa"/>
            <w:shd w:val="clear" w:color="auto" w:fill="auto"/>
          </w:tcPr>
          <w:p w14:paraId="7612925A" w14:textId="77777777" w:rsidR="002A383E" w:rsidRPr="00591BFC" w:rsidRDefault="002A383E" w:rsidP="00E86771">
            <w:pPr>
              <w:spacing w:line="360" w:lineRule="auto"/>
            </w:pPr>
            <w:r w:rsidRPr="00591BFC">
              <w:t>-</w:t>
            </w:r>
          </w:p>
        </w:tc>
      </w:tr>
      <w:tr w:rsidR="002A383E" w:rsidRPr="00591BFC" w14:paraId="4B0F3AC2" w14:textId="77777777" w:rsidTr="00FC3E10">
        <w:tc>
          <w:tcPr>
            <w:tcW w:w="2413" w:type="dxa"/>
            <w:shd w:val="clear" w:color="auto" w:fill="auto"/>
          </w:tcPr>
          <w:p w14:paraId="37815ABD" w14:textId="77777777" w:rsidR="002A383E" w:rsidRPr="00591BFC" w:rsidRDefault="002A383E" w:rsidP="00E86771">
            <w:pPr>
              <w:spacing w:line="360" w:lineRule="auto"/>
            </w:pPr>
          </w:p>
        </w:tc>
        <w:tc>
          <w:tcPr>
            <w:tcW w:w="956" w:type="dxa"/>
            <w:shd w:val="clear" w:color="auto" w:fill="auto"/>
          </w:tcPr>
          <w:p w14:paraId="7882CF49" w14:textId="77777777" w:rsidR="002A383E" w:rsidRPr="00591BFC" w:rsidRDefault="002A383E" w:rsidP="00E86771">
            <w:pPr>
              <w:spacing w:line="360" w:lineRule="auto"/>
            </w:pPr>
          </w:p>
        </w:tc>
        <w:tc>
          <w:tcPr>
            <w:tcW w:w="1275" w:type="dxa"/>
            <w:shd w:val="clear" w:color="auto" w:fill="auto"/>
          </w:tcPr>
          <w:p w14:paraId="4D57206D" w14:textId="77777777" w:rsidR="002A383E" w:rsidRPr="00591BFC" w:rsidRDefault="002A383E" w:rsidP="00E86771">
            <w:pPr>
              <w:spacing w:line="360" w:lineRule="auto"/>
            </w:pPr>
          </w:p>
        </w:tc>
        <w:tc>
          <w:tcPr>
            <w:tcW w:w="1134" w:type="dxa"/>
            <w:shd w:val="clear" w:color="auto" w:fill="auto"/>
          </w:tcPr>
          <w:p w14:paraId="2283C7A5" w14:textId="77777777" w:rsidR="002A383E" w:rsidRPr="00591BFC" w:rsidRDefault="002A383E" w:rsidP="00E86771">
            <w:pPr>
              <w:spacing w:line="360" w:lineRule="auto"/>
            </w:pPr>
          </w:p>
        </w:tc>
        <w:tc>
          <w:tcPr>
            <w:tcW w:w="993" w:type="dxa"/>
            <w:shd w:val="clear" w:color="auto" w:fill="auto"/>
          </w:tcPr>
          <w:p w14:paraId="348EDACF" w14:textId="77777777" w:rsidR="002A383E" w:rsidRPr="00591BFC" w:rsidRDefault="002A383E" w:rsidP="00E86771">
            <w:pPr>
              <w:spacing w:line="360" w:lineRule="auto"/>
            </w:pPr>
          </w:p>
        </w:tc>
        <w:tc>
          <w:tcPr>
            <w:tcW w:w="1275" w:type="dxa"/>
            <w:shd w:val="clear" w:color="auto" w:fill="auto"/>
          </w:tcPr>
          <w:p w14:paraId="676D172E" w14:textId="77777777" w:rsidR="002A383E" w:rsidRPr="00591BFC" w:rsidRDefault="002A383E" w:rsidP="00E86771">
            <w:pPr>
              <w:spacing w:line="360" w:lineRule="auto"/>
            </w:pPr>
          </w:p>
        </w:tc>
        <w:tc>
          <w:tcPr>
            <w:tcW w:w="993" w:type="dxa"/>
            <w:shd w:val="clear" w:color="auto" w:fill="auto"/>
          </w:tcPr>
          <w:p w14:paraId="5F1F33B3" w14:textId="77777777" w:rsidR="002A383E" w:rsidRPr="00591BFC" w:rsidRDefault="002A383E" w:rsidP="00E86771">
            <w:pPr>
              <w:spacing w:line="360" w:lineRule="auto"/>
            </w:pPr>
          </w:p>
        </w:tc>
      </w:tr>
      <w:tr w:rsidR="002A383E" w:rsidRPr="00591BFC" w14:paraId="79C147F5" w14:textId="77777777" w:rsidTr="00FC3E10">
        <w:tc>
          <w:tcPr>
            <w:tcW w:w="2413" w:type="dxa"/>
            <w:shd w:val="clear" w:color="auto" w:fill="auto"/>
          </w:tcPr>
          <w:p w14:paraId="224E116D" w14:textId="77777777" w:rsidR="002A383E" w:rsidRPr="00591BFC" w:rsidRDefault="002A383E" w:rsidP="00E86771">
            <w:pPr>
              <w:spacing w:line="360" w:lineRule="auto"/>
            </w:pPr>
            <w:r w:rsidRPr="00591BFC">
              <w:t>Difference</w:t>
            </w:r>
          </w:p>
        </w:tc>
        <w:tc>
          <w:tcPr>
            <w:tcW w:w="956" w:type="dxa"/>
            <w:shd w:val="clear" w:color="auto" w:fill="auto"/>
          </w:tcPr>
          <w:p w14:paraId="27FF3A1F" w14:textId="77777777" w:rsidR="002A383E" w:rsidRPr="00591BFC" w:rsidRDefault="002A383E" w:rsidP="00E86771">
            <w:pPr>
              <w:spacing w:line="360" w:lineRule="auto"/>
            </w:pPr>
          </w:p>
        </w:tc>
        <w:tc>
          <w:tcPr>
            <w:tcW w:w="1275" w:type="dxa"/>
            <w:shd w:val="clear" w:color="auto" w:fill="auto"/>
          </w:tcPr>
          <w:p w14:paraId="05658198" w14:textId="77777777" w:rsidR="002A383E" w:rsidRPr="00591BFC" w:rsidRDefault="002A383E" w:rsidP="00E86771">
            <w:pPr>
              <w:spacing w:line="360" w:lineRule="auto"/>
            </w:pPr>
            <w:r w:rsidRPr="00591BFC">
              <w:t>£10,964**</w:t>
            </w:r>
          </w:p>
          <w:p w14:paraId="22295EE4" w14:textId="77777777" w:rsidR="002A383E" w:rsidRPr="00591BFC" w:rsidRDefault="002A383E" w:rsidP="00E86771">
            <w:pPr>
              <w:spacing w:line="360" w:lineRule="auto"/>
            </w:pPr>
            <w:r w:rsidRPr="00591BFC">
              <w:t>(10767 to 11161)</w:t>
            </w:r>
          </w:p>
        </w:tc>
        <w:tc>
          <w:tcPr>
            <w:tcW w:w="1134" w:type="dxa"/>
            <w:shd w:val="clear" w:color="auto" w:fill="auto"/>
          </w:tcPr>
          <w:p w14:paraId="282A0CEC" w14:textId="77777777" w:rsidR="002A383E" w:rsidRPr="00591BFC" w:rsidRDefault="002A383E" w:rsidP="00E86771">
            <w:pPr>
              <w:spacing w:line="360" w:lineRule="auto"/>
            </w:pPr>
            <w:r w:rsidRPr="00591BFC">
              <w:t xml:space="preserve">£96** </w:t>
            </w:r>
          </w:p>
          <w:p w14:paraId="703E8722" w14:textId="77777777" w:rsidR="002A383E" w:rsidRPr="00591BFC" w:rsidRDefault="002A383E" w:rsidP="00E86771">
            <w:pPr>
              <w:spacing w:line="360" w:lineRule="auto"/>
            </w:pPr>
            <w:r w:rsidRPr="00591BFC">
              <w:t>(93 to 101)</w:t>
            </w:r>
          </w:p>
        </w:tc>
        <w:tc>
          <w:tcPr>
            <w:tcW w:w="993" w:type="dxa"/>
            <w:shd w:val="clear" w:color="auto" w:fill="auto"/>
          </w:tcPr>
          <w:p w14:paraId="29D3158B" w14:textId="77777777" w:rsidR="002A383E" w:rsidRPr="00591BFC" w:rsidRDefault="002A383E" w:rsidP="00E86771">
            <w:pPr>
              <w:spacing w:line="360" w:lineRule="auto"/>
            </w:pPr>
            <w:r w:rsidRPr="00591BFC">
              <w:t>£2</w:t>
            </w:r>
          </w:p>
          <w:p w14:paraId="21EE4872" w14:textId="77777777" w:rsidR="002A383E" w:rsidRPr="00591BFC" w:rsidRDefault="002A383E" w:rsidP="00E86771">
            <w:pPr>
              <w:spacing w:line="360" w:lineRule="auto"/>
            </w:pPr>
            <w:r w:rsidRPr="00591BFC">
              <w:t>(-9 to 12)</w:t>
            </w:r>
          </w:p>
        </w:tc>
        <w:tc>
          <w:tcPr>
            <w:tcW w:w="1275" w:type="dxa"/>
            <w:shd w:val="clear" w:color="auto" w:fill="auto"/>
          </w:tcPr>
          <w:p w14:paraId="4D5DF3D0" w14:textId="77777777" w:rsidR="002A383E" w:rsidRPr="00591BFC" w:rsidRDefault="002A383E" w:rsidP="00E86771">
            <w:pPr>
              <w:spacing w:line="360" w:lineRule="auto"/>
            </w:pPr>
            <w:r w:rsidRPr="00591BFC">
              <w:t xml:space="preserve">£10,865** </w:t>
            </w:r>
          </w:p>
          <w:p w14:paraId="285F4775" w14:textId="77777777" w:rsidR="002A383E" w:rsidRPr="00591BFC" w:rsidRDefault="002A383E" w:rsidP="00E86771">
            <w:pPr>
              <w:spacing w:line="360" w:lineRule="auto"/>
            </w:pPr>
            <w:r w:rsidRPr="00591BFC">
              <w:t>(10671 to 11060)</w:t>
            </w:r>
          </w:p>
        </w:tc>
        <w:tc>
          <w:tcPr>
            <w:tcW w:w="993" w:type="dxa"/>
            <w:shd w:val="clear" w:color="auto" w:fill="auto"/>
          </w:tcPr>
          <w:p w14:paraId="6A4525A0" w14:textId="77777777" w:rsidR="002A383E" w:rsidRPr="00591BFC" w:rsidRDefault="002A383E" w:rsidP="00E86771">
            <w:pPr>
              <w:spacing w:line="360" w:lineRule="auto"/>
            </w:pPr>
            <w:r w:rsidRPr="00591BFC">
              <w:t>-</w:t>
            </w:r>
          </w:p>
        </w:tc>
      </w:tr>
      <w:tr w:rsidR="002A383E" w:rsidRPr="00591BFC" w14:paraId="3A56D3DC" w14:textId="77777777" w:rsidTr="00FC3E10">
        <w:tc>
          <w:tcPr>
            <w:tcW w:w="2413" w:type="dxa"/>
            <w:shd w:val="clear" w:color="auto" w:fill="auto"/>
          </w:tcPr>
          <w:p w14:paraId="06F2843C" w14:textId="77777777" w:rsidR="002A383E" w:rsidRPr="00591BFC" w:rsidRDefault="002A383E" w:rsidP="00E86771">
            <w:pPr>
              <w:spacing w:line="360" w:lineRule="auto"/>
            </w:pPr>
          </w:p>
        </w:tc>
        <w:tc>
          <w:tcPr>
            <w:tcW w:w="956" w:type="dxa"/>
            <w:shd w:val="clear" w:color="auto" w:fill="auto"/>
          </w:tcPr>
          <w:p w14:paraId="20C79996" w14:textId="77777777" w:rsidR="002A383E" w:rsidRPr="00591BFC" w:rsidRDefault="002A383E" w:rsidP="00E86771">
            <w:pPr>
              <w:spacing w:line="360" w:lineRule="auto"/>
            </w:pPr>
          </w:p>
        </w:tc>
        <w:tc>
          <w:tcPr>
            <w:tcW w:w="1275" w:type="dxa"/>
            <w:shd w:val="clear" w:color="auto" w:fill="auto"/>
          </w:tcPr>
          <w:p w14:paraId="245BD447" w14:textId="77777777" w:rsidR="002A383E" w:rsidRPr="00591BFC" w:rsidRDefault="002A383E" w:rsidP="00E86771">
            <w:pPr>
              <w:spacing w:line="360" w:lineRule="auto"/>
            </w:pPr>
          </w:p>
        </w:tc>
        <w:tc>
          <w:tcPr>
            <w:tcW w:w="1134" w:type="dxa"/>
            <w:shd w:val="clear" w:color="auto" w:fill="auto"/>
          </w:tcPr>
          <w:p w14:paraId="71EB77E3" w14:textId="77777777" w:rsidR="002A383E" w:rsidRPr="00591BFC" w:rsidRDefault="002A383E" w:rsidP="00E86771">
            <w:pPr>
              <w:spacing w:line="360" w:lineRule="auto"/>
            </w:pPr>
          </w:p>
        </w:tc>
        <w:tc>
          <w:tcPr>
            <w:tcW w:w="993" w:type="dxa"/>
            <w:shd w:val="clear" w:color="auto" w:fill="auto"/>
          </w:tcPr>
          <w:p w14:paraId="71634655" w14:textId="77777777" w:rsidR="002A383E" w:rsidRPr="00591BFC" w:rsidRDefault="002A383E" w:rsidP="00E86771">
            <w:pPr>
              <w:spacing w:line="360" w:lineRule="auto"/>
            </w:pPr>
          </w:p>
        </w:tc>
        <w:tc>
          <w:tcPr>
            <w:tcW w:w="1275" w:type="dxa"/>
            <w:shd w:val="clear" w:color="auto" w:fill="auto"/>
          </w:tcPr>
          <w:p w14:paraId="088E2949" w14:textId="77777777" w:rsidR="002A383E" w:rsidRPr="00591BFC" w:rsidRDefault="002A383E" w:rsidP="00E86771">
            <w:pPr>
              <w:spacing w:line="360" w:lineRule="auto"/>
            </w:pPr>
          </w:p>
        </w:tc>
        <w:tc>
          <w:tcPr>
            <w:tcW w:w="993" w:type="dxa"/>
            <w:shd w:val="clear" w:color="auto" w:fill="auto"/>
          </w:tcPr>
          <w:p w14:paraId="50D2997B" w14:textId="77777777" w:rsidR="002A383E" w:rsidRPr="00591BFC" w:rsidRDefault="002A383E" w:rsidP="00E86771">
            <w:pPr>
              <w:spacing w:line="360" w:lineRule="auto"/>
            </w:pPr>
          </w:p>
        </w:tc>
      </w:tr>
      <w:tr w:rsidR="002A383E" w:rsidRPr="00591BFC" w14:paraId="04613DD7" w14:textId="77777777" w:rsidTr="00FC3E10">
        <w:tc>
          <w:tcPr>
            <w:tcW w:w="2413" w:type="dxa"/>
            <w:tcBorders>
              <w:bottom w:val="single" w:sz="4" w:space="0" w:color="auto"/>
            </w:tcBorders>
            <w:shd w:val="clear" w:color="auto" w:fill="auto"/>
          </w:tcPr>
          <w:p w14:paraId="300A6009" w14:textId="77777777" w:rsidR="002A383E" w:rsidRPr="00591BFC" w:rsidRDefault="002A383E" w:rsidP="00E86771">
            <w:pPr>
              <w:spacing w:line="360" w:lineRule="auto"/>
            </w:pPr>
            <w:r w:rsidRPr="00591BFC">
              <w:t>After, censor-adjusted</w:t>
            </w:r>
          </w:p>
        </w:tc>
        <w:tc>
          <w:tcPr>
            <w:tcW w:w="956" w:type="dxa"/>
            <w:tcBorders>
              <w:bottom w:val="single" w:sz="4" w:space="0" w:color="auto"/>
            </w:tcBorders>
            <w:shd w:val="clear" w:color="auto" w:fill="auto"/>
          </w:tcPr>
          <w:p w14:paraId="19130D31" w14:textId="77777777" w:rsidR="002A383E" w:rsidRPr="00591BFC" w:rsidRDefault="002A383E" w:rsidP="00E86771">
            <w:pPr>
              <w:spacing w:line="360" w:lineRule="auto"/>
            </w:pPr>
            <w:r w:rsidRPr="00591BFC">
              <w:t>17,274</w:t>
            </w:r>
          </w:p>
        </w:tc>
        <w:tc>
          <w:tcPr>
            <w:tcW w:w="1275" w:type="dxa"/>
            <w:tcBorders>
              <w:bottom w:val="single" w:sz="4" w:space="0" w:color="auto"/>
            </w:tcBorders>
            <w:shd w:val="clear" w:color="auto" w:fill="auto"/>
          </w:tcPr>
          <w:p w14:paraId="0AEDD510" w14:textId="77777777" w:rsidR="002A383E" w:rsidRPr="00591BFC" w:rsidRDefault="002A383E" w:rsidP="00E86771">
            <w:pPr>
              <w:spacing w:line="360" w:lineRule="auto"/>
            </w:pPr>
            <w:r w:rsidRPr="00591BFC">
              <w:t>£14,163</w:t>
            </w:r>
          </w:p>
          <w:p w14:paraId="61138C7E" w14:textId="77777777" w:rsidR="002A383E" w:rsidRPr="00591BFC" w:rsidRDefault="002A383E" w:rsidP="00E86771">
            <w:pPr>
              <w:spacing w:line="360" w:lineRule="auto"/>
            </w:pPr>
            <w:r w:rsidRPr="00591BFC">
              <w:t>(14008 to 14317)</w:t>
            </w:r>
          </w:p>
        </w:tc>
        <w:tc>
          <w:tcPr>
            <w:tcW w:w="1134" w:type="dxa"/>
            <w:tcBorders>
              <w:bottom w:val="single" w:sz="4" w:space="0" w:color="auto"/>
            </w:tcBorders>
            <w:shd w:val="clear" w:color="auto" w:fill="auto"/>
          </w:tcPr>
          <w:p w14:paraId="4601BB21" w14:textId="77777777" w:rsidR="002A383E" w:rsidRPr="00591BFC" w:rsidRDefault="002A383E" w:rsidP="00E86771">
            <w:pPr>
              <w:spacing w:line="360" w:lineRule="auto"/>
            </w:pPr>
            <w:r w:rsidRPr="00591BFC">
              <w:t>£207</w:t>
            </w:r>
          </w:p>
          <w:p w14:paraId="4B74B668" w14:textId="77777777" w:rsidR="002A383E" w:rsidRPr="00591BFC" w:rsidRDefault="002A383E" w:rsidP="00E86771">
            <w:pPr>
              <w:spacing w:line="360" w:lineRule="auto"/>
            </w:pPr>
            <w:r w:rsidRPr="00591BFC">
              <w:t>(204 to 210)</w:t>
            </w:r>
          </w:p>
        </w:tc>
        <w:tc>
          <w:tcPr>
            <w:tcW w:w="993" w:type="dxa"/>
            <w:tcBorders>
              <w:bottom w:val="single" w:sz="4" w:space="0" w:color="auto"/>
            </w:tcBorders>
            <w:shd w:val="clear" w:color="auto" w:fill="auto"/>
          </w:tcPr>
          <w:p w14:paraId="57869051" w14:textId="77777777" w:rsidR="002A383E" w:rsidRPr="00591BFC" w:rsidRDefault="002A383E" w:rsidP="00E86771">
            <w:pPr>
              <w:spacing w:line="360" w:lineRule="auto"/>
            </w:pPr>
            <w:r w:rsidRPr="00591BFC">
              <w:t>£303</w:t>
            </w:r>
          </w:p>
          <w:p w14:paraId="605B59C7" w14:textId="77777777" w:rsidR="002A383E" w:rsidRPr="00591BFC" w:rsidRDefault="002A383E" w:rsidP="00E86771">
            <w:pPr>
              <w:spacing w:line="360" w:lineRule="auto"/>
            </w:pPr>
            <w:r w:rsidRPr="00591BFC">
              <w:t>(293-313)</w:t>
            </w:r>
          </w:p>
        </w:tc>
        <w:tc>
          <w:tcPr>
            <w:tcW w:w="1275" w:type="dxa"/>
            <w:tcBorders>
              <w:bottom w:val="single" w:sz="4" w:space="0" w:color="auto"/>
            </w:tcBorders>
            <w:shd w:val="clear" w:color="auto" w:fill="auto"/>
          </w:tcPr>
          <w:p w14:paraId="2B9005C7" w14:textId="77777777" w:rsidR="002A383E" w:rsidRPr="00591BFC" w:rsidRDefault="002A383E" w:rsidP="00E86771">
            <w:pPr>
              <w:spacing w:line="360" w:lineRule="auto"/>
            </w:pPr>
            <w:r w:rsidRPr="00591BFC">
              <w:t>£13,653</w:t>
            </w:r>
          </w:p>
          <w:p w14:paraId="4F3A7F01" w14:textId="77777777" w:rsidR="002A383E" w:rsidRPr="00591BFC" w:rsidRDefault="002A383E" w:rsidP="00E86771">
            <w:pPr>
              <w:spacing w:line="360" w:lineRule="auto"/>
            </w:pPr>
            <w:r w:rsidRPr="00591BFC">
              <w:t>(13501 to 13812)</w:t>
            </w:r>
          </w:p>
        </w:tc>
        <w:tc>
          <w:tcPr>
            <w:tcW w:w="993" w:type="dxa"/>
            <w:tcBorders>
              <w:bottom w:val="single" w:sz="4" w:space="0" w:color="auto"/>
            </w:tcBorders>
            <w:shd w:val="clear" w:color="auto" w:fill="auto"/>
          </w:tcPr>
          <w:p w14:paraId="12272FCB" w14:textId="77777777" w:rsidR="002A383E" w:rsidRPr="00591BFC" w:rsidRDefault="002A383E" w:rsidP="00E86771">
            <w:pPr>
              <w:spacing w:line="360" w:lineRule="auto"/>
            </w:pPr>
            <w:r w:rsidRPr="00591BFC">
              <w:t>-</w:t>
            </w:r>
          </w:p>
        </w:tc>
      </w:tr>
    </w:tbl>
    <w:p w14:paraId="218E1256" w14:textId="77777777" w:rsidR="002A383E" w:rsidRPr="00591BFC" w:rsidRDefault="002A383E" w:rsidP="00E86771">
      <w:pPr>
        <w:spacing w:after="0" w:line="360" w:lineRule="auto"/>
      </w:pPr>
      <w:r w:rsidRPr="00591BFC">
        <w:t>* Complete cases including those who died in given year **P&lt;0.001</w:t>
      </w:r>
    </w:p>
    <w:p w14:paraId="62622DAE" w14:textId="77777777" w:rsidR="002A383E" w:rsidRPr="00591BFC" w:rsidRDefault="002A383E" w:rsidP="00E86771">
      <w:pPr>
        <w:spacing w:line="360" w:lineRule="auto"/>
      </w:pPr>
    </w:p>
    <w:p w14:paraId="6B7F4E24" w14:textId="77777777" w:rsidR="00014A69" w:rsidRDefault="00014A69" w:rsidP="00E86771">
      <w:pPr>
        <w:pStyle w:val="Heading3"/>
        <w:spacing w:line="360" w:lineRule="auto"/>
      </w:pPr>
      <w:bookmarkStart w:id="371" w:name="_Toc308300800"/>
      <w:bookmarkStart w:id="372" w:name="_Toc311366607"/>
      <w:r>
        <w:t>Primary care and hospital care costs 1-year and 2-years post index fracture</w:t>
      </w:r>
      <w:bookmarkEnd w:id="371"/>
      <w:bookmarkEnd w:id="372"/>
    </w:p>
    <w:p w14:paraId="0DE5A46E" w14:textId="77777777" w:rsidR="002A383E" w:rsidRDefault="00014A69" w:rsidP="00E86771">
      <w:pPr>
        <w:spacing w:line="360" w:lineRule="auto"/>
      </w:pPr>
      <w:r>
        <w:t xml:space="preserve">The primary care and hospital care costs in the first year and second year (conditional on surviving the first year) post hip fracture per sex and age group are reported in </w:t>
      </w:r>
      <w:r>
        <w:rPr>
          <w:highlight w:val="yellow"/>
        </w:rPr>
        <w:fldChar w:fldCharType="begin"/>
      </w:r>
      <w:r>
        <w:instrText xml:space="preserve"> REF _Ref424553384 \h </w:instrText>
      </w:r>
      <w:r>
        <w:rPr>
          <w:highlight w:val="yellow"/>
        </w:rPr>
      </w:r>
      <w:r>
        <w:rPr>
          <w:highlight w:val="yellow"/>
        </w:rPr>
        <w:fldChar w:fldCharType="separate"/>
      </w:r>
      <w:r w:rsidR="00776C05">
        <w:t xml:space="preserve">Table </w:t>
      </w:r>
      <w:r w:rsidR="00776C05">
        <w:rPr>
          <w:noProof/>
        </w:rPr>
        <w:t>23</w:t>
      </w:r>
      <w:r>
        <w:rPr>
          <w:highlight w:val="yellow"/>
        </w:rPr>
        <w:fldChar w:fldCharType="end"/>
      </w:r>
      <w:r>
        <w:t>.  The total primary care and hospital care costs in the year of the hip fracture were £15,329, of which £14,264 was due to hospital care and £1,065 were due to primary care. Conditional on surviving the first year, the total primary care and hospital care costs in the second year after the hip fracture were £4,242, of which £3,072 were due to hospital care and £1,170 were due to primary care.</w:t>
      </w:r>
    </w:p>
    <w:p w14:paraId="3DE1D26C" w14:textId="77777777" w:rsidR="00014A69" w:rsidRDefault="00014A69" w:rsidP="00E86771">
      <w:pPr>
        <w:pStyle w:val="Caption"/>
        <w:keepNext/>
        <w:spacing w:line="360" w:lineRule="auto"/>
      </w:pPr>
      <w:bookmarkStart w:id="373" w:name="_Ref424553384"/>
      <w:bookmarkStart w:id="374" w:name="_Toc308262418"/>
      <w:bookmarkStart w:id="375" w:name="_Toc311366684"/>
      <w:r>
        <w:t xml:space="preserve">Table </w:t>
      </w:r>
      <w:r w:rsidR="002149AD">
        <w:fldChar w:fldCharType="begin"/>
      </w:r>
      <w:r w:rsidR="002149AD">
        <w:instrText xml:space="preserve"> SEQ Table \* ARABIC </w:instrText>
      </w:r>
      <w:r w:rsidR="002149AD">
        <w:fldChar w:fldCharType="separate"/>
      </w:r>
      <w:r w:rsidR="00776C05">
        <w:rPr>
          <w:noProof/>
        </w:rPr>
        <w:t>23</w:t>
      </w:r>
      <w:r w:rsidR="002149AD">
        <w:rPr>
          <w:noProof/>
        </w:rPr>
        <w:fldChar w:fldCharType="end"/>
      </w:r>
      <w:bookmarkEnd w:id="373"/>
      <w:r>
        <w:t xml:space="preserve"> </w:t>
      </w:r>
      <w:r w:rsidRPr="00C246AE">
        <w:t>Primary care and hospital care costs 1- and 2-years after hip fracture by gender and age group (complete cases including those who died in given year).</w:t>
      </w:r>
      <w:bookmarkEnd w:id="374"/>
      <w:bookmarkEnd w:id="375"/>
    </w:p>
    <w:tbl>
      <w:tblPr>
        <w:tblW w:w="5000" w:type="pct"/>
        <w:tblLook w:val="04A0" w:firstRow="1" w:lastRow="0" w:firstColumn="1" w:lastColumn="0" w:noHBand="0" w:noVBand="1"/>
      </w:tblPr>
      <w:tblGrid>
        <w:gridCol w:w="2771"/>
        <w:gridCol w:w="1581"/>
        <w:gridCol w:w="1308"/>
        <w:gridCol w:w="432"/>
        <w:gridCol w:w="1596"/>
        <w:gridCol w:w="1548"/>
      </w:tblGrid>
      <w:tr w:rsidR="00014A69" w:rsidRPr="00014A69" w14:paraId="6503DE36" w14:textId="77777777" w:rsidTr="00DB4F65">
        <w:tc>
          <w:tcPr>
            <w:tcW w:w="1500" w:type="pct"/>
            <w:hideMark/>
          </w:tcPr>
          <w:p w14:paraId="1B52577F" w14:textId="77777777" w:rsidR="00014A69" w:rsidRPr="00014A69" w:rsidRDefault="00014A69" w:rsidP="00E86771">
            <w:pPr>
              <w:spacing w:line="360" w:lineRule="auto"/>
            </w:pPr>
            <w:r w:rsidRPr="00014A69">
              <w:t>Resource use, annual</w:t>
            </w:r>
          </w:p>
        </w:tc>
        <w:tc>
          <w:tcPr>
            <w:tcW w:w="856" w:type="pct"/>
            <w:hideMark/>
          </w:tcPr>
          <w:p w14:paraId="40F369F2" w14:textId="77777777" w:rsidR="00014A69" w:rsidRPr="00014A69" w:rsidRDefault="00014A69" w:rsidP="00E86771">
            <w:pPr>
              <w:spacing w:line="360" w:lineRule="auto"/>
            </w:pPr>
            <w:r w:rsidRPr="00014A69">
              <w:t>Primary care costs in year 1</w:t>
            </w:r>
          </w:p>
        </w:tc>
        <w:tc>
          <w:tcPr>
            <w:tcW w:w="708" w:type="pct"/>
            <w:hideMark/>
          </w:tcPr>
          <w:p w14:paraId="55343557" w14:textId="77777777" w:rsidR="00014A69" w:rsidRPr="00014A69" w:rsidRDefault="00014A69" w:rsidP="00E86771">
            <w:pPr>
              <w:spacing w:line="360" w:lineRule="auto"/>
            </w:pPr>
            <w:r w:rsidRPr="00014A69">
              <w:t>Hospital costs in year 1</w:t>
            </w:r>
          </w:p>
        </w:tc>
        <w:tc>
          <w:tcPr>
            <w:tcW w:w="234" w:type="pct"/>
          </w:tcPr>
          <w:p w14:paraId="4EEF2EEF" w14:textId="77777777" w:rsidR="00014A69" w:rsidRPr="00014A69" w:rsidRDefault="00014A69" w:rsidP="00E86771">
            <w:pPr>
              <w:spacing w:line="360" w:lineRule="auto"/>
            </w:pPr>
          </w:p>
        </w:tc>
        <w:tc>
          <w:tcPr>
            <w:tcW w:w="864" w:type="pct"/>
            <w:hideMark/>
          </w:tcPr>
          <w:p w14:paraId="48E868FB" w14:textId="77777777" w:rsidR="00014A69" w:rsidRPr="00014A69" w:rsidRDefault="00014A69" w:rsidP="00E86771">
            <w:pPr>
              <w:spacing w:line="360" w:lineRule="auto"/>
            </w:pPr>
            <w:r w:rsidRPr="00014A69">
              <w:t>Primary care costs in year 2</w:t>
            </w:r>
          </w:p>
        </w:tc>
        <w:tc>
          <w:tcPr>
            <w:tcW w:w="838" w:type="pct"/>
            <w:hideMark/>
          </w:tcPr>
          <w:p w14:paraId="17103D14" w14:textId="77777777" w:rsidR="00014A69" w:rsidRPr="00014A69" w:rsidRDefault="00014A69" w:rsidP="00E86771">
            <w:pPr>
              <w:spacing w:line="360" w:lineRule="auto"/>
            </w:pPr>
            <w:r w:rsidRPr="00014A69">
              <w:t>Hospital costs in year 2</w:t>
            </w:r>
          </w:p>
        </w:tc>
      </w:tr>
      <w:tr w:rsidR="00014A69" w:rsidRPr="00014A69" w14:paraId="4E162074" w14:textId="77777777" w:rsidTr="00DB4F65">
        <w:tc>
          <w:tcPr>
            <w:tcW w:w="1500" w:type="pct"/>
            <w:hideMark/>
          </w:tcPr>
          <w:p w14:paraId="6070B56D" w14:textId="77777777" w:rsidR="00014A69" w:rsidRPr="00014A69" w:rsidRDefault="00014A69" w:rsidP="00E86771">
            <w:pPr>
              <w:spacing w:line="360" w:lineRule="auto"/>
            </w:pPr>
            <w:r w:rsidRPr="00014A69">
              <w:t>Men</w:t>
            </w:r>
          </w:p>
        </w:tc>
        <w:tc>
          <w:tcPr>
            <w:tcW w:w="856" w:type="pct"/>
          </w:tcPr>
          <w:p w14:paraId="5EED0172" w14:textId="77777777" w:rsidR="00014A69" w:rsidRPr="00014A69" w:rsidRDefault="00014A69" w:rsidP="00E86771">
            <w:pPr>
              <w:spacing w:line="360" w:lineRule="auto"/>
            </w:pPr>
          </w:p>
        </w:tc>
        <w:tc>
          <w:tcPr>
            <w:tcW w:w="708" w:type="pct"/>
          </w:tcPr>
          <w:p w14:paraId="455D4D01" w14:textId="77777777" w:rsidR="00014A69" w:rsidRPr="00014A69" w:rsidRDefault="00014A69" w:rsidP="00E86771">
            <w:pPr>
              <w:spacing w:line="360" w:lineRule="auto"/>
            </w:pPr>
          </w:p>
        </w:tc>
        <w:tc>
          <w:tcPr>
            <w:tcW w:w="234" w:type="pct"/>
          </w:tcPr>
          <w:p w14:paraId="275FE9FE" w14:textId="77777777" w:rsidR="00014A69" w:rsidRPr="00014A69" w:rsidRDefault="00014A69" w:rsidP="00E86771">
            <w:pPr>
              <w:spacing w:line="360" w:lineRule="auto"/>
            </w:pPr>
          </w:p>
        </w:tc>
        <w:tc>
          <w:tcPr>
            <w:tcW w:w="864" w:type="pct"/>
          </w:tcPr>
          <w:p w14:paraId="25A08BD1" w14:textId="77777777" w:rsidR="00014A69" w:rsidRPr="00014A69" w:rsidRDefault="00014A69" w:rsidP="00E86771">
            <w:pPr>
              <w:spacing w:line="360" w:lineRule="auto"/>
            </w:pPr>
          </w:p>
        </w:tc>
        <w:tc>
          <w:tcPr>
            <w:tcW w:w="838" w:type="pct"/>
          </w:tcPr>
          <w:p w14:paraId="1B20A2E6" w14:textId="77777777" w:rsidR="00014A69" w:rsidRPr="00014A69" w:rsidRDefault="00014A69" w:rsidP="00E86771">
            <w:pPr>
              <w:spacing w:line="360" w:lineRule="auto"/>
            </w:pPr>
          </w:p>
        </w:tc>
      </w:tr>
      <w:tr w:rsidR="00014A69" w:rsidRPr="00014A69" w14:paraId="3464CFC1" w14:textId="77777777" w:rsidTr="00DB4F65">
        <w:tc>
          <w:tcPr>
            <w:tcW w:w="1500" w:type="pct"/>
            <w:hideMark/>
          </w:tcPr>
          <w:p w14:paraId="41E7E63F" w14:textId="77777777" w:rsidR="00014A69" w:rsidRPr="00014A69" w:rsidRDefault="00014A69" w:rsidP="00E86771">
            <w:pPr>
              <w:spacing w:line="360" w:lineRule="auto"/>
            </w:pPr>
            <w:r w:rsidRPr="00014A69">
              <w:t>All ages</w:t>
            </w:r>
          </w:p>
        </w:tc>
        <w:tc>
          <w:tcPr>
            <w:tcW w:w="856" w:type="pct"/>
            <w:hideMark/>
          </w:tcPr>
          <w:p w14:paraId="7878CC22" w14:textId="77777777" w:rsidR="00014A69" w:rsidRPr="00014A69" w:rsidRDefault="00014A69" w:rsidP="00E86771">
            <w:pPr>
              <w:spacing w:line="360" w:lineRule="auto"/>
            </w:pPr>
            <w:r w:rsidRPr="00014A69">
              <w:t>£1,051</w:t>
            </w:r>
          </w:p>
          <w:p w14:paraId="4D3C3EF8" w14:textId="77777777" w:rsidR="00014A69" w:rsidRPr="00014A69" w:rsidRDefault="00014A69" w:rsidP="00E86771">
            <w:pPr>
              <w:spacing w:line="360" w:lineRule="auto"/>
            </w:pPr>
            <w:r w:rsidRPr="00014A69">
              <w:t>(1708)</w:t>
            </w:r>
          </w:p>
        </w:tc>
        <w:tc>
          <w:tcPr>
            <w:tcW w:w="708" w:type="pct"/>
            <w:hideMark/>
          </w:tcPr>
          <w:p w14:paraId="1B488B6F" w14:textId="77777777" w:rsidR="00014A69" w:rsidRPr="00014A69" w:rsidRDefault="00014A69" w:rsidP="00E86771">
            <w:pPr>
              <w:spacing w:line="360" w:lineRule="auto"/>
            </w:pPr>
            <w:r w:rsidRPr="00014A69">
              <w:t>£15,131**</w:t>
            </w:r>
          </w:p>
          <w:p w14:paraId="4919E4E9" w14:textId="77777777" w:rsidR="00014A69" w:rsidRPr="00014A69" w:rsidRDefault="00014A69" w:rsidP="00E86771">
            <w:pPr>
              <w:spacing w:line="360" w:lineRule="auto"/>
            </w:pPr>
            <w:r w:rsidRPr="00014A69">
              <w:t>(11349)</w:t>
            </w:r>
          </w:p>
        </w:tc>
        <w:tc>
          <w:tcPr>
            <w:tcW w:w="234" w:type="pct"/>
          </w:tcPr>
          <w:p w14:paraId="016F9258" w14:textId="77777777" w:rsidR="00014A69" w:rsidRPr="00014A69" w:rsidRDefault="00014A69" w:rsidP="00E86771">
            <w:pPr>
              <w:spacing w:line="360" w:lineRule="auto"/>
            </w:pPr>
          </w:p>
        </w:tc>
        <w:tc>
          <w:tcPr>
            <w:tcW w:w="864" w:type="pct"/>
            <w:hideMark/>
          </w:tcPr>
          <w:p w14:paraId="304DE953" w14:textId="77777777" w:rsidR="00014A69" w:rsidRPr="00014A69" w:rsidRDefault="00014A69" w:rsidP="00E86771">
            <w:pPr>
              <w:spacing w:line="360" w:lineRule="auto"/>
            </w:pPr>
            <w:r w:rsidRPr="00014A69">
              <w:t>£1,252</w:t>
            </w:r>
          </w:p>
          <w:p w14:paraId="37FCE733" w14:textId="77777777" w:rsidR="00014A69" w:rsidRPr="00014A69" w:rsidRDefault="00014A69" w:rsidP="00E86771">
            <w:pPr>
              <w:spacing w:line="360" w:lineRule="auto"/>
            </w:pPr>
            <w:r w:rsidRPr="00014A69">
              <w:t>(1879)</w:t>
            </w:r>
          </w:p>
        </w:tc>
        <w:tc>
          <w:tcPr>
            <w:tcW w:w="838" w:type="pct"/>
            <w:hideMark/>
          </w:tcPr>
          <w:p w14:paraId="7C3E70E5" w14:textId="77777777" w:rsidR="00014A69" w:rsidRPr="00014A69" w:rsidRDefault="00014A69" w:rsidP="00E86771">
            <w:pPr>
              <w:spacing w:line="360" w:lineRule="auto"/>
            </w:pPr>
            <w:r w:rsidRPr="00014A69">
              <w:t>£3,614**</w:t>
            </w:r>
          </w:p>
          <w:p w14:paraId="027DEFCA" w14:textId="77777777" w:rsidR="00014A69" w:rsidRPr="00014A69" w:rsidRDefault="00014A69" w:rsidP="00E86771">
            <w:pPr>
              <w:spacing w:line="360" w:lineRule="auto"/>
            </w:pPr>
            <w:r w:rsidRPr="00014A69">
              <w:t>(7302)</w:t>
            </w:r>
          </w:p>
        </w:tc>
      </w:tr>
      <w:tr w:rsidR="00014A69" w:rsidRPr="00014A69" w14:paraId="618F4C3F" w14:textId="77777777" w:rsidTr="00DB4F65">
        <w:tc>
          <w:tcPr>
            <w:tcW w:w="1500" w:type="pct"/>
            <w:hideMark/>
          </w:tcPr>
          <w:p w14:paraId="1A8301E0" w14:textId="77777777" w:rsidR="00014A69" w:rsidRPr="00014A69" w:rsidRDefault="00014A69" w:rsidP="00E86771">
            <w:pPr>
              <w:spacing w:line="360" w:lineRule="auto"/>
            </w:pPr>
            <w:r w:rsidRPr="00014A69">
              <w:t>Age 60-69 years</w:t>
            </w:r>
          </w:p>
        </w:tc>
        <w:tc>
          <w:tcPr>
            <w:tcW w:w="856" w:type="pct"/>
            <w:hideMark/>
          </w:tcPr>
          <w:p w14:paraId="2EEBA1ED" w14:textId="77777777" w:rsidR="00014A69" w:rsidRPr="00014A69" w:rsidRDefault="00014A69" w:rsidP="00E86771">
            <w:pPr>
              <w:spacing w:line="360" w:lineRule="auto"/>
            </w:pPr>
            <w:r w:rsidRPr="00014A69">
              <w:t>£882*</w:t>
            </w:r>
          </w:p>
          <w:p w14:paraId="20AFD9BD" w14:textId="77777777" w:rsidR="00014A69" w:rsidRPr="00014A69" w:rsidRDefault="00014A69" w:rsidP="00E86771">
            <w:pPr>
              <w:spacing w:line="360" w:lineRule="auto"/>
            </w:pPr>
            <w:r w:rsidRPr="00014A69">
              <w:t>(954)</w:t>
            </w:r>
          </w:p>
        </w:tc>
        <w:tc>
          <w:tcPr>
            <w:tcW w:w="708" w:type="pct"/>
            <w:hideMark/>
          </w:tcPr>
          <w:p w14:paraId="1540FCEE" w14:textId="77777777" w:rsidR="00014A69" w:rsidRPr="00014A69" w:rsidRDefault="00014A69" w:rsidP="00E86771">
            <w:pPr>
              <w:spacing w:line="360" w:lineRule="auto"/>
            </w:pPr>
            <w:r w:rsidRPr="00014A69">
              <w:t>£14,659**</w:t>
            </w:r>
          </w:p>
          <w:p w14:paraId="7934050F" w14:textId="77777777" w:rsidR="00014A69" w:rsidRPr="00014A69" w:rsidRDefault="00014A69" w:rsidP="00E86771">
            <w:pPr>
              <w:spacing w:line="360" w:lineRule="auto"/>
            </w:pPr>
            <w:r w:rsidRPr="00014A69">
              <w:t>(13623)</w:t>
            </w:r>
          </w:p>
        </w:tc>
        <w:tc>
          <w:tcPr>
            <w:tcW w:w="234" w:type="pct"/>
          </w:tcPr>
          <w:p w14:paraId="5BB2FF0B" w14:textId="77777777" w:rsidR="00014A69" w:rsidRPr="00014A69" w:rsidRDefault="00014A69" w:rsidP="00E86771">
            <w:pPr>
              <w:spacing w:line="360" w:lineRule="auto"/>
            </w:pPr>
          </w:p>
        </w:tc>
        <w:tc>
          <w:tcPr>
            <w:tcW w:w="864" w:type="pct"/>
            <w:hideMark/>
          </w:tcPr>
          <w:p w14:paraId="7CEF26BA" w14:textId="77777777" w:rsidR="00014A69" w:rsidRPr="00014A69" w:rsidRDefault="00014A69" w:rsidP="00E86771">
            <w:pPr>
              <w:spacing w:line="360" w:lineRule="auto"/>
            </w:pPr>
            <w:r w:rsidRPr="00014A69">
              <w:t>£821</w:t>
            </w:r>
          </w:p>
          <w:p w14:paraId="7DADB6B0" w14:textId="77777777" w:rsidR="00014A69" w:rsidRPr="00014A69" w:rsidRDefault="00014A69" w:rsidP="00E86771">
            <w:pPr>
              <w:spacing w:line="360" w:lineRule="auto"/>
            </w:pPr>
            <w:r w:rsidRPr="00014A69">
              <w:t>(1322)</w:t>
            </w:r>
          </w:p>
        </w:tc>
        <w:tc>
          <w:tcPr>
            <w:tcW w:w="838" w:type="pct"/>
            <w:hideMark/>
          </w:tcPr>
          <w:p w14:paraId="0C46675D" w14:textId="77777777" w:rsidR="00014A69" w:rsidRPr="00014A69" w:rsidRDefault="00014A69" w:rsidP="00E86771">
            <w:pPr>
              <w:spacing w:line="360" w:lineRule="auto"/>
            </w:pPr>
            <w:r w:rsidRPr="00014A69">
              <w:t>£3,042</w:t>
            </w:r>
          </w:p>
          <w:p w14:paraId="03F82425" w14:textId="77777777" w:rsidR="00014A69" w:rsidRPr="00014A69" w:rsidRDefault="00014A69" w:rsidP="00E86771">
            <w:pPr>
              <w:spacing w:line="360" w:lineRule="auto"/>
            </w:pPr>
            <w:r w:rsidRPr="00014A69">
              <w:t>(7022)</w:t>
            </w:r>
          </w:p>
        </w:tc>
      </w:tr>
      <w:tr w:rsidR="00014A69" w:rsidRPr="00014A69" w14:paraId="7462180D" w14:textId="77777777" w:rsidTr="00DB4F65">
        <w:tc>
          <w:tcPr>
            <w:tcW w:w="1500" w:type="pct"/>
            <w:hideMark/>
          </w:tcPr>
          <w:p w14:paraId="516CFE8D" w14:textId="77777777" w:rsidR="00014A69" w:rsidRPr="00014A69" w:rsidRDefault="00014A69" w:rsidP="00E86771">
            <w:pPr>
              <w:spacing w:line="360" w:lineRule="auto"/>
            </w:pPr>
            <w:r w:rsidRPr="00014A69">
              <w:t>Age 70-79 years</w:t>
            </w:r>
          </w:p>
        </w:tc>
        <w:tc>
          <w:tcPr>
            <w:tcW w:w="856" w:type="pct"/>
            <w:hideMark/>
          </w:tcPr>
          <w:p w14:paraId="5D6E561D" w14:textId="77777777" w:rsidR="00014A69" w:rsidRPr="00014A69" w:rsidRDefault="00014A69" w:rsidP="00E86771">
            <w:pPr>
              <w:spacing w:line="360" w:lineRule="auto"/>
            </w:pPr>
            <w:r w:rsidRPr="00014A69">
              <w:t>£1,161</w:t>
            </w:r>
          </w:p>
          <w:p w14:paraId="6CEA9024" w14:textId="77777777" w:rsidR="00014A69" w:rsidRPr="00014A69" w:rsidRDefault="00014A69" w:rsidP="00E86771">
            <w:pPr>
              <w:spacing w:line="360" w:lineRule="auto"/>
            </w:pPr>
            <w:r w:rsidRPr="00014A69">
              <w:t>(2085)</w:t>
            </w:r>
          </w:p>
        </w:tc>
        <w:tc>
          <w:tcPr>
            <w:tcW w:w="708" w:type="pct"/>
            <w:hideMark/>
          </w:tcPr>
          <w:p w14:paraId="7DA8ADB6" w14:textId="77777777" w:rsidR="00014A69" w:rsidRPr="00014A69" w:rsidRDefault="00014A69" w:rsidP="00E86771">
            <w:pPr>
              <w:spacing w:line="360" w:lineRule="auto"/>
            </w:pPr>
            <w:r w:rsidRPr="00014A69">
              <w:t>£15,278**</w:t>
            </w:r>
          </w:p>
          <w:p w14:paraId="4B1D0A0A" w14:textId="77777777" w:rsidR="00014A69" w:rsidRPr="00014A69" w:rsidRDefault="00014A69" w:rsidP="00E86771">
            <w:pPr>
              <w:spacing w:line="360" w:lineRule="auto"/>
            </w:pPr>
            <w:r w:rsidRPr="00014A69">
              <w:t>(12628)</w:t>
            </w:r>
          </w:p>
        </w:tc>
        <w:tc>
          <w:tcPr>
            <w:tcW w:w="234" w:type="pct"/>
          </w:tcPr>
          <w:p w14:paraId="34170344" w14:textId="77777777" w:rsidR="00014A69" w:rsidRPr="00014A69" w:rsidRDefault="00014A69" w:rsidP="00E86771">
            <w:pPr>
              <w:spacing w:line="360" w:lineRule="auto"/>
            </w:pPr>
          </w:p>
        </w:tc>
        <w:tc>
          <w:tcPr>
            <w:tcW w:w="864" w:type="pct"/>
            <w:hideMark/>
          </w:tcPr>
          <w:p w14:paraId="71E5152D" w14:textId="77777777" w:rsidR="00014A69" w:rsidRPr="00014A69" w:rsidRDefault="00014A69" w:rsidP="00E86771">
            <w:pPr>
              <w:spacing w:line="360" w:lineRule="auto"/>
            </w:pPr>
            <w:r w:rsidRPr="00014A69">
              <w:t>£1,279</w:t>
            </w:r>
          </w:p>
          <w:p w14:paraId="7C6A5881" w14:textId="77777777" w:rsidR="00014A69" w:rsidRPr="00014A69" w:rsidRDefault="00014A69" w:rsidP="00E86771">
            <w:pPr>
              <w:spacing w:line="360" w:lineRule="auto"/>
            </w:pPr>
            <w:r w:rsidRPr="00014A69">
              <w:t>(1913)</w:t>
            </w:r>
          </w:p>
        </w:tc>
        <w:tc>
          <w:tcPr>
            <w:tcW w:w="838" w:type="pct"/>
            <w:hideMark/>
          </w:tcPr>
          <w:p w14:paraId="16D24221" w14:textId="77777777" w:rsidR="00014A69" w:rsidRPr="00014A69" w:rsidRDefault="00014A69" w:rsidP="00E86771">
            <w:pPr>
              <w:spacing w:line="360" w:lineRule="auto"/>
            </w:pPr>
            <w:r w:rsidRPr="00014A69">
              <w:t>£3,471</w:t>
            </w:r>
          </w:p>
          <w:p w14:paraId="1B3FA9CF" w14:textId="77777777" w:rsidR="00014A69" w:rsidRPr="00014A69" w:rsidRDefault="00014A69" w:rsidP="00E86771">
            <w:pPr>
              <w:spacing w:line="360" w:lineRule="auto"/>
            </w:pPr>
            <w:r w:rsidRPr="00014A69">
              <w:t>(7248)</w:t>
            </w:r>
          </w:p>
        </w:tc>
      </w:tr>
      <w:tr w:rsidR="00014A69" w:rsidRPr="00014A69" w14:paraId="40425F14" w14:textId="77777777" w:rsidTr="00DB4F65">
        <w:tc>
          <w:tcPr>
            <w:tcW w:w="1500" w:type="pct"/>
            <w:hideMark/>
          </w:tcPr>
          <w:p w14:paraId="7241B137" w14:textId="77777777" w:rsidR="00014A69" w:rsidRPr="00014A69" w:rsidRDefault="00014A69" w:rsidP="00E86771">
            <w:pPr>
              <w:spacing w:line="360" w:lineRule="auto"/>
            </w:pPr>
            <w:r w:rsidRPr="00014A69">
              <w:t>Age 80-89 years</w:t>
            </w:r>
          </w:p>
        </w:tc>
        <w:tc>
          <w:tcPr>
            <w:tcW w:w="856" w:type="pct"/>
            <w:hideMark/>
          </w:tcPr>
          <w:p w14:paraId="5D388CFB" w14:textId="77777777" w:rsidR="00014A69" w:rsidRPr="00014A69" w:rsidRDefault="00014A69" w:rsidP="00E86771">
            <w:pPr>
              <w:spacing w:line="360" w:lineRule="auto"/>
            </w:pPr>
            <w:r w:rsidRPr="00014A69">
              <w:t>£1,085</w:t>
            </w:r>
          </w:p>
          <w:p w14:paraId="5D8558B7" w14:textId="77777777" w:rsidR="00014A69" w:rsidRPr="00014A69" w:rsidRDefault="00014A69" w:rsidP="00E86771">
            <w:pPr>
              <w:spacing w:line="360" w:lineRule="auto"/>
            </w:pPr>
            <w:r w:rsidRPr="00014A69">
              <w:t>(1765)</w:t>
            </w:r>
          </w:p>
        </w:tc>
        <w:tc>
          <w:tcPr>
            <w:tcW w:w="708" w:type="pct"/>
            <w:hideMark/>
          </w:tcPr>
          <w:p w14:paraId="5FA95505" w14:textId="77777777" w:rsidR="00014A69" w:rsidRPr="00014A69" w:rsidRDefault="00014A69" w:rsidP="00E86771">
            <w:pPr>
              <w:spacing w:line="360" w:lineRule="auto"/>
            </w:pPr>
            <w:r w:rsidRPr="00014A69">
              <w:t>£15,485**</w:t>
            </w:r>
          </w:p>
          <w:p w14:paraId="7E2F9A46" w14:textId="77777777" w:rsidR="00014A69" w:rsidRPr="00014A69" w:rsidRDefault="00014A69" w:rsidP="00E86771">
            <w:pPr>
              <w:spacing w:line="360" w:lineRule="auto"/>
            </w:pPr>
            <w:r w:rsidRPr="00014A69">
              <w:t>(10637)</w:t>
            </w:r>
          </w:p>
        </w:tc>
        <w:tc>
          <w:tcPr>
            <w:tcW w:w="234" w:type="pct"/>
          </w:tcPr>
          <w:p w14:paraId="033E5A22" w14:textId="77777777" w:rsidR="00014A69" w:rsidRPr="00014A69" w:rsidRDefault="00014A69" w:rsidP="00E86771">
            <w:pPr>
              <w:spacing w:line="360" w:lineRule="auto"/>
            </w:pPr>
          </w:p>
        </w:tc>
        <w:tc>
          <w:tcPr>
            <w:tcW w:w="864" w:type="pct"/>
            <w:hideMark/>
          </w:tcPr>
          <w:p w14:paraId="0A1470A5" w14:textId="77777777" w:rsidR="00014A69" w:rsidRPr="00014A69" w:rsidRDefault="00014A69" w:rsidP="00E86771">
            <w:pPr>
              <w:spacing w:line="360" w:lineRule="auto"/>
            </w:pPr>
            <w:r w:rsidRPr="00014A69">
              <w:t>£1,420*</w:t>
            </w:r>
          </w:p>
          <w:p w14:paraId="4D321673" w14:textId="77777777" w:rsidR="00014A69" w:rsidRPr="00014A69" w:rsidRDefault="00014A69" w:rsidP="00E86771">
            <w:pPr>
              <w:spacing w:line="360" w:lineRule="auto"/>
            </w:pPr>
            <w:r w:rsidRPr="00014A69">
              <w:t>(2196)</w:t>
            </w:r>
          </w:p>
        </w:tc>
        <w:tc>
          <w:tcPr>
            <w:tcW w:w="838" w:type="pct"/>
            <w:hideMark/>
          </w:tcPr>
          <w:p w14:paraId="15942691" w14:textId="77777777" w:rsidR="00014A69" w:rsidRPr="00014A69" w:rsidRDefault="00014A69" w:rsidP="00E86771">
            <w:pPr>
              <w:spacing w:line="360" w:lineRule="auto"/>
            </w:pPr>
            <w:r w:rsidRPr="00014A69">
              <w:t>£4,058</w:t>
            </w:r>
          </w:p>
          <w:p w14:paraId="6F984956" w14:textId="77777777" w:rsidR="00014A69" w:rsidRPr="00014A69" w:rsidRDefault="00014A69" w:rsidP="00E86771">
            <w:pPr>
              <w:spacing w:line="360" w:lineRule="auto"/>
            </w:pPr>
            <w:r w:rsidRPr="00014A69">
              <w:t>(7738)</w:t>
            </w:r>
          </w:p>
        </w:tc>
      </w:tr>
      <w:tr w:rsidR="00014A69" w:rsidRPr="00014A69" w14:paraId="47364595" w14:textId="77777777" w:rsidTr="00DB4F65">
        <w:tc>
          <w:tcPr>
            <w:tcW w:w="1500" w:type="pct"/>
            <w:hideMark/>
          </w:tcPr>
          <w:p w14:paraId="4D465F67" w14:textId="77777777" w:rsidR="00014A69" w:rsidRPr="00014A69" w:rsidRDefault="00014A69" w:rsidP="00E86771">
            <w:pPr>
              <w:spacing w:line="360" w:lineRule="auto"/>
            </w:pPr>
            <w:r w:rsidRPr="00014A69">
              <w:lastRenderedPageBreak/>
              <w:t>Age 90 years and over</w:t>
            </w:r>
          </w:p>
        </w:tc>
        <w:tc>
          <w:tcPr>
            <w:tcW w:w="856" w:type="pct"/>
            <w:hideMark/>
          </w:tcPr>
          <w:p w14:paraId="1FC6C3CB" w14:textId="77777777" w:rsidR="00014A69" w:rsidRPr="00014A69" w:rsidRDefault="00014A69" w:rsidP="00E86771">
            <w:pPr>
              <w:spacing w:line="360" w:lineRule="auto"/>
            </w:pPr>
            <w:r w:rsidRPr="00014A69">
              <w:t>£874</w:t>
            </w:r>
          </w:p>
          <w:p w14:paraId="27520044" w14:textId="77777777" w:rsidR="00014A69" w:rsidRPr="00014A69" w:rsidRDefault="00014A69" w:rsidP="00E86771">
            <w:pPr>
              <w:spacing w:line="360" w:lineRule="auto"/>
            </w:pPr>
            <w:r w:rsidRPr="00014A69">
              <w:t>(1087)</w:t>
            </w:r>
          </w:p>
        </w:tc>
        <w:tc>
          <w:tcPr>
            <w:tcW w:w="708" w:type="pct"/>
            <w:hideMark/>
          </w:tcPr>
          <w:p w14:paraId="0FE0E90D" w14:textId="77777777" w:rsidR="00014A69" w:rsidRPr="00014A69" w:rsidRDefault="00014A69" w:rsidP="00E86771">
            <w:pPr>
              <w:spacing w:line="360" w:lineRule="auto"/>
            </w:pPr>
            <w:r w:rsidRPr="00014A69">
              <w:t>£14,210</w:t>
            </w:r>
          </w:p>
          <w:p w14:paraId="425961FA" w14:textId="77777777" w:rsidR="00014A69" w:rsidRPr="00014A69" w:rsidRDefault="00014A69" w:rsidP="00E86771">
            <w:pPr>
              <w:spacing w:line="360" w:lineRule="auto"/>
            </w:pPr>
            <w:r w:rsidRPr="00014A69">
              <w:t>(9590)</w:t>
            </w:r>
          </w:p>
        </w:tc>
        <w:tc>
          <w:tcPr>
            <w:tcW w:w="234" w:type="pct"/>
          </w:tcPr>
          <w:p w14:paraId="7A108DE2" w14:textId="77777777" w:rsidR="00014A69" w:rsidRPr="00014A69" w:rsidRDefault="00014A69" w:rsidP="00E86771">
            <w:pPr>
              <w:spacing w:line="360" w:lineRule="auto"/>
            </w:pPr>
          </w:p>
        </w:tc>
        <w:tc>
          <w:tcPr>
            <w:tcW w:w="864" w:type="pct"/>
            <w:hideMark/>
          </w:tcPr>
          <w:p w14:paraId="681FFDAD" w14:textId="77777777" w:rsidR="00014A69" w:rsidRPr="00014A69" w:rsidRDefault="00014A69" w:rsidP="00E86771">
            <w:pPr>
              <w:spacing w:line="360" w:lineRule="auto"/>
            </w:pPr>
            <w:r w:rsidRPr="00014A69">
              <w:t>£1,037</w:t>
            </w:r>
          </w:p>
          <w:p w14:paraId="2E53C950" w14:textId="77777777" w:rsidR="00014A69" w:rsidRPr="00014A69" w:rsidRDefault="00014A69" w:rsidP="00E86771">
            <w:pPr>
              <w:spacing w:line="360" w:lineRule="auto"/>
            </w:pPr>
            <w:r w:rsidRPr="00014A69">
              <w:t>(1089)</w:t>
            </w:r>
          </w:p>
        </w:tc>
        <w:tc>
          <w:tcPr>
            <w:tcW w:w="838" w:type="pct"/>
          </w:tcPr>
          <w:p w14:paraId="5F5ED861" w14:textId="77777777" w:rsidR="00014A69" w:rsidRPr="00014A69" w:rsidRDefault="00014A69" w:rsidP="00E86771">
            <w:pPr>
              <w:spacing w:line="360" w:lineRule="auto"/>
            </w:pPr>
            <w:r w:rsidRPr="00014A69">
              <w:t>£2,848</w:t>
            </w:r>
          </w:p>
          <w:p w14:paraId="549FE4AB" w14:textId="77777777" w:rsidR="00014A69" w:rsidRPr="00014A69" w:rsidRDefault="00014A69" w:rsidP="00E86771">
            <w:pPr>
              <w:spacing w:line="360" w:lineRule="auto"/>
            </w:pPr>
            <w:r w:rsidRPr="00014A69">
              <w:t>(5575)</w:t>
            </w:r>
          </w:p>
          <w:p w14:paraId="15144F63" w14:textId="77777777" w:rsidR="00014A69" w:rsidRPr="00014A69" w:rsidRDefault="00014A69" w:rsidP="00E86771">
            <w:pPr>
              <w:spacing w:line="360" w:lineRule="auto"/>
            </w:pPr>
          </w:p>
        </w:tc>
      </w:tr>
      <w:tr w:rsidR="00014A69" w:rsidRPr="00014A69" w14:paraId="05026A4C" w14:textId="77777777" w:rsidTr="00DB4F65">
        <w:tc>
          <w:tcPr>
            <w:tcW w:w="1500" w:type="pct"/>
            <w:hideMark/>
          </w:tcPr>
          <w:p w14:paraId="08183CF3" w14:textId="77777777" w:rsidR="00014A69" w:rsidRPr="00014A69" w:rsidRDefault="00014A69" w:rsidP="00E86771">
            <w:pPr>
              <w:spacing w:line="360" w:lineRule="auto"/>
            </w:pPr>
            <w:r w:rsidRPr="00014A69">
              <w:t>Women</w:t>
            </w:r>
          </w:p>
        </w:tc>
        <w:tc>
          <w:tcPr>
            <w:tcW w:w="856" w:type="pct"/>
          </w:tcPr>
          <w:p w14:paraId="24E6E542" w14:textId="77777777" w:rsidR="00014A69" w:rsidRPr="00014A69" w:rsidRDefault="00014A69" w:rsidP="00E86771">
            <w:pPr>
              <w:spacing w:line="360" w:lineRule="auto"/>
            </w:pPr>
          </w:p>
        </w:tc>
        <w:tc>
          <w:tcPr>
            <w:tcW w:w="708" w:type="pct"/>
          </w:tcPr>
          <w:p w14:paraId="48F5EA8B" w14:textId="77777777" w:rsidR="00014A69" w:rsidRPr="00014A69" w:rsidRDefault="00014A69" w:rsidP="00E86771">
            <w:pPr>
              <w:spacing w:line="360" w:lineRule="auto"/>
            </w:pPr>
          </w:p>
        </w:tc>
        <w:tc>
          <w:tcPr>
            <w:tcW w:w="234" w:type="pct"/>
          </w:tcPr>
          <w:p w14:paraId="1D33C0F9" w14:textId="77777777" w:rsidR="00014A69" w:rsidRPr="00014A69" w:rsidRDefault="00014A69" w:rsidP="00E86771">
            <w:pPr>
              <w:spacing w:line="360" w:lineRule="auto"/>
            </w:pPr>
          </w:p>
        </w:tc>
        <w:tc>
          <w:tcPr>
            <w:tcW w:w="864" w:type="pct"/>
          </w:tcPr>
          <w:p w14:paraId="657EC834" w14:textId="77777777" w:rsidR="00014A69" w:rsidRPr="00014A69" w:rsidRDefault="00014A69" w:rsidP="00E86771">
            <w:pPr>
              <w:spacing w:line="360" w:lineRule="auto"/>
            </w:pPr>
          </w:p>
        </w:tc>
        <w:tc>
          <w:tcPr>
            <w:tcW w:w="838" w:type="pct"/>
          </w:tcPr>
          <w:p w14:paraId="4BD35220" w14:textId="77777777" w:rsidR="00014A69" w:rsidRPr="00014A69" w:rsidRDefault="00014A69" w:rsidP="00E86771">
            <w:pPr>
              <w:spacing w:line="360" w:lineRule="auto"/>
            </w:pPr>
          </w:p>
        </w:tc>
      </w:tr>
      <w:tr w:rsidR="00014A69" w:rsidRPr="00014A69" w14:paraId="232929A9" w14:textId="77777777" w:rsidTr="00DB4F65">
        <w:tc>
          <w:tcPr>
            <w:tcW w:w="1500" w:type="pct"/>
            <w:hideMark/>
          </w:tcPr>
          <w:p w14:paraId="48B4A2D3" w14:textId="77777777" w:rsidR="00014A69" w:rsidRPr="00014A69" w:rsidRDefault="00014A69" w:rsidP="00E86771">
            <w:pPr>
              <w:spacing w:line="360" w:lineRule="auto"/>
            </w:pPr>
            <w:r w:rsidRPr="00014A69">
              <w:t>All ages</w:t>
            </w:r>
          </w:p>
        </w:tc>
        <w:tc>
          <w:tcPr>
            <w:tcW w:w="856" w:type="pct"/>
            <w:hideMark/>
          </w:tcPr>
          <w:p w14:paraId="54D761DA" w14:textId="77777777" w:rsidR="00014A69" w:rsidRPr="00014A69" w:rsidRDefault="00014A69" w:rsidP="00E86771">
            <w:pPr>
              <w:spacing w:line="360" w:lineRule="auto"/>
            </w:pPr>
            <w:r w:rsidRPr="00014A69">
              <w:t>£1,069</w:t>
            </w:r>
          </w:p>
          <w:p w14:paraId="65D1C2EE" w14:textId="77777777" w:rsidR="00014A69" w:rsidRPr="00014A69" w:rsidRDefault="00014A69" w:rsidP="00E86771">
            <w:pPr>
              <w:spacing w:line="360" w:lineRule="auto"/>
            </w:pPr>
            <w:r w:rsidRPr="00014A69">
              <w:t>(1823)</w:t>
            </w:r>
          </w:p>
        </w:tc>
        <w:tc>
          <w:tcPr>
            <w:tcW w:w="708" w:type="pct"/>
            <w:hideMark/>
          </w:tcPr>
          <w:p w14:paraId="3B302364" w14:textId="77777777" w:rsidR="00014A69" w:rsidRPr="00014A69" w:rsidRDefault="00014A69" w:rsidP="00E86771">
            <w:pPr>
              <w:spacing w:line="360" w:lineRule="auto"/>
            </w:pPr>
            <w:r w:rsidRPr="00014A69">
              <w:t>£13,943</w:t>
            </w:r>
          </w:p>
          <w:p w14:paraId="40CA81A1" w14:textId="77777777" w:rsidR="00014A69" w:rsidRPr="00014A69" w:rsidRDefault="00014A69" w:rsidP="00E86771">
            <w:pPr>
              <w:spacing w:line="360" w:lineRule="auto"/>
            </w:pPr>
            <w:r w:rsidRPr="00014A69">
              <w:t>(10311)</w:t>
            </w:r>
          </w:p>
        </w:tc>
        <w:tc>
          <w:tcPr>
            <w:tcW w:w="234" w:type="pct"/>
          </w:tcPr>
          <w:p w14:paraId="33DBD036" w14:textId="77777777" w:rsidR="00014A69" w:rsidRPr="00014A69" w:rsidRDefault="00014A69" w:rsidP="00E86771">
            <w:pPr>
              <w:spacing w:line="360" w:lineRule="auto"/>
            </w:pPr>
          </w:p>
        </w:tc>
        <w:tc>
          <w:tcPr>
            <w:tcW w:w="864" w:type="pct"/>
            <w:hideMark/>
          </w:tcPr>
          <w:p w14:paraId="12CF6F7A" w14:textId="77777777" w:rsidR="00014A69" w:rsidRPr="00014A69" w:rsidRDefault="00014A69" w:rsidP="00E86771">
            <w:pPr>
              <w:spacing w:line="360" w:lineRule="auto"/>
            </w:pPr>
            <w:r w:rsidRPr="00014A69">
              <w:t>£1,149</w:t>
            </w:r>
          </w:p>
          <w:p w14:paraId="3AF45637" w14:textId="77777777" w:rsidR="00014A69" w:rsidRPr="00014A69" w:rsidRDefault="00014A69" w:rsidP="00E86771">
            <w:pPr>
              <w:spacing w:line="360" w:lineRule="auto"/>
            </w:pPr>
            <w:r w:rsidRPr="00014A69">
              <w:t>(2111)</w:t>
            </w:r>
          </w:p>
        </w:tc>
        <w:tc>
          <w:tcPr>
            <w:tcW w:w="838" w:type="pct"/>
            <w:hideMark/>
          </w:tcPr>
          <w:p w14:paraId="4A9C4CFA" w14:textId="77777777" w:rsidR="00014A69" w:rsidRPr="00014A69" w:rsidRDefault="00014A69" w:rsidP="00E86771">
            <w:pPr>
              <w:spacing w:line="360" w:lineRule="auto"/>
            </w:pPr>
            <w:r w:rsidRPr="00014A69">
              <w:t>£2,908</w:t>
            </w:r>
          </w:p>
          <w:p w14:paraId="6941FA38" w14:textId="77777777" w:rsidR="00014A69" w:rsidRPr="00014A69" w:rsidRDefault="00014A69" w:rsidP="00E86771">
            <w:pPr>
              <w:spacing w:line="360" w:lineRule="auto"/>
            </w:pPr>
            <w:r w:rsidRPr="00014A69">
              <w:t>(6905)</w:t>
            </w:r>
          </w:p>
        </w:tc>
      </w:tr>
      <w:tr w:rsidR="00014A69" w:rsidRPr="00014A69" w14:paraId="78EA9CCF" w14:textId="77777777" w:rsidTr="00DB4F65">
        <w:tc>
          <w:tcPr>
            <w:tcW w:w="1500" w:type="pct"/>
            <w:hideMark/>
          </w:tcPr>
          <w:p w14:paraId="7D3000C6" w14:textId="77777777" w:rsidR="00014A69" w:rsidRPr="00014A69" w:rsidRDefault="00014A69" w:rsidP="00E86771">
            <w:pPr>
              <w:spacing w:line="360" w:lineRule="auto"/>
            </w:pPr>
            <w:r w:rsidRPr="00014A69">
              <w:t>Age 60-69 years</w:t>
            </w:r>
          </w:p>
        </w:tc>
        <w:tc>
          <w:tcPr>
            <w:tcW w:w="856" w:type="pct"/>
            <w:hideMark/>
          </w:tcPr>
          <w:p w14:paraId="359A979A" w14:textId="77777777" w:rsidR="00014A69" w:rsidRPr="00014A69" w:rsidRDefault="00014A69" w:rsidP="00E86771">
            <w:pPr>
              <w:spacing w:line="360" w:lineRule="auto"/>
            </w:pPr>
            <w:r w:rsidRPr="00014A69">
              <w:t>£1,338</w:t>
            </w:r>
          </w:p>
          <w:p w14:paraId="06B6C98A" w14:textId="77777777" w:rsidR="00014A69" w:rsidRPr="00014A69" w:rsidRDefault="00014A69" w:rsidP="00E86771">
            <w:pPr>
              <w:spacing w:line="360" w:lineRule="auto"/>
            </w:pPr>
            <w:r w:rsidRPr="00014A69">
              <w:t>(1730)</w:t>
            </w:r>
          </w:p>
        </w:tc>
        <w:tc>
          <w:tcPr>
            <w:tcW w:w="708" w:type="pct"/>
            <w:hideMark/>
          </w:tcPr>
          <w:p w14:paraId="2D5E5766" w14:textId="77777777" w:rsidR="00014A69" w:rsidRPr="00014A69" w:rsidRDefault="00014A69" w:rsidP="00E86771">
            <w:pPr>
              <w:spacing w:line="360" w:lineRule="auto"/>
            </w:pPr>
            <w:r w:rsidRPr="00014A69">
              <w:t>£12,212</w:t>
            </w:r>
          </w:p>
          <w:p w14:paraId="174BBA9A" w14:textId="77777777" w:rsidR="00014A69" w:rsidRPr="00014A69" w:rsidRDefault="00014A69" w:rsidP="00E86771">
            <w:pPr>
              <w:spacing w:line="360" w:lineRule="auto"/>
            </w:pPr>
            <w:r w:rsidRPr="00014A69">
              <w:t>(11118)</w:t>
            </w:r>
          </w:p>
        </w:tc>
        <w:tc>
          <w:tcPr>
            <w:tcW w:w="234" w:type="pct"/>
          </w:tcPr>
          <w:p w14:paraId="4F42518E" w14:textId="77777777" w:rsidR="00014A69" w:rsidRPr="00014A69" w:rsidRDefault="00014A69" w:rsidP="00E86771">
            <w:pPr>
              <w:spacing w:line="360" w:lineRule="auto"/>
            </w:pPr>
          </w:p>
        </w:tc>
        <w:tc>
          <w:tcPr>
            <w:tcW w:w="864" w:type="pct"/>
            <w:hideMark/>
          </w:tcPr>
          <w:p w14:paraId="3E3F837C" w14:textId="77777777" w:rsidR="00014A69" w:rsidRPr="00014A69" w:rsidRDefault="00014A69" w:rsidP="00E86771">
            <w:pPr>
              <w:spacing w:line="360" w:lineRule="auto"/>
            </w:pPr>
            <w:r w:rsidRPr="00014A69">
              <w:t>£1,322</w:t>
            </w:r>
          </w:p>
          <w:p w14:paraId="25A41027" w14:textId="77777777" w:rsidR="00014A69" w:rsidRPr="00014A69" w:rsidRDefault="00014A69" w:rsidP="00E86771">
            <w:pPr>
              <w:spacing w:line="360" w:lineRule="auto"/>
            </w:pPr>
            <w:r w:rsidRPr="00014A69">
              <w:t>(2062)</w:t>
            </w:r>
          </w:p>
        </w:tc>
        <w:tc>
          <w:tcPr>
            <w:tcW w:w="838" w:type="pct"/>
            <w:hideMark/>
          </w:tcPr>
          <w:p w14:paraId="220C756C" w14:textId="77777777" w:rsidR="00014A69" w:rsidRPr="00014A69" w:rsidRDefault="00014A69" w:rsidP="00E86771">
            <w:pPr>
              <w:spacing w:line="360" w:lineRule="auto"/>
            </w:pPr>
            <w:r w:rsidRPr="00014A69">
              <w:t>£2,906</w:t>
            </w:r>
          </w:p>
          <w:p w14:paraId="53016E20" w14:textId="77777777" w:rsidR="00014A69" w:rsidRPr="00014A69" w:rsidRDefault="00014A69" w:rsidP="00E86771">
            <w:pPr>
              <w:spacing w:line="360" w:lineRule="auto"/>
            </w:pPr>
            <w:r w:rsidRPr="00014A69">
              <w:t>(8135)</w:t>
            </w:r>
          </w:p>
        </w:tc>
      </w:tr>
      <w:tr w:rsidR="00014A69" w:rsidRPr="00014A69" w14:paraId="3E9CA86A" w14:textId="77777777" w:rsidTr="00DB4F65">
        <w:tc>
          <w:tcPr>
            <w:tcW w:w="1500" w:type="pct"/>
            <w:hideMark/>
          </w:tcPr>
          <w:p w14:paraId="5B8EB393" w14:textId="77777777" w:rsidR="00014A69" w:rsidRPr="00014A69" w:rsidRDefault="00014A69" w:rsidP="00E86771">
            <w:pPr>
              <w:spacing w:line="360" w:lineRule="auto"/>
            </w:pPr>
            <w:r w:rsidRPr="00014A69">
              <w:t>Age 70-79 years</w:t>
            </w:r>
          </w:p>
        </w:tc>
        <w:tc>
          <w:tcPr>
            <w:tcW w:w="856" w:type="pct"/>
            <w:hideMark/>
          </w:tcPr>
          <w:p w14:paraId="0C8BEA58" w14:textId="77777777" w:rsidR="00014A69" w:rsidRPr="00014A69" w:rsidRDefault="00014A69" w:rsidP="00E86771">
            <w:pPr>
              <w:spacing w:line="360" w:lineRule="auto"/>
            </w:pPr>
            <w:r w:rsidRPr="00014A69">
              <w:t>£1,278</w:t>
            </w:r>
          </w:p>
          <w:p w14:paraId="6EA9E092" w14:textId="77777777" w:rsidR="00014A69" w:rsidRPr="00014A69" w:rsidRDefault="00014A69" w:rsidP="00E86771">
            <w:pPr>
              <w:spacing w:line="360" w:lineRule="auto"/>
            </w:pPr>
            <w:r w:rsidRPr="00014A69">
              <w:t>(2197)</w:t>
            </w:r>
          </w:p>
        </w:tc>
        <w:tc>
          <w:tcPr>
            <w:tcW w:w="708" w:type="pct"/>
            <w:hideMark/>
          </w:tcPr>
          <w:p w14:paraId="0619407F" w14:textId="77777777" w:rsidR="00014A69" w:rsidRPr="00014A69" w:rsidRDefault="00014A69" w:rsidP="00E86771">
            <w:pPr>
              <w:spacing w:line="360" w:lineRule="auto"/>
            </w:pPr>
            <w:r w:rsidRPr="00014A69">
              <w:t>£13,830</w:t>
            </w:r>
          </w:p>
          <w:p w14:paraId="11CBFA91" w14:textId="77777777" w:rsidR="00014A69" w:rsidRPr="00014A69" w:rsidRDefault="00014A69" w:rsidP="00E86771">
            <w:pPr>
              <w:spacing w:line="360" w:lineRule="auto"/>
            </w:pPr>
            <w:r w:rsidRPr="00014A69">
              <w:t>(10981)</w:t>
            </w:r>
          </w:p>
        </w:tc>
        <w:tc>
          <w:tcPr>
            <w:tcW w:w="234" w:type="pct"/>
          </w:tcPr>
          <w:p w14:paraId="59584984" w14:textId="77777777" w:rsidR="00014A69" w:rsidRPr="00014A69" w:rsidRDefault="00014A69" w:rsidP="00E86771">
            <w:pPr>
              <w:spacing w:line="360" w:lineRule="auto"/>
            </w:pPr>
          </w:p>
        </w:tc>
        <w:tc>
          <w:tcPr>
            <w:tcW w:w="864" w:type="pct"/>
            <w:hideMark/>
          </w:tcPr>
          <w:p w14:paraId="2B0939AD" w14:textId="77777777" w:rsidR="00014A69" w:rsidRPr="00014A69" w:rsidRDefault="00014A69" w:rsidP="00E86771">
            <w:pPr>
              <w:spacing w:line="360" w:lineRule="auto"/>
            </w:pPr>
            <w:r w:rsidRPr="00014A69">
              <w:t>£1,353</w:t>
            </w:r>
          </w:p>
          <w:p w14:paraId="1BF66AD5" w14:textId="77777777" w:rsidR="00014A69" w:rsidRPr="00014A69" w:rsidRDefault="00014A69" w:rsidP="00E86771">
            <w:pPr>
              <w:spacing w:line="360" w:lineRule="auto"/>
            </w:pPr>
            <w:r w:rsidRPr="00014A69">
              <w:t>(2679)</w:t>
            </w:r>
          </w:p>
        </w:tc>
        <w:tc>
          <w:tcPr>
            <w:tcW w:w="838" w:type="pct"/>
            <w:hideMark/>
          </w:tcPr>
          <w:p w14:paraId="576D1DB5" w14:textId="77777777" w:rsidR="00014A69" w:rsidRPr="00014A69" w:rsidRDefault="00014A69" w:rsidP="00E86771">
            <w:pPr>
              <w:spacing w:line="360" w:lineRule="auto"/>
            </w:pPr>
            <w:r w:rsidRPr="00014A69">
              <w:t>£3,032</w:t>
            </w:r>
          </w:p>
          <w:p w14:paraId="101988AA" w14:textId="77777777" w:rsidR="00014A69" w:rsidRPr="00014A69" w:rsidRDefault="00014A69" w:rsidP="00E86771">
            <w:pPr>
              <w:spacing w:line="360" w:lineRule="auto"/>
            </w:pPr>
            <w:r w:rsidRPr="00014A69">
              <w:t>(6488)</w:t>
            </w:r>
          </w:p>
        </w:tc>
      </w:tr>
      <w:tr w:rsidR="00014A69" w:rsidRPr="00014A69" w14:paraId="338FB722" w14:textId="77777777" w:rsidTr="00DB4F65">
        <w:tc>
          <w:tcPr>
            <w:tcW w:w="1500" w:type="pct"/>
            <w:hideMark/>
          </w:tcPr>
          <w:p w14:paraId="1AF5CF5D" w14:textId="77777777" w:rsidR="00014A69" w:rsidRPr="00014A69" w:rsidRDefault="00014A69" w:rsidP="00E86771">
            <w:pPr>
              <w:spacing w:line="360" w:lineRule="auto"/>
            </w:pPr>
            <w:r w:rsidRPr="00014A69">
              <w:t>Age 80-89 years</w:t>
            </w:r>
          </w:p>
        </w:tc>
        <w:tc>
          <w:tcPr>
            <w:tcW w:w="856" w:type="pct"/>
            <w:hideMark/>
          </w:tcPr>
          <w:p w14:paraId="6320E8FE" w14:textId="77777777" w:rsidR="00014A69" w:rsidRPr="00014A69" w:rsidRDefault="00014A69" w:rsidP="00E86771">
            <w:pPr>
              <w:spacing w:line="360" w:lineRule="auto"/>
            </w:pPr>
            <w:r w:rsidRPr="00014A69">
              <w:t>£1,065</w:t>
            </w:r>
          </w:p>
          <w:p w14:paraId="009739AF" w14:textId="77777777" w:rsidR="00014A69" w:rsidRPr="00014A69" w:rsidRDefault="00014A69" w:rsidP="00E86771">
            <w:pPr>
              <w:spacing w:line="360" w:lineRule="auto"/>
            </w:pPr>
            <w:r w:rsidRPr="00014A69">
              <w:t>(1777)</w:t>
            </w:r>
          </w:p>
        </w:tc>
        <w:tc>
          <w:tcPr>
            <w:tcW w:w="708" w:type="pct"/>
            <w:hideMark/>
          </w:tcPr>
          <w:p w14:paraId="448CA725" w14:textId="77777777" w:rsidR="00014A69" w:rsidRPr="00014A69" w:rsidRDefault="00014A69" w:rsidP="00E86771">
            <w:pPr>
              <w:spacing w:line="360" w:lineRule="auto"/>
            </w:pPr>
            <w:r w:rsidRPr="00014A69">
              <w:t>£14,430</w:t>
            </w:r>
          </w:p>
          <w:p w14:paraId="62F5159A" w14:textId="77777777" w:rsidR="00014A69" w:rsidRPr="00014A69" w:rsidRDefault="00014A69" w:rsidP="00E86771">
            <w:pPr>
              <w:spacing w:line="360" w:lineRule="auto"/>
            </w:pPr>
            <w:r w:rsidRPr="00014A69">
              <w:t>(10294)</w:t>
            </w:r>
          </w:p>
        </w:tc>
        <w:tc>
          <w:tcPr>
            <w:tcW w:w="234" w:type="pct"/>
          </w:tcPr>
          <w:p w14:paraId="6F4A8E1B" w14:textId="77777777" w:rsidR="00014A69" w:rsidRPr="00014A69" w:rsidRDefault="00014A69" w:rsidP="00E86771">
            <w:pPr>
              <w:spacing w:line="360" w:lineRule="auto"/>
            </w:pPr>
          </w:p>
        </w:tc>
        <w:tc>
          <w:tcPr>
            <w:tcW w:w="864" w:type="pct"/>
            <w:hideMark/>
          </w:tcPr>
          <w:p w14:paraId="1A3AA7DC" w14:textId="77777777" w:rsidR="00014A69" w:rsidRPr="00014A69" w:rsidRDefault="00014A69" w:rsidP="00E86771">
            <w:pPr>
              <w:spacing w:line="360" w:lineRule="auto"/>
            </w:pPr>
            <w:r w:rsidRPr="00014A69">
              <w:t>£1,101</w:t>
            </w:r>
          </w:p>
          <w:p w14:paraId="574654C0" w14:textId="77777777" w:rsidR="00014A69" w:rsidRPr="00014A69" w:rsidRDefault="00014A69" w:rsidP="00E86771">
            <w:pPr>
              <w:spacing w:line="360" w:lineRule="auto"/>
            </w:pPr>
            <w:r w:rsidRPr="00014A69">
              <w:t>(2008)</w:t>
            </w:r>
          </w:p>
        </w:tc>
        <w:tc>
          <w:tcPr>
            <w:tcW w:w="838" w:type="pct"/>
            <w:hideMark/>
          </w:tcPr>
          <w:p w14:paraId="402E1B92" w14:textId="77777777" w:rsidR="00014A69" w:rsidRPr="00014A69" w:rsidRDefault="00014A69" w:rsidP="00E86771">
            <w:pPr>
              <w:spacing w:line="360" w:lineRule="auto"/>
            </w:pPr>
            <w:r w:rsidRPr="00014A69">
              <w:t>£2,993</w:t>
            </w:r>
          </w:p>
          <w:p w14:paraId="43E4975E" w14:textId="77777777" w:rsidR="00014A69" w:rsidRPr="00014A69" w:rsidRDefault="00014A69" w:rsidP="00E86771">
            <w:pPr>
              <w:spacing w:line="360" w:lineRule="auto"/>
            </w:pPr>
            <w:r w:rsidRPr="00014A69">
              <w:t>(7325)</w:t>
            </w:r>
          </w:p>
        </w:tc>
      </w:tr>
      <w:tr w:rsidR="00014A69" w:rsidRPr="00014A69" w14:paraId="769DE2E3" w14:textId="77777777" w:rsidTr="00DB4F65">
        <w:tc>
          <w:tcPr>
            <w:tcW w:w="1500" w:type="pct"/>
            <w:hideMark/>
          </w:tcPr>
          <w:p w14:paraId="2B715FDB" w14:textId="77777777" w:rsidR="00014A69" w:rsidRPr="00014A69" w:rsidRDefault="00014A69" w:rsidP="00E86771">
            <w:pPr>
              <w:spacing w:line="360" w:lineRule="auto"/>
            </w:pPr>
            <w:r w:rsidRPr="00014A69">
              <w:t>Age 90 years and over</w:t>
            </w:r>
          </w:p>
        </w:tc>
        <w:tc>
          <w:tcPr>
            <w:tcW w:w="856" w:type="pct"/>
            <w:hideMark/>
          </w:tcPr>
          <w:p w14:paraId="3777197E" w14:textId="77777777" w:rsidR="00014A69" w:rsidRPr="00014A69" w:rsidRDefault="00014A69" w:rsidP="00E86771">
            <w:pPr>
              <w:spacing w:line="360" w:lineRule="auto"/>
            </w:pPr>
            <w:r w:rsidRPr="00014A69">
              <w:t>£830</w:t>
            </w:r>
          </w:p>
          <w:p w14:paraId="6F19D4CE" w14:textId="77777777" w:rsidR="00014A69" w:rsidRPr="00014A69" w:rsidRDefault="00014A69" w:rsidP="00E86771">
            <w:pPr>
              <w:spacing w:line="360" w:lineRule="auto"/>
            </w:pPr>
            <w:r w:rsidRPr="00014A69">
              <w:t>(1518)</w:t>
            </w:r>
          </w:p>
        </w:tc>
        <w:tc>
          <w:tcPr>
            <w:tcW w:w="708" w:type="pct"/>
            <w:hideMark/>
          </w:tcPr>
          <w:p w14:paraId="4D05E177" w14:textId="77777777" w:rsidR="00014A69" w:rsidRPr="00014A69" w:rsidRDefault="00014A69" w:rsidP="00E86771">
            <w:pPr>
              <w:spacing w:line="360" w:lineRule="auto"/>
            </w:pPr>
            <w:r w:rsidRPr="00014A69">
              <w:t>£13,538</w:t>
            </w:r>
          </w:p>
          <w:p w14:paraId="75A76B2B" w14:textId="77777777" w:rsidR="00014A69" w:rsidRPr="00014A69" w:rsidRDefault="00014A69" w:rsidP="00E86771">
            <w:pPr>
              <w:spacing w:line="360" w:lineRule="auto"/>
            </w:pPr>
            <w:r w:rsidRPr="00014A69">
              <w:t>(9389)</w:t>
            </w:r>
          </w:p>
        </w:tc>
        <w:tc>
          <w:tcPr>
            <w:tcW w:w="234" w:type="pct"/>
          </w:tcPr>
          <w:p w14:paraId="32C741C4" w14:textId="77777777" w:rsidR="00014A69" w:rsidRPr="00014A69" w:rsidRDefault="00014A69" w:rsidP="00E86771">
            <w:pPr>
              <w:spacing w:line="360" w:lineRule="auto"/>
            </w:pPr>
          </w:p>
        </w:tc>
        <w:tc>
          <w:tcPr>
            <w:tcW w:w="864" w:type="pct"/>
            <w:hideMark/>
          </w:tcPr>
          <w:p w14:paraId="2132BA79" w14:textId="77777777" w:rsidR="00014A69" w:rsidRPr="00014A69" w:rsidRDefault="00014A69" w:rsidP="00E86771">
            <w:pPr>
              <w:spacing w:line="360" w:lineRule="auto"/>
            </w:pPr>
            <w:r w:rsidRPr="00014A69">
              <w:t>£950</w:t>
            </w:r>
          </w:p>
          <w:p w14:paraId="32286543" w14:textId="77777777" w:rsidR="00014A69" w:rsidRPr="00014A69" w:rsidRDefault="00014A69" w:rsidP="00E86771">
            <w:pPr>
              <w:spacing w:line="360" w:lineRule="auto"/>
            </w:pPr>
            <w:r w:rsidRPr="00014A69">
              <w:t>(1405)</w:t>
            </w:r>
          </w:p>
        </w:tc>
        <w:tc>
          <w:tcPr>
            <w:tcW w:w="838" w:type="pct"/>
            <w:hideMark/>
          </w:tcPr>
          <w:p w14:paraId="52C182BF" w14:textId="77777777" w:rsidR="00014A69" w:rsidRPr="00014A69" w:rsidRDefault="00014A69" w:rsidP="00E86771">
            <w:pPr>
              <w:spacing w:line="360" w:lineRule="auto"/>
            </w:pPr>
            <w:r w:rsidRPr="00014A69">
              <w:t>£2,519</w:t>
            </w:r>
          </w:p>
          <w:p w14:paraId="64C1B732" w14:textId="77777777" w:rsidR="00014A69" w:rsidRPr="00014A69" w:rsidRDefault="00014A69" w:rsidP="00E86771">
            <w:pPr>
              <w:spacing w:line="360" w:lineRule="auto"/>
            </w:pPr>
            <w:r w:rsidRPr="00014A69">
              <w:t>(5478)</w:t>
            </w:r>
          </w:p>
        </w:tc>
      </w:tr>
    </w:tbl>
    <w:p w14:paraId="2216039F" w14:textId="77777777" w:rsidR="00014A69" w:rsidRDefault="00014A69" w:rsidP="00E86771">
      <w:pPr>
        <w:spacing w:line="360" w:lineRule="auto"/>
      </w:pPr>
      <w:r w:rsidRPr="00014A69">
        <w:t xml:space="preserve">*P&lt;0.05 for men vs women; </w:t>
      </w:r>
      <w:r w:rsidR="00E86771">
        <w:t>**</w:t>
      </w:r>
      <w:r w:rsidRPr="00014A69">
        <w:t>P&lt;0.001 for men vs women.</w:t>
      </w:r>
    </w:p>
    <w:p w14:paraId="4195A6A1" w14:textId="77777777" w:rsidR="00101047" w:rsidRPr="00591BFC" w:rsidRDefault="00101047" w:rsidP="00E86771">
      <w:pPr>
        <w:pStyle w:val="Caption"/>
        <w:keepNext/>
        <w:spacing w:line="360" w:lineRule="auto"/>
      </w:pPr>
      <w:bookmarkStart w:id="376" w:name="_Ref423076342"/>
      <w:bookmarkStart w:id="377" w:name="_Toc308262419"/>
      <w:bookmarkStart w:id="378" w:name="_Toc311366685"/>
      <w:r w:rsidRPr="00591BFC">
        <w:t xml:space="preserve">Table </w:t>
      </w:r>
      <w:r w:rsidR="002149AD">
        <w:fldChar w:fldCharType="begin"/>
      </w:r>
      <w:r w:rsidR="002149AD">
        <w:instrText xml:space="preserve"> SEQ Table \* ARABIC </w:instrText>
      </w:r>
      <w:r w:rsidR="002149AD">
        <w:fldChar w:fldCharType="separate"/>
      </w:r>
      <w:r w:rsidR="00776C05">
        <w:rPr>
          <w:noProof/>
        </w:rPr>
        <w:t>24</w:t>
      </w:r>
      <w:r w:rsidR="002149AD">
        <w:rPr>
          <w:noProof/>
        </w:rPr>
        <w:fldChar w:fldCharType="end"/>
      </w:r>
      <w:bookmarkEnd w:id="376"/>
      <w:r w:rsidRPr="00591BFC">
        <w:t xml:space="preserve"> Total primary and hospital care costs </w:t>
      </w:r>
      <w:r w:rsidR="00014A69">
        <w:t>in the year of hip fracture</w:t>
      </w:r>
      <w:r w:rsidRPr="00591BFC">
        <w:t xml:space="preserve"> in the UK</w:t>
      </w:r>
      <w:bookmarkEnd w:id="377"/>
      <w:bookmarkEnd w:id="378"/>
    </w:p>
    <w:tbl>
      <w:tblPr>
        <w:tblW w:w="9035" w:type="dxa"/>
        <w:tblInd w:w="93" w:type="dxa"/>
        <w:tblBorders>
          <w:top w:val="single" w:sz="4" w:space="0" w:color="auto"/>
          <w:bottom w:val="single" w:sz="4" w:space="0" w:color="auto"/>
        </w:tblBorders>
        <w:tblLook w:val="04A0" w:firstRow="1" w:lastRow="0" w:firstColumn="1" w:lastColumn="0" w:noHBand="0" w:noVBand="1"/>
      </w:tblPr>
      <w:tblGrid>
        <w:gridCol w:w="8095"/>
        <w:gridCol w:w="940"/>
      </w:tblGrid>
      <w:tr w:rsidR="002A383E" w:rsidRPr="00591BFC" w14:paraId="3B631181" w14:textId="77777777" w:rsidTr="00F021B1">
        <w:trPr>
          <w:trHeight w:val="300"/>
        </w:trPr>
        <w:tc>
          <w:tcPr>
            <w:tcW w:w="8095" w:type="dxa"/>
            <w:tcBorders>
              <w:top w:val="single" w:sz="4" w:space="0" w:color="auto"/>
              <w:bottom w:val="single" w:sz="4" w:space="0" w:color="auto"/>
            </w:tcBorders>
            <w:shd w:val="clear" w:color="auto" w:fill="auto"/>
            <w:noWrap/>
            <w:vAlign w:val="bottom"/>
            <w:hideMark/>
          </w:tcPr>
          <w:p w14:paraId="25264D59" w14:textId="77777777" w:rsidR="002A383E" w:rsidRPr="00591BFC" w:rsidRDefault="002A383E" w:rsidP="00E86771">
            <w:pPr>
              <w:spacing w:after="0" w:line="360" w:lineRule="auto"/>
              <w:rPr>
                <w:rFonts w:eastAsia="Times New Roman" w:cs="Calibri"/>
                <w:color w:val="000000"/>
                <w:lang w:eastAsia="en-GB"/>
              </w:rPr>
            </w:pPr>
          </w:p>
        </w:tc>
        <w:tc>
          <w:tcPr>
            <w:tcW w:w="940" w:type="dxa"/>
            <w:tcBorders>
              <w:top w:val="single" w:sz="4" w:space="0" w:color="auto"/>
              <w:bottom w:val="single" w:sz="4" w:space="0" w:color="auto"/>
            </w:tcBorders>
            <w:shd w:val="clear" w:color="auto" w:fill="auto"/>
            <w:noWrap/>
            <w:vAlign w:val="bottom"/>
            <w:hideMark/>
          </w:tcPr>
          <w:p w14:paraId="49722786" w14:textId="77777777" w:rsidR="002A383E" w:rsidRPr="00591BFC" w:rsidRDefault="002A383E" w:rsidP="00E86771">
            <w:pPr>
              <w:spacing w:after="0" w:line="360" w:lineRule="auto"/>
              <w:jc w:val="right"/>
              <w:rPr>
                <w:rFonts w:eastAsia="Times New Roman" w:cs="Calibri"/>
                <w:color w:val="000000"/>
                <w:lang w:eastAsia="en-GB"/>
              </w:rPr>
            </w:pPr>
            <w:r w:rsidRPr="00591BFC">
              <w:rPr>
                <w:rFonts w:eastAsia="Times New Roman" w:cs="Calibri"/>
                <w:color w:val="000000"/>
                <w:lang w:eastAsia="en-GB"/>
              </w:rPr>
              <w:t>Total</w:t>
            </w:r>
          </w:p>
        </w:tc>
      </w:tr>
      <w:tr w:rsidR="00014A69" w14:paraId="4EC61D80" w14:textId="77777777" w:rsidTr="00014A69">
        <w:trPr>
          <w:trHeight w:val="300"/>
        </w:trPr>
        <w:tc>
          <w:tcPr>
            <w:tcW w:w="8095" w:type="dxa"/>
            <w:tcBorders>
              <w:top w:val="single" w:sz="4" w:space="0" w:color="auto"/>
              <w:bottom w:val="single" w:sz="4" w:space="0" w:color="auto"/>
            </w:tcBorders>
            <w:shd w:val="clear" w:color="auto" w:fill="auto"/>
            <w:noWrap/>
            <w:vAlign w:val="bottom"/>
            <w:hideMark/>
          </w:tcPr>
          <w:p w14:paraId="62A342D3" w14:textId="77777777" w:rsidR="00014A69" w:rsidRDefault="00014A69" w:rsidP="00E86771">
            <w:pPr>
              <w:spacing w:after="0" w:line="360" w:lineRule="auto"/>
              <w:rPr>
                <w:rFonts w:eastAsia="Times New Roman" w:cs="Calibri"/>
                <w:color w:val="000000"/>
                <w:lang w:eastAsia="en-GB"/>
              </w:rPr>
            </w:pPr>
            <w:r>
              <w:rPr>
                <w:rFonts w:eastAsia="Times New Roman" w:cs="Calibri"/>
                <w:color w:val="000000"/>
                <w:lang w:eastAsia="en-GB"/>
              </w:rPr>
              <w:t>Annual incident hip fractures in the UK</w:t>
            </w:r>
          </w:p>
        </w:tc>
        <w:tc>
          <w:tcPr>
            <w:tcW w:w="940" w:type="dxa"/>
            <w:tcBorders>
              <w:top w:val="single" w:sz="4" w:space="0" w:color="auto"/>
              <w:bottom w:val="single" w:sz="4" w:space="0" w:color="auto"/>
            </w:tcBorders>
            <w:shd w:val="clear" w:color="auto" w:fill="auto"/>
            <w:noWrap/>
            <w:vAlign w:val="bottom"/>
            <w:hideMark/>
          </w:tcPr>
          <w:p w14:paraId="2C478500" w14:textId="77777777" w:rsidR="00014A69" w:rsidRDefault="00014A69" w:rsidP="00E86771">
            <w:pPr>
              <w:spacing w:after="0" w:line="360" w:lineRule="auto"/>
              <w:jc w:val="right"/>
              <w:rPr>
                <w:rFonts w:eastAsia="Times New Roman" w:cs="Calibri"/>
                <w:color w:val="000000"/>
                <w:lang w:eastAsia="en-GB"/>
              </w:rPr>
            </w:pPr>
            <w:r>
              <w:rPr>
                <w:rFonts w:eastAsia="Times New Roman" w:cs="Calibri"/>
                <w:color w:val="000000"/>
                <w:lang w:eastAsia="en-GB"/>
              </w:rPr>
              <w:t xml:space="preserve"> 79,243 </w:t>
            </w:r>
          </w:p>
        </w:tc>
      </w:tr>
      <w:tr w:rsidR="00014A69" w14:paraId="49A945B5" w14:textId="77777777" w:rsidTr="00014A69">
        <w:trPr>
          <w:trHeight w:val="300"/>
        </w:trPr>
        <w:tc>
          <w:tcPr>
            <w:tcW w:w="8095" w:type="dxa"/>
            <w:tcBorders>
              <w:top w:val="single" w:sz="4" w:space="0" w:color="auto"/>
              <w:bottom w:val="single" w:sz="4" w:space="0" w:color="auto"/>
            </w:tcBorders>
            <w:shd w:val="clear" w:color="auto" w:fill="auto"/>
            <w:noWrap/>
            <w:vAlign w:val="bottom"/>
            <w:hideMark/>
          </w:tcPr>
          <w:p w14:paraId="2166A2CD" w14:textId="77777777" w:rsidR="00014A69" w:rsidRDefault="00014A69" w:rsidP="00E86771">
            <w:pPr>
              <w:spacing w:after="0" w:line="360" w:lineRule="auto"/>
              <w:rPr>
                <w:rFonts w:eastAsia="Times New Roman" w:cs="Calibri"/>
                <w:color w:val="000000"/>
                <w:lang w:eastAsia="en-GB"/>
              </w:rPr>
            </w:pPr>
            <w:r>
              <w:rPr>
                <w:rFonts w:eastAsia="Times New Roman" w:cs="Calibri"/>
                <w:color w:val="000000"/>
                <w:lang w:eastAsia="en-GB"/>
              </w:rPr>
              <w:t>Annual primary care costs, absolute</w:t>
            </w:r>
          </w:p>
        </w:tc>
        <w:tc>
          <w:tcPr>
            <w:tcW w:w="940" w:type="dxa"/>
            <w:tcBorders>
              <w:top w:val="single" w:sz="4" w:space="0" w:color="auto"/>
              <w:bottom w:val="single" w:sz="4" w:space="0" w:color="auto"/>
            </w:tcBorders>
            <w:shd w:val="clear" w:color="auto" w:fill="auto"/>
            <w:noWrap/>
            <w:vAlign w:val="bottom"/>
            <w:hideMark/>
          </w:tcPr>
          <w:p w14:paraId="79804A24" w14:textId="77777777" w:rsidR="00014A69" w:rsidRDefault="00014A69" w:rsidP="00E86771">
            <w:pPr>
              <w:spacing w:after="0" w:line="360" w:lineRule="auto"/>
              <w:jc w:val="right"/>
              <w:rPr>
                <w:rFonts w:eastAsia="Times New Roman" w:cs="Calibri"/>
                <w:color w:val="000000"/>
                <w:lang w:eastAsia="en-GB"/>
              </w:rPr>
            </w:pPr>
            <w:r>
              <w:rPr>
                <w:rFonts w:eastAsia="Times New Roman" w:cs="Calibri"/>
                <w:color w:val="000000"/>
                <w:lang w:eastAsia="en-GB"/>
              </w:rPr>
              <w:t>£1,065</w:t>
            </w:r>
          </w:p>
        </w:tc>
      </w:tr>
      <w:tr w:rsidR="00014A69" w14:paraId="3DCE1FAE" w14:textId="77777777" w:rsidTr="00014A69">
        <w:trPr>
          <w:trHeight w:val="300"/>
        </w:trPr>
        <w:tc>
          <w:tcPr>
            <w:tcW w:w="8095" w:type="dxa"/>
            <w:tcBorders>
              <w:top w:val="single" w:sz="4" w:space="0" w:color="auto"/>
              <w:bottom w:val="single" w:sz="4" w:space="0" w:color="auto"/>
            </w:tcBorders>
            <w:shd w:val="clear" w:color="auto" w:fill="auto"/>
            <w:noWrap/>
            <w:vAlign w:val="bottom"/>
            <w:hideMark/>
          </w:tcPr>
          <w:p w14:paraId="7DE409B1" w14:textId="77777777" w:rsidR="00014A69" w:rsidRDefault="00014A69" w:rsidP="00E86771">
            <w:pPr>
              <w:spacing w:after="0" w:line="360" w:lineRule="auto"/>
              <w:rPr>
                <w:rFonts w:eastAsia="Times New Roman" w:cs="Calibri"/>
                <w:color w:val="000000"/>
                <w:lang w:eastAsia="en-GB"/>
              </w:rPr>
            </w:pPr>
            <w:r>
              <w:rPr>
                <w:rFonts w:eastAsia="Times New Roman" w:cs="Calibri"/>
                <w:color w:val="000000"/>
                <w:lang w:eastAsia="en-GB"/>
              </w:rPr>
              <w:t>Annual inpatient care costs, absolute</w:t>
            </w:r>
          </w:p>
        </w:tc>
        <w:tc>
          <w:tcPr>
            <w:tcW w:w="940" w:type="dxa"/>
            <w:tcBorders>
              <w:top w:val="single" w:sz="4" w:space="0" w:color="auto"/>
              <w:bottom w:val="single" w:sz="4" w:space="0" w:color="auto"/>
            </w:tcBorders>
            <w:shd w:val="clear" w:color="auto" w:fill="auto"/>
            <w:noWrap/>
            <w:vAlign w:val="bottom"/>
            <w:hideMark/>
          </w:tcPr>
          <w:p w14:paraId="3054BC72" w14:textId="77777777" w:rsidR="00014A69" w:rsidRDefault="00014A69" w:rsidP="00E86771">
            <w:pPr>
              <w:spacing w:after="0" w:line="360" w:lineRule="auto"/>
              <w:jc w:val="right"/>
              <w:rPr>
                <w:rFonts w:eastAsia="Times New Roman" w:cs="Calibri"/>
                <w:color w:val="000000"/>
                <w:lang w:eastAsia="en-GB"/>
              </w:rPr>
            </w:pPr>
            <w:r>
              <w:rPr>
                <w:rFonts w:eastAsia="Times New Roman" w:cs="Calibri"/>
                <w:color w:val="000000"/>
                <w:lang w:eastAsia="en-GB"/>
              </w:rPr>
              <w:t>£13,765</w:t>
            </w:r>
          </w:p>
        </w:tc>
      </w:tr>
      <w:tr w:rsidR="00014A69" w14:paraId="4E5EE140" w14:textId="77777777" w:rsidTr="00014A69">
        <w:trPr>
          <w:trHeight w:val="300"/>
        </w:trPr>
        <w:tc>
          <w:tcPr>
            <w:tcW w:w="8095" w:type="dxa"/>
            <w:tcBorders>
              <w:top w:val="single" w:sz="4" w:space="0" w:color="auto"/>
              <w:bottom w:val="single" w:sz="4" w:space="0" w:color="auto"/>
            </w:tcBorders>
            <w:shd w:val="clear" w:color="auto" w:fill="auto"/>
            <w:noWrap/>
            <w:vAlign w:val="bottom"/>
            <w:hideMark/>
          </w:tcPr>
          <w:p w14:paraId="27A22DE1" w14:textId="77777777" w:rsidR="00014A69" w:rsidRDefault="00014A69" w:rsidP="00E86771">
            <w:pPr>
              <w:spacing w:after="0" w:line="360" w:lineRule="auto"/>
              <w:rPr>
                <w:rFonts w:eastAsia="Times New Roman" w:cs="Calibri"/>
                <w:color w:val="000000"/>
                <w:lang w:eastAsia="en-GB"/>
              </w:rPr>
            </w:pPr>
            <w:r>
              <w:rPr>
                <w:rFonts w:eastAsia="Times New Roman" w:cs="Calibri"/>
                <w:color w:val="000000"/>
                <w:lang w:eastAsia="en-GB"/>
              </w:rPr>
              <w:t>Annual accident and emergency costs, absolute</w:t>
            </w:r>
          </w:p>
        </w:tc>
        <w:tc>
          <w:tcPr>
            <w:tcW w:w="940" w:type="dxa"/>
            <w:tcBorders>
              <w:top w:val="single" w:sz="4" w:space="0" w:color="auto"/>
              <w:bottom w:val="single" w:sz="4" w:space="0" w:color="auto"/>
            </w:tcBorders>
            <w:shd w:val="clear" w:color="auto" w:fill="auto"/>
            <w:noWrap/>
            <w:vAlign w:val="bottom"/>
            <w:hideMark/>
          </w:tcPr>
          <w:p w14:paraId="13C6D826" w14:textId="77777777" w:rsidR="00014A69" w:rsidRDefault="00014A69" w:rsidP="00E86771">
            <w:pPr>
              <w:spacing w:after="0" w:line="360" w:lineRule="auto"/>
              <w:jc w:val="right"/>
              <w:rPr>
                <w:rFonts w:eastAsia="Times New Roman" w:cs="Calibri"/>
                <w:color w:val="000000"/>
                <w:lang w:eastAsia="en-GB"/>
              </w:rPr>
            </w:pPr>
            <w:r>
              <w:rPr>
                <w:rFonts w:eastAsia="Times New Roman" w:cs="Calibri"/>
                <w:color w:val="000000"/>
                <w:lang w:eastAsia="en-GB"/>
              </w:rPr>
              <w:t>£202</w:t>
            </w:r>
          </w:p>
        </w:tc>
      </w:tr>
      <w:tr w:rsidR="00014A69" w14:paraId="6C0C68C0" w14:textId="77777777" w:rsidTr="00014A69">
        <w:trPr>
          <w:trHeight w:val="300"/>
        </w:trPr>
        <w:tc>
          <w:tcPr>
            <w:tcW w:w="8095" w:type="dxa"/>
            <w:tcBorders>
              <w:top w:val="single" w:sz="4" w:space="0" w:color="auto"/>
              <w:bottom w:val="single" w:sz="4" w:space="0" w:color="auto"/>
            </w:tcBorders>
            <w:shd w:val="clear" w:color="auto" w:fill="auto"/>
            <w:noWrap/>
            <w:vAlign w:val="bottom"/>
            <w:hideMark/>
          </w:tcPr>
          <w:p w14:paraId="28F43DFA" w14:textId="77777777" w:rsidR="00014A69" w:rsidRDefault="00014A69" w:rsidP="00E86771">
            <w:pPr>
              <w:spacing w:after="0" w:line="360" w:lineRule="auto"/>
              <w:rPr>
                <w:rFonts w:eastAsia="Times New Roman" w:cs="Calibri"/>
                <w:color w:val="000000"/>
                <w:lang w:eastAsia="en-GB"/>
              </w:rPr>
            </w:pPr>
            <w:r>
              <w:rPr>
                <w:rFonts w:eastAsia="Times New Roman" w:cs="Calibri"/>
                <w:color w:val="000000"/>
                <w:lang w:eastAsia="en-GB"/>
              </w:rPr>
              <w:t>Annual outpatient care costs, absolute</w:t>
            </w:r>
          </w:p>
        </w:tc>
        <w:tc>
          <w:tcPr>
            <w:tcW w:w="940" w:type="dxa"/>
            <w:tcBorders>
              <w:top w:val="single" w:sz="4" w:space="0" w:color="auto"/>
              <w:bottom w:val="single" w:sz="4" w:space="0" w:color="auto"/>
            </w:tcBorders>
            <w:shd w:val="clear" w:color="auto" w:fill="auto"/>
            <w:noWrap/>
            <w:vAlign w:val="bottom"/>
            <w:hideMark/>
          </w:tcPr>
          <w:p w14:paraId="3CFA5E9C" w14:textId="77777777" w:rsidR="00014A69" w:rsidRDefault="00014A69" w:rsidP="00E86771">
            <w:pPr>
              <w:spacing w:after="0" w:line="360" w:lineRule="auto"/>
              <w:jc w:val="right"/>
              <w:rPr>
                <w:rFonts w:eastAsia="Times New Roman" w:cs="Calibri"/>
                <w:color w:val="000000"/>
                <w:lang w:eastAsia="en-GB"/>
              </w:rPr>
            </w:pPr>
            <w:r>
              <w:rPr>
                <w:rFonts w:eastAsia="Times New Roman" w:cs="Calibri"/>
                <w:color w:val="000000"/>
                <w:lang w:eastAsia="en-GB"/>
              </w:rPr>
              <w:t>£297</w:t>
            </w:r>
          </w:p>
        </w:tc>
      </w:tr>
      <w:tr w:rsidR="00014A69" w14:paraId="3894EC77" w14:textId="77777777" w:rsidTr="00014A69">
        <w:trPr>
          <w:trHeight w:val="300"/>
        </w:trPr>
        <w:tc>
          <w:tcPr>
            <w:tcW w:w="8095" w:type="dxa"/>
            <w:tcBorders>
              <w:top w:val="single" w:sz="4" w:space="0" w:color="auto"/>
              <w:bottom w:val="single" w:sz="4" w:space="0" w:color="auto"/>
            </w:tcBorders>
            <w:shd w:val="clear" w:color="auto" w:fill="auto"/>
            <w:noWrap/>
            <w:vAlign w:val="bottom"/>
            <w:hideMark/>
          </w:tcPr>
          <w:p w14:paraId="331B8509" w14:textId="77777777" w:rsidR="00014A69" w:rsidRDefault="00014A69" w:rsidP="00E86771">
            <w:pPr>
              <w:spacing w:after="0" w:line="360" w:lineRule="auto"/>
              <w:rPr>
                <w:rFonts w:eastAsia="Times New Roman" w:cs="Calibri"/>
                <w:color w:val="000000"/>
                <w:lang w:eastAsia="en-GB"/>
              </w:rPr>
            </w:pPr>
            <w:r>
              <w:rPr>
                <w:rFonts w:eastAsia="Times New Roman" w:cs="Calibri"/>
                <w:color w:val="000000"/>
                <w:lang w:eastAsia="en-GB"/>
              </w:rPr>
              <w:t>Annual cost per incident hip fracture, absolute</w:t>
            </w:r>
          </w:p>
        </w:tc>
        <w:tc>
          <w:tcPr>
            <w:tcW w:w="940" w:type="dxa"/>
            <w:tcBorders>
              <w:top w:val="single" w:sz="4" w:space="0" w:color="auto"/>
              <w:bottom w:val="single" w:sz="4" w:space="0" w:color="auto"/>
            </w:tcBorders>
            <w:shd w:val="clear" w:color="auto" w:fill="auto"/>
            <w:noWrap/>
            <w:vAlign w:val="bottom"/>
            <w:hideMark/>
          </w:tcPr>
          <w:p w14:paraId="41CB8AB4" w14:textId="77777777" w:rsidR="00014A69" w:rsidRDefault="00014A69" w:rsidP="00E86771">
            <w:pPr>
              <w:spacing w:after="0" w:line="360" w:lineRule="auto"/>
              <w:jc w:val="right"/>
              <w:rPr>
                <w:rFonts w:eastAsia="Times New Roman" w:cs="Calibri"/>
                <w:color w:val="000000"/>
                <w:lang w:eastAsia="en-GB"/>
              </w:rPr>
            </w:pPr>
            <w:r>
              <w:rPr>
                <w:rFonts w:eastAsia="Times New Roman" w:cs="Calibri"/>
                <w:color w:val="000000"/>
                <w:lang w:eastAsia="en-GB"/>
              </w:rPr>
              <w:t>£15,329</w:t>
            </w:r>
          </w:p>
        </w:tc>
      </w:tr>
      <w:tr w:rsidR="00014A69" w14:paraId="326C7608" w14:textId="77777777" w:rsidTr="00014A69">
        <w:trPr>
          <w:trHeight w:val="300"/>
        </w:trPr>
        <w:tc>
          <w:tcPr>
            <w:tcW w:w="8095" w:type="dxa"/>
            <w:tcBorders>
              <w:top w:val="single" w:sz="4" w:space="0" w:color="auto"/>
              <w:bottom w:val="single" w:sz="4" w:space="0" w:color="auto"/>
            </w:tcBorders>
            <w:shd w:val="clear" w:color="auto" w:fill="auto"/>
            <w:noWrap/>
            <w:vAlign w:val="bottom"/>
            <w:hideMark/>
          </w:tcPr>
          <w:p w14:paraId="4440593D" w14:textId="77777777" w:rsidR="00014A69" w:rsidRDefault="00014A69" w:rsidP="00E86771">
            <w:pPr>
              <w:spacing w:after="0" w:line="360" w:lineRule="auto"/>
              <w:rPr>
                <w:rFonts w:eastAsia="Times New Roman" w:cs="Calibri"/>
                <w:color w:val="000000"/>
                <w:lang w:eastAsia="en-GB"/>
              </w:rPr>
            </w:pPr>
            <w:r>
              <w:rPr>
                <w:rFonts w:eastAsia="Times New Roman" w:cs="Calibri"/>
                <w:color w:val="000000"/>
                <w:lang w:eastAsia="en-GB"/>
              </w:rPr>
              <w:t>Total cost, absolute (£ million)</w:t>
            </w:r>
          </w:p>
        </w:tc>
        <w:tc>
          <w:tcPr>
            <w:tcW w:w="940" w:type="dxa"/>
            <w:tcBorders>
              <w:top w:val="single" w:sz="4" w:space="0" w:color="auto"/>
              <w:bottom w:val="single" w:sz="4" w:space="0" w:color="auto"/>
            </w:tcBorders>
            <w:shd w:val="clear" w:color="auto" w:fill="auto"/>
            <w:noWrap/>
            <w:vAlign w:val="bottom"/>
            <w:hideMark/>
          </w:tcPr>
          <w:p w14:paraId="73AC41FD" w14:textId="77777777" w:rsidR="00014A69" w:rsidRDefault="00014A69" w:rsidP="00E86771">
            <w:pPr>
              <w:spacing w:after="0" w:line="360" w:lineRule="auto"/>
              <w:jc w:val="right"/>
              <w:rPr>
                <w:rFonts w:eastAsia="Times New Roman" w:cs="Calibri"/>
                <w:color w:val="000000"/>
                <w:lang w:eastAsia="en-GB"/>
              </w:rPr>
            </w:pPr>
            <w:r>
              <w:rPr>
                <w:rFonts w:eastAsia="Times New Roman" w:cs="Calibri"/>
                <w:color w:val="000000"/>
                <w:lang w:eastAsia="en-GB"/>
              </w:rPr>
              <w:t>£1,215</w:t>
            </w:r>
          </w:p>
        </w:tc>
      </w:tr>
    </w:tbl>
    <w:p w14:paraId="05F8D2C6" w14:textId="77777777" w:rsidR="002A383E" w:rsidRPr="00591BFC" w:rsidRDefault="002A383E" w:rsidP="00E86771">
      <w:pPr>
        <w:spacing w:line="360" w:lineRule="auto"/>
      </w:pPr>
    </w:p>
    <w:p w14:paraId="35BA9C72" w14:textId="77777777" w:rsidR="000D4504" w:rsidRPr="000D4504" w:rsidRDefault="000D4504" w:rsidP="000D4504">
      <w:pPr>
        <w:keepNext/>
        <w:keepLines/>
        <w:spacing w:before="200" w:after="0" w:line="360" w:lineRule="auto"/>
        <w:outlineLvl w:val="2"/>
        <w:rPr>
          <w:rFonts w:eastAsia="MS Gothic"/>
          <w:b/>
          <w:bCs/>
          <w:color w:val="4F81BD"/>
          <w:sz w:val="20"/>
          <w:szCs w:val="20"/>
          <w:lang w:eastAsia="x-none"/>
        </w:rPr>
      </w:pPr>
      <w:r w:rsidRPr="000D4504">
        <w:rPr>
          <w:rFonts w:eastAsia="MS Gothic"/>
          <w:b/>
          <w:bCs/>
          <w:color w:val="4F81BD"/>
          <w:sz w:val="20"/>
          <w:szCs w:val="20"/>
          <w:lang w:eastAsia="x-none"/>
        </w:rPr>
        <w:lastRenderedPageBreak/>
        <w:t>Annual costs of hip fractures in the UK</w:t>
      </w:r>
    </w:p>
    <w:p w14:paraId="531082D3" w14:textId="7B05FD46" w:rsidR="000D4504" w:rsidRDefault="000D4504" w:rsidP="000D4504">
      <w:pPr>
        <w:spacing w:line="360" w:lineRule="auto"/>
      </w:pPr>
      <w:r w:rsidRPr="000D4504">
        <w:t>The total annual costs associated with all incident hip fractures (in the year of hip fracture) in the UK amongst those aged 50 and over (n=79,243) were estimated at £1,215 million (</w:t>
      </w:r>
      <w:r w:rsidRPr="000D4504">
        <w:rPr>
          <w:b/>
        </w:rPr>
        <w:fldChar w:fldCharType="begin"/>
      </w:r>
      <w:r w:rsidRPr="000D4504">
        <w:instrText xml:space="preserve"> REF _Ref423076342 \h </w:instrText>
      </w:r>
      <w:r w:rsidRPr="000D4504">
        <w:rPr>
          <w:b/>
        </w:rPr>
        <w:instrText xml:space="preserve"> \* MERGEFORMAT </w:instrText>
      </w:r>
      <w:r w:rsidRPr="000D4504">
        <w:rPr>
          <w:b/>
        </w:rPr>
      </w:r>
      <w:r w:rsidRPr="000D4504">
        <w:rPr>
          <w:b/>
        </w:rPr>
        <w:fldChar w:fldCharType="separate"/>
      </w:r>
      <w:r w:rsidR="00B25D33" w:rsidRPr="00591BFC">
        <w:t xml:space="preserve">Table </w:t>
      </w:r>
      <w:r w:rsidR="00B25D33">
        <w:rPr>
          <w:noProof/>
        </w:rPr>
        <w:t>24</w:t>
      </w:r>
      <w:r w:rsidRPr="000D4504">
        <w:rPr>
          <w:b/>
        </w:rPr>
        <w:fldChar w:fldCharType="end"/>
      </w:r>
      <w:r w:rsidRPr="000D4504">
        <w:t xml:space="preserve">). </w:t>
      </w:r>
    </w:p>
    <w:p w14:paraId="3B77C872" w14:textId="77777777" w:rsidR="002A383E" w:rsidRPr="00591BFC" w:rsidRDefault="002A383E" w:rsidP="00E86771">
      <w:pPr>
        <w:pStyle w:val="Heading3"/>
        <w:spacing w:line="360" w:lineRule="auto"/>
        <w:rPr>
          <w:rFonts w:ascii="Calibri" w:hAnsi="Calibri"/>
          <w:lang w:val="en-GB"/>
        </w:rPr>
      </w:pPr>
      <w:bookmarkStart w:id="379" w:name="_Toc308300801"/>
      <w:bookmarkStart w:id="380" w:name="_Toc311366608"/>
      <w:r w:rsidRPr="00591BFC">
        <w:rPr>
          <w:rFonts w:ascii="Calibri" w:hAnsi="Calibri"/>
          <w:lang w:val="en-GB"/>
        </w:rPr>
        <w:t>Predictors of primary care costs in first year following hip fracture</w:t>
      </w:r>
      <w:bookmarkEnd w:id="379"/>
      <w:bookmarkEnd w:id="380"/>
    </w:p>
    <w:p w14:paraId="7D51978D" w14:textId="348D340D" w:rsidR="002A383E" w:rsidRPr="00591BFC" w:rsidRDefault="002A383E" w:rsidP="00E86771">
      <w:pPr>
        <w:spacing w:line="360" w:lineRule="auto"/>
      </w:pPr>
      <w:r w:rsidRPr="00591BFC">
        <w:t xml:space="preserve">The predictors of hospitalisation costs are shown in </w:t>
      </w:r>
      <w:r w:rsidR="00615358" w:rsidRPr="00591BFC">
        <w:rPr>
          <w:b/>
        </w:rPr>
        <w:fldChar w:fldCharType="begin"/>
      </w:r>
      <w:r w:rsidR="00615358" w:rsidRPr="00591BFC">
        <w:instrText xml:space="preserve"> REF _Ref423076664 \h </w:instrText>
      </w:r>
      <w:r w:rsidR="00E814C1" w:rsidRPr="00591BFC">
        <w:rPr>
          <w:b/>
        </w:rPr>
        <w:instrText xml:space="preserve"> \* MERGEFORMAT </w:instrText>
      </w:r>
      <w:r w:rsidR="00615358" w:rsidRPr="00591BFC">
        <w:rPr>
          <w:b/>
        </w:rPr>
      </w:r>
      <w:r w:rsidR="00615358" w:rsidRPr="00591BFC">
        <w:rPr>
          <w:b/>
        </w:rPr>
        <w:fldChar w:fldCharType="separate"/>
      </w:r>
      <w:r w:rsidR="00B25D33" w:rsidRPr="00591BFC">
        <w:t xml:space="preserve">Table </w:t>
      </w:r>
      <w:r w:rsidR="00B25D33">
        <w:rPr>
          <w:noProof/>
        </w:rPr>
        <w:t>25</w:t>
      </w:r>
      <w:r w:rsidR="00615358" w:rsidRPr="00591BFC">
        <w:rPr>
          <w:b/>
        </w:rPr>
        <w:fldChar w:fldCharType="end"/>
      </w:r>
      <w:r w:rsidRPr="00591BFC">
        <w:t xml:space="preserve">. A </w:t>
      </w:r>
      <w:r w:rsidR="004D147C" w:rsidRPr="00591BFC">
        <w:t>Generalised Linear Model (</w:t>
      </w:r>
      <w:r w:rsidRPr="00591BFC">
        <w:t>GLM</w:t>
      </w:r>
      <w:r w:rsidR="004D147C" w:rsidRPr="00591BFC">
        <w:t>)</w:t>
      </w:r>
      <w:r w:rsidRPr="00591BFC">
        <w:t xml:space="preserve"> model with gamma family and identify link function had the best fit. Adjusting for all covariates, there was no statistically significant differences in primary care costs between the types of hip fractures. Costs were inv</w:t>
      </w:r>
      <w:r w:rsidR="00014A69">
        <w:t>ersely associated with age (-£15</w:t>
      </w:r>
      <w:r w:rsidRPr="00591BFC">
        <w:t xml:space="preserve"> per additional year) and positively associated with multiple deprivation, with costs decreasing with more deprived patients. A higher Charlson-comorbidity score at index hip fracture increased pri</w:t>
      </w:r>
      <w:r w:rsidR="00014A69">
        <w:t>mary costs by approximately £131</w:t>
      </w:r>
      <w:r w:rsidRPr="00591BFC">
        <w:t xml:space="preserve"> per additional unit of th</w:t>
      </w:r>
      <w:r w:rsidR="000D4504">
        <w:t xml:space="preserve">e Charlson co-morbidity score. </w:t>
      </w:r>
    </w:p>
    <w:p w14:paraId="3E2FE9C5" w14:textId="77777777" w:rsidR="00615358" w:rsidRPr="00591BFC" w:rsidRDefault="00615358" w:rsidP="00E86771">
      <w:pPr>
        <w:pStyle w:val="Caption"/>
        <w:keepNext/>
        <w:spacing w:line="360" w:lineRule="auto"/>
      </w:pPr>
      <w:bookmarkStart w:id="381" w:name="_Ref423076664"/>
      <w:bookmarkStart w:id="382" w:name="_Toc308262420"/>
      <w:bookmarkStart w:id="383" w:name="_Toc311366686"/>
      <w:r w:rsidRPr="00591BFC">
        <w:t xml:space="preserve">Table </w:t>
      </w:r>
      <w:r w:rsidR="002149AD">
        <w:fldChar w:fldCharType="begin"/>
      </w:r>
      <w:r w:rsidR="002149AD">
        <w:instrText xml:space="preserve"> SEQ Table \* ARABIC </w:instrText>
      </w:r>
      <w:r w:rsidR="002149AD">
        <w:fldChar w:fldCharType="separate"/>
      </w:r>
      <w:r w:rsidR="00776C05">
        <w:rPr>
          <w:noProof/>
        </w:rPr>
        <w:t>25</w:t>
      </w:r>
      <w:r w:rsidR="002149AD">
        <w:rPr>
          <w:noProof/>
        </w:rPr>
        <w:fldChar w:fldCharType="end"/>
      </w:r>
      <w:bookmarkEnd w:id="381"/>
      <w:r w:rsidRPr="00591BFC">
        <w:t xml:space="preserve"> Predictors of 1-</w:t>
      </w:r>
      <w:r w:rsidR="00014A69">
        <w:t>year</w:t>
      </w:r>
      <w:r w:rsidRPr="00591BFC">
        <w:t xml:space="preserve"> primary care costs after index hip fracture</w:t>
      </w:r>
      <w:bookmarkEnd w:id="382"/>
      <w:bookmarkEnd w:id="383"/>
    </w:p>
    <w:tbl>
      <w:tblPr>
        <w:tblW w:w="5000" w:type="pct"/>
        <w:tblLook w:val="04A0" w:firstRow="1" w:lastRow="0" w:firstColumn="1" w:lastColumn="0" w:noHBand="0" w:noVBand="1"/>
      </w:tblPr>
      <w:tblGrid>
        <w:gridCol w:w="5066"/>
        <w:gridCol w:w="1328"/>
        <w:gridCol w:w="925"/>
        <w:gridCol w:w="940"/>
        <w:gridCol w:w="977"/>
      </w:tblGrid>
      <w:tr w:rsidR="00014A69" w:rsidRPr="00014A69" w14:paraId="15D9DE3F" w14:textId="77777777" w:rsidTr="00DB4F65">
        <w:trPr>
          <w:trHeight w:val="309"/>
        </w:trPr>
        <w:tc>
          <w:tcPr>
            <w:tcW w:w="2742" w:type="pct"/>
            <w:hideMark/>
          </w:tcPr>
          <w:p w14:paraId="4F27F39F" w14:textId="77777777" w:rsidR="00014A69" w:rsidRPr="00014A69" w:rsidRDefault="00014A69" w:rsidP="00E86771">
            <w:pPr>
              <w:spacing w:line="360" w:lineRule="auto"/>
            </w:pPr>
            <w:r w:rsidRPr="00014A69">
              <w:t> Variables</w:t>
            </w:r>
          </w:p>
        </w:tc>
        <w:tc>
          <w:tcPr>
            <w:tcW w:w="719" w:type="pct"/>
            <w:hideMark/>
          </w:tcPr>
          <w:p w14:paraId="4AB9F86C" w14:textId="77777777" w:rsidR="00014A69" w:rsidRPr="00014A69" w:rsidRDefault="00014A69" w:rsidP="00E86771">
            <w:pPr>
              <w:spacing w:line="360" w:lineRule="auto"/>
            </w:pPr>
            <w:r w:rsidRPr="00014A69">
              <w:t>Mean</w:t>
            </w:r>
          </w:p>
        </w:tc>
        <w:tc>
          <w:tcPr>
            <w:tcW w:w="501" w:type="pct"/>
            <w:hideMark/>
          </w:tcPr>
          <w:p w14:paraId="5B7C2305" w14:textId="77777777" w:rsidR="00014A69" w:rsidRPr="00014A69" w:rsidRDefault="00014A69" w:rsidP="00E86771">
            <w:pPr>
              <w:spacing w:line="360" w:lineRule="auto"/>
            </w:pPr>
            <w:r w:rsidRPr="00014A69">
              <w:t>Low 95%</w:t>
            </w:r>
          </w:p>
        </w:tc>
        <w:tc>
          <w:tcPr>
            <w:tcW w:w="509" w:type="pct"/>
            <w:hideMark/>
          </w:tcPr>
          <w:p w14:paraId="44586436" w14:textId="77777777" w:rsidR="00014A69" w:rsidRPr="00014A69" w:rsidRDefault="00014A69" w:rsidP="00E86771">
            <w:pPr>
              <w:spacing w:line="360" w:lineRule="auto"/>
            </w:pPr>
            <w:r w:rsidRPr="00014A69">
              <w:t>High 95%</w:t>
            </w:r>
          </w:p>
        </w:tc>
        <w:tc>
          <w:tcPr>
            <w:tcW w:w="529" w:type="pct"/>
            <w:hideMark/>
          </w:tcPr>
          <w:p w14:paraId="0E094CF4" w14:textId="77777777" w:rsidR="00014A69" w:rsidRPr="00014A69" w:rsidRDefault="00014A69" w:rsidP="00E86771">
            <w:pPr>
              <w:spacing w:line="360" w:lineRule="auto"/>
            </w:pPr>
            <w:r w:rsidRPr="00014A69">
              <w:rPr>
                <w:color w:val="000000"/>
              </w:rPr>
              <w:t>P&gt;z</w:t>
            </w:r>
          </w:p>
        </w:tc>
      </w:tr>
      <w:tr w:rsidR="00014A69" w:rsidRPr="00014A69" w14:paraId="26C18751" w14:textId="77777777" w:rsidTr="00DB4F65">
        <w:trPr>
          <w:trHeight w:val="309"/>
        </w:trPr>
        <w:tc>
          <w:tcPr>
            <w:tcW w:w="2742" w:type="pct"/>
            <w:hideMark/>
          </w:tcPr>
          <w:p w14:paraId="622FD3CD" w14:textId="77777777" w:rsidR="00014A69" w:rsidRPr="00014A69" w:rsidRDefault="00014A69" w:rsidP="00E86771">
            <w:pPr>
              <w:spacing w:line="360" w:lineRule="auto"/>
            </w:pPr>
            <w:r w:rsidRPr="00014A69">
              <w:rPr>
                <w:color w:val="000000"/>
              </w:rPr>
              <w:t>Type of hip fracture</w:t>
            </w:r>
          </w:p>
        </w:tc>
        <w:tc>
          <w:tcPr>
            <w:tcW w:w="719" w:type="pct"/>
          </w:tcPr>
          <w:p w14:paraId="5FDD5329" w14:textId="77777777" w:rsidR="00014A69" w:rsidRPr="00014A69" w:rsidRDefault="00014A69" w:rsidP="00E86771">
            <w:pPr>
              <w:spacing w:line="360" w:lineRule="auto"/>
              <w:jc w:val="right"/>
            </w:pPr>
          </w:p>
        </w:tc>
        <w:tc>
          <w:tcPr>
            <w:tcW w:w="501" w:type="pct"/>
          </w:tcPr>
          <w:p w14:paraId="48CC371E" w14:textId="77777777" w:rsidR="00014A69" w:rsidRPr="00014A69" w:rsidRDefault="00014A69" w:rsidP="00E86771">
            <w:pPr>
              <w:spacing w:line="360" w:lineRule="auto"/>
              <w:jc w:val="right"/>
            </w:pPr>
          </w:p>
        </w:tc>
        <w:tc>
          <w:tcPr>
            <w:tcW w:w="509" w:type="pct"/>
          </w:tcPr>
          <w:p w14:paraId="5D6B50F7" w14:textId="77777777" w:rsidR="00014A69" w:rsidRPr="00014A69" w:rsidRDefault="00014A69" w:rsidP="00E86771">
            <w:pPr>
              <w:spacing w:line="360" w:lineRule="auto"/>
              <w:jc w:val="right"/>
            </w:pPr>
          </w:p>
        </w:tc>
        <w:tc>
          <w:tcPr>
            <w:tcW w:w="529" w:type="pct"/>
          </w:tcPr>
          <w:p w14:paraId="790DF01D" w14:textId="77777777" w:rsidR="00014A69" w:rsidRPr="00014A69" w:rsidRDefault="00014A69" w:rsidP="00E86771">
            <w:pPr>
              <w:spacing w:line="360" w:lineRule="auto"/>
              <w:jc w:val="right"/>
            </w:pPr>
          </w:p>
        </w:tc>
      </w:tr>
      <w:tr w:rsidR="00014A69" w:rsidRPr="00014A69" w14:paraId="3779AFC5" w14:textId="77777777" w:rsidTr="00DB4F65">
        <w:trPr>
          <w:trHeight w:val="309"/>
        </w:trPr>
        <w:tc>
          <w:tcPr>
            <w:tcW w:w="2742" w:type="pct"/>
            <w:hideMark/>
          </w:tcPr>
          <w:p w14:paraId="6970EEC9" w14:textId="77777777" w:rsidR="00014A69" w:rsidRPr="00014A69" w:rsidRDefault="00014A69" w:rsidP="00E86771">
            <w:pPr>
              <w:spacing w:line="360" w:lineRule="auto"/>
            </w:pPr>
            <w:r w:rsidRPr="00014A69">
              <w:rPr>
                <w:color w:val="000000"/>
              </w:rPr>
              <w:t xml:space="preserve">  Head and neck</w:t>
            </w:r>
          </w:p>
        </w:tc>
        <w:tc>
          <w:tcPr>
            <w:tcW w:w="719" w:type="pct"/>
            <w:hideMark/>
          </w:tcPr>
          <w:p w14:paraId="2C859659" w14:textId="77777777" w:rsidR="00014A69" w:rsidRPr="00014A69" w:rsidRDefault="00014A69" w:rsidP="00E86771">
            <w:pPr>
              <w:spacing w:line="360" w:lineRule="auto"/>
              <w:jc w:val="right"/>
            </w:pPr>
            <w:r w:rsidRPr="00014A69">
              <w:rPr>
                <w:color w:val="000000"/>
              </w:rPr>
              <w:t>Reference</w:t>
            </w:r>
          </w:p>
        </w:tc>
        <w:tc>
          <w:tcPr>
            <w:tcW w:w="501" w:type="pct"/>
          </w:tcPr>
          <w:p w14:paraId="1BE59B71" w14:textId="77777777" w:rsidR="00014A69" w:rsidRPr="00014A69" w:rsidRDefault="00014A69" w:rsidP="00E86771">
            <w:pPr>
              <w:spacing w:line="360" w:lineRule="auto"/>
              <w:jc w:val="right"/>
            </w:pPr>
          </w:p>
        </w:tc>
        <w:tc>
          <w:tcPr>
            <w:tcW w:w="509" w:type="pct"/>
          </w:tcPr>
          <w:p w14:paraId="5288FFFD" w14:textId="77777777" w:rsidR="00014A69" w:rsidRPr="00014A69" w:rsidRDefault="00014A69" w:rsidP="00E86771">
            <w:pPr>
              <w:spacing w:line="360" w:lineRule="auto"/>
              <w:jc w:val="right"/>
            </w:pPr>
          </w:p>
        </w:tc>
        <w:tc>
          <w:tcPr>
            <w:tcW w:w="529" w:type="pct"/>
          </w:tcPr>
          <w:p w14:paraId="6CD160C1" w14:textId="77777777" w:rsidR="00014A69" w:rsidRPr="00014A69" w:rsidRDefault="00014A69" w:rsidP="00E86771">
            <w:pPr>
              <w:spacing w:line="360" w:lineRule="auto"/>
              <w:jc w:val="right"/>
            </w:pPr>
          </w:p>
        </w:tc>
      </w:tr>
      <w:tr w:rsidR="00014A69" w:rsidRPr="00014A69" w14:paraId="21B9571F" w14:textId="77777777" w:rsidTr="00DB4F65">
        <w:trPr>
          <w:trHeight w:val="309"/>
        </w:trPr>
        <w:tc>
          <w:tcPr>
            <w:tcW w:w="2742" w:type="pct"/>
            <w:hideMark/>
          </w:tcPr>
          <w:p w14:paraId="5258E285" w14:textId="77777777" w:rsidR="00014A69" w:rsidRPr="00014A69" w:rsidRDefault="00014A69" w:rsidP="00E86771">
            <w:pPr>
              <w:spacing w:line="360" w:lineRule="auto"/>
            </w:pPr>
            <w:r w:rsidRPr="00014A69">
              <w:rPr>
                <w:color w:val="000000"/>
              </w:rPr>
              <w:t xml:space="preserve">  Pertrochanteric</w:t>
            </w:r>
          </w:p>
        </w:tc>
        <w:tc>
          <w:tcPr>
            <w:tcW w:w="719" w:type="pct"/>
            <w:hideMark/>
          </w:tcPr>
          <w:p w14:paraId="36F6ECDF" w14:textId="77777777" w:rsidR="00014A69" w:rsidRPr="00014A69" w:rsidRDefault="00014A69" w:rsidP="00E86771">
            <w:pPr>
              <w:spacing w:line="360" w:lineRule="auto"/>
              <w:jc w:val="right"/>
            </w:pPr>
            <w:r w:rsidRPr="00014A69">
              <w:t>-£53</w:t>
            </w:r>
          </w:p>
        </w:tc>
        <w:tc>
          <w:tcPr>
            <w:tcW w:w="501" w:type="pct"/>
            <w:hideMark/>
          </w:tcPr>
          <w:p w14:paraId="39E9F7B6" w14:textId="77777777" w:rsidR="00014A69" w:rsidRPr="00014A69" w:rsidRDefault="00014A69" w:rsidP="00E86771">
            <w:pPr>
              <w:spacing w:line="360" w:lineRule="auto"/>
              <w:jc w:val="right"/>
            </w:pPr>
            <w:r w:rsidRPr="00014A69">
              <w:t>-£155</w:t>
            </w:r>
          </w:p>
        </w:tc>
        <w:tc>
          <w:tcPr>
            <w:tcW w:w="509" w:type="pct"/>
            <w:hideMark/>
          </w:tcPr>
          <w:p w14:paraId="5FD0CCA5" w14:textId="77777777" w:rsidR="00014A69" w:rsidRPr="00014A69" w:rsidRDefault="00014A69" w:rsidP="00E86771">
            <w:pPr>
              <w:spacing w:line="360" w:lineRule="auto"/>
              <w:jc w:val="right"/>
            </w:pPr>
            <w:r w:rsidRPr="00014A69">
              <w:t>£49</w:t>
            </w:r>
          </w:p>
        </w:tc>
        <w:tc>
          <w:tcPr>
            <w:tcW w:w="529" w:type="pct"/>
            <w:hideMark/>
          </w:tcPr>
          <w:p w14:paraId="6847B360" w14:textId="77777777" w:rsidR="00014A69" w:rsidRPr="00014A69" w:rsidRDefault="00014A69" w:rsidP="00E86771">
            <w:pPr>
              <w:spacing w:line="360" w:lineRule="auto"/>
              <w:jc w:val="right"/>
            </w:pPr>
            <w:r w:rsidRPr="00014A69">
              <w:t>0.308</w:t>
            </w:r>
          </w:p>
        </w:tc>
      </w:tr>
      <w:tr w:rsidR="00014A69" w:rsidRPr="00014A69" w14:paraId="06067CDE" w14:textId="77777777" w:rsidTr="00DB4F65">
        <w:trPr>
          <w:trHeight w:val="309"/>
        </w:trPr>
        <w:tc>
          <w:tcPr>
            <w:tcW w:w="2742" w:type="pct"/>
            <w:hideMark/>
          </w:tcPr>
          <w:p w14:paraId="5E5013A8" w14:textId="77777777" w:rsidR="00014A69" w:rsidRPr="00014A69" w:rsidRDefault="00014A69" w:rsidP="00E86771">
            <w:pPr>
              <w:spacing w:line="360" w:lineRule="auto"/>
            </w:pPr>
            <w:r w:rsidRPr="00014A69">
              <w:rPr>
                <w:color w:val="000000"/>
              </w:rPr>
              <w:t xml:space="preserve">  Subtrochanteric</w:t>
            </w:r>
          </w:p>
        </w:tc>
        <w:tc>
          <w:tcPr>
            <w:tcW w:w="719" w:type="pct"/>
            <w:hideMark/>
          </w:tcPr>
          <w:p w14:paraId="410EF43D" w14:textId="77777777" w:rsidR="00014A69" w:rsidRPr="00014A69" w:rsidRDefault="00014A69" w:rsidP="00E86771">
            <w:pPr>
              <w:spacing w:line="360" w:lineRule="auto"/>
              <w:jc w:val="right"/>
            </w:pPr>
            <w:r w:rsidRPr="00014A69">
              <w:t>£329</w:t>
            </w:r>
          </w:p>
        </w:tc>
        <w:tc>
          <w:tcPr>
            <w:tcW w:w="501" w:type="pct"/>
            <w:hideMark/>
          </w:tcPr>
          <w:p w14:paraId="75BCAAB0" w14:textId="77777777" w:rsidR="00014A69" w:rsidRPr="00014A69" w:rsidRDefault="00014A69" w:rsidP="00E86771">
            <w:pPr>
              <w:spacing w:line="360" w:lineRule="auto"/>
              <w:jc w:val="right"/>
            </w:pPr>
            <w:r w:rsidRPr="00014A69">
              <w:t>-£111</w:t>
            </w:r>
          </w:p>
        </w:tc>
        <w:tc>
          <w:tcPr>
            <w:tcW w:w="509" w:type="pct"/>
            <w:hideMark/>
          </w:tcPr>
          <w:p w14:paraId="61ED1CAB" w14:textId="77777777" w:rsidR="00014A69" w:rsidRPr="00014A69" w:rsidRDefault="00014A69" w:rsidP="00E86771">
            <w:pPr>
              <w:spacing w:line="360" w:lineRule="auto"/>
              <w:jc w:val="right"/>
            </w:pPr>
            <w:r w:rsidRPr="00014A69">
              <w:t>£769</w:t>
            </w:r>
          </w:p>
        </w:tc>
        <w:tc>
          <w:tcPr>
            <w:tcW w:w="529" w:type="pct"/>
            <w:hideMark/>
          </w:tcPr>
          <w:p w14:paraId="6071BA57" w14:textId="77777777" w:rsidR="00014A69" w:rsidRPr="00014A69" w:rsidRDefault="00014A69" w:rsidP="00E86771">
            <w:pPr>
              <w:spacing w:line="360" w:lineRule="auto"/>
              <w:jc w:val="right"/>
            </w:pPr>
            <w:r w:rsidRPr="00014A69">
              <w:t>0. 142</w:t>
            </w:r>
          </w:p>
        </w:tc>
      </w:tr>
      <w:tr w:rsidR="00014A69" w:rsidRPr="00014A69" w14:paraId="77272F68" w14:textId="77777777" w:rsidTr="00DB4F65">
        <w:trPr>
          <w:trHeight w:val="309"/>
        </w:trPr>
        <w:tc>
          <w:tcPr>
            <w:tcW w:w="2742" w:type="pct"/>
            <w:hideMark/>
          </w:tcPr>
          <w:p w14:paraId="41F0FB48" w14:textId="77777777" w:rsidR="00014A69" w:rsidRPr="00014A69" w:rsidRDefault="00014A69" w:rsidP="00E86771">
            <w:pPr>
              <w:spacing w:line="360" w:lineRule="auto"/>
            </w:pPr>
            <w:r w:rsidRPr="00014A69">
              <w:rPr>
                <w:color w:val="000000"/>
              </w:rPr>
              <w:t xml:space="preserve">  Unspecified</w:t>
            </w:r>
          </w:p>
        </w:tc>
        <w:tc>
          <w:tcPr>
            <w:tcW w:w="719" w:type="pct"/>
            <w:hideMark/>
          </w:tcPr>
          <w:p w14:paraId="54E4E08E" w14:textId="77777777" w:rsidR="00014A69" w:rsidRPr="00014A69" w:rsidRDefault="00014A69" w:rsidP="00E86771">
            <w:pPr>
              <w:spacing w:line="360" w:lineRule="auto"/>
              <w:jc w:val="right"/>
            </w:pPr>
            <w:r w:rsidRPr="00014A69">
              <w:t>-£143</w:t>
            </w:r>
          </w:p>
        </w:tc>
        <w:tc>
          <w:tcPr>
            <w:tcW w:w="501" w:type="pct"/>
            <w:hideMark/>
          </w:tcPr>
          <w:p w14:paraId="6B879AE6" w14:textId="77777777" w:rsidR="00014A69" w:rsidRPr="00014A69" w:rsidRDefault="00014A69" w:rsidP="00E86771">
            <w:pPr>
              <w:spacing w:line="360" w:lineRule="auto"/>
              <w:jc w:val="right"/>
            </w:pPr>
            <w:r w:rsidRPr="00014A69">
              <w:t>-£551</w:t>
            </w:r>
          </w:p>
        </w:tc>
        <w:tc>
          <w:tcPr>
            <w:tcW w:w="509" w:type="pct"/>
            <w:hideMark/>
          </w:tcPr>
          <w:p w14:paraId="4C4E584C" w14:textId="77777777" w:rsidR="00014A69" w:rsidRPr="00014A69" w:rsidRDefault="00014A69" w:rsidP="00E86771">
            <w:pPr>
              <w:spacing w:line="360" w:lineRule="auto"/>
              <w:jc w:val="right"/>
            </w:pPr>
            <w:r w:rsidRPr="00014A69">
              <w:t>£266</w:t>
            </w:r>
          </w:p>
        </w:tc>
        <w:tc>
          <w:tcPr>
            <w:tcW w:w="529" w:type="pct"/>
            <w:hideMark/>
          </w:tcPr>
          <w:p w14:paraId="749E476E" w14:textId="77777777" w:rsidR="00014A69" w:rsidRPr="00014A69" w:rsidRDefault="00014A69" w:rsidP="00E86771">
            <w:pPr>
              <w:spacing w:line="360" w:lineRule="auto"/>
              <w:jc w:val="right"/>
            </w:pPr>
            <w:r w:rsidRPr="00014A69">
              <w:t>0.493</w:t>
            </w:r>
          </w:p>
        </w:tc>
      </w:tr>
      <w:tr w:rsidR="00014A69" w:rsidRPr="00014A69" w14:paraId="58088791" w14:textId="77777777" w:rsidTr="00DB4F65">
        <w:trPr>
          <w:trHeight w:val="309"/>
        </w:trPr>
        <w:tc>
          <w:tcPr>
            <w:tcW w:w="2742" w:type="pct"/>
            <w:hideMark/>
          </w:tcPr>
          <w:p w14:paraId="3552B114" w14:textId="77777777" w:rsidR="00014A69" w:rsidRPr="00014A69" w:rsidRDefault="00014A69" w:rsidP="00E86771">
            <w:pPr>
              <w:spacing w:line="360" w:lineRule="auto"/>
            </w:pPr>
            <w:r w:rsidRPr="00014A69">
              <w:rPr>
                <w:color w:val="000000"/>
              </w:rPr>
              <w:t>Age at hip fracture (centered on 82 years)</w:t>
            </w:r>
          </w:p>
        </w:tc>
        <w:tc>
          <w:tcPr>
            <w:tcW w:w="719" w:type="pct"/>
            <w:hideMark/>
          </w:tcPr>
          <w:p w14:paraId="40600F54" w14:textId="77777777" w:rsidR="00014A69" w:rsidRPr="00014A69" w:rsidRDefault="00014A69" w:rsidP="00E86771">
            <w:pPr>
              <w:spacing w:line="360" w:lineRule="auto"/>
              <w:jc w:val="right"/>
            </w:pPr>
            <w:r w:rsidRPr="00014A69">
              <w:t>-£15</w:t>
            </w:r>
          </w:p>
        </w:tc>
        <w:tc>
          <w:tcPr>
            <w:tcW w:w="501" w:type="pct"/>
            <w:hideMark/>
          </w:tcPr>
          <w:p w14:paraId="4038D2CC" w14:textId="77777777" w:rsidR="00014A69" w:rsidRPr="00014A69" w:rsidRDefault="00014A69" w:rsidP="00E86771">
            <w:pPr>
              <w:spacing w:line="360" w:lineRule="auto"/>
              <w:jc w:val="right"/>
            </w:pPr>
            <w:r w:rsidRPr="00014A69">
              <w:t>-£21</w:t>
            </w:r>
          </w:p>
        </w:tc>
        <w:tc>
          <w:tcPr>
            <w:tcW w:w="509" w:type="pct"/>
            <w:hideMark/>
          </w:tcPr>
          <w:p w14:paraId="5EFBA84F" w14:textId="77777777" w:rsidR="00014A69" w:rsidRPr="00014A69" w:rsidRDefault="00014A69" w:rsidP="00E86771">
            <w:pPr>
              <w:spacing w:line="360" w:lineRule="auto"/>
              <w:jc w:val="right"/>
            </w:pPr>
            <w:r w:rsidRPr="00014A69">
              <w:t>-£8</w:t>
            </w:r>
          </w:p>
        </w:tc>
        <w:tc>
          <w:tcPr>
            <w:tcW w:w="529" w:type="pct"/>
            <w:hideMark/>
          </w:tcPr>
          <w:p w14:paraId="7774D47C" w14:textId="77777777" w:rsidR="00014A69" w:rsidRPr="00014A69" w:rsidRDefault="00014A69" w:rsidP="00E86771">
            <w:pPr>
              <w:spacing w:line="360" w:lineRule="auto"/>
              <w:jc w:val="right"/>
            </w:pPr>
            <w:r w:rsidRPr="00014A69">
              <w:rPr>
                <w:color w:val="000000"/>
              </w:rPr>
              <w:t>&lt;0.001</w:t>
            </w:r>
          </w:p>
        </w:tc>
      </w:tr>
      <w:tr w:rsidR="00014A69" w:rsidRPr="00014A69" w14:paraId="30B31DF4" w14:textId="77777777" w:rsidTr="00DB4F65">
        <w:trPr>
          <w:trHeight w:val="309"/>
        </w:trPr>
        <w:tc>
          <w:tcPr>
            <w:tcW w:w="2742" w:type="pct"/>
            <w:hideMark/>
          </w:tcPr>
          <w:p w14:paraId="5A459C84" w14:textId="77777777" w:rsidR="00014A69" w:rsidRPr="00014A69" w:rsidRDefault="00014A69" w:rsidP="00E86771">
            <w:pPr>
              <w:spacing w:line="360" w:lineRule="auto"/>
            </w:pPr>
            <w:r w:rsidRPr="00014A69">
              <w:t>Year at hip fracture (centered on year 2008)</w:t>
            </w:r>
          </w:p>
        </w:tc>
        <w:tc>
          <w:tcPr>
            <w:tcW w:w="719" w:type="pct"/>
            <w:hideMark/>
          </w:tcPr>
          <w:p w14:paraId="3B9261CC" w14:textId="77777777" w:rsidR="00014A69" w:rsidRPr="00014A69" w:rsidRDefault="00014A69" w:rsidP="00E86771">
            <w:pPr>
              <w:spacing w:line="360" w:lineRule="auto"/>
              <w:jc w:val="right"/>
            </w:pPr>
            <w:r w:rsidRPr="00014A69">
              <w:t>£54</w:t>
            </w:r>
          </w:p>
        </w:tc>
        <w:tc>
          <w:tcPr>
            <w:tcW w:w="501" w:type="pct"/>
            <w:hideMark/>
          </w:tcPr>
          <w:p w14:paraId="79BEB3E2" w14:textId="77777777" w:rsidR="00014A69" w:rsidRPr="00014A69" w:rsidRDefault="00014A69" w:rsidP="00E86771">
            <w:pPr>
              <w:spacing w:line="360" w:lineRule="auto"/>
              <w:jc w:val="right"/>
            </w:pPr>
            <w:r w:rsidRPr="00014A69">
              <w:t>£33</w:t>
            </w:r>
          </w:p>
        </w:tc>
        <w:tc>
          <w:tcPr>
            <w:tcW w:w="509" w:type="pct"/>
            <w:hideMark/>
          </w:tcPr>
          <w:p w14:paraId="2407F112" w14:textId="77777777" w:rsidR="00014A69" w:rsidRPr="00014A69" w:rsidRDefault="00014A69" w:rsidP="00E86771">
            <w:pPr>
              <w:spacing w:line="360" w:lineRule="auto"/>
              <w:jc w:val="right"/>
            </w:pPr>
            <w:r w:rsidRPr="00014A69">
              <w:t>£74</w:t>
            </w:r>
          </w:p>
        </w:tc>
        <w:tc>
          <w:tcPr>
            <w:tcW w:w="529" w:type="pct"/>
            <w:hideMark/>
          </w:tcPr>
          <w:p w14:paraId="5FB7FEB4" w14:textId="77777777" w:rsidR="00014A69" w:rsidRPr="00014A69" w:rsidRDefault="00014A69" w:rsidP="00E86771">
            <w:pPr>
              <w:spacing w:line="360" w:lineRule="auto"/>
              <w:jc w:val="right"/>
            </w:pPr>
            <w:r w:rsidRPr="00014A69">
              <w:rPr>
                <w:color w:val="000000"/>
              </w:rPr>
              <w:t>&lt;0.001</w:t>
            </w:r>
          </w:p>
        </w:tc>
      </w:tr>
      <w:tr w:rsidR="00014A69" w:rsidRPr="00014A69" w14:paraId="5B92B8BD" w14:textId="77777777" w:rsidTr="00DB4F65">
        <w:trPr>
          <w:trHeight w:val="309"/>
        </w:trPr>
        <w:tc>
          <w:tcPr>
            <w:tcW w:w="2742" w:type="pct"/>
            <w:hideMark/>
          </w:tcPr>
          <w:p w14:paraId="6290D5F5" w14:textId="77777777" w:rsidR="00014A69" w:rsidRPr="00014A69" w:rsidRDefault="00014A69" w:rsidP="00E86771">
            <w:pPr>
              <w:spacing w:line="360" w:lineRule="auto"/>
            </w:pPr>
            <w:r w:rsidRPr="00014A69">
              <w:t>Indices of multiple deprivation</w:t>
            </w:r>
          </w:p>
        </w:tc>
        <w:tc>
          <w:tcPr>
            <w:tcW w:w="719" w:type="pct"/>
            <w:hideMark/>
          </w:tcPr>
          <w:p w14:paraId="696CFA4F" w14:textId="77777777" w:rsidR="00014A69" w:rsidRPr="00014A69" w:rsidRDefault="00014A69" w:rsidP="00E86771">
            <w:pPr>
              <w:spacing w:after="0" w:line="360" w:lineRule="auto"/>
              <w:rPr>
                <w:sz w:val="20"/>
                <w:szCs w:val="20"/>
                <w:lang w:eastAsia="en-GB"/>
              </w:rPr>
            </w:pPr>
          </w:p>
        </w:tc>
        <w:tc>
          <w:tcPr>
            <w:tcW w:w="501" w:type="pct"/>
            <w:hideMark/>
          </w:tcPr>
          <w:p w14:paraId="14CB8E88" w14:textId="77777777" w:rsidR="00014A69" w:rsidRPr="00014A69" w:rsidRDefault="00014A69" w:rsidP="00E86771">
            <w:pPr>
              <w:spacing w:after="0" w:line="360" w:lineRule="auto"/>
              <w:rPr>
                <w:sz w:val="20"/>
                <w:szCs w:val="20"/>
                <w:lang w:eastAsia="en-GB"/>
              </w:rPr>
            </w:pPr>
          </w:p>
        </w:tc>
        <w:tc>
          <w:tcPr>
            <w:tcW w:w="509" w:type="pct"/>
            <w:hideMark/>
          </w:tcPr>
          <w:p w14:paraId="6027A51C" w14:textId="77777777" w:rsidR="00014A69" w:rsidRPr="00014A69" w:rsidRDefault="00014A69" w:rsidP="00E86771">
            <w:pPr>
              <w:spacing w:after="0" w:line="360" w:lineRule="auto"/>
              <w:rPr>
                <w:sz w:val="20"/>
                <w:szCs w:val="20"/>
                <w:lang w:eastAsia="en-GB"/>
              </w:rPr>
            </w:pPr>
          </w:p>
        </w:tc>
        <w:tc>
          <w:tcPr>
            <w:tcW w:w="529" w:type="pct"/>
          </w:tcPr>
          <w:p w14:paraId="6BF61BBB" w14:textId="77777777" w:rsidR="00014A69" w:rsidRPr="00014A69" w:rsidRDefault="00014A69" w:rsidP="00E86771">
            <w:pPr>
              <w:spacing w:line="360" w:lineRule="auto"/>
              <w:jc w:val="right"/>
            </w:pPr>
          </w:p>
        </w:tc>
      </w:tr>
      <w:tr w:rsidR="00014A69" w:rsidRPr="00014A69" w14:paraId="51CCCE20" w14:textId="77777777" w:rsidTr="00DB4F65">
        <w:trPr>
          <w:trHeight w:val="309"/>
        </w:trPr>
        <w:tc>
          <w:tcPr>
            <w:tcW w:w="2742" w:type="pct"/>
            <w:hideMark/>
          </w:tcPr>
          <w:p w14:paraId="26C60267" w14:textId="77777777" w:rsidR="00014A69" w:rsidRPr="00014A69" w:rsidRDefault="00014A69" w:rsidP="00E86771">
            <w:pPr>
              <w:spacing w:line="360" w:lineRule="auto"/>
            </w:pPr>
            <w:r w:rsidRPr="00014A69">
              <w:t xml:space="preserve">  Least deprived (1)</w:t>
            </w:r>
          </w:p>
        </w:tc>
        <w:tc>
          <w:tcPr>
            <w:tcW w:w="719" w:type="pct"/>
            <w:hideMark/>
          </w:tcPr>
          <w:p w14:paraId="1556F7CC" w14:textId="77777777" w:rsidR="00014A69" w:rsidRPr="00014A69" w:rsidRDefault="00014A69" w:rsidP="00E86771">
            <w:pPr>
              <w:spacing w:line="360" w:lineRule="auto"/>
              <w:jc w:val="right"/>
            </w:pPr>
            <w:r w:rsidRPr="00014A69">
              <w:rPr>
                <w:color w:val="000000"/>
              </w:rPr>
              <w:t>Reference</w:t>
            </w:r>
          </w:p>
        </w:tc>
        <w:tc>
          <w:tcPr>
            <w:tcW w:w="501" w:type="pct"/>
            <w:hideMark/>
          </w:tcPr>
          <w:p w14:paraId="446D006F" w14:textId="77777777" w:rsidR="00014A69" w:rsidRPr="00014A69" w:rsidRDefault="00014A69" w:rsidP="00E86771">
            <w:pPr>
              <w:spacing w:after="0" w:line="360" w:lineRule="auto"/>
              <w:rPr>
                <w:sz w:val="20"/>
                <w:szCs w:val="20"/>
                <w:lang w:eastAsia="en-GB"/>
              </w:rPr>
            </w:pPr>
          </w:p>
        </w:tc>
        <w:tc>
          <w:tcPr>
            <w:tcW w:w="509" w:type="pct"/>
            <w:hideMark/>
          </w:tcPr>
          <w:p w14:paraId="24B68C6D" w14:textId="77777777" w:rsidR="00014A69" w:rsidRPr="00014A69" w:rsidRDefault="00014A69" w:rsidP="00E86771">
            <w:pPr>
              <w:spacing w:after="0" w:line="360" w:lineRule="auto"/>
              <w:rPr>
                <w:sz w:val="20"/>
                <w:szCs w:val="20"/>
                <w:lang w:eastAsia="en-GB"/>
              </w:rPr>
            </w:pPr>
          </w:p>
        </w:tc>
        <w:tc>
          <w:tcPr>
            <w:tcW w:w="529" w:type="pct"/>
          </w:tcPr>
          <w:p w14:paraId="0A35ECDF" w14:textId="77777777" w:rsidR="00014A69" w:rsidRPr="00014A69" w:rsidRDefault="00014A69" w:rsidP="00E86771">
            <w:pPr>
              <w:spacing w:line="360" w:lineRule="auto"/>
              <w:jc w:val="right"/>
            </w:pPr>
          </w:p>
        </w:tc>
      </w:tr>
      <w:tr w:rsidR="00014A69" w:rsidRPr="00014A69" w14:paraId="64EB14F7" w14:textId="77777777" w:rsidTr="00DB4F65">
        <w:trPr>
          <w:trHeight w:val="309"/>
        </w:trPr>
        <w:tc>
          <w:tcPr>
            <w:tcW w:w="2742" w:type="pct"/>
            <w:hideMark/>
          </w:tcPr>
          <w:p w14:paraId="390C746C" w14:textId="77777777" w:rsidR="00014A69" w:rsidRPr="00014A69" w:rsidRDefault="00014A69" w:rsidP="00E86771">
            <w:pPr>
              <w:spacing w:line="360" w:lineRule="auto"/>
            </w:pPr>
            <w:r w:rsidRPr="00014A69">
              <w:t xml:space="preserve">  2</w:t>
            </w:r>
          </w:p>
        </w:tc>
        <w:tc>
          <w:tcPr>
            <w:tcW w:w="719" w:type="pct"/>
            <w:hideMark/>
          </w:tcPr>
          <w:p w14:paraId="2DDB220F" w14:textId="77777777" w:rsidR="00014A69" w:rsidRPr="00014A69" w:rsidRDefault="00014A69" w:rsidP="00E86771">
            <w:pPr>
              <w:spacing w:line="360" w:lineRule="auto"/>
              <w:jc w:val="right"/>
            </w:pPr>
            <w:r w:rsidRPr="00014A69">
              <w:t>-£81</w:t>
            </w:r>
          </w:p>
        </w:tc>
        <w:tc>
          <w:tcPr>
            <w:tcW w:w="501" w:type="pct"/>
            <w:hideMark/>
          </w:tcPr>
          <w:p w14:paraId="4AB67696" w14:textId="77777777" w:rsidR="00014A69" w:rsidRPr="00014A69" w:rsidRDefault="00014A69" w:rsidP="00E86771">
            <w:pPr>
              <w:spacing w:line="360" w:lineRule="auto"/>
              <w:jc w:val="right"/>
            </w:pPr>
            <w:r w:rsidRPr="00014A69">
              <w:t>-£221</w:t>
            </w:r>
          </w:p>
        </w:tc>
        <w:tc>
          <w:tcPr>
            <w:tcW w:w="509" w:type="pct"/>
            <w:hideMark/>
          </w:tcPr>
          <w:p w14:paraId="54F029DD" w14:textId="77777777" w:rsidR="00014A69" w:rsidRPr="00014A69" w:rsidRDefault="00014A69" w:rsidP="00E86771">
            <w:pPr>
              <w:spacing w:line="360" w:lineRule="auto"/>
              <w:jc w:val="right"/>
            </w:pPr>
            <w:r w:rsidRPr="00014A69">
              <w:t>£59</w:t>
            </w:r>
          </w:p>
        </w:tc>
        <w:tc>
          <w:tcPr>
            <w:tcW w:w="529" w:type="pct"/>
            <w:hideMark/>
          </w:tcPr>
          <w:p w14:paraId="1C82E72B" w14:textId="77777777" w:rsidR="00014A69" w:rsidRPr="00014A69" w:rsidRDefault="00014A69" w:rsidP="00E86771">
            <w:pPr>
              <w:spacing w:line="360" w:lineRule="auto"/>
              <w:jc w:val="right"/>
            </w:pPr>
            <w:r w:rsidRPr="00014A69">
              <w:t>0. 260</w:t>
            </w:r>
          </w:p>
        </w:tc>
      </w:tr>
      <w:tr w:rsidR="00014A69" w:rsidRPr="00014A69" w14:paraId="0D1DB4BB" w14:textId="77777777" w:rsidTr="00DB4F65">
        <w:trPr>
          <w:trHeight w:val="309"/>
        </w:trPr>
        <w:tc>
          <w:tcPr>
            <w:tcW w:w="2742" w:type="pct"/>
            <w:hideMark/>
          </w:tcPr>
          <w:p w14:paraId="29903859" w14:textId="77777777" w:rsidR="00014A69" w:rsidRPr="00014A69" w:rsidRDefault="00014A69" w:rsidP="00E86771">
            <w:pPr>
              <w:spacing w:line="360" w:lineRule="auto"/>
            </w:pPr>
            <w:r w:rsidRPr="00014A69">
              <w:t xml:space="preserve">  3</w:t>
            </w:r>
          </w:p>
        </w:tc>
        <w:tc>
          <w:tcPr>
            <w:tcW w:w="719" w:type="pct"/>
            <w:hideMark/>
          </w:tcPr>
          <w:p w14:paraId="1CCE8866" w14:textId="77777777" w:rsidR="00014A69" w:rsidRPr="00014A69" w:rsidRDefault="00014A69" w:rsidP="00E86771">
            <w:pPr>
              <w:spacing w:line="360" w:lineRule="auto"/>
              <w:jc w:val="right"/>
            </w:pPr>
            <w:r w:rsidRPr="00014A69">
              <w:t>-£121</w:t>
            </w:r>
          </w:p>
        </w:tc>
        <w:tc>
          <w:tcPr>
            <w:tcW w:w="501" w:type="pct"/>
            <w:hideMark/>
          </w:tcPr>
          <w:p w14:paraId="3A537145" w14:textId="77777777" w:rsidR="00014A69" w:rsidRPr="00014A69" w:rsidRDefault="00014A69" w:rsidP="00E86771">
            <w:pPr>
              <w:spacing w:line="360" w:lineRule="auto"/>
              <w:jc w:val="right"/>
            </w:pPr>
            <w:r w:rsidRPr="00014A69">
              <w:t>-£263</w:t>
            </w:r>
          </w:p>
        </w:tc>
        <w:tc>
          <w:tcPr>
            <w:tcW w:w="509" w:type="pct"/>
            <w:hideMark/>
          </w:tcPr>
          <w:p w14:paraId="2E2D3118" w14:textId="77777777" w:rsidR="00014A69" w:rsidRPr="00014A69" w:rsidRDefault="00014A69" w:rsidP="00E86771">
            <w:pPr>
              <w:spacing w:line="360" w:lineRule="auto"/>
              <w:jc w:val="right"/>
            </w:pPr>
            <w:r w:rsidRPr="00014A69">
              <w:t>-£19</w:t>
            </w:r>
          </w:p>
        </w:tc>
        <w:tc>
          <w:tcPr>
            <w:tcW w:w="529" w:type="pct"/>
            <w:hideMark/>
          </w:tcPr>
          <w:p w14:paraId="16C13512" w14:textId="77777777" w:rsidR="00014A69" w:rsidRPr="00014A69" w:rsidRDefault="00014A69" w:rsidP="00E86771">
            <w:pPr>
              <w:spacing w:line="360" w:lineRule="auto"/>
              <w:jc w:val="right"/>
            </w:pPr>
            <w:r w:rsidRPr="00014A69">
              <w:t>0.091</w:t>
            </w:r>
          </w:p>
        </w:tc>
      </w:tr>
      <w:tr w:rsidR="00014A69" w:rsidRPr="00014A69" w14:paraId="7C5AB3A4" w14:textId="77777777" w:rsidTr="00DB4F65">
        <w:trPr>
          <w:trHeight w:val="309"/>
        </w:trPr>
        <w:tc>
          <w:tcPr>
            <w:tcW w:w="2742" w:type="pct"/>
            <w:hideMark/>
          </w:tcPr>
          <w:p w14:paraId="47AB1E75" w14:textId="77777777" w:rsidR="00014A69" w:rsidRPr="00014A69" w:rsidRDefault="00014A69" w:rsidP="00E86771">
            <w:pPr>
              <w:spacing w:line="360" w:lineRule="auto"/>
            </w:pPr>
            <w:r w:rsidRPr="00014A69">
              <w:t xml:space="preserve">  4</w:t>
            </w:r>
          </w:p>
        </w:tc>
        <w:tc>
          <w:tcPr>
            <w:tcW w:w="719" w:type="pct"/>
            <w:hideMark/>
          </w:tcPr>
          <w:p w14:paraId="0ABC5502" w14:textId="77777777" w:rsidR="00014A69" w:rsidRPr="00014A69" w:rsidRDefault="00014A69" w:rsidP="00E86771">
            <w:pPr>
              <w:spacing w:line="360" w:lineRule="auto"/>
              <w:jc w:val="right"/>
            </w:pPr>
            <w:r w:rsidRPr="00014A69">
              <w:t>£6</w:t>
            </w:r>
          </w:p>
        </w:tc>
        <w:tc>
          <w:tcPr>
            <w:tcW w:w="501" w:type="pct"/>
            <w:hideMark/>
          </w:tcPr>
          <w:p w14:paraId="7615F3C8" w14:textId="77777777" w:rsidR="00014A69" w:rsidRPr="00014A69" w:rsidRDefault="00014A69" w:rsidP="00E86771">
            <w:pPr>
              <w:spacing w:line="360" w:lineRule="auto"/>
              <w:jc w:val="right"/>
            </w:pPr>
            <w:r w:rsidRPr="00014A69">
              <w:t>-£148</w:t>
            </w:r>
          </w:p>
        </w:tc>
        <w:tc>
          <w:tcPr>
            <w:tcW w:w="509" w:type="pct"/>
            <w:hideMark/>
          </w:tcPr>
          <w:p w14:paraId="4336397D" w14:textId="77777777" w:rsidR="00014A69" w:rsidRPr="00014A69" w:rsidRDefault="00014A69" w:rsidP="00E86771">
            <w:pPr>
              <w:spacing w:line="360" w:lineRule="auto"/>
              <w:jc w:val="right"/>
            </w:pPr>
            <w:r w:rsidRPr="00014A69">
              <w:t>£161</w:t>
            </w:r>
          </w:p>
        </w:tc>
        <w:tc>
          <w:tcPr>
            <w:tcW w:w="529" w:type="pct"/>
            <w:hideMark/>
          </w:tcPr>
          <w:p w14:paraId="124857BD" w14:textId="77777777" w:rsidR="00014A69" w:rsidRPr="00014A69" w:rsidRDefault="00014A69" w:rsidP="00E86771">
            <w:pPr>
              <w:spacing w:line="360" w:lineRule="auto"/>
              <w:jc w:val="right"/>
            </w:pPr>
            <w:r w:rsidRPr="00014A69">
              <w:t>0.937</w:t>
            </w:r>
          </w:p>
        </w:tc>
      </w:tr>
      <w:tr w:rsidR="00014A69" w:rsidRPr="00014A69" w14:paraId="566E7255" w14:textId="77777777" w:rsidTr="00DB4F65">
        <w:trPr>
          <w:trHeight w:val="309"/>
        </w:trPr>
        <w:tc>
          <w:tcPr>
            <w:tcW w:w="2742" w:type="pct"/>
            <w:hideMark/>
          </w:tcPr>
          <w:p w14:paraId="3EAA8D72" w14:textId="77777777" w:rsidR="00014A69" w:rsidRPr="00014A69" w:rsidRDefault="00014A69" w:rsidP="00E86771">
            <w:pPr>
              <w:spacing w:line="360" w:lineRule="auto"/>
            </w:pPr>
            <w:r w:rsidRPr="00014A69">
              <w:lastRenderedPageBreak/>
              <w:t xml:space="preserve">  Most deprived (5)</w:t>
            </w:r>
          </w:p>
        </w:tc>
        <w:tc>
          <w:tcPr>
            <w:tcW w:w="719" w:type="pct"/>
            <w:hideMark/>
          </w:tcPr>
          <w:p w14:paraId="3001136D" w14:textId="77777777" w:rsidR="00014A69" w:rsidRPr="00014A69" w:rsidRDefault="00014A69" w:rsidP="00E86771">
            <w:pPr>
              <w:spacing w:line="360" w:lineRule="auto"/>
              <w:jc w:val="right"/>
            </w:pPr>
            <w:r w:rsidRPr="00014A69">
              <w:t>-£165</w:t>
            </w:r>
          </w:p>
        </w:tc>
        <w:tc>
          <w:tcPr>
            <w:tcW w:w="501" w:type="pct"/>
            <w:hideMark/>
          </w:tcPr>
          <w:p w14:paraId="3452FB3D" w14:textId="77777777" w:rsidR="00014A69" w:rsidRPr="00014A69" w:rsidRDefault="00014A69" w:rsidP="00E86771">
            <w:pPr>
              <w:spacing w:line="360" w:lineRule="auto"/>
              <w:jc w:val="right"/>
            </w:pPr>
            <w:r w:rsidRPr="00014A69">
              <w:t>-£316</w:t>
            </w:r>
          </w:p>
        </w:tc>
        <w:tc>
          <w:tcPr>
            <w:tcW w:w="509" w:type="pct"/>
            <w:hideMark/>
          </w:tcPr>
          <w:p w14:paraId="6E7D274D" w14:textId="77777777" w:rsidR="00014A69" w:rsidRPr="00014A69" w:rsidRDefault="00014A69" w:rsidP="00E86771">
            <w:pPr>
              <w:spacing w:line="360" w:lineRule="auto"/>
              <w:jc w:val="right"/>
            </w:pPr>
            <w:r w:rsidRPr="00014A69">
              <w:t>-£14</w:t>
            </w:r>
          </w:p>
        </w:tc>
        <w:tc>
          <w:tcPr>
            <w:tcW w:w="529" w:type="pct"/>
            <w:hideMark/>
          </w:tcPr>
          <w:p w14:paraId="5259B480" w14:textId="77777777" w:rsidR="00014A69" w:rsidRPr="00014A69" w:rsidRDefault="00014A69" w:rsidP="00E86771">
            <w:pPr>
              <w:spacing w:line="360" w:lineRule="auto"/>
              <w:jc w:val="right"/>
            </w:pPr>
            <w:r w:rsidRPr="00014A69">
              <w:t>0.032</w:t>
            </w:r>
          </w:p>
        </w:tc>
      </w:tr>
      <w:tr w:rsidR="00014A69" w:rsidRPr="00014A69" w14:paraId="68515919" w14:textId="77777777" w:rsidTr="00DB4F65">
        <w:trPr>
          <w:trHeight w:val="309"/>
        </w:trPr>
        <w:tc>
          <w:tcPr>
            <w:tcW w:w="2742" w:type="pct"/>
            <w:hideMark/>
          </w:tcPr>
          <w:p w14:paraId="66250CEE" w14:textId="77777777" w:rsidR="00014A69" w:rsidRPr="00014A69" w:rsidRDefault="00014A69" w:rsidP="00E86771">
            <w:pPr>
              <w:spacing w:line="360" w:lineRule="auto"/>
            </w:pPr>
            <w:r w:rsidRPr="00014A69">
              <w:t>Charlson co-morbidity score</w:t>
            </w:r>
          </w:p>
        </w:tc>
        <w:tc>
          <w:tcPr>
            <w:tcW w:w="719" w:type="pct"/>
            <w:hideMark/>
          </w:tcPr>
          <w:p w14:paraId="366DEF70" w14:textId="77777777" w:rsidR="00014A69" w:rsidRPr="00014A69" w:rsidRDefault="00014A69" w:rsidP="00E86771">
            <w:pPr>
              <w:spacing w:line="360" w:lineRule="auto"/>
              <w:jc w:val="right"/>
            </w:pPr>
            <w:r w:rsidRPr="00014A69">
              <w:t>£131</w:t>
            </w:r>
          </w:p>
        </w:tc>
        <w:tc>
          <w:tcPr>
            <w:tcW w:w="501" w:type="pct"/>
            <w:hideMark/>
          </w:tcPr>
          <w:p w14:paraId="32876186" w14:textId="77777777" w:rsidR="00014A69" w:rsidRPr="00014A69" w:rsidRDefault="00014A69" w:rsidP="00E86771">
            <w:pPr>
              <w:spacing w:line="360" w:lineRule="auto"/>
              <w:jc w:val="right"/>
            </w:pPr>
            <w:r w:rsidRPr="00014A69">
              <w:t>£86</w:t>
            </w:r>
          </w:p>
        </w:tc>
        <w:tc>
          <w:tcPr>
            <w:tcW w:w="509" w:type="pct"/>
            <w:hideMark/>
          </w:tcPr>
          <w:p w14:paraId="0EB51040" w14:textId="77777777" w:rsidR="00014A69" w:rsidRPr="00014A69" w:rsidRDefault="00014A69" w:rsidP="00E86771">
            <w:pPr>
              <w:spacing w:line="360" w:lineRule="auto"/>
              <w:jc w:val="right"/>
            </w:pPr>
            <w:r w:rsidRPr="00014A69">
              <w:t>£175</w:t>
            </w:r>
          </w:p>
        </w:tc>
        <w:tc>
          <w:tcPr>
            <w:tcW w:w="529" w:type="pct"/>
            <w:hideMark/>
          </w:tcPr>
          <w:p w14:paraId="533D0E10" w14:textId="77777777" w:rsidR="00014A69" w:rsidRPr="00014A69" w:rsidRDefault="00014A69" w:rsidP="00E86771">
            <w:pPr>
              <w:spacing w:line="360" w:lineRule="auto"/>
              <w:jc w:val="right"/>
            </w:pPr>
            <w:r w:rsidRPr="00014A69">
              <w:rPr>
                <w:color w:val="000000"/>
              </w:rPr>
              <w:t>&lt;0.001</w:t>
            </w:r>
          </w:p>
        </w:tc>
      </w:tr>
      <w:tr w:rsidR="00014A69" w:rsidRPr="00014A69" w14:paraId="22DC7C88" w14:textId="77777777" w:rsidTr="00DB4F65">
        <w:trPr>
          <w:trHeight w:val="309"/>
        </w:trPr>
        <w:tc>
          <w:tcPr>
            <w:tcW w:w="2742" w:type="pct"/>
          </w:tcPr>
          <w:p w14:paraId="13D3F365" w14:textId="77777777" w:rsidR="00014A69" w:rsidRPr="00014A69" w:rsidRDefault="00014A69" w:rsidP="00E86771">
            <w:pPr>
              <w:spacing w:line="360" w:lineRule="auto"/>
            </w:pPr>
          </w:p>
        </w:tc>
        <w:tc>
          <w:tcPr>
            <w:tcW w:w="719" w:type="pct"/>
          </w:tcPr>
          <w:p w14:paraId="452D1EF7" w14:textId="77777777" w:rsidR="00014A69" w:rsidRPr="00014A69" w:rsidRDefault="00014A69" w:rsidP="00E86771">
            <w:pPr>
              <w:spacing w:line="360" w:lineRule="auto"/>
              <w:jc w:val="right"/>
            </w:pPr>
          </w:p>
        </w:tc>
        <w:tc>
          <w:tcPr>
            <w:tcW w:w="501" w:type="pct"/>
          </w:tcPr>
          <w:p w14:paraId="6F09C930" w14:textId="77777777" w:rsidR="00014A69" w:rsidRPr="00014A69" w:rsidRDefault="00014A69" w:rsidP="00E86771">
            <w:pPr>
              <w:spacing w:line="360" w:lineRule="auto"/>
              <w:jc w:val="right"/>
            </w:pPr>
          </w:p>
        </w:tc>
        <w:tc>
          <w:tcPr>
            <w:tcW w:w="509" w:type="pct"/>
          </w:tcPr>
          <w:p w14:paraId="65782002" w14:textId="77777777" w:rsidR="00014A69" w:rsidRPr="00014A69" w:rsidRDefault="00014A69" w:rsidP="00E86771">
            <w:pPr>
              <w:spacing w:line="360" w:lineRule="auto"/>
              <w:jc w:val="right"/>
            </w:pPr>
          </w:p>
        </w:tc>
        <w:tc>
          <w:tcPr>
            <w:tcW w:w="529" w:type="pct"/>
          </w:tcPr>
          <w:p w14:paraId="4C70EA62" w14:textId="77777777" w:rsidR="00014A69" w:rsidRPr="00014A69" w:rsidRDefault="00014A69" w:rsidP="00E86771">
            <w:pPr>
              <w:spacing w:line="360" w:lineRule="auto"/>
              <w:jc w:val="right"/>
            </w:pPr>
          </w:p>
        </w:tc>
      </w:tr>
      <w:tr w:rsidR="00014A69" w:rsidRPr="00014A69" w14:paraId="1BDA77B1" w14:textId="77777777" w:rsidTr="00DB4F65">
        <w:trPr>
          <w:trHeight w:val="309"/>
        </w:trPr>
        <w:tc>
          <w:tcPr>
            <w:tcW w:w="2742" w:type="pct"/>
            <w:hideMark/>
          </w:tcPr>
          <w:p w14:paraId="7FA23974" w14:textId="77777777" w:rsidR="00014A69" w:rsidRPr="00014A69" w:rsidRDefault="00014A69" w:rsidP="00E86771">
            <w:pPr>
              <w:spacing w:line="360" w:lineRule="auto"/>
            </w:pPr>
            <w:r w:rsidRPr="00014A69">
              <w:t>Constant</w:t>
            </w:r>
          </w:p>
        </w:tc>
        <w:tc>
          <w:tcPr>
            <w:tcW w:w="719" w:type="pct"/>
            <w:hideMark/>
          </w:tcPr>
          <w:p w14:paraId="0D83255C" w14:textId="77777777" w:rsidR="00014A69" w:rsidRPr="00014A69" w:rsidRDefault="00014A69" w:rsidP="00E86771">
            <w:pPr>
              <w:spacing w:line="360" w:lineRule="auto"/>
              <w:jc w:val="right"/>
            </w:pPr>
            <w:r w:rsidRPr="00014A69">
              <w:t>£1065</w:t>
            </w:r>
          </w:p>
        </w:tc>
        <w:tc>
          <w:tcPr>
            <w:tcW w:w="501" w:type="pct"/>
            <w:hideMark/>
          </w:tcPr>
          <w:p w14:paraId="7B3CE49A" w14:textId="77777777" w:rsidR="00014A69" w:rsidRPr="00014A69" w:rsidRDefault="00014A69" w:rsidP="00E86771">
            <w:pPr>
              <w:spacing w:line="360" w:lineRule="auto"/>
              <w:jc w:val="right"/>
            </w:pPr>
            <w:r w:rsidRPr="00014A69">
              <w:t>£941</w:t>
            </w:r>
          </w:p>
        </w:tc>
        <w:tc>
          <w:tcPr>
            <w:tcW w:w="509" w:type="pct"/>
            <w:hideMark/>
          </w:tcPr>
          <w:p w14:paraId="6A1AF243" w14:textId="77777777" w:rsidR="00014A69" w:rsidRPr="00014A69" w:rsidRDefault="00014A69" w:rsidP="00E86771">
            <w:pPr>
              <w:spacing w:line="360" w:lineRule="auto"/>
              <w:jc w:val="right"/>
            </w:pPr>
            <w:r w:rsidRPr="00014A69">
              <w:t>£1188</w:t>
            </w:r>
          </w:p>
        </w:tc>
        <w:tc>
          <w:tcPr>
            <w:tcW w:w="529" w:type="pct"/>
            <w:hideMark/>
          </w:tcPr>
          <w:p w14:paraId="26CCDA2B" w14:textId="77777777" w:rsidR="00014A69" w:rsidRPr="00014A69" w:rsidRDefault="00014A69" w:rsidP="00E86771">
            <w:pPr>
              <w:spacing w:line="360" w:lineRule="auto"/>
              <w:jc w:val="right"/>
            </w:pPr>
            <w:r w:rsidRPr="00014A69">
              <w:rPr>
                <w:color w:val="000000"/>
              </w:rPr>
              <w:t>&lt;0.001</w:t>
            </w:r>
          </w:p>
        </w:tc>
      </w:tr>
      <w:tr w:rsidR="00014A69" w:rsidRPr="00014A69" w14:paraId="1B295CE1" w14:textId="77777777" w:rsidTr="00DB4F65">
        <w:trPr>
          <w:trHeight w:val="309"/>
        </w:trPr>
        <w:tc>
          <w:tcPr>
            <w:tcW w:w="2742" w:type="pct"/>
          </w:tcPr>
          <w:p w14:paraId="272E9380" w14:textId="77777777" w:rsidR="00014A69" w:rsidRPr="00014A69" w:rsidRDefault="00014A69" w:rsidP="00E86771">
            <w:pPr>
              <w:spacing w:line="360" w:lineRule="auto"/>
            </w:pPr>
          </w:p>
        </w:tc>
        <w:tc>
          <w:tcPr>
            <w:tcW w:w="719" w:type="pct"/>
          </w:tcPr>
          <w:p w14:paraId="40DD52F1" w14:textId="77777777" w:rsidR="00014A69" w:rsidRPr="00014A69" w:rsidRDefault="00014A69" w:rsidP="00E86771">
            <w:pPr>
              <w:spacing w:line="360" w:lineRule="auto"/>
              <w:jc w:val="right"/>
            </w:pPr>
          </w:p>
        </w:tc>
        <w:tc>
          <w:tcPr>
            <w:tcW w:w="501" w:type="pct"/>
          </w:tcPr>
          <w:p w14:paraId="05C3BF4C" w14:textId="77777777" w:rsidR="00014A69" w:rsidRPr="00014A69" w:rsidRDefault="00014A69" w:rsidP="00E86771">
            <w:pPr>
              <w:spacing w:line="360" w:lineRule="auto"/>
              <w:jc w:val="right"/>
            </w:pPr>
          </w:p>
        </w:tc>
        <w:tc>
          <w:tcPr>
            <w:tcW w:w="509" w:type="pct"/>
          </w:tcPr>
          <w:p w14:paraId="418E6E9F" w14:textId="77777777" w:rsidR="00014A69" w:rsidRPr="00014A69" w:rsidRDefault="00014A69" w:rsidP="00E86771">
            <w:pPr>
              <w:spacing w:line="360" w:lineRule="auto"/>
              <w:jc w:val="right"/>
            </w:pPr>
          </w:p>
        </w:tc>
        <w:tc>
          <w:tcPr>
            <w:tcW w:w="529" w:type="pct"/>
          </w:tcPr>
          <w:p w14:paraId="1036A374" w14:textId="77777777" w:rsidR="00014A69" w:rsidRPr="00014A69" w:rsidRDefault="00014A69" w:rsidP="00E86771">
            <w:pPr>
              <w:spacing w:line="360" w:lineRule="auto"/>
              <w:jc w:val="right"/>
            </w:pPr>
          </w:p>
        </w:tc>
      </w:tr>
      <w:tr w:rsidR="00014A69" w:rsidRPr="00014A69" w14:paraId="6BC8C531" w14:textId="77777777" w:rsidTr="00DB4F65">
        <w:trPr>
          <w:trHeight w:val="309"/>
        </w:trPr>
        <w:tc>
          <w:tcPr>
            <w:tcW w:w="2742" w:type="pct"/>
            <w:hideMark/>
          </w:tcPr>
          <w:p w14:paraId="1CDCDF02" w14:textId="77777777" w:rsidR="00014A69" w:rsidRPr="00014A69" w:rsidRDefault="00014A69" w:rsidP="00E86771">
            <w:pPr>
              <w:spacing w:line="360" w:lineRule="auto"/>
            </w:pPr>
            <w:r w:rsidRPr="00014A69">
              <w:t>No. of observations</w:t>
            </w:r>
          </w:p>
        </w:tc>
        <w:tc>
          <w:tcPr>
            <w:tcW w:w="719" w:type="pct"/>
            <w:hideMark/>
          </w:tcPr>
          <w:p w14:paraId="60641D33" w14:textId="77777777" w:rsidR="00014A69" w:rsidRPr="00014A69" w:rsidRDefault="00014A69" w:rsidP="00E86771">
            <w:pPr>
              <w:spacing w:line="360" w:lineRule="auto"/>
              <w:jc w:val="right"/>
            </w:pPr>
            <w:r w:rsidRPr="00014A69">
              <w:t>3899</w:t>
            </w:r>
          </w:p>
        </w:tc>
        <w:tc>
          <w:tcPr>
            <w:tcW w:w="501" w:type="pct"/>
          </w:tcPr>
          <w:p w14:paraId="7BC126AF" w14:textId="77777777" w:rsidR="00014A69" w:rsidRPr="00014A69" w:rsidRDefault="00014A69" w:rsidP="00E86771">
            <w:pPr>
              <w:spacing w:line="360" w:lineRule="auto"/>
              <w:jc w:val="right"/>
            </w:pPr>
          </w:p>
        </w:tc>
        <w:tc>
          <w:tcPr>
            <w:tcW w:w="509" w:type="pct"/>
          </w:tcPr>
          <w:p w14:paraId="3BF5FCC3" w14:textId="77777777" w:rsidR="00014A69" w:rsidRPr="00014A69" w:rsidRDefault="00014A69" w:rsidP="00E86771">
            <w:pPr>
              <w:spacing w:line="360" w:lineRule="auto"/>
              <w:jc w:val="right"/>
            </w:pPr>
          </w:p>
        </w:tc>
        <w:tc>
          <w:tcPr>
            <w:tcW w:w="529" w:type="pct"/>
          </w:tcPr>
          <w:p w14:paraId="66EEA1F9" w14:textId="77777777" w:rsidR="00014A69" w:rsidRPr="00014A69" w:rsidRDefault="00014A69" w:rsidP="00E86771">
            <w:pPr>
              <w:spacing w:line="360" w:lineRule="auto"/>
              <w:jc w:val="right"/>
            </w:pPr>
          </w:p>
        </w:tc>
      </w:tr>
      <w:tr w:rsidR="00014A69" w:rsidRPr="00014A69" w14:paraId="10CD73AB" w14:textId="77777777" w:rsidTr="00DB4F65">
        <w:trPr>
          <w:trHeight w:val="309"/>
        </w:trPr>
        <w:tc>
          <w:tcPr>
            <w:tcW w:w="2742" w:type="pct"/>
            <w:hideMark/>
          </w:tcPr>
          <w:p w14:paraId="1041CCAF" w14:textId="77777777" w:rsidR="00014A69" w:rsidRPr="00014A69" w:rsidRDefault="00014A69" w:rsidP="00E86771">
            <w:pPr>
              <w:spacing w:line="360" w:lineRule="auto"/>
            </w:pPr>
            <w:r w:rsidRPr="00014A69">
              <w:t>Residual degrees of freedom</w:t>
            </w:r>
          </w:p>
        </w:tc>
        <w:tc>
          <w:tcPr>
            <w:tcW w:w="719" w:type="pct"/>
            <w:hideMark/>
          </w:tcPr>
          <w:p w14:paraId="47560DFF" w14:textId="77777777" w:rsidR="00014A69" w:rsidRPr="00014A69" w:rsidRDefault="00014A69" w:rsidP="00E86771">
            <w:pPr>
              <w:spacing w:line="360" w:lineRule="auto"/>
              <w:jc w:val="right"/>
            </w:pPr>
            <w:r w:rsidRPr="00014A69">
              <w:t>3888</w:t>
            </w:r>
          </w:p>
        </w:tc>
        <w:tc>
          <w:tcPr>
            <w:tcW w:w="501" w:type="pct"/>
          </w:tcPr>
          <w:p w14:paraId="4B63C0DC" w14:textId="77777777" w:rsidR="00014A69" w:rsidRPr="00014A69" w:rsidRDefault="00014A69" w:rsidP="00E86771">
            <w:pPr>
              <w:spacing w:line="360" w:lineRule="auto"/>
              <w:jc w:val="right"/>
            </w:pPr>
          </w:p>
        </w:tc>
        <w:tc>
          <w:tcPr>
            <w:tcW w:w="509" w:type="pct"/>
          </w:tcPr>
          <w:p w14:paraId="4CEA8DDD" w14:textId="77777777" w:rsidR="00014A69" w:rsidRPr="00014A69" w:rsidRDefault="00014A69" w:rsidP="00E86771">
            <w:pPr>
              <w:spacing w:line="360" w:lineRule="auto"/>
              <w:jc w:val="right"/>
            </w:pPr>
          </w:p>
        </w:tc>
        <w:tc>
          <w:tcPr>
            <w:tcW w:w="529" w:type="pct"/>
          </w:tcPr>
          <w:p w14:paraId="5D513E3C" w14:textId="77777777" w:rsidR="00014A69" w:rsidRPr="00014A69" w:rsidRDefault="00014A69" w:rsidP="00E86771">
            <w:pPr>
              <w:spacing w:line="360" w:lineRule="auto"/>
              <w:jc w:val="right"/>
            </w:pPr>
          </w:p>
        </w:tc>
      </w:tr>
      <w:tr w:rsidR="00014A69" w:rsidRPr="00014A69" w14:paraId="0F794A94" w14:textId="77777777" w:rsidTr="00DB4F65">
        <w:trPr>
          <w:trHeight w:val="309"/>
        </w:trPr>
        <w:tc>
          <w:tcPr>
            <w:tcW w:w="2742" w:type="pct"/>
            <w:hideMark/>
          </w:tcPr>
          <w:p w14:paraId="34DB21DE" w14:textId="77777777" w:rsidR="00014A69" w:rsidRPr="00014A69" w:rsidRDefault="00014A69" w:rsidP="00E86771">
            <w:pPr>
              <w:spacing w:line="360" w:lineRule="auto"/>
            </w:pPr>
            <w:r w:rsidRPr="00014A69">
              <w:t>Linktest (p-value for yhat square)</w:t>
            </w:r>
          </w:p>
        </w:tc>
        <w:tc>
          <w:tcPr>
            <w:tcW w:w="719" w:type="pct"/>
            <w:hideMark/>
          </w:tcPr>
          <w:p w14:paraId="55AF04B5" w14:textId="77777777" w:rsidR="00014A69" w:rsidRPr="00014A69" w:rsidRDefault="00014A69" w:rsidP="00E86771">
            <w:pPr>
              <w:spacing w:line="360" w:lineRule="auto"/>
              <w:jc w:val="right"/>
            </w:pPr>
            <w:r w:rsidRPr="00014A69">
              <w:t>0.215</w:t>
            </w:r>
          </w:p>
        </w:tc>
        <w:tc>
          <w:tcPr>
            <w:tcW w:w="501" w:type="pct"/>
          </w:tcPr>
          <w:p w14:paraId="36548366" w14:textId="77777777" w:rsidR="00014A69" w:rsidRPr="00014A69" w:rsidRDefault="00014A69" w:rsidP="00E86771">
            <w:pPr>
              <w:spacing w:line="360" w:lineRule="auto"/>
              <w:jc w:val="right"/>
            </w:pPr>
          </w:p>
        </w:tc>
        <w:tc>
          <w:tcPr>
            <w:tcW w:w="509" w:type="pct"/>
          </w:tcPr>
          <w:p w14:paraId="6341AC41" w14:textId="77777777" w:rsidR="00014A69" w:rsidRPr="00014A69" w:rsidRDefault="00014A69" w:rsidP="00E86771">
            <w:pPr>
              <w:spacing w:line="360" w:lineRule="auto"/>
              <w:jc w:val="right"/>
            </w:pPr>
          </w:p>
        </w:tc>
        <w:tc>
          <w:tcPr>
            <w:tcW w:w="529" w:type="pct"/>
          </w:tcPr>
          <w:p w14:paraId="697A2F66" w14:textId="77777777" w:rsidR="00014A69" w:rsidRPr="00014A69" w:rsidRDefault="00014A69" w:rsidP="00E86771">
            <w:pPr>
              <w:spacing w:line="360" w:lineRule="auto"/>
              <w:jc w:val="right"/>
            </w:pPr>
          </w:p>
        </w:tc>
      </w:tr>
    </w:tbl>
    <w:p w14:paraId="3B2EC02C" w14:textId="77777777" w:rsidR="002A383E" w:rsidRPr="00591BFC" w:rsidRDefault="002A383E" w:rsidP="00E86771">
      <w:pPr>
        <w:spacing w:line="360" w:lineRule="auto"/>
      </w:pPr>
    </w:p>
    <w:p w14:paraId="0B8F1880" w14:textId="77777777" w:rsidR="002A383E" w:rsidRPr="00591BFC" w:rsidRDefault="002A383E" w:rsidP="00E86771">
      <w:pPr>
        <w:spacing w:line="360" w:lineRule="auto"/>
      </w:pPr>
    </w:p>
    <w:p w14:paraId="0BABA90A" w14:textId="77777777" w:rsidR="002A383E" w:rsidRPr="00591BFC" w:rsidRDefault="002A383E" w:rsidP="00E86771">
      <w:pPr>
        <w:pStyle w:val="Heading3"/>
        <w:spacing w:line="360" w:lineRule="auto"/>
        <w:rPr>
          <w:rFonts w:ascii="Calibri" w:hAnsi="Calibri"/>
          <w:lang w:val="en-GB"/>
        </w:rPr>
      </w:pPr>
      <w:bookmarkStart w:id="384" w:name="_Toc308300802"/>
      <w:bookmarkStart w:id="385" w:name="_Toc311366609"/>
      <w:r w:rsidRPr="00591BFC">
        <w:rPr>
          <w:rFonts w:ascii="Calibri" w:hAnsi="Calibri"/>
          <w:lang w:val="en-GB"/>
        </w:rPr>
        <w:t>Predictors of hospitalisation costs in first year following hip fracture</w:t>
      </w:r>
      <w:bookmarkEnd w:id="384"/>
      <w:bookmarkEnd w:id="385"/>
    </w:p>
    <w:p w14:paraId="5380A37F" w14:textId="77777777" w:rsidR="002A383E" w:rsidRPr="00591BFC" w:rsidRDefault="002A383E" w:rsidP="00E86771">
      <w:pPr>
        <w:spacing w:line="360" w:lineRule="auto"/>
      </w:pPr>
      <w:r w:rsidRPr="00591BFC">
        <w:t xml:space="preserve">The predictors of hospitalisation costs are shown in </w:t>
      </w:r>
      <w:r w:rsidR="00615358" w:rsidRPr="00591BFC">
        <w:rPr>
          <w:b/>
        </w:rPr>
        <w:fldChar w:fldCharType="begin"/>
      </w:r>
      <w:r w:rsidR="00615358" w:rsidRPr="00591BFC">
        <w:instrText xml:space="preserve"> REF _Ref423076731 \h </w:instrText>
      </w:r>
      <w:r w:rsidR="00E814C1" w:rsidRPr="00591BFC">
        <w:rPr>
          <w:b/>
        </w:rPr>
        <w:instrText xml:space="preserve"> \* MERGEFORMAT </w:instrText>
      </w:r>
      <w:r w:rsidR="00615358" w:rsidRPr="00591BFC">
        <w:rPr>
          <w:b/>
        </w:rPr>
      </w:r>
      <w:r w:rsidR="00615358" w:rsidRPr="00591BFC">
        <w:rPr>
          <w:b/>
        </w:rPr>
        <w:fldChar w:fldCharType="separate"/>
      </w:r>
      <w:r w:rsidR="00776C05" w:rsidRPr="00591BFC">
        <w:t xml:space="preserve">Table </w:t>
      </w:r>
      <w:r w:rsidR="00776C05">
        <w:rPr>
          <w:noProof/>
        </w:rPr>
        <w:t>26</w:t>
      </w:r>
      <w:r w:rsidR="00615358" w:rsidRPr="00591BFC">
        <w:rPr>
          <w:b/>
        </w:rPr>
        <w:fldChar w:fldCharType="end"/>
      </w:r>
      <w:r w:rsidRPr="00591BFC">
        <w:t>. A GLM model with gamma family and identify link function had the best fit. Adjusting for all covariates, men had higher hospitalisation costs than women (£910, 95%</w:t>
      </w:r>
      <w:r w:rsidR="00CA712A">
        <w:t xml:space="preserve"> </w:t>
      </w:r>
      <w:r w:rsidRPr="00591BFC">
        <w:t>CI: £679 to £1,141) and higher length of stay (4.5 days). Furthermore, costs were positively associated with age (£45 per additional year) and inversely associated with income, with costs rising with income deprivation. A higher Charlson-comorbidity score at index hip fracture increased hospitalisation costs by approximately £694 per additional unit of the Charlson score. Transiting to a care home for the first time after index fracture was associated with higher hospital costs (£5,583; 95%</w:t>
      </w:r>
      <w:r w:rsidR="00BA4355">
        <w:t xml:space="preserve"> </w:t>
      </w:r>
      <w:r w:rsidRPr="00591BFC">
        <w:t>CI: £5,197 to £5,970) and a longer length of stay (22 days) relative to patients who went back to their previous accommodation, possibly indicating poorer health.</w:t>
      </w:r>
    </w:p>
    <w:p w14:paraId="090D2831" w14:textId="77777777" w:rsidR="002A383E" w:rsidRPr="00591BFC" w:rsidRDefault="002A383E" w:rsidP="00E86771">
      <w:pPr>
        <w:spacing w:line="360" w:lineRule="auto"/>
      </w:pPr>
      <w:r w:rsidRPr="00591BFC">
        <w:t>Holding all else constant, having a second hip fracture within the same year as the primary one was associated with an additional £9,198 (95% CI: £8,059 to £10,337) expenditure in hospitalisation costs. Major (non-hip) fragility fractures requiring hospitalisation post hip fracture were also found to be significantly associated with higher hospitalisation costs (£5,705, 95%</w:t>
      </w:r>
      <w:r w:rsidR="00BA4355">
        <w:t xml:space="preserve"> </w:t>
      </w:r>
      <w:r w:rsidRPr="00591BFC">
        <w:t xml:space="preserve">CI: £4,434 to £6,975). Amongst hip fracture-related complications, surgical complications within and after index admission were the most frequently reported and were associated with higher costs and length of stay (22 and 25 days, respectively) relative to no complications. Periprosthetic fracture was also associated with significantly higher hospitalisation costs relative to patients without this, at £9,569 (95% CI: £6,302 to £12,835). All these cost differences remained significant after adjusting for length of stay. </w:t>
      </w:r>
    </w:p>
    <w:p w14:paraId="58CB863D" w14:textId="77777777" w:rsidR="002A383E" w:rsidRPr="00591BFC" w:rsidRDefault="002A383E" w:rsidP="00E86771">
      <w:pPr>
        <w:spacing w:line="360" w:lineRule="auto"/>
      </w:pPr>
      <w:r w:rsidRPr="00591BFC">
        <w:lastRenderedPageBreak/>
        <w:t>Finally, patients who died within 30 days were associated with lower hospitalisation costs (-£4,672; 95%</w:t>
      </w:r>
      <w:r w:rsidR="00BA4355">
        <w:t xml:space="preserve"> </w:t>
      </w:r>
      <w:r w:rsidRPr="00591BFC">
        <w:t>CI: -£4,906 to -£4,437), mostly as a result of lower length of stay than those who survived the first 30 days (mean of 11.3 days vs. 41.9 days). Patients who died after 30 days had higher costs (£2,549; 95%</w:t>
      </w:r>
      <w:r w:rsidR="00BA4355">
        <w:t xml:space="preserve"> </w:t>
      </w:r>
      <w:r w:rsidRPr="00591BFC">
        <w:t xml:space="preserve">CI: £2,246 to £2,853) than the survivors, again mostly due to a longer length of stay (mean of 53.2 days vs. 38.3 days).  </w:t>
      </w:r>
    </w:p>
    <w:p w14:paraId="12E9B2F8" w14:textId="77777777" w:rsidR="002A383E" w:rsidRPr="00591BFC" w:rsidRDefault="002A383E" w:rsidP="00E86771">
      <w:pPr>
        <w:spacing w:line="360" w:lineRule="auto"/>
      </w:pPr>
    </w:p>
    <w:p w14:paraId="2A83A1A5" w14:textId="77777777" w:rsidR="002A383E" w:rsidRPr="00591BFC" w:rsidRDefault="002A383E" w:rsidP="00E86771">
      <w:pPr>
        <w:spacing w:line="360" w:lineRule="auto"/>
        <w:rPr>
          <w:b/>
        </w:rPr>
      </w:pPr>
      <w:r w:rsidRPr="00591BFC">
        <w:rPr>
          <w:b/>
        </w:rPr>
        <w:br w:type="page"/>
      </w:r>
    </w:p>
    <w:p w14:paraId="16DD10B5" w14:textId="77777777" w:rsidR="00615358" w:rsidRDefault="00615358" w:rsidP="00E86771">
      <w:pPr>
        <w:pStyle w:val="Caption"/>
        <w:keepNext/>
        <w:spacing w:line="360" w:lineRule="auto"/>
      </w:pPr>
      <w:bookmarkStart w:id="386" w:name="_Ref423076731"/>
      <w:bookmarkStart w:id="387" w:name="_Toc308262421"/>
      <w:bookmarkStart w:id="388" w:name="_Toc311366687"/>
      <w:r w:rsidRPr="00591BFC">
        <w:t xml:space="preserve">Table </w:t>
      </w:r>
      <w:r w:rsidR="002149AD">
        <w:fldChar w:fldCharType="begin"/>
      </w:r>
      <w:r w:rsidR="002149AD">
        <w:instrText xml:space="preserve"> SEQ Table </w:instrText>
      </w:r>
      <w:r w:rsidR="002149AD">
        <w:instrText xml:space="preserve">\* ARABIC </w:instrText>
      </w:r>
      <w:r w:rsidR="002149AD">
        <w:fldChar w:fldCharType="separate"/>
      </w:r>
      <w:r w:rsidR="00776C05">
        <w:rPr>
          <w:noProof/>
        </w:rPr>
        <w:t>26</w:t>
      </w:r>
      <w:r w:rsidR="002149AD">
        <w:rPr>
          <w:noProof/>
        </w:rPr>
        <w:fldChar w:fldCharType="end"/>
      </w:r>
      <w:bookmarkEnd w:id="386"/>
      <w:r w:rsidRPr="00591BFC">
        <w:t xml:space="preserve"> Predictors of 1-year hospitalisation costs after index hip fracture</w:t>
      </w:r>
      <w:bookmarkEnd w:id="387"/>
      <w:bookmarkEnd w:id="388"/>
    </w:p>
    <w:tbl>
      <w:tblPr>
        <w:tblW w:w="5000" w:type="pct"/>
        <w:tblLook w:val="04A0" w:firstRow="1" w:lastRow="0" w:firstColumn="1" w:lastColumn="0" w:noHBand="0" w:noVBand="1"/>
      </w:tblPr>
      <w:tblGrid>
        <w:gridCol w:w="4858"/>
        <w:gridCol w:w="1328"/>
        <w:gridCol w:w="1040"/>
        <w:gridCol w:w="1040"/>
        <w:gridCol w:w="970"/>
      </w:tblGrid>
      <w:tr w:rsidR="00014A69" w:rsidRPr="00014A69" w14:paraId="1025D5AB" w14:textId="77777777" w:rsidTr="00DB4F65">
        <w:tc>
          <w:tcPr>
            <w:tcW w:w="2630" w:type="pct"/>
          </w:tcPr>
          <w:p w14:paraId="39D6BA75" w14:textId="77777777" w:rsidR="00014A69" w:rsidRPr="00014A69" w:rsidRDefault="00014A69" w:rsidP="00E86771">
            <w:pPr>
              <w:spacing w:line="360" w:lineRule="auto"/>
              <w:rPr>
                <w:color w:val="000000"/>
              </w:rPr>
            </w:pPr>
          </w:p>
        </w:tc>
        <w:tc>
          <w:tcPr>
            <w:tcW w:w="719" w:type="pct"/>
            <w:hideMark/>
          </w:tcPr>
          <w:p w14:paraId="7DBBF803" w14:textId="77777777" w:rsidR="00014A69" w:rsidRPr="00014A69" w:rsidRDefault="00014A69" w:rsidP="00E86771">
            <w:pPr>
              <w:spacing w:line="360" w:lineRule="auto"/>
              <w:jc w:val="right"/>
              <w:rPr>
                <w:color w:val="000000"/>
              </w:rPr>
            </w:pPr>
            <w:r w:rsidRPr="00014A69">
              <w:rPr>
                <w:color w:val="000000"/>
              </w:rPr>
              <w:t>Mean</w:t>
            </w:r>
          </w:p>
        </w:tc>
        <w:tc>
          <w:tcPr>
            <w:tcW w:w="563" w:type="pct"/>
            <w:hideMark/>
          </w:tcPr>
          <w:p w14:paraId="2F267F4E" w14:textId="77777777" w:rsidR="00014A69" w:rsidRPr="00014A69" w:rsidRDefault="00014A69" w:rsidP="00E86771">
            <w:pPr>
              <w:spacing w:line="360" w:lineRule="auto"/>
              <w:jc w:val="right"/>
              <w:rPr>
                <w:color w:val="000000"/>
              </w:rPr>
            </w:pPr>
            <w:r w:rsidRPr="00014A69">
              <w:rPr>
                <w:color w:val="000000"/>
              </w:rPr>
              <w:t>Low 95% CI</w:t>
            </w:r>
          </w:p>
        </w:tc>
        <w:tc>
          <w:tcPr>
            <w:tcW w:w="563" w:type="pct"/>
            <w:hideMark/>
          </w:tcPr>
          <w:p w14:paraId="72EEA2AF" w14:textId="77777777" w:rsidR="00014A69" w:rsidRPr="00014A69" w:rsidRDefault="00014A69" w:rsidP="00E86771">
            <w:pPr>
              <w:spacing w:line="360" w:lineRule="auto"/>
              <w:jc w:val="right"/>
              <w:rPr>
                <w:color w:val="000000"/>
              </w:rPr>
            </w:pPr>
            <w:r w:rsidRPr="00014A69">
              <w:rPr>
                <w:color w:val="000000"/>
              </w:rPr>
              <w:t>High 95% CI</w:t>
            </w:r>
          </w:p>
        </w:tc>
        <w:tc>
          <w:tcPr>
            <w:tcW w:w="525" w:type="pct"/>
            <w:hideMark/>
          </w:tcPr>
          <w:p w14:paraId="47E3FB20" w14:textId="77777777" w:rsidR="00014A69" w:rsidRPr="00014A69" w:rsidRDefault="00014A69" w:rsidP="00E86771">
            <w:pPr>
              <w:spacing w:line="360" w:lineRule="auto"/>
              <w:jc w:val="right"/>
              <w:rPr>
                <w:color w:val="000000"/>
              </w:rPr>
            </w:pPr>
            <w:r w:rsidRPr="00014A69">
              <w:rPr>
                <w:color w:val="000000"/>
              </w:rPr>
              <w:t>P&gt;z</w:t>
            </w:r>
          </w:p>
        </w:tc>
      </w:tr>
      <w:tr w:rsidR="00014A69" w:rsidRPr="00014A69" w14:paraId="63447A56" w14:textId="77777777" w:rsidTr="00DB4F65">
        <w:tc>
          <w:tcPr>
            <w:tcW w:w="2630" w:type="pct"/>
            <w:hideMark/>
          </w:tcPr>
          <w:p w14:paraId="1682A8D6" w14:textId="77777777" w:rsidR="00014A69" w:rsidRPr="00014A69" w:rsidRDefault="00014A69" w:rsidP="00E86771">
            <w:pPr>
              <w:spacing w:line="360" w:lineRule="auto"/>
              <w:rPr>
                <w:color w:val="000000"/>
              </w:rPr>
            </w:pPr>
            <w:r w:rsidRPr="00014A69">
              <w:rPr>
                <w:color w:val="000000"/>
              </w:rPr>
              <w:t>Type of hip fracture</w:t>
            </w:r>
          </w:p>
        </w:tc>
        <w:tc>
          <w:tcPr>
            <w:tcW w:w="719" w:type="pct"/>
          </w:tcPr>
          <w:p w14:paraId="2D93D78F" w14:textId="77777777" w:rsidR="00014A69" w:rsidRPr="00014A69" w:rsidRDefault="00014A69" w:rsidP="00E86771">
            <w:pPr>
              <w:spacing w:line="360" w:lineRule="auto"/>
              <w:jc w:val="right"/>
              <w:rPr>
                <w:color w:val="000000"/>
              </w:rPr>
            </w:pPr>
          </w:p>
        </w:tc>
        <w:tc>
          <w:tcPr>
            <w:tcW w:w="563" w:type="pct"/>
          </w:tcPr>
          <w:p w14:paraId="1BC15D2C" w14:textId="77777777" w:rsidR="00014A69" w:rsidRPr="00014A69" w:rsidRDefault="00014A69" w:rsidP="00E86771">
            <w:pPr>
              <w:spacing w:line="360" w:lineRule="auto"/>
              <w:jc w:val="right"/>
              <w:rPr>
                <w:color w:val="000000"/>
              </w:rPr>
            </w:pPr>
          </w:p>
        </w:tc>
        <w:tc>
          <w:tcPr>
            <w:tcW w:w="563" w:type="pct"/>
          </w:tcPr>
          <w:p w14:paraId="64201AC1" w14:textId="77777777" w:rsidR="00014A69" w:rsidRPr="00014A69" w:rsidRDefault="00014A69" w:rsidP="00E86771">
            <w:pPr>
              <w:spacing w:line="360" w:lineRule="auto"/>
              <w:jc w:val="right"/>
              <w:rPr>
                <w:color w:val="000000"/>
              </w:rPr>
            </w:pPr>
          </w:p>
        </w:tc>
        <w:tc>
          <w:tcPr>
            <w:tcW w:w="525" w:type="pct"/>
          </w:tcPr>
          <w:p w14:paraId="3EAF39AD" w14:textId="77777777" w:rsidR="00014A69" w:rsidRPr="00014A69" w:rsidRDefault="00014A69" w:rsidP="00E86771">
            <w:pPr>
              <w:spacing w:line="360" w:lineRule="auto"/>
              <w:jc w:val="right"/>
              <w:rPr>
                <w:color w:val="000000"/>
              </w:rPr>
            </w:pPr>
          </w:p>
        </w:tc>
      </w:tr>
      <w:tr w:rsidR="00014A69" w:rsidRPr="00014A69" w14:paraId="5CFC99A7" w14:textId="77777777" w:rsidTr="00DB4F65">
        <w:tc>
          <w:tcPr>
            <w:tcW w:w="2630" w:type="pct"/>
            <w:hideMark/>
          </w:tcPr>
          <w:p w14:paraId="551622F0" w14:textId="77777777" w:rsidR="00014A69" w:rsidRPr="00014A69" w:rsidRDefault="00014A69" w:rsidP="00E86771">
            <w:pPr>
              <w:spacing w:line="360" w:lineRule="auto"/>
              <w:rPr>
                <w:color w:val="000000"/>
              </w:rPr>
            </w:pPr>
            <w:r w:rsidRPr="00014A69">
              <w:rPr>
                <w:color w:val="000000"/>
              </w:rPr>
              <w:t xml:space="preserve">  Head and neck</w:t>
            </w:r>
          </w:p>
        </w:tc>
        <w:tc>
          <w:tcPr>
            <w:tcW w:w="719" w:type="pct"/>
            <w:hideMark/>
          </w:tcPr>
          <w:p w14:paraId="4D472807" w14:textId="77777777" w:rsidR="00014A69" w:rsidRPr="00014A69" w:rsidRDefault="00014A69" w:rsidP="00E86771">
            <w:pPr>
              <w:spacing w:line="360" w:lineRule="auto"/>
              <w:jc w:val="right"/>
              <w:rPr>
                <w:color w:val="000000"/>
              </w:rPr>
            </w:pPr>
            <w:r w:rsidRPr="00014A69">
              <w:rPr>
                <w:color w:val="000000"/>
              </w:rPr>
              <w:t>Reference</w:t>
            </w:r>
          </w:p>
        </w:tc>
        <w:tc>
          <w:tcPr>
            <w:tcW w:w="563" w:type="pct"/>
          </w:tcPr>
          <w:p w14:paraId="3DD78263" w14:textId="77777777" w:rsidR="00014A69" w:rsidRPr="00014A69" w:rsidRDefault="00014A69" w:rsidP="00E86771">
            <w:pPr>
              <w:spacing w:line="360" w:lineRule="auto"/>
              <w:jc w:val="right"/>
              <w:rPr>
                <w:color w:val="000000"/>
              </w:rPr>
            </w:pPr>
          </w:p>
        </w:tc>
        <w:tc>
          <w:tcPr>
            <w:tcW w:w="563" w:type="pct"/>
          </w:tcPr>
          <w:p w14:paraId="0FB1F4BF" w14:textId="77777777" w:rsidR="00014A69" w:rsidRPr="00014A69" w:rsidRDefault="00014A69" w:rsidP="00E86771">
            <w:pPr>
              <w:spacing w:line="360" w:lineRule="auto"/>
              <w:jc w:val="right"/>
              <w:rPr>
                <w:color w:val="000000"/>
              </w:rPr>
            </w:pPr>
          </w:p>
        </w:tc>
        <w:tc>
          <w:tcPr>
            <w:tcW w:w="525" w:type="pct"/>
          </w:tcPr>
          <w:p w14:paraId="390702A0" w14:textId="77777777" w:rsidR="00014A69" w:rsidRPr="00014A69" w:rsidRDefault="00014A69" w:rsidP="00E86771">
            <w:pPr>
              <w:spacing w:line="360" w:lineRule="auto"/>
              <w:jc w:val="right"/>
              <w:rPr>
                <w:color w:val="000000"/>
              </w:rPr>
            </w:pPr>
          </w:p>
        </w:tc>
      </w:tr>
      <w:tr w:rsidR="00014A69" w:rsidRPr="00014A69" w14:paraId="09CDAD77" w14:textId="77777777" w:rsidTr="00DB4F65">
        <w:tc>
          <w:tcPr>
            <w:tcW w:w="2630" w:type="pct"/>
            <w:hideMark/>
          </w:tcPr>
          <w:p w14:paraId="619F7A3A" w14:textId="77777777" w:rsidR="00014A69" w:rsidRPr="00014A69" w:rsidRDefault="00014A69" w:rsidP="00E86771">
            <w:pPr>
              <w:spacing w:line="360" w:lineRule="auto"/>
              <w:rPr>
                <w:color w:val="000000"/>
              </w:rPr>
            </w:pPr>
            <w:r w:rsidRPr="00014A69">
              <w:rPr>
                <w:color w:val="000000"/>
              </w:rPr>
              <w:t xml:space="preserve">  Pertrochanteric</w:t>
            </w:r>
          </w:p>
        </w:tc>
        <w:tc>
          <w:tcPr>
            <w:tcW w:w="719" w:type="pct"/>
            <w:hideMark/>
          </w:tcPr>
          <w:p w14:paraId="3E20E5C0" w14:textId="77777777" w:rsidR="00014A69" w:rsidRPr="00014A69" w:rsidRDefault="00014A69" w:rsidP="00E86771">
            <w:pPr>
              <w:spacing w:line="360" w:lineRule="auto"/>
              <w:jc w:val="right"/>
              <w:rPr>
                <w:color w:val="000000"/>
              </w:rPr>
            </w:pPr>
            <w:r w:rsidRPr="00014A69">
              <w:rPr>
                <w:color w:val="000000"/>
              </w:rPr>
              <w:t>-£266</w:t>
            </w:r>
          </w:p>
        </w:tc>
        <w:tc>
          <w:tcPr>
            <w:tcW w:w="563" w:type="pct"/>
            <w:hideMark/>
          </w:tcPr>
          <w:p w14:paraId="0F1AD90F" w14:textId="77777777" w:rsidR="00014A69" w:rsidRPr="00014A69" w:rsidRDefault="00014A69" w:rsidP="00E86771">
            <w:pPr>
              <w:spacing w:line="360" w:lineRule="auto"/>
              <w:jc w:val="right"/>
              <w:rPr>
                <w:color w:val="000000"/>
              </w:rPr>
            </w:pPr>
            <w:r w:rsidRPr="00014A69">
              <w:rPr>
                <w:color w:val="000000"/>
              </w:rPr>
              <w:t>-£505</w:t>
            </w:r>
          </w:p>
        </w:tc>
        <w:tc>
          <w:tcPr>
            <w:tcW w:w="563" w:type="pct"/>
            <w:hideMark/>
          </w:tcPr>
          <w:p w14:paraId="1405D3EB" w14:textId="77777777" w:rsidR="00014A69" w:rsidRPr="00014A69" w:rsidRDefault="00014A69" w:rsidP="00E86771">
            <w:pPr>
              <w:spacing w:line="360" w:lineRule="auto"/>
              <w:jc w:val="right"/>
              <w:rPr>
                <w:color w:val="000000"/>
              </w:rPr>
            </w:pPr>
            <w:r w:rsidRPr="00014A69">
              <w:rPr>
                <w:color w:val="000000"/>
              </w:rPr>
              <w:t>-£28</w:t>
            </w:r>
          </w:p>
        </w:tc>
        <w:tc>
          <w:tcPr>
            <w:tcW w:w="525" w:type="pct"/>
            <w:hideMark/>
          </w:tcPr>
          <w:p w14:paraId="3E9F8C14" w14:textId="77777777" w:rsidR="00014A69" w:rsidRPr="00014A69" w:rsidRDefault="00014A69" w:rsidP="00E86771">
            <w:pPr>
              <w:spacing w:line="360" w:lineRule="auto"/>
              <w:jc w:val="right"/>
              <w:rPr>
                <w:color w:val="000000"/>
              </w:rPr>
            </w:pPr>
            <w:r w:rsidRPr="00014A69">
              <w:rPr>
                <w:color w:val="000000"/>
              </w:rPr>
              <w:t>0.029</w:t>
            </w:r>
          </w:p>
        </w:tc>
      </w:tr>
      <w:tr w:rsidR="00014A69" w:rsidRPr="00014A69" w14:paraId="54D4F813" w14:textId="77777777" w:rsidTr="00DB4F65">
        <w:tc>
          <w:tcPr>
            <w:tcW w:w="2630" w:type="pct"/>
            <w:hideMark/>
          </w:tcPr>
          <w:p w14:paraId="32846BAC" w14:textId="77777777" w:rsidR="00014A69" w:rsidRPr="00014A69" w:rsidRDefault="00014A69" w:rsidP="00E86771">
            <w:pPr>
              <w:spacing w:line="360" w:lineRule="auto"/>
              <w:rPr>
                <w:color w:val="000000"/>
              </w:rPr>
            </w:pPr>
            <w:r w:rsidRPr="00014A69">
              <w:rPr>
                <w:color w:val="000000"/>
              </w:rPr>
              <w:t xml:space="preserve">  Subtrochanteric</w:t>
            </w:r>
          </w:p>
        </w:tc>
        <w:tc>
          <w:tcPr>
            <w:tcW w:w="719" w:type="pct"/>
            <w:hideMark/>
          </w:tcPr>
          <w:p w14:paraId="1D237D3A" w14:textId="77777777" w:rsidR="00014A69" w:rsidRPr="00014A69" w:rsidRDefault="00014A69" w:rsidP="00E86771">
            <w:pPr>
              <w:spacing w:line="360" w:lineRule="auto"/>
              <w:jc w:val="right"/>
              <w:rPr>
                <w:color w:val="000000"/>
              </w:rPr>
            </w:pPr>
            <w:r w:rsidRPr="00014A69">
              <w:rPr>
                <w:color w:val="000000"/>
              </w:rPr>
              <w:t>£491</w:t>
            </w:r>
          </w:p>
        </w:tc>
        <w:tc>
          <w:tcPr>
            <w:tcW w:w="563" w:type="pct"/>
            <w:hideMark/>
          </w:tcPr>
          <w:p w14:paraId="7587E871" w14:textId="77777777" w:rsidR="00014A69" w:rsidRPr="00014A69" w:rsidRDefault="00014A69" w:rsidP="00E86771">
            <w:pPr>
              <w:spacing w:line="360" w:lineRule="auto"/>
              <w:jc w:val="right"/>
              <w:rPr>
                <w:color w:val="000000"/>
              </w:rPr>
            </w:pPr>
            <w:r w:rsidRPr="00014A69">
              <w:rPr>
                <w:color w:val="000000"/>
              </w:rPr>
              <w:t>-£137</w:t>
            </w:r>
          </w:p>
        </w:tc>
        <w:tc>
          <w:tcPr>
            <w:tcW w:w="563" w:type="pct"/>
            <w:hideMark/>
          </w:tcPr>
          <w:p w14:paraId="79ED371A" w14:textId="77777777" w:rsidR="00014A69" w:rsidRPr="00014A69" w:rsidRDefault="00014A69" w:rsidP="00E86771">
            <w:pPr>
              <w:spacing w:line="360" w:lineRule="auto"/>
              <w:jc w:val="right"/>
              <w:rPr>
                <w:color w:val="000000"/>
              </w:rPr>
            </w:pPr>
            <w:r w:rsidRPr="00014A69">
              <w:rPr>
                <w:color w:val="000000"/>
              </w:rPr>
              <w:t>£1119</w:t>
            </w:r>
          </w:p>
        </w:tc>
        <w:tc>
          <w:tcPr>
            <w:tcW w:w="525" w:type="pct"/>
            <w:hideMark/>
          </w:tcPr>
          <w:p w14:paraId="1C67CA9F" w14:textId="77777777" w:rsidR="00014A69" w:rsidRPr="00014A69" w:rsidRDefault="00014A69" w:rsidP="00E86771">
            <w:pPr>
              <w:spacing w:line="360" w:lineRule="auto"/>
              <w:jc w:val="right"/>
              <w:rPr>
                <w:color w:val="000000"/>
              </w:rPr>
            </w:pPr>
            <w:r w:rsidRPr="00014A69">
              <w:rPr>
                <w:color w:val="000000"/>
              </w:rPr>
              <w:t>0.125</w:t>
            </w:r>
          </w:p>
        </w:tc>
      </w:tr>
      <w:tr w:rsidR="00014A69" w:rsidRPr="00014A69" w14:paraId="6CDFDDA7" w14:textId="77777777" w:rsidTr="00DB4F65">
        <w:tc>
          <w:tcPr>
            <w:tcW w:w="2630" w:type="pct"/>
            <w:hideMark/>
          </w:tcPr>
          <w:p w14:paraId="093DC13B" w14:textId="77777777" w:rsidR="00014A69" w:rsidRPr="00014A69" w:rsidRDefault="00014A69" w:rsidP="00E86771">
            <w:pPr>
              <w:spacing w:line="360" w:lineRule="auto"/>
              <w:rPr>
                <w:color w:val="000000"/>
              </w:rPr>
            </w:pPr>
            <w:r w:rsidRPr="00014A69">
              <w:rPr>
                <w:color w:val="000000"/>
              </w:rPr>
              <w:t xml:space="preserve">  Unspecified</w:t>
            </w:r>
          </w:p>
        </w:tc>
        <w:tc>
          <w:tcPr>
            <w:tcW w:w="719" w:type="pct"/>
            <w:hideMark/>
          </w:tcPr>
          <w:p w14:paraId="212A9D1F" w14:textId="77777777" w:rsidR="00014A69" w:rsidRPr="00014A69" w:rsidRDefault="00014A69" w:rsidP="00E86771">
            <w:pPr>
              <w:spacing w:line="360" w:lineRule="auto"/>
              <w:jc w:val="right"/>
              <w:rPr>
                <w:color w:val="000000"/>
              </w:rPr>
            </w:pPr>
            <w:r w:rsidRPr="00014A69">
              <w:rPr>
                <w:color w:val="000000"/>
              </w:rPr>
              <w:t>£610</w:t>
            </w:r>
          </w:p>
        </w:tc>
        <w:tc>
          <w:tcPr>
            <w:tcW w:w="563" w:type="pct"/>
            <w:hideMark/>
          </w:tcPr>
          <w:p w14:paraId="7ADA79F0" w14:textId="77777777" w:rsidR="00014A69" w:rsidRPr="00014A69" w:rsidRDefault="00014A69" w:rsidP="00E86771">
            <w:pPr>
              <w:spacing w:line="360" w:lineRule="auto"/>
              <w:jc w:val="right"/>
              <w:rPr>
                <w:color w:val="000000"/>
              </w:rPr>
            </w:pPr>
            <w:r w:rsidRPr="00014A69">
              <w:rPr>
                <w:color w:val="000000"/>
              </w:rPr>
              <w:t>-£432</w:t>
            </w:r>
          </w:p>
        </w:tc>
        <w:tc>
          <w:tcPr>
            <w:tcW w:w="563" w:type="pct"/>
            <w:hideMark/>
          </w:tcPr>
          <w:p w14:paraId="2A84D790" w14:textId="77777777" w:rsidR="00014A69" w:rsidRPr="00014A69" w:rsidRDefault="00014A69" w:rsidP="00E86771">
            <w:pPr>
              <w:spacing w:line="360" w:lineRule="auto"/>
              <w:jc w:val="right"/>
              <w:rPr>
                <w:color w:val="000000"/>
              </w:rPr>
            </w:pPr>
            <w:r w:rsidRPr="00014A69">
              <w:rPr>
                <w:color w:val="000000"/>
              </w:rPr>
              <w:t>£1653</w:t>
            </w:r>
          </w:p>
        </w:tc>
        <w:tc>
          <w:tcPr>
            <w:tcW w:w="525" w:type="pct"/>
            <w:hideMark/>
          </w:tcPr>
          <w:p w14:paraId="454E6E07" w14:textId="77777777" w:rsidR="00014A69" w:rsidRPr="00014A69" w:rsidRDefault="00014A69" w:rsidP="00E86771">
            <w:pPr>
              <w:spacing w:line="360" w:lineRule="auto"/>
              <w:jc w:val="right"/>
              <w:rPr>
                <w:color w:val="000000"/>
              </w:rPr>
            </w:pPr>
            <w:r w:rsidRPr="00014A69">
              <w:rPr>
                <w:color w:val="000000"/>
              </w:rPr>
              <w:t>0.251</w:t>
            </w:r>
          </w:p>
        </w:tc>
      </w:tr>
      <w:tr w:rsidR="00014A69" w:rsidRPr="00014A69" w14:paraId="7AAAC7CF" w14:textId="77777777" w:rsidTr="00DB4F65">
        <w:tc>
          <w:tcPr>
            <w:tcW w:w="2630" w:type="pct"/>
            <w:hideMark/>
          </w:tcPr>
          <w:p w14:paraId="63474B13" w14:textId="77777777" w:rsidR="00014A69" w:rsidRPr="00014A69" w:rsidRDefault="00014A69" w:rsidP="00E86771">
            <w:pPr>
              <w:spacing w:line="360" w:lineRule="auto"/>
              <w:rPr>
                <w:color w:val="000000"/>
              </w:rPr>
            </w:pPr>
            <w:r w:rsidRPr="00014A69">
              <w:rPr>
                <w:color w:val="000000"/>
              </w:rPr>
              <w:t>Gender</w:t>
            </w:r>
          </w:p>
        </w:tc>
        <w:tc>
          <w:tcPr>
            <w:tcW w:w="719" w:type="pct"/>
          </w:tcPr>
          <w:p w14:paraId="4117F809" w14:textId="77777777" w:rsidR="00014A69" w:rsidRPr="00014A69" w:rsidRDefault="00014A69" w:rsidP="00E86771">
            <w:pPr>
              <w:spacing w:line="360" w:lineRule="auto"/>
              <w:jc w:val="right"/>
              <w:rPr>
                <w:color w:val="000000"/>
              </w:rPr>
            </w:pPr>
          </w:p>
        </w:tc>
        <w:tc>
          <w:tcPr>
            <w:tcW w:w="563" w:type="pct"/>
          </w:tcPr>
          <w:p w14:paraId="4F934CD5" w14:textId="77777777" w:rsidR="00014A69" w:rsidRPr="00014A69" w:rsidRDefault="00014A69" w:rsidP="00E86771">
            <w:pPr>
              <w:spacing w:line="360" w:lineRule="auto"/>
              <w:jc w:val="right"/>
              <w:rPr>
                <w:color w:val="000000"/>
              </w:rPr>
            </w:pPr>
          </w:p>
        </w:tc>
        <w:tc>
          <w:tcPr>
            <w:tcW w:w="563" w:type="pct"/>
          </w:tcPr>
          <w:p w14:paraId="60F75FDE" w14:textId="77777777" w:rsidR="00014A69" w:rsidRPr="00014A69" w:rsidRDefault="00014A69" w:rsidP="00E86771">
            <w:pPr>
              <w:spacing w:line="360" w:lineRule="auto"/>
              <w:jc w:val="right"/>
              <w:rPr>
                <w:color w:val="000000"/>
              </w:rPr>
            </w:pPr>
          </w:p>
        </w:tc>
        <w:tc>
          <w:tcPr>
            <w:tcW w:w="525" w:type="pct"/>
          </w:tcPr>
          <w:p w14:paraId="0D25B559" w14:textId="77777777" w:rsidR="00014A69" w:rsidRPr="00014A69" w:rsidRDefault="00014A69" w:rsidP="00E86771">
            <w:pPr>
              <w:spacing w:line="360" w:lineRule="auto"/>
              <w:jc w:val="right"/>
              <w:rPr>
                <w:color w:val="000000"/>
              </w:rPr>
            </w:pPr>
          </w:p>
        </w:tc>
      </w:tr>
      <w:tr w:rsidR="00014A69" w:rsidRPr="00014A69" w14:paraId="0ED7C61A" w14:textId="77777777" w:rsidTr="00DB4F65">
        <w:tc>
          <w:tcPr>
            <w:tcW w:w="2630" w:type="pct"/>
            <w:hideMark/>
          </w:tcPr>
          <w:p w14:paraId="04C03E0C" w14:textId="77777777" w:rsidR="00014A69" w:rsidRPr="00014A69" w:rsidRDefault="00014A69" w:rsidP="00E86771">
            <w:pPr>
              <w:spacing w:line="360" w:lineRule="auto"/>
              <w:rPr>
                <w:color w:val="000000"/>
              </w:rPr>
            </w:pPr>
            <w:r w:rsidRPr="00014A69">
              <w:rPr>
                <w:color w:val="000000"/>
              </w:rPr>
              <w:t xml:space="preserve">  Female</w:t>
            </w:r>
          </w:p>
        </w:tc>
        <w:tc>
          <w:tcPr>
            <w:tcW w:w="719" w:type="pct"/>
            <w:hideMark/>
          </w:tcPr>
          <w:p w14:paraId="5E1910EC" w14:textId="77777777" w:rsidR="00014A69" w:rsidRPr="00014A69" w:rsidRDefault="00014A69" w:rsidP="00E86771">
            <w:pPr>
              <w:spacing w:line="360" w:lineRule="auto"/>
              <w:jc w:val="right"/>
              <w:rPr>
                <w:color w:val="000000"/>
              </w:rPr>
            </w:pPr>
            <w:r w:rsidRPr="00014A69">
              <w:rPr>
                <w:color w:val="000000"/>
              </w:rPr>
              <w:t>Reference</w:t>
            </w:r>
          </w:p>
        </w:tc>
        <w:tc>
          <w:tcPr>
            <w:tcW w:w="563" w:type="pct"/>
          </w:tcPr>
          <w:p w14:paraId="02AB2147" w14:textId="77777777" w:rsidR="00014A69" w:rsidRPr="00014A69" w:rsidRDefault="00014A69" w:rsidP="00E86771">
            <w:pPr>
              <w:spacing w:line="360" w:lineRule="auto"/>
              <w:jc w:val="right"/>
              <w:rPr>
                <w:color w:val="000000"/>
              </w:rPr>
            </w:pPr>
          </w:p>
        </w:tc>
        <w:tc>
          <w:tcPr>
            <w:tcW w:w="563" w:type="pct"/>
          </w:tcPr>
          <w:p w14:paraId="7A2857B6" w14:textId="77777777" w:rsidR="00014A69" w:rsidRPr="00014A69" w:rsidRDefault="00014A69" w:rsidP="00E86771">
            <w:pPr>
              <w:spacing w:line="360" w:lineRule="auto"/>
              <w:jc w:val="right"/>
              <w:rPr>
                <w:color w:val="000000"/>
              </w:rPr>
            </w:pPr>
          </w:p>
        </w:tc>
        <w:tc>
          <w:tcPr>
            <w:tcW w:w="525" w:type="pct"/>
          </w:tcPr>
          <w:p w14:paraId="78B9E6CA" w14:textId="77777777" w:rsidR="00014A69" w:rsidRPr="00014A69" w:rsidRDefault="00014A69" w:rsidP="00E86771">
            <w:pPr>
              <w:spacing w:line="360" w:lineRule="auto"/>
              <w:jc w:val="right"/>
              <w:rPr>
                <w:color w:val="000000"/>
              </w:rPr>
            </w:pPr>
          </w:p>
        </w:tc>
      </w:tr>
      <w:tr w:rsidR="00014A69" w:rsidRPr="00014A69" w14:paraId="2D8DB900" w14:textId="77777777" w:rsidTr="00DB4F65">
        <w:tc>
          <w:tcPr>
            <w:tcW w:w="2630" w:type="pct"/>
            <w:hideMark/>
          </w:tcPr>
          <w:p w14:paraId="06D78A85" w14:textId="77777777" w:rsidR="00014A69" w:rsidRPr="00014A69" w:rsidRDefault="00014A69" w:rsidP="00E86771">
            <w:pPr>
              <w:spacing w:line="360" w:lineRule="auto"/>
              <w:rPr>
                <w:color w:val="000000"/>
              </w:rPr>
            </w:pPr>
            <w:r w:rsidRPr="00014A69">
              <w:rPr>
                <w:color w:val="000000"/>
              </w:rPr>
              <w:t xml:space="preserve">  Male</w:t>
            </w:r>
          </w:p>
        </w:tc>
        <w:tc>
          <w:tcPr>
            <w:tcW w:w="719" w:type="pct"/>
            <w:hideMark/>
          </w:tcPr>
          <w:p w14:paraId="15E9D734" w14:textId="77777777" w:rsidR="00014A69" w:rsidRPr="00014A69" w:rsidRDefault="00014A69" w:rsidP="00E86771">
            <w:pPr>
              <w:spacing w:line="360" w:lineRule="auto"/>
              <w:jc w:val="right"/>
              <w:rPr>
                <w:color w:val="000000"/>
              </w:rPr>
            </w:pPr>
            <w:r w:rsidRPr="00014A69">
              <w:rPr>
                <w:color w:val="000000"/>
              </w:rPr>
              <w:t>£910</w:t>
            </w:r>
          </w:p>
        </w:tc>
        <w:tc>
          <w:tcPr>
            <w:tcW w:w="563" w:type="pct"/>
            <w:hideMark/>
          </w:tcPr>
          <w:p w14:paraId="46F192EC" w14:textId="77777777" w:rsidR="00014A69" w:rsidRPr="00014A69" w:rsidRDefault="00014A69" w:rsidP="00E86771">
            <w:pPr>
              <w:spacing w:line="360" w:lineRule="auto"/>
              <w:jc w:val="right"/>
              <w:rPr>
                <w:color w:val="000000"/>
              </w:rPr>
            </w:pPr>
            <w:r w:rsidRPr="00014A69">
              <w:rPr>
                <w:color w:val="000000"/>
              </w:rPr>
              <w:t>£679</w:t>
            </w:r>
          </w:p>
        </w:tc>
        <w:tc>
          <w:tcPr>
            <w:tcW w:w="563" w:type="pct"/>
            <w:hideMark/>
          </w:tcPr>
          <w:p w14:paraId="3C9E47F1" w14:textId="77777777" w:rsidR="00014A69" w:rsidRPr="00014A69" w:rsidRDefault="00014A69" w:rsidP="00E86771">
            <w:pPr>
              <w:spacing w:line="360" w:lineRule="auto"/>
              <w:jc w:val="right"/>
              <w:rPr>
                <w:color w:val="000000"/>
              </w:rPr>
            </w:pPr>
            <w:r w:rsidRPr="00014A69">
              <w:rPr>
                <w:color w:val="000000"/>
              </w:rPr>
              <w:t>£1141</w:t>
            </w:r>
          </w:p>
        </w:tc>
        <w:tc>
          <w:tcPr>
            <w:tcW w:w="525" w:type="pct"/>
            <w:hideMark/>
          </w:tcPr>
          <w:p w14:paraId="1F3ACB15"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44D956B0" w14:textId="77777777" w:rsidTr="00DB4F65">
        <w:tc>
          <w:tcPr>
            <w:tcW w:w="2630" w:type="pct"/>
            <w:hideMark/>
          </w:tcPr>
          <w:p w14:paraId="30FEFCB5" w14:textId="77777777" w:rsidR="00014A69" w:rsidRPr="00014A69" w:rsidRDefault="00014A69" w:rsidP="00E86771">
            <w:pPr>
              <w:spacing w:line="360" w:lineRule="auto"/>
              <w:rPr>
                <w:color w:val="000000"/>
              </w:rPr>
            </w:pPr>
            <w:r w:rsidRPr="00014A69">
              <w:rPr>
                <w:color w:val="000000"/>
              </w:rPr>
              <w:t>Age at hip fracture (centered on 82 years)</w:t>
            </w:r>
          </w:p>
        </w:tc>
        <w:tc>
          <w:tcPr>
            <w:tcW w:w="719" w:type="pct"/>
            <w:hideMark/>
          </w:tcPr>
          <w:p w14:paraId="41317F13" w14:textId="77777777" w:rsidR="00014A69" w:rsidRPr="00014A69" w:rsidRDefault="00014A69" w:rsidP="00E86771">
            <w:pPr>
              <w:spacing w:line="360" w:lineRule="auto"/>
              <w:jc w:val="right"/>
              <w:rPr>
                <w:color w:val="000000"/>
              </w:rPr>
            </w:pPr>
            <w:r w:rsidRPr="00014A69">
              <w:rPr>
                <w:color w:val="000000"/>
              </w:rPr>
              <w:t>£47</w:t>
            </w:r>
          </w:p>
        </w:tc>
        <w:tc>
          <w:tcPr>
            <w:tcW w:w="563" w:type="pct"/>
            <w:hideMark/>
          </w:tcPr>
          <w:p w14:paraId="22E4D525" w14:textId="77777777" w:rsidR="00014A69" w:rsidRPr="00014A69" w:rsidRDefault="00014A69" w:rsidP="00E86771">
            <w:pPr>
              <w:spacing w:line="360" w:lineRule="auto"/>
              <w:jc w:val="right"/>
              <w:rPr>
                <w:color w:val="000000"/>
              </w:rPr>
            </w:pPr>
            <w:r w:rsidRPr="00014A69">
              <w:rPr>
                <w:color w:val="000000"/>
              </w:rPr>
              <w:t>£35</w:t>
            </w:r>
          </w:p>
        </w:tc>
        <w:tc>
          <w:tcPr>
            <w:tcW w:w="563" w:type="pct"/>
            <w:hideMark/>
          </w:tcPr>
          <w:p w14:paraId="3FD1ACBB" w14:textId="77777777" w:rsidR="00014A69" w:rsidRPr="00014A69" w:rsidRDefault="00014A69" w:rsidP="00E86771">
            <w:pPr>
              <w:spacing w:line="360" w:lineRule="auto"/>
              <w:jc w:val="right"/>
              <w:rPr>
                <w:color w:val="000000"/>
              </w:rPr>
            </w:pPr>
            <w:r w:rsidRPr="00014A69">
              <w:rPr>
                <w:color w:val="000000"/>
              </w:rPr>
              <w:t>£60</w:t>
            </w:r>
          </w:p>
        </w:tc>
        <w:tc>
          <w:tcPr>
            <w:tcW w:w="525" w:type="pct"/>
            <w:hideMark/>
          </w:tcPr>
          <w:p w14:paraId="69DC55ED"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31D5888A" w14:textId="77777777" w:rsidTr="00DB4F65">
        <w:tc>
          <w:tcPr>
            <w:tcW w:w="2630" w:type="pct"/>
            <w:hideMark/>
          </w:tcPr>
          <w:p w14:paraId="60DF85DD" w14:textId="77777777" w:rsidR="00014A69" w:rsidRPr="00014A69" w:rsidRDefault="00014A69" w:rsidP="00E86771">
            <w:pPr>
              <w:spacing w:line="360" w:lineRule="auto"/>
              <w:rPr>
                <w:color w:val="000000"/>
              </w:rPr>
            </w:pPr>
            <w:r w:rsidRPr="00014A69">
              <w:rPr>
                <w:color w:val="000000"/>
              </w:rPr>
              <w:t>Year at hip fracture (centered on year 2008)</w:t>
            </w:r>
          </w:p>
        </w:tc>
        <w:tc>
          <w:tcPr>
            <w:tcW w:w="719" w:type="pct"/>
            <w:hideMark/>
          </w:tcPr>
          <w:p w14:paraId="7A1F46A6" w14:textId="77777777" w:rsidR="00014A69" w:rsidRPr="00014A69" w:rsidRDefault="00014A69" w:rsidP="00E86771">
            <w:pPr>
              <w:spacing w:line="360" w:lineRule="auto"/>
              <w:jc w:val="right"/>
              <w:rPr>
                <w:color w:val="000000"/>
              </w:rPr>
            </w:pPr>
            <w:r w:rsidRPr="00014A69">
              <w:rPr>
                <w:color w:val="000000"/>
              </w:rPr>
              <w:t>-£99</w:t>
            </w:r>
          </w:p>
        </w:tc>
        <w:tc>
          <w:tcPr>
            <w:tcW w:w="563" w:type="pct"/>
            <w:hideMark/>
          </w:tcPr>
          <w:p w14:paraId="1CE64691" w14:textId="77777777" w:rsidR="00014A69" w:rsidRPr="00014A69" w:rsidRDefault="00014A69" w:rsidP="00E86771">
            <w:pPr>
              <w:spacing w:line="360" w:lineRule="auto"/>
              <w:jc w:val="right"/>
              <w:rPr>
                <w:color w:val="000000"/>
              </w:rPr>
            </w:pPr>
            <w:r w:rsidRPr="00014A69">
              <w:rPr>
                <w:color w:val="000000"/>
              </w:rPr>
              <w:t>-£135</w:t>
            </w:r>
          </w:p>
        </w:tc>
        <w:tc>
          <w:tcPr>
            <w:tcW w:w="563" w:type="pct"/>
            <w:hideMark/>
          </w:tcPr>
          <w:p w14:paraId="492DF0AE" w14:textId="77777777" w:rsidR="00014A69" w:rsidRPr="00014A69" w:rsidRDefault="00014A69" w:rsidP="00E86771">
            <w:pPr>
              <w:spacing w:line="360" w:lineRule="auto"/>
              <w:jc w:val="right"/>
              <w:rPr>
                <w:color w:val="000000"/>
              </w:rPr>
            </w:pPr>
            <w:r w:rsidRPr="00014A69">
              <w:rPr>
                <w:color w:val="000000"/>
              </w:rPr>
              <w:t>-£63</w:t>
            </w:r>
          </w:p>
        </w:tc>
        <w:tc>
          <w:tcPr>
            <w:tcW w:w="525" w:type="pct"/>
            <w:hideMark/>
          </w:tcPr>
          <w:p w14:paraId="02773269"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6E825BD7" w14:textId="77777777" w:rsidTr="00DB4F65">
        <w:tc>
          <w:tcPr>
            <w:tcW w:w="2630" w:type="pct"/>
            <w:hideMark/>
          </w:tcPr>
          <w:p w14:paraId="67E3D7EC" w14:textId="77777777" w:rsidR="00014A69" w:rsidRPr="00014A69" w:rsidRDefault="00014A69" w:rsidP="00E86771">
            <w:pPr>
              <w:spacing w:line="360" w:lineRule="auto"/>
              <w:rPr>
                <w:color w:val="000000"/>
              </w:rPr>
            </w:pPr>
            <w:r w:rsidRPr="00014A69">
              <w:rPr>
                <w:color w:val="000000"/>
              </w:rPr>
              <w:t>Indices of income deprivation (x100)</w:t>
            </w:r>
          </w:p>
        </w:tc>
        <w:tc>
          <w:tcPr>
            <w:tcW w:w="719" w:type="pct"/>
            <w:hideMark/>
          </w:tcPr>
          <w:p w14:paraId="2ADF55A6" w14:textId="77777777" w:rsidR="00014A69" w:rsidRPr="00014A69" w:rsidRDefault="00014A69" w:rsidP="00E86771">
            <w:pPr>
              <w:spacing w:line="360" w:lineRule="auto"/>
              <w:jc w:val="right"/>
              <w:rPr>
                <w:color w:val="000000"/>
              </w:rPr>
            </w:pPr>
            <w:r w:rsidRPr="00014A69">
              <w:rPr>
                <w:color w:val="000000"/>
              </w:rPr>
              <w:t>£31</w:t>
            </w:r>
          </w:p>
        </w:tc>
        <w:tc>
          <w:tcPr>
            <w:tcW w:w="563" w:type="pct"/>
            <w:hideMark/>
          </w:tcPr>
          <w:p w14:paraId="54E57DC5" w14:textId="77777777" w:rsidR="00014A69" w:rsidRPr="00014A69" w:rsidRDefault="00014A69" w:rsidP="00E86771">
            <w:pPr>
              <w:spacing w:line="360" w:lineRule="auto"/>
              <w:jc w:val="right"/>
              <w:rPr>
                <w:color w:val="000000"/>
              </w:rPr>
            </w:pPr>
            <w:r w:rsidRPr="00014A69">
              <w:rPr>
                <w:color w:val="000000"/>
              </w:rPr>
              <w:t>£18</w:t>
            </w:r>
          </w:p>
        </w:tc>
        <w:tc>
          <w:tcPr>
            <w:tcW w:w="563" w:type="pct"/>
            <w:hideMark/>
          </w:tcPr>
          <w:p w14:paraId="0316DED0" w14:textId="77777777" w:rsidR="00014A69" w:rsidRPr="00014A69" w:rsidRDefault="00014A69" w:rsidP="00E86771">
            <w:pPr>
              <w:spacing w:line="360" w:lineRule="auto"/>
              <w:jc w:val="right"/>
              <w:rPr>
                <w:color w:val="000000"/>
              </w:rPr>
            </w:pPr>
            <w:r w:rsidRPr="00014A69">
              <w:rPr>
                <w:color w:val="000000"/>
              </w:rPr>
              <w:t>£45</w:t>
            </w:r>
          </w:p>
        </w:tc>
        <w:tc>
          <w:tcPr>
            <w:tcW w:w="525" w:type="pct"/>
            <w:hideMark/>
          </w:tcPr>
          <w:p w14:paraId="1F6E88C9"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3102DE66" w14:textId="77777777" w:rsidTr="00DB4F65">
        <w:tc>
          <w:tcPr>
            <w:tcW w:w="2630" w:type="pct"/>
            <w:hideMark/>
          </w:tcPr>
          <w:p w14:paraId="1A0A2944" w14:textId="77777777" w:rsidR="00014A69" w:rsidRPr="00014A69" w:rsidRDefault="00014A69" w:rsidP="00E86771">
            <w:pPr>
              <w:spacing w:line="360" w:lineRule="auto"/>
              <w:rPr>
                <w:color w:val="000000"/>
              </w:rPr>
            </w:pPr>
            <w:r w:rsidRPr="00014A69">
              <w:rPr>
                <w:color w:val="000000"/>
              </w:rPr>
              <w:t>Charlson co-morbidity score (up to 3 years prior fracture)</w:t>
            </w:r>
          </w:p>
        </w:tc>
        <w:tc>
          <w:tcPr>
            <w:tcW w:w="719" w:type="pct"/>
            <w:hideMark/>
          </w:tcPr>
          <w:p w14:paraId="12DDC762" w14:textId="77777777" w:rsidR="00014A69" w:rsidRPr="00014A69" w:rsidRDefault="00014A69" w:rsidP="00E86771">
            <w:pPr>
              <w:spacing w:line="360" w:lineRule="auto"/>
              <w:jc w:val="right"/>
              <w:rPr>
                <w:color w:val="000000"/>
              </w:rPr>
            </w:pPr>
            <w:r w:rsidRPr="00014A69">
              <w:rPr>
                <w:color w:val="000000"/>
              </w:rPr>
              <w:t>£695</w:t>
            </w:r>
          </w:p>
        </w:tc>
        <w:tc>
          <w:tcPr>
            <w:tcW w:w="563" w:type="pct"/>
            <w:hideMark/>
          </w:tcPr>
          <w:p w14:paraId="6136BE7C" w14:textId="77777777" w:rsidR="00014A69" w:rsidRPr="00014A69" w:rsidRDefault="00014A69" w:rsidP="00E86771">
            <w:pPr>
              <w:spacing w:line="360" w:lineRule="auto"/>
              <w:jc w:val="right"/>
              <w:rPr>
                <w:color w:val="000000"/>
              </w:rPr>
            </w:pPr>
            <w:r w:rsidRPr="00014A69">
              <w:rPr>
                <w:color w:val="000000"/>
              </w:rPr>
              <w:t>£622</w:t>
            </w:r>
          </w:p>
        </w:tc>
        <w:tc>
          <w:tcPr>
            <w:tcW w:w="563" w:type="pct"/>
            <w:hideMark/>
          </w:tcPr>
          <w:p w14:paraId="0C368A9E" w14:textId="77777777" w:rsidR="00014A69" w:rsidRPr="00014A69" w:rsidRDefault="00014A69" w:rsidP="00E86771">
            <w:pPr>
              <w:spacing w:line="360" w:lineRule="auto"/>
              <w:jc w:val="right"/>
              <w:rPr>
                <w:color w:val="000000"/>
              </w:rPr>
            </w:pPr>
            <w:r w:rsidRPr="00014A69">
              <w:rPr>
                <w:color w:val="000000"/>
              </w:rPr>
              <w:t>£768</w:t>
            </w:r>
          </w:p>
        </w:tc>
        <w:tc>
          <w:tcPr>
            <w:tcW w:w="525" w:type="pct"/>
            <w:hideMark/>
          </w:tcPr>
          <w:p w14:paraId="237094A2"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4811208E" w14:textId="77777777" w:rsidTr="00DB4F65">
        <w:tc>
          <w:tcPr>
            <w:tcW w:w="2630" w:type="pct"/>
            <w:hideMark/>
          </w:tcPr>
          <w:p w14:paraId="561AB6D6" w14:textId="77777777" w:rsidR="00014A69" w:rsidRPr="00014A69" w:rsidRDefault="00014A69" w:rsidP="00E86771">
            <w:pPr>
              <w:spacing w:line="360" w:lineRule="auto"/>
              <w:rPr>
                <w:color w:val="000000"/>
              </w:rPr>
            </w:pPr>
            <w:r w:rsidRPr="00014A69">
              <w:rPr>
                <w:color w:val="000000"/>
              </w:rPr>
              <w:t>Death within 30 days of hip fracture</w:t>
            </w:r>
          </w:p>
        </w:tc>
        <w:tc>
          <w:tcPr>
            <w:tcW w:w="719" w:type="pct"/>
            <w:hideMark/>
          </w:tcPr>
          <w:p w14:paraId="59E50A08" w14:textId="77777777" w:rsidR="00014A69" w:rsidRPr="00014A69" w:rsidRDefault="00014A69" w:rsidP="00E86771">
            <w:pPr>
              <w:spacing w:line="360" w:lineRule="auto"/>
              <w:jc w:val="right"/>
              <w:rPr>
                <w:color w:val="000000"/>
              </w:rPr>
            </w:pPr>
            <w:r w:rsidRPr="00014A69">
              <w:rPr>
                <w:color w:val="000000"/>
              </w:rPr>
              <w:t>-£4,672</w:t>
            </w:r>
          </w:p>
        </w:tc>
        <w:tc>
          <w:tcPr>
            <w:tcW w:w="563" w:type="pct"/>
            <w:hideMark/>
          </w:tcPr>
          <w:p w14:paraId="42BEAA06" w14:textId="77777777" w:rsidR="00014A69" w:rsidRPr="00014A69" w:rsidRDefault="00014A69" w:rsidP="00E86771">
            <w:pPr>
              <w:spacing w:line="360" w:lineRule="auto"/>
              <w:jc w:val="right"/>
              <w:rPr>
                <w:color w:val="000000"/>
              </w:rPr>
            </w:pPr>
            <w:r w:rsidRPr="00014A69">
              <w:rPr>
                <w:color w:val="000000"/>
              </w:rPr>
              <w:t>-£4906</w:t>
            </w:r>
          </w:p>
        </w:tc>
        <w:tc>
          <w:tcPr>
            <w:tcW w:w="563" w:type="pct"/>
            <w:hideMark/>
          </w:tcPr>
          <w:p w14:paraId="278D8F35" w14:textId="77777777" w:rsidR="00014A69" w:rsidRPr="00014A69" w:rsidRDefault="00014A69" w:rsidP="00E86771">
            <w:pPr>
              <w:spacing w:line="360" w:lineRule="auto"/>
              <w:jc w:val="right"/>
              <w:rPr>
                <w:color w:val="000000"/>
              </w:rPr>
            </w:pPr>
            <w:r w:rsidRPr="00014A69">
              <w:rPr>
                <w:color w:val="000000"/>
              </w:rPr>
              <w:t>-£4437</w:t>
            </w:r>
          </w:p>
        </w:tc>
        <w:tc>
          <w:tcPr>
            <w:tcW w:w="525" w:type="pct"/>
            <w:hideMark/>
          </w:tcPr>
          <w:p w14:paraId="7CBBB4B9"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0ABF00E6" w14:textId="77777777" w:rsidTr="00DB4F65">
        <w:tc>
          <w:tcPr>
            <w:tcW w:w="2630" w:type="pct"/>
            <w:hideMark/>
          </w:tcPr>
          <w:p w14:paraId="541AD175" w14:textId="77777777" w:rsidR="00014A69" w:rsidRPr="00014A69" w:rsidRDefault="00014A69" w:rsidP="00E86771">
            <w:pPr>
              <w:spacing w:line="360" w:lineRule="auto"/>
              <w:rPr>
                <w:color w:val="000000"/>
              </w:rPr>
            </w:pPr>
            <w:r w:rsidRPr="00014A69">
              <w:rPr>
                <w:color w:val="000000"/>
              </w:rPr>
              <w:t xml:space="preserve">Death between 31 days and 1 year </w:t>
            </w:r>
          </w:p>
        </w:tc>
        <w:tc>
          <w:tcPr>
            <w:tcW w:w="719" w:type="pct"/>
            <w:hideMark/>
          </w:tcPr>
          <w:p w14:paraId="23E26899" w14:textId="77777777" w:rsidR="00014A69" w:rsidRPr="00014A69" w:rsidRDefault="00014A69" w:rsidP="00E86771">
            <w:pPr>
              <w:spacing w:line="360" w:lineRule="auto"/>
              <w:jc w:val="right"/>
              <w:rPr>
                <w:color w:val="000000"/>
              </w:rPr>
            </w:pPr>
            <w:r w:rsidRPr="00014A69">
              <w:rPr>
                <w:color w:val="000000"/>
              </w:rPr>
              <w:t>£2,549</w:t>
            </w:r>
          </w:p>
        </w:tc>
        <w:tc>
          <w:tcPr>
            <w:tcW w:w="563" w:type="pct"/>
            <w:hideMark/>
          </w:tcPr>
          <w:p w14:paraId="3FD3690F" w14:textId="77777777" w:rsidR="00014A69" w:rsidRPr="00014A69" w:rsidRDefault="00014A69" w:rsidP="00E86771">
            <w:pPr>
              <w:spacing w:line="360" w:lineRule="auto"/>
              <w:jc w:val="right"/>
              <w:rPr>
                <w:color w:val="000000"/>
              </w:rPr>
            </w:pPr>
            <w:r w:rsidRPr="00014A69">
              <w:rPr>
                <w:color w:val="000000"/>
              </w:rPr>
              <w:t>£2246</w:t>
            </w:r>
          </w:p>
        </w:tc>
        <w:tc>
          <w:tcPr>
            <w:tcW w:w="563" w:type="pct"/>
            <w:hideMark/>
          </w:tcPr>
          <w:p w14:paraId="2C72361F" w14:textId="77777777" w:rsidR="00014A69" w:rsidRPr="00014A69" w:rsidRDefault="00014A69" w:rsidP="00E86771">
            <w:pPr>
              <w:spacing w:line="360" w:lineRule="auto"/>
              <w:jc w:val="right"/>
              <w:rPr>
                <w:color w:val="000000"/>
              </w:rPr>
            </w:pPr>
            <w:r w:rsidRPr="00014A69">
              <w:rPr>
                <w:color w:val="000000"/>
              </w:rPr>
              <w:t>£2853</w:t>
            </w:r>
          </w:p>
        </w:tc>
        <w:tc>
          <w:tcPr>
            <w:tcW w:w="525" w:type="pct"/>
            <w:hideMark/>
          </w:tcPr>
          <w:p w14:paraId="34931CA7"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72E4F2E3" w14:textId="77777777" w:rsidTr="00DB4F65">
        <w:tc>
          <w:tcPr>
            <w:tcW w:w="2630" w:type="pct"/>
            <w:hideMark/>
          </w:tcPr>
          <w:p w14:paraId="5C921CF1" w14:textId="77777777" w:rsidR="00014A69" w:rsidRPr="00014A69" w:rsidRDefault="00014A69" w:rsidP="00E86771">
            <w:pPr>
              <w:spacing w:line="360" w:lineRule="auto"/>
              <w:rPr>
                <w:color w:val="000000"/>
              </w:rPr>
            </w:pPr>
            <w:r w:rsidRPr="00014A69">
              <w:rPr>
                <w:color w:val="000000"/>
              </w:rPr>
              <w:t>Living in care home before hip fracture</w:t>
            </w:r>
          </w:p>
        </w:tc>
        <w:tc>
          <w:tcPr>
            <w:tcW w:w="719" w:type="pct"/>
            <w:hideMark/>
          </w:tcPr>
          <w:p w14:paraId="6C6D3BE4" w14:textId="77777777" w:rsidR="00014A69" w:rsidRPr="00014A69" w:rsidRDefault="00014A69" w:rsidP="00E86771">
            <w:pPr>
              <w:spacing w:line="360" w:lineRule="auto"/>
              <w:jc w:val="right"/>
              <w:rPr>
                <w:color w:val="000000"/>
              </w:rPr>
            </w:pPr>
            <w:r w:rsidRPr="00014A69">
              <w:rPr>
                <w:color w:val="000000"/>
              </w:rPr>
              <w:t>-£595</w:t>
            </w:r>
          </w:p>
        </w:tc>
        <w:tc>
          <w:tcPr>
            <w:tcW w:w="563" w:type="pct"/>
            <w:hideMark/>
          </w:tcPr>
          <w:p w14:paraId="359F7AB6" w14:textId="77777777" w:rsidR="00014A69" w:rsidRPr="00014A69" w:rsidRDefault="00014A69" w:rsidP="00E86771">
            <w:pPr>
              <w:spacing w:line="360" w:lineRule="auto"/>
              <w:jc w:val="right"/>
              <w:rPr>
                <w:color w:val="000000"/>
              </w:rPr>
            </w:pPr>
            <w:r w:rsidRPr="00014A69">
              <w:rPr>
                <w:color w:val="000000"/>
              </w:rPr>
              <w:t>-£896</w:t>
            </w:r>
          </w:p>
        </w:tc>
        <w:tc>
          <w:tcPr>
            <w:tcW w:w="563" w:type="pct"/>
            <w:hideMark/>
          </w:tcPr>
          <w:p w14:paraId="42336CB6" w14:textId="77777777" w:rsidR="00014A69" w:rsidRPr="00014A69" w:rsidRDefault="00014A69" w:rsidP="00E86771">
            <w:pPr>
              <w:spacing w:line="360" w:lineRule="auto"/>
              <w:jc w:val="right"/>
              <w:rPr>
                <w:color w:val="000000"/>
              </w:rPr>
            </w:pPr>
            <w:r w:rsidRPr="00014A69">
              <w:rPr>
                <w:color w:val="000000"/>
              </w:rPr>
              <w:t>-£294</w:t>
            </w:r>
          </w:p>
        </w:tc>
        <w:tc>
          <w:tcPr>
            <w:tcW w:w="525" w:type="pct"/>
            <w:hideMark/>
          </w:tcPr>
          <w:p w14:paraId="49DE5EBA"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25940066" w14:textId="77777777" w:rsidTr="00DB4F65">
        <w:tc>
          <w:tcPr>
            <w:tcW w:w="2630" w:type="pct"/>
            <w:hideMark/>
          </w:tcPr>
          <w:p w14:paraId="5446EF31" w14:textId="77777777" w:rsidR="00014A69" w:rsidRPr="00014A69" w:rsidRDefault="00014A69" w:rsidP="00E86771">
            <w:pPr>
              <w:spacing w:line="360" w:lineRule="auto"/>
              <w:rPr>
                <w:color w:val="000000"/>
              </w:rPr>
            </w:pPr>
            <w:r w:rsidRPr="00014A69">
              <w:rPr>
                <w:color w:val="000000"/>
              </w:rPr>
              <w:t>Moving to care home after hip fracture (new)</w:t>
            </w:r>
          </w:p>
        </w:tc>
        <w:tc>
          <w:tcPr>
            <w:tcW w:w="719" w:type="pct"/>
            <w:hideMark/>
          </w:tcPr>
          <w:p w14:paraId="4053070A" w14:textId="77777777" w:rsidR="00014A69" w:rsidRPr="00014A69" w:rsidRDefault="00014A69" w:rsidP="00E86771">
            <w:pPr>
              <w:spacing w:line="360" w:lineRule="auto"/>
              <w:jc w:val="right"/>
              <w:rPr>
                <w:color w:val="000000"/>
              </w:rPr>
            </w:pPr>
            <w:r w:rsidRPr="00014A69">
              <w:rPr>
                <w:color w:val="000000"/>
              </w:rPr>
              <w:t>£5,583</w:t>
            </w:r>
          </w:p>
        </w:tc>
        <w:tc>
          <w:tcPr>
            <w:tcW w:w="563" w:type="pct"/>
            <w:hideMark/>
          </w:tcPr>
          <w:p w14:paraId="4C41D51C" w14:textId="77777777" w:rsidR="00014A69" w:rsidRPr="00014A69" w:rsidRDefault="00014A69" w:rsidP="00E86771">
            <w:pPr>
              <w:spacing w:line="360" w:lineRule="auto"/>
              <w:jc w:val="right"/>
              <w:rPr>
                <w:color w:val="000000"/>
              </w:rPr>
            </w:pPr>
            <w:r w:rsidRPr="00014A69">
              <w:rPr>
                <w:color w:val="000000"/>
              </w:rPr>
              <w:t>£5197</w:t>
            </w:r>
          </w:p>
        </w:tc>
        <w:tc>
          <w:tcPr>
            <w:tcW w:w="563" w:type="pct"/>
            <w:hideMark/>
          </w:tcPr>
          <w:p w14:paraId="14998225" w14:textId="77777777" w:rsidR="00014A69" w:rsidRPr="00014A69" w:rsidRDefault="00014A69" w:rsidP="00E86771">
            <w:pPr>
              <w:spacing w:line="360" w:lineRule="auto"/>
              <w:jc w:val="right"/>
              <w:rPr>
                <w:color w:val="000000"/>
              </w:rPr>
            </w:pPr>
            <w:r w:rsidRPr="00014A69">
              <w:rPr>
                <w:color w:val="000000"/>
              </w:rPr>
              <w:t>£5970</w:t>
            </w:r>
          </w:p>
        </w:tc>
        <w:tc>
          <w:tcPr>
            <w:tcW w:w="525" w:type="pct"/>
            <w:hideMark/>
          </w:tcPr>
          <w:p w14:paraId="6022794A"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6FE2FE72" w14:textId="77777777" w:rsidTr="00DB4F65">
        <w:tc>
          <w:tcPr>
            <w:tcW w:w="2630" w:type="pct"/>
            <w:hideMark/>
          </w:tcPr>
          <w:p w14:paraId="39E00DD7" w14:textId="77777777" w:rsidR="00014A69" w:rsidRPr="00014A69" w:rsidRDefault="00014A69" w:rsidP="00E86771">
            <w:pPr>
              <w:spacing w:line="360" w:lineRule="auto"/>
              <w:rPr>
                <w:color w:val="000000"/>
              </w:rPr>
            </w:pPr>
            <w:r w:rsidRPr="00014A69">
              <w:rPr>
                <w:color w:val="000000"/>
              </w:rPr>
              <w:t>Second hip fracture</w:t>
            </w:r>
          </w:p>
        </w:tc>
        <w:tc>
          <w:tcPr>
            <w:tcW w:w="719" w:type="pct"/>
            <w:hideMark/>
          </w:tcPr>
          <w:p w14:paraId="637FC134" w14:textId="77777777" w:rsidR="00014A69" w:rsidRPr="00014A69" w:rsidRDefault="00014A69" w:rsidP="00E86771">
            <w:pPr>
              <w:spacing w:line="360" w:lineRule="auto"/>
              <w:jc w:val="right"/>
              <w:rPr>
                <w:color w:val="000000"/>
              </w:rPr>
            </w:pPr>
            <w:r w:rsidRPr="00014A69">
              <w:rPr>
                <w:color w:val="000000"/>
              </w:rPr>
              <w:t>£9,198</w:t>
            </w:r>
          </w:p>
        </w:tc>
        <w:tc>
          <w:tcPr>
            <w:tcW w:w="563" w:type="pct"/>
            <w:hideMark/>
          </w:tcPr>
          <w:p w14:paraId="3723C866" w14:textId="77777777" w:rsidR="00014A69" w:rsidRPr="00014A69" w:rsidRDefault="00014A69" w:rsidP="00E86771">
            <w:pPr>
              <w:spacing w:line="360" w:lineRule="auto"/>
              <w:jc w:val="right"/>
              <w:rPr>
                <w:color w:val="000000"/>
              </w:rPr>
            </w:pPr>
            <w:r w:rsidRPr="00014A69">
              <w:rPr>
                <w:color w:val="000000"/>
              </w:rPr>
              <w:t>£8059</w:t>
            </w:r>
          </w:p>
        </w:tc>
        <w:tc>
          <w:tcPr>
            <w:tcW w:w="563" w:type="pct"/>
            <w:hideMark/>
          </w:tcPr>
          <w:p w14:paraId="72CBC918" w14:textId="77777777" w:rsidR="00014A69" w:rsidRPr="00014A69" w:rsidRDefault="00014A69" w:rsidP="00E86771">
            <w:pPr>
              <w:spacing w:line="360" w:lineRule="auto"/>
              <w:jc w:val="right"/>
              <w:rPr>
                <w:color w:val="000000"/>
              </w:rPr>
            </w:pPr>
            <w:r w:rsidRPr="00014A69">
              <w:rPr>
                <w:color w:val="000000"/>
              </w:rPr>
              <w:t>£10337</w:t>
            </w:r>
          </w:p>
        </w:tc>
        <w:tc>
          <w:tcPr>
            <w:tcW w:w="525" w:type="pct"/>
            <w:hideMark/>
          </w:tcPr>
          <w:p w14:paraId="0EEE87F8"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16058A8C" w14:textId="77777777" w:rsidTr="00DB4F65">
        <w:tc>
          <w:tcPr>
            <w:tcW w:w="2630" w:type="pct"/>
            <w:hideMark/>
          </w:tcPr>
          <w:p w14:paraId="724854F2" w14:textId="77777777" w:rsidR="00014A69" w:rsidRPr="00014A69" w:rsidRDefault="00014A69" w:rsidP="00E86771">
            <w:pPr>
              <w:spacing w:line="360" w:lineRule="auto"/>
              <w:rPr>
                <w:color w:val="000000"/>
              </w:rPr>
            </w:pPr>
            <w:r w:rsidRPr="00014A69">
              <w:rPr>
                <w:color w:val="000000"/>
              </w:rPr>
              <w:t>Major fragility fracture requiring hospitalisation post hip fracture</w:t>
            </w:r>
          </w:p>
        </w:tc>
        <w:tc>
          <w:tcPr>
            <w:tcW w:w="719" w:type="pct"/>
            <w:hideMark/>
          </w:tcPr>
          <w:p w14:paraId="5BEFB9BB" w14:textId="77777777" w:rsidR="00014A69" w:rsidRPr="00014A69" w:rsidRDefault="00014A69" w:rsidP="00E86771">
            <w:pPr>
              <w:spacing w:line="360" w:lineRule="auto"/>
              <w:jc w:val="right"/>
              <w:rPr>
                <w:color w:val="000000"/>
              </w:rPr>
            </w:pPr>
            <w:r w:rsidRPr="00014A69">
              <w:rPr>
                <w:color w:val="000000"/>
              </w:rPr>
              <w:t>£5,705</w:t>
            </w:r>
          </w:p>
        </w:tc>
        <w:tc>
          <w:tcPr>
            <w:tcW w:w="563" w:type="pct"/>
            <w:hideMark/>
          </w:tcPr>
          <w:p w14:paraId="16B5117B" w14:textId="77777777" w:rsidR="00014A69" w:rsidRPr="00014A69" w:rsidRDefault="00014A69" w:rsidP="00E86771">
            <w:pPr>
              <w:spacing w:line="360" w:lineRule="auto"/>
              <w:jc w:val="right"/>
              <w:rPr>
                <w:color w:val="000000"/>
              </w:rPr>
            </w:pPr>
            <w:r w:rsidRPr="00014A69">
              <w:rPr>
                <w:color w:val="000000"/>
              </w:rPr>
              <w:t>£4434</w:t>
            </w:r>
          </w:p>
        </w:tc>
        <w:tc>
          <w:tcPr>
            <w:tcW w:w="563" w:type="pct"/>
            <w:hideMark/>
          </w:tcPr>
          <w:p w14:paraId="3B6C474B" w14:textId="77777777" w:rsidR="00014A69" w:rsidRPr="00014A69" w:rsidRDefault="00014A69" w:rsidP="00E86771">
            <w:pPr>
              <w:spacing w:line="360" w:lineRule="auto"/>
              <w:jc w:val="right"/>
              <w:rPr>
                <w:color w:val="000000"/>
              </w:rPr>
            </w:pPr>
            <w:r w:rsidRPr="00014A69">
              <w:rPr>
                <w:color w:val="000000"/>
              </w:rPr>
              <w:t>£6975</w:t>
            </w:r>
          </w:p>
        </w:tc>
        <w:tc>
          <w:tcPr>
            <w:tcW w:w="525" w:type="pct"/>
            <w:hideMark/>
          </w:tcPr>
          <w:p w14:paraId="43F7D725"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34B84496" w14:textId="77777777" w:rsidTr="00DB4F65">
        <w:tc>
          <w:tcPr>
            <w:tcW w:w="2630" w:type="pct"/>
            <w:hideMark/>
          </w:tcPr>
          <w:p w14:paraId="6DA0EA1C" w14:textId="77777777" w:rsidR="00014A69" w:rsidRPr="00014A69" w:rsidRDefault="00014A69" w:rsidP="00E86771">
            <w:pPr>
              <w:spacing w:line="360" w:lineRule="auto"/>
              <w:rPr>
                <w:color w:val="000000"/>
              </w:rPr>
            </w:pPr>
            <w:r w:rsidRPr="00014A69">
              <w:rPr>
                <w:color w:val="000000"/>
              </w:rPr>
              <w:lastRenderedPageBreak/>
              <w:t>Surgical complications within index admission</w:t>
            </w:r>
            <w:r w:rsidRPr="00014A69">
              <w:rPr>
                <w:color w:val="000000"/>
                <w:vertAlign w:val="superscript"/>
              </w:rPr>
              <w:t>1</w:t>
            </w:r>
            <w:r w:rsidRPr="00014A69">
              <w:rPr>
                <w:color w:val="000000"/>
              </w:rPr>
              <w:t xml:space="preserve"> </w:t>
            </w:r>
          </w:p>
        </w:tc>
        <w:tc>
          <w:tcPr>
            <w:tcW w:w="719" w:type="pct"/>
            <w:hideMark/>
          </w:tcPr>
          <w:p w14:paraId="5142186D" w14:textId="77777777" w:rsidR="00014A69" w:rsidRPr="00014A69" w:rsidRDefault="00014A69" w:rsidP="00E86771">
            <w:pPr>
              <w:spacing w:line="360" w:lineRule="auto"/>
              <w:jc w:val="right"/>
              <w:rPr>
                <w:color w:val="000000"/>
              </w:rPr>
            </w:pPr>
            <w:r w:rsidRPr="00014A69">
              <w:rPr>
                <w:color w:val="000000"/>
              </w:rPr>
              <w:t>£5,694</w:t>
            </w:r>
          </w:p>
        </w:tc>
        <w:tc>
          <w:tcPr>
            <w:tcW w:w="563" w:type="pct"/>
            <w:hideMark/>
          </w:tcPr>
          <w:p w14:paraId="6FAFE8EF" w14:textId="77777777" w:rsidR="00014A69" w:rsidRPr="00014A69" w:rsidRDefault="00014A69" w:rsidP="00E86771">
            <w:pPr>
              <w:spacing w:line="360" w:lineRule="auto"/>
              <w:jc w:val="right"/>
              <w:rPr>
                <w:color w:val="000000"/>
              </w:rPr>
            </w:pPr>
            <w:r w:rsidRPr="00014A69">
              <w:rPr>
                <w:color w:val="000000"/>
              </w:rPr>
              <w:t>£4849</w:t>
            </w:r>
          </w:p>
        </w:tc>
        <w:tc>
          <w:tcPr>
            <w:tcW w:w="563" w:type="pct"/>
            <w:hideMark/>
          </w:tcPr>
          <w:p w14:paraId="4A8802C6" w14:textId="77777777" w:rsidR="00014A69" w:rsidRPr="00014A69" w:rsidRDefault="00014A69" w:rsidP="00E86771">
            <w:pPr>
              <w:spacing w:line="360" w:lineRule="auto"/>
              <w:jc w:val="right"/>
              <w:rPr>
                <w:color w:val="000000"/>
              </w:rPr>
            </w:pPr>
            <w:r w:rsidRPr="00014A69">
              <w:rPr>
                <w:color w:val="000000"/>
              </w:rPr>
              <w:t>£6538</w:t>
            </w:r>
          </w:p>
        </w:tc>
        <w:tc>
          <w:tcPr>
            <w:tcW w:w="525" w:type="pct"/>
            <w:hideMark/>
          </w:tcPr>
          <w:p w14:paraId="5EDF39C6"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018829B9" w14:textId="77777777" w:rsidTr="00DB4F65">
        <w:tc>
          <w:tcPr>
            <w:tcW w:w="2630" w:type="pct"/>
            <w:hideMark/>
          </w:tcPr>
          <w:p w14:paraId="1C2BF84D" w14:textId="77777777" w:rsidR="00014A69" w:rsidRPr="00014A69" w:rsidRDefault="00014A69" w:rsidP="00E86771">
            <w:pPr>
              <w:spacing w:line="360" w:lineRule="auto"/>
              <w:rPr>
                <w:color w:val="000000"/>
              </w:rPr>
            </w:pPr>
            <w:r w:rsidRPr="00014A69">
              <w:rPr>
                <w:color w:val="000000"/>
              </w:rPr>
              <w:t>Surgical complications after discharge from index admission</w:t>
            </w:r>
            <w:r w:rsidRPr="00014A69">
              <w:rPr>
                <w:color w:val="000000"/>
                <w:vertAlign w:val="superscript"/>
              </w:rPr>
              <w:t>1</w:t>
            </w:r>
            <w:r w:rsidRPr="00014A69">
              <w:rPr>
                <w:color w:val="000000"/>
              </w:rPr>
              <w:t xml:space="preserve"> </w:t>
            </w:r>
          </w:p>
        </w:tc>
        <w:tc>
          <w:tcPr>
            <w:tcW w:w="719" w:type="pct"/>
            <w:hideMark/>
          </w:tcPr>
          <w:p w14:paraId="5DE1523A" w14:textId="77777777" w:rsidR="00014A69" w:rsidRPr="00014A69" w:rsidRDefault="00014A69" w:rsidP="00E86771">
            <w:pPr>
              <w:spacing w:line="360" w:lineRule="auto"/>
              <w:jc w:val="right"/>
              <w:rPr>
                <w:color w:val="000000"/>
              </w:rPr>
            </w:pPr>
            <w:r w:rsidRPr="00014A69">
              <w:rPr>
                <w:color w:val="000000"/>
              </w:rPr>
              <w:t>£10,552</w:t>
            </w:r>
          </w:p>
        </w:tc>
        <w:tc>
          <w:tcPr>
            <w:tcW w:w="563" w:type="pct"/>
            <w:hideMark/>
          </w:tcPr>
          <w:p w14:paraId="281C5403" w14:textId="77777777" w:rsidR="00014A69" w:rsidRPr="00014A69" w:rsidRDefault="00014A69" w:rsidP="00E86771">
            <w:pPr>
              <w:spacing w:line="360" w:lineRule="auto"/>
              <w:jc w:val="right"/>
              <w:rPr>
                <w:color w:val="000000"/>
              </w:rPr>
            </w:pPr>
            <w:r w:rsidRPr="00014A69">
              <w:rPr>
                <w:color w:val="000000"/>
              </w:rPr>
              <w:t>£10352</w:t>
            </w:r>
          </w:p>
        </w:tc>
        <w:tc>
          <w:tcPr>
            <w:tcW w:w="563" w:type="pct"/>
            <w:hideMark/>
          </w:tcPr>
          <w:p w14:paraId="61CFC1DE" w14:textId="77777777" w:rsidR="00014A69" w:rsidRPr="00014A69" w:rsidRDefault="00014A69" w:rsidP="00E86771">
            <w:pPr>
              <w:spacing w:line="360" w:lineRule="auto"/>
              <w:jc w:val="right"/>
              <w:rPr>
                <w:color w:val="000000"/>
              </w:rPr>
            </w:pPr>
            <w:r w:rsidRPr="00014A69">
              <w:rPr>
                <w:color w:val="000000"/>
              </w:rPr>
              <w:t>£10753</w:t>
            </w:r>
          </w:p>
        </w:tc>
        <w:tc>
          <w:tcPr>
            <w:tcW w:w="525" w:type="pct"/>
            <w:hideMark/>
          </w:tcPr>
          <w:p w14:paraId="7A4D4620"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166F7BC4" w14:textId="77777777" w:rsidTr="00DB4F65">
        <w:tc>
          <w:tcPr>
            <w:tcW w:w="2630" w:type="pct"/>
            <w:hideMark/>
          </w:tcPr>
          <w:p w14:paraId="5FB5477E" w14:textId="77777777" w:rsidR="00014A69" w:rsidRPr="00014A69" w:rsidRDefault="00014A69" w:rsidP="00E86771">
            <w:pPr>
              <w:spacing w:line="360" w:lineRule="auto"/>
              <w:rPr>
                <w:color w:val="000000"/>
              </w:rPr>
            </w:pPr>
            <w:r w:rsidRPr="00014A69">
              <w:rPr>
                <w:color w:val="000000"/>
              </w:rPr>
              <w:t>Malunion and non-union of fracture</w:t>
            </w:r>
            <w:r w:rsidRPr="00014A69">
              <w:rPr>
                <w:color w:val="000000"/>
                <w:vertAlign w:val="superscript"/>
              </w:rPr>
              <w:t>2</w:t>
            </w:r>
            <w:r w:rsidRPr="00014A69">
              <w:rPr>
                <w:color w:val="000000"/>
              </w:rPr>
              <w:t xml:space="preserve"> </w:t>
            </w:r>
          </w:p>
        </w:tc>
        <w:tc>
          <w:tcPr>
            <w:tcW w:w="719" w:type="pct"/>
            <w:hideMark/>
          </w:tcPr>
          <w:p w14:paraId="488489D6" w14:textId="77777777" w:rsidR="00014A69" w:rsidRPr="00014A69" w:rsidRDefault="00014A69" w:rsidP="00E86771">
            <w:pPr>
              <w:spacing w:line="360" w:lineRule="auto"/>
              <w:jc w:val="right"/>
              <w:rPr>
                <w:color w:val="000000"/>
              </w:rPr>
            </w:pPr>
            <w:r w:rsidRPr="00014A69">
              <w:rPr>
                <w:color w:val="000000"/>
              </w:rPr>
              <w:t>£4,613</w:t>
            </w:r>
          </w:p>
        </w:tc>
        <w:tc>
          <w:tcPr>
            <w:tcW w:w="563" w:type="pct"/>
            <w:hideMark/>
          </w:tcPr>
          <w:p w14:paraId="1FA8AC9D" w14:textId="77777777" w:rsidR="00014A69" w:rsidRPr="00014A69" w:rsidRDefault="00014A69" w:rsidP="00E86771">
            <w:pPr>
              <w:spacing w:line="360" w:lineRule="auto"/>
              <w:jc w:val="right"/>
              <w:rPr>
                <w:color w:val="000000"/>
              </w:rPr>
            </w:pPr>
            <w:r w:rsidRPr="00014A69">
              <w:rPr>
                <w:color w:val="000000"/>
              </w:rPr>
              <w:t>£2396</w:t>
            </w:r>
          </w:p>
        </w:tc>
        <w:tc>
          <w:tcPr>
            <w:tcW w:w="563" w:type="pct"/>
            <w:hideMark/>
          </w:tcPr>
          <w:p w14:paraId="24F2BCA8" w14:textId="77777777" w:rsidR="00014A69" w:rsidRPr="00014A69" w:rsidRDefault="00014A69" w:rsidP="00E86771">
            <w:pPr>
              <w:spacing w:line="360" w:lineRule="auto"/>
              <w:jc w:val="right"/>
              <w:rPr>
                <w:color w:val="000000"/>
              </w:rPr>
            </w:pPr>
            <w:r w:rsidRPr="00014A69">
              <w:rPr>
                <w:color w:val="000000"/>
              </w:rPr>
              <w:t>£6830</w:t>
            </w:r>
          </w:p>
        </w:tc>
        <w:tc>
          <w:tcPr>
            <w:tcW w:w="525" w:type="pct"/>
            <w:hideMark/>
          </w:tcPr>
          <w:p w14:paraId="0F3C46A9"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12FAB03C" w14:textId="77777777" w:rsidTr="00DB4F65">
        <w:tc>
          <w:tcPr>
            <w:tcW w:w="2630" w:type="pct"/>
            <w:hideMark/>
          </w:tcPr>
          <w:p w14:paraId="4DEBD4C9" w14:textId="77777777" w:rsidR="00014A69" w:rsidRPr="00014A69" w:rsidRDefault="00014A69" w:rsidP="00E86771">
            <w:pPr>
              <w:spacing w:line="360" w:lineRule="auto"/>
              <w:rPr>
                <w:color w:val="000000"/>
              </w:rPr>
            </w:pPr>
            <w:r w:rsidRPr="00014A69">
              <w:t>Periprosthetic fracture</w:t>
            </w:r>
            <w:r w:rsidRPr="00014A69">
              <w:rPr>
                <w:vertAlign w:val="superscript"/>
              </w:rPr>
              <w:t>3</w:t>
            </w:r>
            <w:r w:rsidRPr="00014A69">
              <w:t xml:space="preserve"> </w:t>
            </w:r>
          </w:p>
        </w:tc>
        <w:tc>
          <w:tcPr>
            <w:tcW w:w="719" w:type="pct"/>
            <w:hideMark/>
          </w:tcPr>
          <w:p w14:paraId="6B4F00E7" w14:textId="77777777" w:rsidR="00014A69" w:rsidRPr="00014A69" w:rsidRDefault="00014A69" w:rsidP="00E86771">
            <w:pPr>
              <w:spacing w:line="360" w:lineRule="auto"/>
              <w:jc w:val="right"/>
              <w:rPr>
                <w:color w:val="000000"/>
              </w:rPr>
            </w:pPr>
            <w:r w:rsidRPr="00014A69">
              <w:rPr>
                <w:color w:val="000000"/>
              </w:rPr>
              <w:t>£9,569</w:t>
            </w:r>
          </w:p>
        </w:tc>
        <w:tc>
          <w:tcPr>
            <w:tcW w:w="563" w:type="pct"/>
            <w:hideMark/>
          </w:tcPr>
          <w:p w14:paraId="50E28E9C" w14:textId="77777777" w:rsidR="00014A69" w:rsidRPr="00014A69" w:rsidRDefault="00014A69" w:rsidP="00E86771">
            <w:pPr>
              <w:spacing w:line="360" w:lineRule="auto"/>
              <w:jc w:val="right"/>
              <w:rPr>
                <w:color w:val="000000"/>
              </w:rPr>
            </w:pPr>
            <w:r w:rsidRPr="00014A69">
              <w:rPr>
                <w:color w:val="000000"/>
              </w:rPr>
              <w:t>£6302</w:t>
            </w:r>
          </w:p>
        </w:tc>
        <w:tc>
          <w:tcPr>
            <w:tcW w:w="563" w:type="pct"/>
            <w:hideMark/>
          </w:tcPr>
          <w:p w14:paraId="1E85D7B5" w14:textId="77777777" w:rsidR="00014A69" w:rsidRPr="00014A69" w:rsidRDefault="00014A69" w:rsidP="00E86771">
            <w:pPr>
              <w:spacing w:line="360" w:lineRule="auto"/>
              <w:jc w:val="right"/>
              <w:rPr>
                <w:color w:val="000000"/>
              </w:rPr>
            </w:pPr>
            <w:r w:rsidRPr="00014A69">
              <w:rPr>
                <w:color w:val="000000"/>
              </w:rPr>
              <w:t>£12835</w:t>
            </w:r>
          </w:p>
        </w:tc>
        <w:tc>
          <w:tcPr>
            <w:tcW w:w="525" w:type="pct"/>
            <w:hideMark/>
          </w:tcPr>
          <w:p w14:paraId="0FB0F6DA"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620F6F2F" w14:textId="77777777" w:rsidTr="00DB4F65">
        <w:tc>
          <w:tcPr>
            <w:tcW w:w="2630" w:type="pct"/>
            <w:hideMark/>
          </w:tcPr>
          <w:p w14:paraId="3647B9A0" w14:textId="77777777" w:rsidR="00014A69" w:rsidRPr="00014A69" w:rsidRDefault="00014A69" w:rsidP="00E86771">
            <w:pPr>
              <w:spacing w:line="360" w:lineRule="auto"/>
            </w:pPr>
            <w:r w:rsidRPr="00014A69">
              <w:t>Hip luxations</w:t>
            </w:r>
            <w:r w:rsidRPr="00014A69">
              <w:rPr>
                <w:vertAlign w:val="superscript"/>
              </w:rPr>
              <w:t>4</w:t>
            </w:r>
          </w:p>
        </w:tc>
        <w:tc>
          <w:tcPr>
            <w:tcW w:w="719" w:type="pct"/>
            <w:hideMark/>
          </w:tcPr>
          <w:p w14:paraId="78A90211" w14:textId="77777777" w:rsidR="00014A69" w:rsidRPr="00014A69" w:rsidRDefault="00014A69" w:rsidP="00E86771">
            <w:pPr>
              <w:spacing w:line="360" w:lineRule="auto"/>
              <w:jc w:val="right"/>
              <w:rPr>
                <w:color w:val="000000"/>
              </w:rPr>
            </w:pPr>
            <w:r w:rsidRPr="00014A69">
              <w:rPr>
                <w:color w:val="000000"/>
              </w:rPr>
              <w:t>£14,266</w:t>
            </w:r>
          </w:p>
        </w:tc>
        <w:tc>
          <w:tcPr>
            <w:tcW w:w="563" w:type="pct"/>
            <w:hideMark/>
          </w:tcPr>
          <w:p w14:paraId="06C1494E" w14:textId="77777777" w:rsidR="00014A69" w:rsidRPr="00014A69" w:rsidRDefault="00014A69" w:rsidP="00E86771">
            <w:pPr>
              <w:spacing w:line="360" w:lineRule="auto"/>
              <w:jc w:val="right"/>
              <w:rPr>
                <w:color w:val="000000"/>
              </w:rPr>
            </w:pPr>
            <w:r w:rsidRPr="00014A69">
              <w:rPr>
                <w:color w:val="000000"/>
              </w:rPr>
              <w:t>£7630</w:t>
            </w:r>
          </w:p>
        </w:tc>
        <w:tc>
          <w:tcPr>
            <w:tcW w:w="563" w:type="pct"/>
            <w:hideMark/>
          </w:tcPr>
          <w:p w14:paraId="4025E404" w14:textId="77777777" w:rsidR="00014A69" w:rsidRPr="00014A69" w:rsidRDefault="00014A69" w:rsidP="00E86771">
            <w:pPr>
              <w:spacing w:line="360" w:lineRule="auto"/>
              <w:jc w:val="right"/>
              <w:rPr>
                <w:color w:val="000000"/>
              </w:rPr>
            </w:pPr>
            <w:r w:rsidRPr="00014A69">
              <w:rPr>
                <w:color w:val="000000"/>
              </w:rPr>
              <w:t>£20902</w:t>
            </w:r>
          </w:p>
        </w:tc>
        <w:tc>
          <w:tcPr>
            <w:tcW w:w="525" w:type="pct"/>
            <w:hideMark/>
          </w:tcPr>
          <w:p w14:paraId="08A94D84"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4B683C2D" w14:textId="77777777" w:rsidTr="00DB4F65">
        <w:tc>
          <w:tcPr>
            <w:tcW w:w="2630" w:type="pct"/>
            <w:hideMark/>
          </w:tcPr>
          <w:p w14:paraId="05293AB1" w14:textId="77777777" w:rsidR="00014A69" w:rsidRPr="00014A69" w:rsidRDefault="00014A69" w:rsidP="00E86771">
            <w:pPr>
              <w:spacing w:line="360" w:lineRule="auto"/>
            </w:pPr>
            <w:r w:rsidRPr="00014A69">
              <w:t>Sequelae of fractures of the femur</w:t>
            </w:r>
            <w:r w:rsidRPr="00014A69">
              <w:rPr>
                <w:vertAlign w:val="superscript"/>
              </w:rPr>
              <w:t>5</w:t>
            </w:r>
          </w:p>
        </w:tc>
        <w:tc>
          <w:tcPr>
            <w:tcW w:w="719" w:type="pct"/>
            <w:hideMark/>
          </w:tcPr>
          <w:p w14:paraId="19BD38E6" w14:textId="77777777" w:rsidR="00014A69" w:rsidRPr="00014A69" w:rsidRDefault="00014A69" w:rsidP="00E86771">
            <w:pPr>
              <w:spacing w:line="360" w:lineRule="auto"/>
              <w:jc w:val="right"/>
              <w:rPr>
                <w:color w:val="000000"/>
              </w:rPr>
            </w:pPr>
            <w:r w:rsidRPr="00014A69">
              <w:rPr>
                <w:color w:val="000000"/>
              </w:rPr>
              <w:t>£8,463</w:t>
            </w:r>
          </w:p>
        </w:tc>
        <w:tc>
          <w:tcPr>
            <w:tcW w:w="563" w:type="pct"/>
            <w:hideMark/>
          </w:tcPr>
          <w:p w14:paraId="0B3C838F" w14:textId="77777777" w:rsidR="00014A69" w:rsidRPr="00014A69" w:rsidRDefault="00014A69" w:rsidP="00E86771">
            <w:pPr>
              <w:spacing w:line="360" w:lineRule="auto"/>
              <w:jc w:val="right"/>
              <w:rPr>
                <w:color w:val="000000"/>
              </w:rPr>
            </w:pPr>
            <w:r w:rsidRPr="00014A69">
              <w:rPr>
                <w:color w:val="000000"/>
              </w:rPr>
              <w:t>£3545</w:t>
            </w:r>
          </w:p>
        </w:tc>
        <w:tc>
          <w:tcPr>
            <w:tcW w:w="563" w:type="pct"/>
            <w:hideMark/>
          </w:tcPr>
          <w:p w14:paraId="2B8FBAAD" w14:textId="77777777" w:rsidR="00014A69" w:rsidRPr="00014A69" w:rsidRDefault="00014A69" w:rsidP="00E86771">
            <w:pPr>
              <w:spacing w:line="360" w:lineRule="auto"/>
              <w:jc w:val="right"/>
              <w:rPr>
                <w:color w:val="000000"/>
              </w:rPr>
            </w:pPr>
            <w:r w:rsidRPr="00014A69">
              <w:rPr>
                <w:color w:val="000000"/>
              </w:rPr>
              <w:t>£13381</w:t>
            </w:r>
          </w:p>
        </w:tc>
        <w:tc>
          <w:tcPr>
            <w:tcW w:w="525" w:type="pct"/>
            <w:hideMark/>
          </w:tcPr>
          <w:p w14:paraId="43F93B64"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461DF71D" w14:textId="77777777" w:rsidTr="00DB4F65">
        <w:tc>
          <w:tcPr>
            <w:tcW w:w="2630" w:type="pct"/>
          </w:tcPr>
          <w:p w14:paraId="78D963CF" w14:textId="77777777" w:rsidR="00014A69" w:rsidRPr="00014A69" w:rsidRDefault="00014A69" w:rsidP="00E86771">
            <w:pPr>
              <w:spacing w:line="360" w:lineRule="auto"/>
              <w:rPr>
                <w:color w:val="000000"/>
              </w:rPr>
            </w:pPr>
          </w:p>
        </w:tc>
        <w:tc>
          <w:tcPr>
            <w:tcW w:w="719" w:type="pct"/>
          </w:tcPr>
          <w:p w14:paraId="46D6F7C2" w14:textId="77777777" w:rsidR="00014A69" w:rsidRPr="00014A69" w:rsidRDefault="00014A69" w:rsidP="00E86771">
            <w:pPr>
              <w:spacing w:line="360" w:lineRule="auto"/>
              <w:jc w:val="right"/>
              <w:rPr>
                <w:color w:val="000000"/>
              </w:rPr>
            </w:pPr>
          </w:p>
        </w:tc>
        <w:tc>
          <w:tcPr>
            <w:tcW w:w="563" w:type="pct"/>
          </w:tcPr>
          <w:p w14:paraId="3FEB952F" w14:textId="77777777" w:rsidR="00014A69" w:rsidRPr="00014A69" w:rsidRDefault="00014A69" w:rsidP="00E86771">
            <w:pPr>
              <w:spacing w:line="360" w:lineRule="auto"/>
              <w:jc w:val="right"/>
              <w:rPr>
                <w:color w:val="000000"/>
              </w:rPr>
            </w:pPr>
          </w:p>
        </w:tc>
        <w:tc>
          <w:tcPr>
            <w:tcW w:w="563" w:type="pct"/>
          </w:tcPr>
          <w:p w14:paraId="4BC6FF65" w14:textId="77777777" w:rsidR="00014A69" w:rsidRPr="00014A69" w:rsidRDefault="00014A69" w:rsidP="00E86771">
            <w:pPr>
              <w:spacing w:line="360" w:lineRule="auto"/>
              <w:jc w:val="right"/>
              <w:rPr>
                <w:color w:val="000000"/>
              </w:rPr>
            </w:pPr>
          </w:p>
        </w:tc>
        <w:tc>
          <w:tcPr>
            <w:tcW w:w="525" w:type="pct"/>
          </w:tcPr>
          <w:p w14:paraId="2C409EEF" w14:textId="77777777" w:rsidR="00014A69" w:rsidRPr="00014A69" w:rsidRDefault="00014A69" w:rsidP="00E86771">
            <w:pPr>
              <w:spacing w:line="360" w:lineRule="auto"/>
              <w:jc w:val="right"/>
              <w:rPr>
                <w:color w:val="000000"/>
              </w:rPr>
            </w:pPr>
          </w:p>
        </w:tc>
      </w:tr>
      <w:tr w:rsidR="00014A69" w:rsidRPr="00014A69" w14:paraId="0E41499C" w14:textId="77777777" w:rsidTr="00DB4F65">
        <w:tc>
          <w:tcPr>
            <w:tcW w:w="2630" w:type="pct"/>
            <w:hideMark/>
          </w:tcPr>
          <w:p w14:paraId="069DE789" w14:textId="77777777" w:rsidR="00014A69" w:rsidRPr="00014A69" w:rsidRDefault="00014A69" w:rsidP="00E86771">
            <w:pPr>
              <w:spacing w:line="360" w:lineRule="auto"/>
              <w:rPr>
                <w:color w:val="000000"/>
              </w:rPr>
            </w:pPr>
            <w:r w:rsidRPr="00014A69">
              <w:rPr>
                <w:color w:val="000000"/>
              </w:rPr>
              <w:t>Constant</w:t>
            </w:r>
          </w:p>
        </w:tc>
        <w:tc>
          <w:tcPr>
            <w:tcW w:w="719" w:type="pct"/>
            <w:hideMark/>
          </w:tcPr>
          <w:p w14:paraId="72C817A2" w14:textId="77777777" w:rsidR="00014A69" w:rsidRPr="00014A69" w:rsidRDefault="00014A69" w:rsidP="00E86771">
            <w:pPr>
              <w:spacing w:line="360" w:lineRule="auto"/>
              <w:jc w:val="right"/>
              <w:rPr>
                <w:color w:val="000000"/>
              </w:rPr>
            </w:pPr>
            <w:r w:rsidRPr="00014A69">
              <w:rPr>
                <w:color w:val="000000"/>
              </w:rPr>
              <w:t>£10,547</w:t>
            </w:r>
          </w:p>
        </w:tc>
        <w:tc>
          <w:tcPr>
            <w:tcW w:w="563" w:type="pct"/>
            <w:hideMark/>
          </w:tcPr>
          <w:p w14:paraId="013F89C8" w14:textId="77777777" w:rsidR="00014A69" w:rsidRPr="00014A69" w:rsidRDefault="00014A69" w:rsidP="00E86771">
            <w:pPr>
              <w:spacing w:line="360" w:lineRule="auto"/>
              <w:jc w:val="right"/>
              <w:rPr>
                <w:color w:val="000000"/>
              </w:rPr>
            </w:pPr>
            <w:r w:rsidRPr="00014A69">
              <w:rPr>
                <w:color w:val="000000"/>
              </w:rPr>
              <w:t>£10346</w:t>
            </w:r>
          </w:p>
        </w:tc>
        <w:tc>
          <w:tcPr>
            <w:tcW w:w="563" w:type="pct"/>
            <w:hideMark/>
          </w:tcPr>
          <w:p w14:paraId="7D956EBB" w14:textId="77777777" w:rsidR="00014A69" w:rsidRPr="00014A69" w:rsidRDefault="00014A69" w:rsidP="00E86771">
            <w:pPr>
              <w:spacing w:line="360" w:lineRule="auto"/>
              <w:jc w:val="right"/>
              <w:rPr>
                <w:color w:val="000000"/>
              </w:rPr>
            </w:pPr>
            <w:r w:rsidRPr="00014A69">
              <w:rPr>
                <w:color w:val="000000"/>
              </w:rPr>
              <w:t>£10748</w:t>
            </w:r>
          </w:p>
        </w:tc>
        <w:tc>
          <w:tcPr>
            <w:tcW w:w="525" w:type="pct"/>
            <w:hideMark/>
          </w:tcPr>
          <w:p w14:paraId="68C5FB29" w14:textId="77777777" w:rsidR="00014A69" w:rsidRPr="00014A69" w:rsidRDefault="00014A69" w:rsidP="00E86771">
            <w:pPr>
              <w:spacing w:line="360" w:lineRule="auto"/>
              <w:jc w:val="right"/>
              <w:rPr>
                <w:color w:val="000000"/>
              </w:rPr>
            </w:pPr>
            <w:r w:rsidRPr="00014A69">
              <w:rPr>
                <w:color w:val="000000"/>
              </w:rPr>
              <w:t>&lt;0.001</w:t>
            </w:r>
          </w:p>
        </w:tc>
      </w:tr>
      <w:tr w:rsidR="00014A69" w:rsidRPr="00014A69" w14:paraId="7578C943" w14:textId="77777777" w:rsidTr="00DB4F65">
        <w:tc>
          <w:tcPr>
            <w:tcW w:w="2630" w:type="pct"/>
          </w:tcPr>
          <w:p w14:paraId="79B1A6DB" w14:textId="77777777" w:rsidR="00014A69" w:rsidRPr="00014A69" w:rsidRDefault="00014A69" w:rsidP="00E86771">
            <w:pPr>
              <w:spacing w:line="360" w:lineRule="auto"/>
              <w:rPr>
                <w:color w:val="000000"/>
              </w:rPr>
            </w:pPr>
          </w:p>
        </w:tc>
        <w:tc>
          <w:tcPr>
            <w:tcW w:w="719" w:type="pct"/>
          </w:tcPr>
          <w:p w14:paraId="2F5B20D0" w14:textId="77777777" w:rsidR="00014A69" w:rsidRPr="00014A69" w:rsidRDefault="00014A69" w:rsidP="00E86771">
            <w:pPr>
              <w:spacing w:line="360" w:lineRule="auto"/>
              <w:jc w:val="right"/>
              <w:rPr>
                <w:color w:val="000000"/>
              </w:rPr>
            </w:pPr>
          </w:p>
        </w:tc>
        <w:tc>
          <w:tcPr>
            <w:tcW w:w="563" w:type="pct"/>
          </w:tcPr>
          <w:p w14:paraId="56068BC6" w14:textId="77777777" w:rsidR="00014A69" w:rsidRPr="00014A69" w:rsidRDefault="00014A69" w:rsidP="00E86771">
            <w:pPr>
              <w:spacing w:line="360" w:lineRule="auto"/>
              <w:jc w:val="right"/>
              <w:rPr>
                <w:color w:val="000000"/>
              </w:rPr>
            </w:pPr>
          </w:p>
        </w:tc>
        <w:tc>
          <w:tcPr>
            <w:tcW w:w="563" w:type="pct"/>
          </w:tcPr>
          <w:p w14:paraId="542D1E51" w14:textId="77777777" w:rsidR="00014A69" w:rsidRPr="00014A69" w:rsidRDefault="00014A69" w:rsidP="00E86771">
            <w:pPr>
              <w:spacing w:line="360" w:lineRule="auto"/>
              <w:jc w:val="right"/>
              <w:rPr>
                <w:color w:val="000000"/>
              </w:rPr>
            </w:pPr>
          </w:p>
        </w:tc>
        <w:tc>
          <w:tcPr>
            <w:tcW w:w="525" w:type="pct"/>
          </w:tcPr>
          <w:p w14:paraId="61F0FF23" w14:textId="77777777" w:rsidR="00014A69" w:rsidRPr="00014A69" w:rsidRDefault="00014A69" w:rsidP="00E86771">
            <w:pPr>
              <w:spacing w:line="360" w:lineRule="auto"/>
              <w:jc w:val="right"/>
              <w:rPr>
                <w:color w:val="000000"/>
              </w:rPr>
            </w:pPr>
          </w:p>
        </w:tc>
      </w:tr>
      <w:tr w:rsidR="00014A69" w:rsidRPr="00014A69" w14:paraId="583CECBF" w14:textId="77777777" w:rsidTr="00DB4F65">
        <w:tc>
          <w:tcPr>
            <w:tcW w:w="2630" w:type="pct"/>
            <w:hideMark/>
          </w:tcPr>
          <w:p w14:paraId="35CE1098" w14:textId="77777777" w:rsidR="00014A69" w:rsidRPr="00014A69" w:rsidRDefault="00014A69" w:rsidP="00E86771">
            <w:pPr>
              <w:spacing w:line="360" w:lineRule="auto"/>
            </w:pPr>
            <w:r w:rsidRPr="00014A69">
              <w:t>No. of observations</w:t>
            </w:r>
          </w:p>
        </w:tc>
        <w:tc>
          <w:tcPr>
            <w:tcW w:w="719" w:type="pct"/>
            <w:hideMark/>
          </w:tcPr>
          <w:p w14:paraId="3D5F576F" w14:textId="77777777" w:rsidR="00014A69" w:rsidRPr="00014A69" w:rsidRDefault="00014A69" w:rsidP="00E86771">
            <w:pPr>
              <w:spacing w:line="360" w:lineRule="auto"/>
              <w:jc w:val="right"/>
            </w:pPr>
            <w:r w:rsidRPr="00014A69">
              <w:t>30282</w:t>
            </w:r>
          </w:p>
        </w:tc>
        <w:tc>
          <w:tcPr>
            <w:tcW w:w="563" w:type="pct"/>
          </w:tcPr>
          <w:p w14:paraId="0DAA0A5B" w14:textId="77777777" w:rsidR="00014A69" w:rsidRPr="00014A69" w:rsidRDefault="00014A69" w:rsidP="00E86771">
            <w:pPr>
              <w:spacing w:line="360" w:lineRule="auto"/>
              <w:jc w:val="right"/>
            </w:pPr>
          </w:p>
        </w:tc>
        <w:tc>
          <w:tcPr>
            <w:tcW w:w="563" w:type="pct"/>
          </w:tcPr>
          <w:p w14:paraId="4F5BEE0B" w14:textId="77777777" w:rsidR="00014A69" w:rsidRPr="00014A69" w:rsidRDefault="00014A69" w:rsidP="00E86771">
            <w:pPr>
              <w:spacing w:line="360" w:lineRule="auto"/>
              <w:jc w:val="right"/>
            </w:pPr>
          </w:p>
        </w:tc>
        <w:tc>
          <w:tcPr>
            <w:tcW w:w="525" w:type="pct"/>
          </w:tcPr>
          <w:p w14:paraId="14C8038D" w14:textId="77777777" w:rsidR="00014A69" w:rsidRPr="00014A69" w:rsidRDefault="00014A69" w:rsidP="00E86771">
            <w:pPr>
              <w:spacing w:line="360" w:lineRule="auto"/>
              <w:jc w:val="right"/>
            </w:pPr>
          </w:p>
        </w:tc>
      </w:tr>
      <w:tr w:rsidR="00014A69" w:rsidRPr="00014A69" w14:paraId="78F8B28A" w14:textId="77777777" w:rsidTr="00DB4F65">
        <w:tc>
          <w:tcPr>
            <w:tcW w:w="2630" w:type="pct"/>
            <w:hideMark/>
          </w:tcPr>
          <w:p w14:paraId="345341E4" w14:textId="77777777" w:rsidR="00014A69" w:rsidRPr="00014A69" w:rsidRDefault="00014A69" w:rsidP="00E86771">
            <w:pPr>
              <w:spacing w:line="360" w:lineRule="auto"/>
            </w:pPr>
            <w:r w:rsidRPr="00014A69">
              <w:t>Residual degrees of freedom</w:t>
            </w:r>
          </w:p>
        </w:tc>
        <w:tc>
          <w:tcPr>
            <w:tcW w:w="719" w:type="pct"/>
            <w:hideMark/>
          </w:tcPr>
          <w:p w14:paraId="79138DE2" w14:textId="77777777" w:rsidR="00014A69" w:rsidRPr="00014A69" w:rsidRDefault="00014A69" w:rsidP="00E86771">
            <w:pPr>
              <w:spacing w:line="360" w:lineRule="auto"/>
              <w:jc w:val="right"/>
            </w:pPr>
            <w:r w:rsidRPr="00014A69">
              <w:t>30261</w:t>
            </w:r>
          </w:p>
        </w:tc>
        <w:tc>
          <w:tcPr>
            <w:tcW w:w="563" w:type="pct"/>
          </w:tcPr>
          <w:p w14:paraId="7E3710EE" w14:textId="77777777" w:rsidR="00014A69" w:rsidRPr="00014A69" w:rsidRDefault="00014A69" w:rsidP="00E86771">
            <w:pPr>
              <w:spacing w:line="360" w:lineRule="auto"/>
              <w:jc w:val="right"/>
            </w:pPr>
          </w:p>
        </w:tc>
        <w:tc>
          <w:tcPr>
            <w:tcW w:w="563" w:type="pct"/>
          </w:tcPr>
          <w:p w14:paraId="21918827" w14:textId="77777777" w:rsidR="00014A69" w:rsidRPr="00014A69" w:rsidRDefault="00014A69" w:rsidP="00E86771">
            <w:pPr>
              <w:spacing w:line="360" w:lineRule="auto"/>
              <w:jc w:val="right"/>
            </w:pPr>
          </w:p>
        </w:tc>
        <w:tc>
          <w:tcPr>
            <w:tcW w:w="525" w:type="pct"/>
          </w:tcPr>
          <w:p w14:paraId="67210639" w14:textId="77777777" w:rsidR="00014A69" w:rsidRPr="00014A69" w:rsidRDefault="00014A69" w:rsidP="00E86771">
            <w:pPr>
              <w:spacing w:line="360" w:lineRule="auto"/>
              <w:jc w:val="right"/>
            </w:pPr>
          </w:p>
        </w:tc>
      </w:tr>
      <w:tr w:rsidR="00014A69" w:rsidRPr="00014A69" w14:paraId="7B70C170" w14:textId="77777777" w:rsidTr="00DB4F65">
        <w:tc>
          <w:tcPr>
            <w:tcW w:w="2630" w:type="pct"/>
            <w:hideMark/>
          </w:tcPr>
          <w:p w14:paraId="77E63F4E" w14:textId="77777777" w:rsidR="00014A69" w:rsidRPr="00014A69" w:rsidRDefault="00014A69" w:rsidP="00E86771">
            <w:pPr>
              <w:spacing w:line="360" w:lineRule="auto"/>
            </w:pPr>
            <w:r w:rsidRPr="00014A69">
              <w:t>Linktest (p-value for yhat square)</w:t>
            </w:r>
          </w:p>
        </w:tc>
        <w:tc>
          <w:tcPr>
            <w:tcW w:w="719" w:type="pct"/>
            <w:hideMark/>
          </w:tcPr>
          <w:p w14:paraId="5717982F" w14:textId="77777777" w:rsidR="00014A69" w:rsidRPr="00014A69" w:rsidRDefault="00014A69" w:rsidP="00E86771">
            <w:pPr>
              <w:spacing w:line="360" w:lineRule="auto"/>
              <w:jc w:val="right"/>
            </w:pPr>
            <w:r w:rsidRPr="00014A69">
              <w:t>0.41</w:t>
            </w:r>
          </w:p>
        </w:tc>
        <w:tc>
          <w:tcPr>
            <w:tcW w:w="563" w:type="pct"/>
          </w:tcPr>
          <w:p w14:paraId="3F361EDD" w14:textId="77777777" w:rsidR="00014A69" w:rsidRPr="00014A69" w:rsidRDefault="00014A69" w:rsidP="00E86771">
            <w:pPr>
              <w:spacing w:line="360" w:lineRule="auto"/>
              <w:jc w:val="right"/>
            </w:pPr>
          </w:p>
        </w:tc>
        <w:tc>
          <w:tcPr>
            <w:tcW w:w="563" w:type="pct"/>
          </w:tcPr>
          <w:p w14:paraId="1A4ACB52" w14:textId="77777777" w:rsidR="00014A69" w:rsidRPr="00014A69" w:rsidRDefault="00014A69" w:rsidP="00E86771">
            <w:pPr>
              <w:spacing w:line="360" w:lineRule="auto"/>
              <w:jc w:val="right"/>
            </w:pPr>
          </w:p>
        </w:tc>
        <w:tc>
          <w:tcPr>
            <w:tcW w:w="525" w:type="pct"/>
          </w:tcPr>
          <w:p w14:paraId="4266C3C2" w14:textId="77777777" w:rsidR="00014A69" w:rsidRPr="00014A69" w:rsidRDefault="00014A69" w:rsidP="00E86771">
            <w:pPr>
              <w:spacing w:line="360" w:lineRule="auto"/>
              <w:jc w:val="right"/>
            </w:pPr>
          </w:p>
        </w:tc>
      </w:tr>
      <w:tr w:rsidR="00014A69" w:rsidRPr="00014A69" w14:paraId="5F36FEA9" w14:textId="77777777" w:rsidTr="00DB4F65">
        <w:tc>
          <w:tcPr>
            <w:tcW w:w="2630" w:type="pct"/>
            <w:hideMark/>
          </w:tcPr>
          <w:p w14:paraId="2FB9EF55" w14:textId="77777777" w:rsidR="00014A69" w:rsidRPr="00014A69" w:rsidRDefault="00014A69" w:rsidP="00E86771">
            <w:pPr>
              <w:spacing w:line="360" w:lineRule="auto"/>
            </w:pPr>
            <w:r w:rsidRPr="00014A69">
              <w:t>AIC</w:t>
            </w:r>
          </w:p>
        </w:tc>
        <w:tc>
          <w:tcPr>
            <w:tcW w:w="719" w:type="pct"/>
            <w:hideMark/>
          </w:tcPr>
          <w:p w14:paraId="0B1F5D49" w14:textId="77777777" w:rsidR="00014A69" w:rsidRPr="00014A69" w:rsidRDefault="00014A69" w:rsidP="00E86771">
            <w:pPr>
              <w:spacing w:line="360" w:lineRule="auto"/>
              <w:jc w:val="right"/>
            </w:pPr>
            <w:r w:rsidRPr="00014A69">
              <w:t>20.98</w:t>
            </w:r>
          </w:p>
        </w:tc>
        <w:tc>
          <w:tcPr>
            <w:tcW w:w="563" w:type="pct"/>
          </w:tcPr>
          <w:p w14:paraId="4D4A5EFC" w14:textId="77777777" w:rsidR="00014A69" w:rsidRPr="00014A69" w:rsidRDefault="00014A69" w:rsidP="00E86771">
            <w:pPr>
              <w:spacing w:line="360" w:lineRule="auto"/>
              <w:jc w:val="right"/>
            </w:pPr>
          </w:p>
        </w:tc>
        <w:tc>
          <w:tcPr>
            <w:tcW w:w="563" w:type="pct"/>
          </w:tcPr>
          <w:p w14:paraId="392ABC7E" w14:textId="77777777" w:rsidR="00014A69" w:rsidRPr="00014A69" w:rsidRDefault="00014A69" w:rsidP="00E86771">
            <w:pPr>
              <w:spacing w:line="360" w:lineRule="auto"/>
              <w:jc w:val="right"/>
            </w:pPr>
          </w:p>
        </w:tc>
        <w:tc>
          <w:tcPr>
            <w:tcW w:w="525" w:type="pct"/>
          </w:tcPr>
          <w:p w14:paraId="378E0A89" w14:textId="77777777" w:rsidR="00014A69" w:rsidRPr="00014A69" w:rsidRDefault="00014A69" w:rsidP="00E86771">
            <w:pPr>
              <w:spacing w:line="360" w:lineRule="auto"/>
              <w:jc w:val="right"/>
            </w:pPr>
          </w:p>
        </w:tc>
      </w:tr>
    </w:tbl>
    <w:p w14:paraId="5BD491E1" w14:textId="77777777" w:rsidR="00014A69" w:rsidRPr="00014A69" w:rsidRDefault="00014A69" w:rsidP="00E86771">
      <w:pPr>
        <w:spacing w:line="360" w:lineRule="auto"/>
      </w:pPr>
    </w:p>
    <w:p w14:paraId="04ED4194" w14:textId="77777777" w:rsidR="002A383E" w:rsidRPr="00591BFC" w:rsidRDefault="002A383E" w:rsidP="00866F8C">
      <w:r w:rsidRPr="00591BFC">
        <w:rPr>
          <w:vertAlign w:val="superscript"/>
        </w:rPr>
        <w:t>1</w:t>
      </w:r>
      <w:r w:rsidRPr="00591BFC">
        <w:t xml:space="preserve"> ICD</w:t>
      </w:r>
      <w:r w:rsidR="004D147C" w:rsidRPr="00591BFC">
        <w:t>-</w:t>
      </w:r>
      <w:r w:rsidRPr="00591BFC">
        <w:t xml:space="preserve">10 codes T81.0, T81.4 and T84; </w:t>
      </w:r>
      <w:r w:rsidRPr="00591BFC">
        <w:rPr>
          <w:vertAlign w:val="superscript"/>
        </w:rPr>
        <w:t>2</w:t>
      </w:r>
      <w:r w:rsidRPr="00591BFC">
        <w:t xml:space="preserve">  ICD</w:t>
      </w:r>
      <w:r w:rsidR="004D147C" w:rsidRPr="00591BFC">
        <w:t>-</w:t>
      </w:r>
      <w:r w:rsidRPr="00591BFC">
        <w:t xml:space="preserve">10 codes M84.9-M84.2; </w:t>
      </w:r>
      <w:r w:rsidRPr="00591BFC">
        <w:rPr>
          <w:vertAlign w:val="superscript"/>
        </w:rPr>
        <w:t xml:space="preserve">3 </w:t>
      </w:r>
      <w:r w:rsidRPr="00591BFC">
        <w:t>ICD</w:t>
      </w:r>
      <w:r w:rsidR="004D147C" w:rsidRPr="00591BFC">
        <w:t>-</w:t>
      </w:r>
      <w:r w:rsidRPr="00591BFC">
        <w:t xml:space="preserve">10 code M96.6; </w:t>
      </w:r>
      <w:r w:rsidRPr="00591BFC">
        <w:rPr>
          <w:vertAlign w:val="superscript"/>
        </w:rPr>
        <w:t xml:space="preserve">4 </w:t>
      </w:r>
      <w:r w:rsidRPr="00591BFC">
        <w:t>ICD</w:t>
      </w:r>
      <w:r w:rsidR="004D147C" w:rsidRPr="00591BFC">
        <w:t>-</w:t>
      </w:r>
      <w:r w:rsidRPr="00591BFC">
        <w:t xml:space="preserve">10 code S73.0; </w:t>
      </w:r>
      <w:r w:rsidRPr="00591BFC">
        <w:rPr>
          <w:vertAlign w:val="superscript"/>
        </w:rPr>
        <w:t xml:space="preserve">5 </w:t>
      </w:r>
      <w:r w:rsidRPr="00591BFC">
        <w:t>ICD</w:t>
      </w:r>
      <w:r w:rsidR="004D147C" w:rsidRPr="00591BFC">
        <w:t>-</w:t>
      </w:r>
      <w:r w:rsidRPr="00591BFC">
        <w:t xml:space="preserve">10 code T93.1   </w:t>
      </w:r>
    </w:p>
    <w:p w14:paraId="1CF98044" w14:textId="77777777" w:rsidR="002A383E" w:rsidRPr="00591BFC" w:rsidRDefault="002A383E" w:rsidP="00E86771">
      <w:pPr>
        <w:spacing w:line="360" w:lineRule="auto"/>
        <w:rPr>
          <w:rFonts w:eastAsia="Times New Roman"/>
          <w:color w:val="365F91"/>
          <w:sz w:val="26"/>
          <w:szCs w:val="26"/>
        </w:rPr>
      </w:pPr>
      <w:r w:rsidRPr="00591BFC">
        <w:br w:type="page"/>
      </w:r>
    </w:p>
    <w:p w14:paraId="2ABA7EB5" w14:textId="77777777" w:rsidR="002A383E" w:rsidRPr="00591BFC" w:rsidRDefault="002A383E" w:rsidP="00E86771">
      <w:pPr>
        <w:pStyle w:val="Heading2"/>
        <w:spacing w:line="360" w:lineRule="auto"/>
        <w:rPr>
          <w:rFonts w:ascii="Calibri" w:hAnsi="Calibri"/>
          <w:lang w:val="en-GB"/>
        </w:rPr>
      </w:pPr>
      <w:bookmarkStart w:id="389" w:name="_Toc308300803"/>
      <w:bookmarkStart w:id="390" w:name="_Toc311366610"/>
      <w:r w:rsidRPr="00591BFC">
        <w:rPr>
          <w:rFonts w:ascii="Calibri" w:hAnsi="Calibri"/>
          <w:lang w:val="en-GB"/>
        </w:rPr>
        <w:t>Conclusion</w:t>
      </w:r>
      <w:bookmarkEnd w:id="389"/>
      <w:bookmarkEnd w:id="390"/>
    </w:p>
    <w:p w14:paraId="4F9B9C9A" w14:textId="77777777" w:rsidR="002A383E" w:rsidRPr="00591BFC" w:rsidRDefault="002A383E" w:rsidP="00E86771">
      <w:pPr>
        <w:spacing w:line="360" w:lineRule="auto"/>
      </w:pPr>
      <w:r w:rsidRPr="00591BFC">
        <w:t>This chapter presents the immed</w:t>
      </w:r>
      <w:r w:rsidR="00014A69">
        <w:t>iate and medium</w:t>
      </w:r>
      <w:r w:rsidRPr="00591BFC">
        <w:t xml:space="preserve">-term (up to 2 years) primary care and hospital care costs of hip fracture in a large representative sample of patients in the UK. We also adjusted the costs for healthcare resource use prior to the index fracture, explored the main variables influencing the costs, and estimated the costs of all incident hip fractures in the UK. Furthermore, we found that hip fracture survivors are associated with higher primary care costs compared to the years before hip fracture and that second hip fracture within the first year of index fracture is a major driver of additional hospitalisation costs. </w:t>
      </w:r>
    </w:p>
    <w:p w14:paraId="1FD3984A" w14:textId="2B258150" w:rsidR="002A383E" w:rsidRPr="00591BFC" w:rsidRDefault="002A383E" w:rsidP="00E86771">
      <w:pPr>
        <w:pStyle w:val="EndNoteBibliography"/>
        <w:spacing w:after="0" w:line="360" w:lineRule="auto"/>
        <w:rPr>
          <w:lang w:val="en-GB"/>
        </w:rPr>
      </w:pPr>
      <w:r w:rsidRPr="00591BFC">
        <w:rPr>
          <w:lang w:val="en-GB"/>
        </w:rPr>
        <w:t>Although previous studies have reported costs of hip fracture in the UK, few were based on patient-level data or on recent populations. Moreover, previous cost estimates have been mostly informed by studies using small sample sizes (between 10</w:t>
      </w:r>
      <w:hyperlink w:anchor="_ENREF_145" w:tooltip="Iglesias, 2009 #1126" w:history="1">
        <w:r w:rsidR="00B24FEE">
          <w:rPr>
            <w:lang w:val="en-GB"/>
          </w:rPr>
          <w:fldChar w:fldCharType="begin"/>
        </w:r>
        <w:r w:rsidR="00B24FEE">
          <w:rPr>
            <w:lang w:val="en-GB"/>
          </w:rPr>
          <w:instrText xml:space="preserve"> ADDIN EN.CITE &lt;EndNote&gt;&lt;Cite&gt;&lt;Author&gt;Iglesias&lt;/Author&gt;&lt;Year&gt;2009&lt;/Year&gt;&lt;RecNum&gt;1126&lt;/RecNum&gt;&lt;DisplayText&gt;&lt;style face="superscript"&gt;145&lt;/style&gt;&lt;/DisplayText&gt;&lt;record&gt;&lt;rec-number&gt;1126&lt;/rec-number&gt;&lt;foreign-keys&gt;&lt;key app="EN" db-id="sxpszd2ti9dx04ewefrvfp5bpf5faazszr9p" timestamp="1435660945"&gt;1126&lt;/key&gt;&lt;/foreign-keys&gt;&lt;ref-type name="Journal Article"&gt;17&lt;/ref-type&gt;&lt;contributors&gt;&lt;authors&gt;&lt;author&gt;Iglesias, C. P.&lt;/author&gt;&lt;author&gt;Manca, A.&lt;/author&gt;&lt;author&gt;Torgerson, D. J.&lt;/author&gt;&lt;/authors&gt;&lt;/contributors&gt;&lt;auth-address&gt;Department of Health Sciences, University of York, Seebohm Rowntree Building Room 148, York YO10 5DD, UK. cpiu1@york.ac.uk&lt;/auth-address&gt;&lt;titles&gt;&lt;title&gt;The health-related quality of life and cost implications of falls in elderly women&lt;/title&gt;&lt;secondary-title&gt;Osteoporos Int&lt;/secondary-title&gt;&lt;/titles&gt;&lt;periodical&gt;&lt;full-title&gt;Osteoporos Int&lt;/full-title&gt;&lt;/periodical&gt;&lt;pages&gt;869-78&lt;/pages&gt;&lt;volume&gt;20&lt;/volume&gt;&lt;number&gt;6&lt;/number&gt;&lt;edition&gt;2008/10/11&lt;/edition&gt;&lt;keywords&gt;&lt;keyword&gt;Accidental Falls/*economics&lt;/keyword&gt;&lt;keyword&gt;Activities of Daily Living/*psychology&lt;/keyword&gt;&lt;keyword&gt;Aged&lt;/keyword&gt;&lt;keyword&gt;Fear/*psychology&lt;/keyword&gt;&lt;keyword&gt;Female&lt;/keyword&gt;&lt;keyword&gt;Fractures, Bone/economics/epidemiology/*psychology&lt;/keyword&gt;&lt;keyword&gt;Geriatric Assessment&lt;/keyword&gt;&lt;keyword&gt;Health Status&lt;/keyword&gt;&lt;keyword&gt;Humans&lt;/keyword&gt;&lt;keyword&gt;Prospective Studies&lt;/keyword&gt;&lt;keyword&gt;Quality of Life/*psychology&lt;/keyword&gt;&lt;keyword&gt;Questionnaires&lt;/keyword&gt;&lt;keyword&gt;Risk Factors&lt;/keyword&gt;&lt;/keywords&gt;&lt;dates&gt;&lt;year&gt;2009&lt;/year&gt;&lt;pub-dates&gt;&lt;date&gt;Jun&lt;/date&gt;&lt;/pub-dates&gt;&lt;/dates&gt;&lt;isbn&gt;1433-2965 (Electronic)&amp;#xD;0937-941X (Linking)&lt;/isbn&gt;&lt;accession-num&gt;18846400&lt;/accession-num&gt;&lt;urls&gt;&lt;related-urls&gt;&lt;url&gt;http://www.ncbi.nlm.nih.gov/pubmed/18846400&lt;/url&gt;&lt;/related-urls&gt;&lt;/urls&gt;&lt;electronic-resource-num&gt;10.1007/s00198-008-0753-5&lt;/electronic-resource-num&gt;&lt;language&gt;eng&lt;/language&gt;&lt;/record&gt;&lt;/Cite&gt;&lt;/EndNote&gt;</w:instrText>
        </w:r>
        <w:r w:rsidR="00B24FEE">
          <w:rPr>
            <w:lang w:val="en-GB"/>
          </w:rPr>
          <w:fldChar w:fldCharType="separate"/>
        </w:r>
        <w:r w:rsidR="00B24FEE" w:rsidRPr="00B24FEE">
          <w:rPr>
            <w:noProof/>
            <w:vertAlign w:val="superscript"/>
            <w:lang w:val="en-GB"/>
          </w:rPr>
          <w:t>145</w:t>
        </w:r>
        <w:r w:rsidR="00B24FEE">
          <w:rPr>
            <w:lang w:val="en-GB"/>
          </w:rPr>
          <w:fldChar w:fldCharType="end"/>
        </w:r>
      </w:hyperlink>
      <w:r w:rsidRPr="00591BFC">
        <w:rPr>
          <w:lang w:val="en-GB"/>
        </w:rPr>
        <w:t xml:space="preserve"> and 2427 patients</w:t>
      </w:r>
      <w:hyperlink w:anchor="_ENREF_131" w:tooltip="Gutierrez, 2011 #1109" w:history="1">
        <w:r w:rsidR="00B24FEE">
          <w:rPr>
            <w:lang w:val="en-GB"/>
          </w:rPr>
          <w:fldChar w:fldCharType="begin"/>
        </w:r>
        <w:r w:rsidR="00B24FEE">
          <w:rPr>
            <w:lang w:val="en-GB"/>
          </w:rPr>
          <w:instrText xml:space="preserve"> ADDIN EN.CITE &lt;EndNote&gt;&lt;Cite&gt;&lt;Author&gt;Gutierrez&lt;/Author&gt;&lt;Year&gt;2011&lt;/Year&gt;&lt;RecNum&gt;1109&lt;/RecNum&gt;&lt;DisplayText&gt;&lt;style face="superscript"&gt;131&lt;/style&gt;&lt;/DisplayText&gt;&lt;record&gt;&lt;rec-number&gt;1109&lt;/rec-number&gt;&lt;foreign-keys&gt;&lt;key app="EN" db-id="sxpszd2ti9dx04ewefrvfp5bpf5faazszr9p" timestamp="1435658150"&gt;1109&lt;/key&gt;&lt;/foreign-keys&gt;&lt;ref-type name="Journal Article"&gt;17&lt;/ref-type&gt;&lt;contributors&gt;&lt;authors&gt;&lt;author&gt;Gutierrez, L.&lt;/author&gt;&lt;author&gt;Roskell, N.&lt;/author&gt;&lt;author&gt;Castellsague, J.&lt;/author&gt;&lt;author&gt;Beard, S.&lt;/author&gt;&lt;author&gt;Rycroft, C.&lt;/author&gt;&lt;author&gt;Abeysinghe, S.&lt;/author&gt;&lt;author&gt;Shannon, P.&lt;/author&gt;&lt;author&gt;Robbins, S.&lt;/author&gt;&lt;author&gt;Gitlin, M.&lt;/author&gt;&lt;/authors&gt;&lt;/contributors&gt;&lt;auth-address&gt;RTI Health Solutions, Spain. lgutierrez@rti.org&lt;/auth-address&gt;&lt;titles&gt;&lt;title&gt;Study of the incremental cost and clinical burden of hip fractures in postmenopausal women in the United Kingdom&lt;/title&gt;&lt;secondary-title&gt;J Med Econ&lt;/secondary-title&gt;&lt;/titles&gt;&lt;periodical&gt;&lt;full-title&gt;J Med Econ&lt;/full-title&gt;&lt;/periodical&gt;&lt;pages&gt;99-107&lt;/pages&gt;&lt;volume&gt;14&lt;/volume&gt;&lt;number&gt;1&lt;/number&gt;&lt;edition&gt;2011/01/13&lt;/edition&gt;&lt;keywords&gt;&lt;keyword&gt;Aged&lt;/keyword&gt;&lt;keyword&gt;Aged, 80 and over&lt;/keyword&gt;&lt;keyword&gt;Cohort Studies&lt;/keyword&gt;&lt;keyword&gt;*Cost of Illness&lt;/keyword&gt;&lt;keyword&gt;Female&lt;/keyword&gt;&lt;keyword&gt;Great Britain&lt;/keyword&gt;&lt;keyword&gt;*Health Care Costs&lt;/keyword&gt;&lt;keyword&gt;Health Services/utilization&lt;/keyword&gt;&lt;keyword&gt;Hip Fractures/*economics/etiology&lt;/keyword&gt;&lt;keyword&gt;Humans&lt;/keyword&gt;&lt;keyword&gt;Middle Aged&lt;/keyword&gt;&lt;keyword&gt;Osteoporosis, Postmenopausal/*complications&lt;/keyword&gt;&lt;keyword&gt;Retrospective Studies&lt;/keyword&gt;&lt;/keywords&gt;&lt;dates&gt;&lt;year&gt;2011&lt;/year&gt;&lt;/dates&gt;&lt;isbn&gt;1941-837X (Electronic)&amp;#xD;1369-6998 (Linking)&lt;/isbn&gt;&lt;accession-num&gt;21222505&lt;/accession-num&gt;&lt;urls&gt;&lt;related-urls&gt;&lt;url&gt;http://www.ncbi.nlm.nih.gov/pubmed/21222505&lt;/url&gt;&lt;/related-urls&gt;&lt;/urls&gt;&lt;electronic-resource-num&gt;10.3111/13696998.2010.547967&lt;/electronic-resource-num&gt;&lt;language&gt;eng&lt;/language&gt;&lt;/record&gt;&lt;/Cite&gt;&lt;/EndNote&gt;</w:instrText>
        </w:r>
        <w:r w:rsidR="00B24FEE">
          <w:rPr>
            <w:lang w:val="en-GB"/>
          </w:rPr>
          <w:fldChar w:fldCharType="separate"/>
        </w:r>
        <w:r w:rsidR="00B24FEE" w:rsidRPr="00B24FEE">
          <w:rPr>
            <w:noProof/>
            <w:vertAlign w:val="superscript"/>
            <w:lang w:val="en-GB"/>
          </w:rPr>
          <w:t>131</w:t>
        </w:r>
        <w:r w:rsidR="00B24FEE">
          <w:rPr>
            <w:lang w:val="en-GB"/>
          </w:rPr>
          <w:fldChar w:fldCharType="end"/>
        </w:r>
      </w:hyperlink>
      <w:r w:rsidRPr="00591BFC">
        <w:rPr>
          <w:lang w:val="en-GB"/>
        </w:rPr>
        <w:t xml:space="preserve">, and a variety of time horizons from </w:t>
      </w:r>
      <w:r w:rsidR="00C63226">
        <w:rPr>
          <w:lang w:val="en-GB"/>
        </w:rPr>
        <w:t xml:space="preserve">time to </w:t>
      </w:r>
      <w:r w:rsidRPr="00591BFC">
        <w:rPr>
          <w:lang w:val="en-GB"/>
        </w:rPr>
        <w:t>initial discharge following acute admission</w:t>
      </w:r>
      <w:r w:rsidR="00B24FEE">
        <w:rPr>
          <w:lang w:val="en-GB"/>
        </w:rPr>
        <w:fldChar w:fldCharType="begin">
          <w:fldData xml:space="preserve">PEVuZE5vdGU+PENpdGU+PEF1dGhvcj5LYXppPC9BdXRob3I+PFllYXI+MjAxMTwvWWVhcj48UmVj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</w:fldData>
        </w:fldChar>
      </w:r>
      <w:r w:rsidR="00B24FEE">
        <w:rPr>
          <w:lang w:val="en-GB"/>
        </w:rPr>
        <w:instrText xml:space="preserve"> ADDIN EN.CITE </w:instrText>
      </w:r>
      <w:r w:rsidR="00B24FEE">
        <w:rPr>
          <w:lang w:val="en-GB"/>
        </w:rPr>
        <w:fldChar w:fldCharType="begin">
          <w:fldData xml:space="preserve">PEVuZE5vdGU+PENpdGU+PEF1dGhvcj5LYXppPC9BdXRob3I+PFllYXI+MjAxMTwvWWVhcj48UmVj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</w:fldData>
        </w:fldChar>
      </w:r>
      <w:r w:rsidR="00B24FEE">
        <w:rPr>
          <w:lang w:val="en-GB"/>
        </w:rPr>
        <w:instrText xml:space="preserve"> ADDIN EN.CITE.DATA </w:instrText>
      </w:r>
      <w:r w:rsidR="00B24FEE">
        <w:rPr>
          <w:lang w:val="en-GB"/>
        </w:rPr>
      </w:r>
      <w:r w:rsidR="00B24FEE">
        <w:rPr>
          <w:lang w:val="en-GB"/>
        </w:rPr>
        <w:fldChar w:fldCharType="end"/>
      </w:r>
      <w:r w:rsidR="00B24FEE">
        <w:rPr>
          <w:lang w:val="en-GB"/>
        </w:rPr>
      </w:r>
      <w:r w:rsidR="00B24FEE">
        <w:rPr>
          <w:lang w:val="en-GB"/>
        </w:rPr>
        <w:fldChar w:fldCharType="separate"/>
      </w:r>
      <w:hyperlink w:anchor="_ENREF_132" w:tooltip="Sahota, 2012 #1110" w:history="1">
        <w:r w:rsidR="00B24FEE" w:rsidRPr="00B24FEE">
          <w:rPr>
            <w:noProof/>
            <w:vertAlign w:val="superscript"/>
            <w:lang w:val="en-GB"/>
          </w:rPr>
          <w:t>132-134</w:t>
        </w:r>
      </w:hyperlink>
      <w:r w:rsidR="00B24FEE" w:rsidRPr="00B24FEE">
        <w:rPr>
          <w:noProof/>
          <w:vertAlign w:val="superscript"/>
          <w:lang w:val="en-GB"/>
        </w:rPr>
        <w:t xml:space="preserve"> </w:t>
      </w:r>
      <w:hyperlink w:anchor="_ENREF_146" w:tooltip="Lawrence, 2005 #2" w:history="1">
        <w:r w:rsidR="00B24FEE" w:rsidRPr="00B24FEE">
          <w:rPr>
            <w:noProof/>
            <w:vertAlign w:val="superscript"/>
            <w:lang w:val="en-GB"/>
          </w:rPr>
          <w:t>146</w:t>
        </w:r>
      </w:hyperlink>
      <w:r w:rsidR="00B24FEE">
        <w:rPr>
          <w:lang w:val="en-GB"/>
        </w:rPr>
        <w:fldChar w:fldCharType="end"/>
      </w:r>
      <w:r w:rsidRPr="00591BFC">
        <w:rPr>
          <w:noProof/>
          <w:lang w:val="en-GB"/>
        </w:rPr>
        <w:t xml:space="preserve">  </w:t>
      </w:r>
      <w:r w:rsidRPr="00591BFC">
        <w:rPr>
          <w:lang w:val="en-GB"/>
        </w:rPr>
        <w:t>up to 12 months post admission</w:t>
      </w:r>
      <w:r w:rsidR="00B24FEE">
        <w:rPr>
          <w:lang w:val="en-GB"/>
        </w:rPr>
        <w:fldChar w:fldCharType="begin">
          <w:fldData xml:space="preserve">PEVuZE5vdGU+PENpdGU+PEF1dGhvcj5JZ2xlc2lhczwvQXV0aG9yPjxZZWFyPjIwMDk8L1llYXI+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==
</w:fldData>
        </w:fldChar>
      </w:r>
      <w:r w:rsidR="00B24FEE">
        <w:rPr>
          <w:lang w:val="en-GB"/>
        </w:rPr>
        <w:instrText xml:space="preserve"> ADDIN EN.CITE </w:instrText>
      </w:r>
      <w:r w:rsidR="00B24FEE">
        <w:rPr>
          <w:lang w:val="en-GB"/>
        </w:rPr>
        <w:fldChar w:fldCharType="begin">
          <w:fldData xml:space="preserve">PEVuZE5vdGU+PENpdGU+PEF1dGhvcj5JZ2xlc2lhczwvQXV0aG9yPjxZZWFyPjIwMDk8L1llYXI+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==
</w:fldData>
        </w:fldChar>
      </w:r>
      <w:r w:rsidR="00B24FEE">
        <w:rPr>
          <w:lang w:val="en-GB"/>
        </w:rPr>
        <w:instrText xml:space="preserve"> ADDIN EN.CITE.DATA </w:instrText>
      </w:r>
      <w:r w:rsidR="00B24FEE">
        <w:rPr>
          <w:lang w:val="en-GB"/>
        </w:rPr>
      </w:r>
      <w:r w:rsidR="00B24FEE">
        <w:rPr>
          <w:lang w:val="en-GB"/>
        </w:rPr>
        <w:fldChar w:fldCharType="end"/>
      </w:r>
      <w:r w:rsidR="00B24FEE">
        <w:rPr>
          <w:lang w:val="en-GB"/>
        </w:rPr>
      </w:r>
      <w:r w:rsidR="00B24FEE">
        <w:rPr>
          <w:lang w:val="en-GB"/>
        </w:rPr>
        <w:fldChar w:fldCharType="separate"/>
      </w:r>
      <w:hyperlink w:anchor="_ENREF_131" w:tooltip="Gutierrez, 2011 #1109" w:history="1">
        <w:r w:rsidR="00B24FEE" w:rsidRPr="00B24FEE">
          <w:rPr>
            <w:noProof/>
            <w:vertAlign w:val="superscript"/>
            <w:lang w:val="en-GB"/>
          </w:rPr>
          <w:t>131</w:t>
        </w:r>
      </w:hyperlink>
      <w:r w:rsidR="00B24FEE" w:rsidRPr="00B24FEE">
        <w:rPr>
          <w:noProof/>
          <w:vertAlign w:val="superscript"/>
          <w:lang w:val="en-GB"/>
        </w:rPr>
        <w:t xml:space="preserve"> </w:t>
      </w:r>
      <w:hyperlink w:anchor="_ENREF_145" w:tooltip="Iglesias, 2009 #1126" w:history="1">
        <w:r w:rsidR="00B24FEE" w:rsidRPr="00B24FEE">
          <w:rPr>
            <w:noProof/>
            <w:vertAlign w:val="superscript"/>
            <w:lang w:val="en-GB"/>
          </w:rPr>
          <w:t>145</w:t>
        </w:r>
      </w:hyperlink>
      <w:r w:rsidR="00B24FEE">
        <w:rPr>
          <w:lang w:val="en-GB"/>
        </w:rPr>
        <w:fldChar w:fldCharType="end"/>
      </w:r>
      <w:r w:rsidRPr="00591BFC">
        <w:rPr>
          <w:lang w:val="en-GB"/>
        </w:rPr>
        <w:t>. When the results of these previous studies were inflated to 2012/13 prices, we found considerable variability in the reported 1-year costs after hip fracture, with estimates between £6,176</w:t>
      </w:r>
      <w:hyperlink w:anchor="_ENREF_131" w:tooltip="Gutierrez, 2011 #1109" w:history="1">
        <w:r w:rsidR="00B24FEE">
          <w:rPr>
            <w:lang w:val="en-GB"/>
          </w:rPr>
          <w:fldChar w:fldCharType="begin"/>
        </w:r>
        <w:r w:rsidR="00B24FEE">
          <w:rPr>
            <w:lang w:val="en-GB"/>
          </w:rPr>
          <w:instrText xml:space="preserve"> ADDIN EN.CITE &lt;EndNote&gt;&lt;Cite&gt;&lt;Author&gt;Gutierrez&lt;/Author&gt;&lt;Year&gt;2011&lt;/Year&gt;&lt;RecNum&gt;1109&lt;/RecNum&gt;&lt;DisplayText&gt;&lt;style face="superscript"&gt;131&lt;/style&gt;&lt;/DisplayText&gt;&lt;record&gt;&lt;rec-number&gt;1109&lt;/rec-number&gt;&lt;foreign-keys&gt;&lt;key app="EN" db-id="sxpszd2ti9dx04ewefrvfp5bpf5faazszr9p" timestamp="1435658150"&gt;1109&lt;/key&gt;&lt;/foreign-keys&gt;&lt;ref-type name="Journal Article"&gt;17&lt;/ref-type&gt;&lt;contributors&gt;&lt;authors&gt;&lt;author&gt;Gutierrez, L.&lt;/author&gt;&lt;author&gt;Roskell, N.&lt;/author&gt;&lt;author&gt;Castellsague, J.&lt;/author&gt;&lt;author&gt;Beard, S.&lt;/author&gt;&lt;author&gt;Rycroft, C.&lt;/author&gt;&lt;author&gt;Abeysinghe, S.&lt;/author&gt;&lt;author&gt;Shannon, P.&lt;/author&gt;&lt;author&gt;Robbins, S.&lt;/author&gt;&lt;author&gt;Gitlin, M.&lt;/author&gt;&lt;/authors&gt;&lt;/contributors&gt;&lt;auth-address&gt;RTI Health Solutions, Spain. lgutierrez@rti.org&lt;/auth-address&gt;&lt;titles&gt;&lt;title&gt;Study of the incremental cost and clinical burden of hip fractures in postmenopausal women in the United Kingdom&lt;/title&gt;&lt;secondary-title&gt;J Med Econ&lt;/secondary-title&gt;&lt;/titles&gt;&lt;periodical&gt;&lt;full-title&gt;J Med Econ&lt;/full-title&gt;&lt;/periodical&gt;&lt;pages&gt;99-107&lt;/pages&gt;&lt;volume&gt;14&lt;/volume&gt;&lt;number&gt;1&lt;/number&gt;&lt;edition&gt;2011/01/13&lt;/edition&gt;&lt;keywords&gt;&lt;keyword&gt;Aged&lt;/keyword&gt;&lt;keyword&gt;Aged, 80 and over&lt;/keyword&gt;&lt;keyword&gt;Cohort Studies&lt;/keyword&gt;&lt;keyword&gt;*Cost of Illness&lt;/keyword&gt;&lt;keyword&gt;Female&lt;/keyword&gt;&lt;keyword&gt;Great Britain&lt;/keyword&gt;&lt;keyword&gt;*Health Care Costs&lt;/keyword&gt;&lt;keyword&gt;Health Services/utilization&lt;/keyword&gt;&lt;keyword&gt;Hip Fractures/*economics/etiology&lt;/keyword&gt;&lt;keyword&gt;Humans&lt;/keyword&gt;&lt;keyword&gt;Middle Aged&lt;/keyword&gt;&lt;keyword&gt;Osteoporosis, Postmenopausal/*complications&lt;/keyword&gt;&lt;keyword&gt;Retrospective Studies&lt;/keyword&gt;&lt;/keywords&gt;&lt;dates&gt;&lt;year&gt;2011&lt;/year&gt;&lt;/dates&gt;&lt;isbn&gt;1941-837X (Electronic)&amp;#xD;1369-6998 (Linking)&lt;/isbn&gt;&lt;accession-num&gt;21222505&lt;/accession-num&gt;&lt;urls&gt;&lt;related-urls&gt;&lt;url&gt;http://www.ncbi.nlm.nih.gov/pubmed/21222505&lt;/url&gt;&lt;/related-urls&gt;&lt;/urls&gt;&lt;electronic-resource-num&gt;10.3111/13696998.2010.547967&lt;/electronic-resource-num&gt;&lt;language&gt;eng&lt;/language&gt;&lt;/record&gt;&lt;/Cite&gt;&lt;/EndNote&gt;</w:instrText>
        </w:r>
        <w:r w:rsidR="00B24FEE">
          <w:rPr>
            <w:lang w:val="en-GB"/>
          </w:rPr>
          <w:fldChar w:fldCharType="separate"/>
        </w:r>
        <w:r w:rsidR="00B24FEE" w:rsidRPr="00B24FEE">
          <w:rPr>
            <w:noProof/>
            <w:vertAlign w:val="superscript"/>
            <w:lang w:val="en-GB"/>
          </w:rPr>
          <w:t>131</w:t>
        </w:r>
        <w:r w:rsidR="00B24FEE">
          <w:rPr>
            <w:lang w:val="en-GB"/>
          </w:rPr>
          <w:fldChar w:fldCharType="end"/>
        </w:r>
      </w:hyperlink>
      <w:r w:rsidRPr="00591BFC">
        <w:rPr>
          <w:lang w:val="en-GB"/>
        </w:rPr>
        <w:t xml:space="preserve"> and £20,470</w:t>
      </w:r>
      <w:r w:rsidR="00B24FEE">
        <w:rPr>
          <w:lang w:val="en-GB"/>
        </w:rPr>
        <w:fldChar w:fldCharType="begin">
          <w:fldData xml:space="preserve">PEVuZE5vdGU+PENpdGU+PEF1dGhvcj5HdXRpZXJyZXo8L0F1dGhvcj48WWVhcj4yMDExPC9ZZWFy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==
</w:fldData>
        </w:fldChar>
      </w:r>
      <w:r w:rsidR="00B24FEE">
        <w:rPr>
          <w:lang w:val="en-GB"/>
        </w:rPr>
        <w:instrText xml:space="preserve"> ADDIN EN.CITE </w:instrText>
      </w:r>
      <w:r w:rsidR="00B24FEE">
        <w:rPr>
          <w:lang w:val="en-GB"/>
        </w:rPr>
        <w:fldChar w:fldCharType="begin">
          <w:fldData xml:space="preserve">PEVuZE5vdGU+PENpdGU+PEF1dGhvcj5HdXRpZXJyZXo8L0F1dGhvcj48WWVhcj4yMDExPC9ZZWFy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==
</w:fldData>
        </w:fldChar>
      </w:r>
      <w:r w:rsidR="00B24FEE">
        <w:rPr>
          <w:lang w:val="en-GB"/>
        </w:rPr>
        <w:instrText xml:space="preserve"> ADDIN EN.CITE.DATA </w:instrText>
      </w:r>
      <w:r w:rsidR="00B24FEE">
        <w:rPr>
          <w:lang w:val="en-GB"/>
        </w:rPr>
      </w:r>
      <w:r w:rsidR="00B24FEE">
        <w:rPr>
          <w:lang w:val="en-GB"/>
        </w:rPr>
        <w:fldChar w:fldCharType="end"/>
      </w:r>
      <w:r w:rsidR="00B24FEE">
        <w:rPr>
          <w:lang w:val="en-GB"/>
        </w:rPr>
      </w:r>
      <w:r w:rsidR="00B24FEE">
        <w:rPr>
          <w:lang w:val="en-GB"/>
        </w:rPr>
        <w:fldChar w:fldCharType="separate"/>
      </w:r>
      <w:hyperlink w:anchor="_ENREF_131" w:tooltip="Gutierrez, 2011 #1109" w:history="1">
        <w:r w:rsidR="00B24FEE" w:rsidRPr="00B24FEE">
          <w:rPr>
            <w:noProof/>
            <w:vertAlign w:val="superscript"/>
            <w:lang w:val="en-GB"/>
          </w:rPr>
          <w:t>131</w:t>
        </w:r>
      </w:hyperlink>
      <w:r w:rsidR="00B24FEE" w:rsidRPr="00B24FEE">
        <w:rPr>
          <w:noProof/>
          <w:vertAlign w:val="superscript"/>
          <w:lang w:val="en-GB"/>
        </w:rPr>
        <w:t xml:space="preserve"> </w:t>
      </w:r>
      <w:hyperlink w:anchor="_ENREF_145" w:tooltip="Iglesias, 2009 #1126" w:history="1">
        <w:r w:rsidR="00B24FEE" w:rsidRPr="00B24FEE">
          <w:rPr>
            <w:noProof/>
            <w:vertAlign w:val="superscript"/>
            <w:lang w:val="en-GB"/>
          </w:rPr>
          <w:t>145</w:t>
        </w:r>
      </w:hyperlink>
      <w:r w:rsidR="00B24FEE">
        <w:rPr>
          <w:lang w:val="en-GB"/>
        </w:rPr>
        <w:fldChar w:fldCharType="end"/>
      </w:r>
      <w:r w:rsidRPr="00591BFC">
        <w:rPr>
          <w:noProof/>
          <w:lang w:val="en-GB"/>
        </w:rPr>
        <w:t xml:space="preserve">. However, these studies focused solely </w:t>
      </w:r>
      <w:r w:rsidRPr="00591BFC">
        <w:rPr>
          <w:lang w:val="en-GB"/>
        </w:rPr>
        <w:t xml:space="preserve">on women with hip fractures. Hence, our study contributes significantly to the evidence base regarding hip fractures by identifying and following large populations of hip fracture patients in primary and hospital care up to 2 years before and after the index event. </w:t>
      </w:r>
    </w:p>
    <w:p w14:paraId="13860848" w14:textId="77777777" w:rsidR="002A383E" w:rsidRPr="00591BFC" w:rsidRDefault="002A383E" w:rsidP="00E86771">
      <w:pPr>
        <w:pStyle w:val="EndNoteBibliography"/>
        <w:spacing w:after="0" w:line="360" w:lineRule="auto"/>
        <w:rPr>
          <w:lang w:val="en-GB"/>
        </w:rPr>
      </w:pPr>
    </w:p>
    <w:p w14:paraId="17F86AE1" w14:textId="77777777" w:rsidR="002A383E" w:rsidRPr="00591BFC" w:rsidRDefault="002A383E" w:rsidP="00E86771">
      <w:pPr>
        <w:spacing w:line="360" w:lineRule="auto"/>
      </w:pPr>
      <w:r w:rsidRPr="00591BFC">
        <w:t xml:space="preserve">The major component of costs in the first year following hip fracture was hospital resource use with primary costs accounting for only </w:t>
      </w:r>
      <w:r w:rsidR="00C63226">
        <w:t>7</w:t>
      </w:r>
      <w:r w:rsidRPr="00591BFC">
        <w:t>% (£1,</w:t>
      </w:r>
      <w:r w:rsidR="00C63226">
        <w:t>065</w:t>
      </w:r>
      <w:r w:rsidRPr="00591BFC">
        <w:t>) of the total costs (£15,</w:t>
      </w:r>
      <w:r w:rsidR="00C63226">
        <w:t>329</w:t>
      </w:r>
      <w:r w:rsidRPr="00591BFC">
        <w:t>). However, in the second year post hip fracture, the proportion of total costs (£</w:t>
      </w:r>
      <w:r w:rsidR="00C63226">
        <w:t>4</w:t>
      </w:r>
      <w:r w:rsidRPr="00591BFC">
        <w:t>,</w:t>
      </w:r>
      <w:r w:rsidR="00C63226">
        <w:t>242</w:t>
      </w:r>
      <w:r w:rsidRPr="00591BFC">
        <w:t xml:space="preserve">) due to primary care use increased to </w:t>
      </w:r>
      <w:r w:rsidR="00C63226">
        <w:t>28</w:t>
      </w:r>
      <w:r w:rsidRPr="00591BFC">
        <w:t>% (£</w:t>
      </w:r>
      <w:r w:rsidR="00C63226">
        <w:t>1,170</w:t>
      </w:r>
      <w:r w:rsidRPr="00591BFC">
        <w:t>)</w:t>
      </w:r>
      <w:r w:rsidR="00C63226">
        <w:t xml:space="preserve"> </w:t>
      </w:r>
      <w:r w:rsidR="00C63226" w:rsidRPr="00C63226">
        <w:t>amongst those who survived the first year</w:t>
      </w:r>
      <w:r w:rsidRPr="00591BFC">
        <w:t>. Furthermore, we found primary care co</w:t>
      </w:r>
      <w:r w:rsidR="00C0705C" w:rsidRPr="00591BFC">
        <w:t>s</w:t>
      </w:r>
      <w:r w:rsidRPr="00591BFC">
        <w:t xml:space="preserve">ts to increase significantly after hip fracture, among 2-year survivors, making these an important component of hip fracture costs. </w:t>
      </w:r>
    </w:p>
    <w:p w14:paraId="30290079" w14:textId="77777777" w:rsidR="002A383E" w:rsidRPr="00591BFC" w:rsidRDefault="002A383E" w:rsidP="00E86771">
      <w:pPr>
        <w:spacing w:line="360" w:lineRule="auto"/>
      </w:pPr>
      <w:r w:rsidRPr="00591BFC">
        <w:t xml:space="preserve">In contrast, we found hospital costs to be high in the first six months after hip fracture, falling thereafter to levels of expenditure similar to the year before fracture. The same cost profile was observed in patients with a second hip fracture, however, initial admission costs were higher in the second fracture compared to the first. Acute hospitalisation costs due to index fracture accounted for 61% (£8,663) of total 1-year costs and these costs were similar between primary and secondary hip fracture, representing about 20 days of inpatient stay. Hospital costs in the year following hip fracture were estimated to be £14,264, representing 36 days of inpatient stay, with the majority of </w:t>
      </w:r>
      <w:r w:rsidRPr="00591BFC">
        <w:lastRenderedPageBreak/>
        <w:t xml:space="preserve">costs being associated with hip fracture related hospitalisations (75%). Furthermore, the 2-year costs at £16,289 show that the majority of costs (88%, £14,269) occur in the year after the index hip fracture. </w:t>
      </w:r>
    </w:p>
    <w:p w14:paraId="3003E76B" w14:textId="3D53CCD2" w:rsidR="002A383E" w:rsidRPr="00591BFC" w:rsidRDefault="002A383E" w:rsidP="00E86771">
      <w:pPr>
        <w:spacing w:line="360" w:lineRule="auto"/>
      </w:pPr>
      <w:r w:rsidRPr="00591BFC">
        <w:t>Comparing primary and hospital care costs before and after hip fracture showed these to gradually increase in the last 6 months prior to fracture, suggesting a worsening in health that may be associated with the risk of fracture. Such a pattern in costs is consistent with what has been reported in diseases such as stroke</w:t>
      </w:r>
      <w:hyperlink w:anchor="_ENREF_147" w:tooltip="Luengo-Fernandez, 2012 #1127" w:history="1">
        <w:r w:rsidR="00B24FEE">
          <w:fldChar w:fldCharType="begin">
            <w:fldData xml:space="preserve">PEVuZE5vdGU+PENpdGU+PEF1dGhvcj5MdWVuZ28tRmVybmFuZGV6PC9BdXRob3I+PFllYXI+MjAx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</w:fldData>
          </w:fldChar>
        </w:r>
        <w:r w:rsidR="00B24FEE">
          <w:instrText xml:space="preserve"> ADDIN EN.CITE </w:instrText>
        </w:r>
        <w:r w:rsidR="00B24FEE">
          <w:fldChar w:fldCharType="begin">
            <w:fldData xml:space="preserve">PEVuZE5vdGU+PENpdGU+PEF1dGhvcj5MdWVuZ28tRmVybmFuZGV6PC9BdXRob3I+PFllYXI+MjAx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</w:fldData>
          </w:fldChar>
        </w:r>
        <w:r w:rsidR="00B24FEE">
          <w:instrText xml:space="preserve"> ADDIN EN.CITE.DATA </w:instrText>
        </w:r>
        <w:r w:rsidR="00B24FEE">
          <w:fldChar w:fldCharType="end"/>
        </w:r>
        <w:r w:rsidR="00B24FEE">
          <w:fldChar w:fldCharType="separate"/>
        </w:r>
        <w:r w:rsidR="00B24FEE" w:rsidRPr="00B24FEE">
          <w:rPr>
            <w:noProof/>
            <w:vertAlign w:val="superscript"/>
          </w:rPr>
          <w:t>147</w:t>
        </w:r>
        <w:r w:rsidR="00B24FEE">
          <w:fldChar w:fldCharType="end"/>
        </w:r>
      </w:hyperlink>
      <w:r w:rsidR="000831C2" w:rsidRPr="00591BFC">
        <w:rPr>
          <w:noProof/>
        </w:rPr>
        <w:t xml:space="preserve">. </w:t>
      </w:r>
      <w:r w:rsidRPr="00591BFC">
        <w:t>Also, men incurred higher hospital costs following a hip fracture compared to women, even after adjusting for several covariates. This is of concern as men are more likely to be underdiagnosed and have lower treatment uptake rates for osteoporosis before and after a fragility fracture compared to women</w:t>
      </w:r>
      <w:hyperlink w:anchor="_ENREF_36" w:tooltip="Ganda, 2013 #551" w:history="1">
        <w:r w:rsidR="00B24FEE">
          <w:fldChar w:fldCharType="begin"/>
        </w:r>
        <w:r w:rsidR="00B24FEE">
          <w:instrText xml:space="preserve"> ADDIN EN.CITE &lt;EndNote&gt;&lt;Cite&gt;&lt;Author&gt;Ganda&lt;/Author&gt;&lt;Year&gt;2013&lt;/Year&gt;&lt;RecNum&gt;551&lt;/RecNum&gt;&lt;DisplayText&gt;&lt;style face="superscript"&gt;36&lt;/style&gt;&lt;/DisplayText&gt;&lt;record&gt;&lt;rec-number&gt;551&lt;/rec-number&gt;&lt;foreign-keys&gt;&lt;key app="EN" db-id="sxpszd2ti9dx04ewefrvfp5bpf5faazszr9p" timestamp="0"&gt;551&lt;/key&gt;&lt;/foreign-keys&gt;&lt;ref-type name="Journal Article"&gt;17&lt;/ref-type&gt;&lt;contributors&gt;&lt;authors&gt;&lt;author&gt;Ganda, K.&lt;/author&gt;&lt;author&gt;Puech, M.&lt;/author&gt;&lt;author&gt;Chen, J. S.&lt;/author&gt;&lt;author&gt;Speerin, R.&lt;/author&gt;&lt;author&gt;Bleasel, J.&lt;/author&gt;&lt;author&gt;Center, J. R.&lt;/author&gt;&lt;author&gt;Eisman, J. A.&lt;/author&gt;&lt;author&gt;March, L.&lt;/author&gt;&lt;author&gt;Seibel, M. J.&lt;/author&gt;&lt;/authors&gt;&lt;/contributors&gt;&lt;titles&gt;&lt;title&gt;Models of care for the secondary prevention of osteoporotic fractures: a systematic review and meta-analysis&lt;/title&gt;&lt;secondary-title&gt;Osteoporosis International&lt;/secondary-title&gt;&lt;alt-title&gt;Osteoporos Int&lt;/alt-title&gt;&lt;/titles&gt;&lt;alt-periodical&gt;&lt;full-title&gt;Osteoporos Int&lt;/full-title&gt;&lt;/alt-periodical&gt;&lt;pages&gt;393-406&lt;/pages&gt;&lt;volume&gt;24&lt;/volume&gt;&lt;number&gt;2&lt;/number&gt;&lt;keywords&gt;&lt;keyword&gt;Cost-effectiveness&lt;/keyword&gt;&lt;keyword&gt;Fracture liaison services&lt;/keyword&gt;&lt;keyword&gt;Models of care&lt;/keyword&gt;&lt;keyword&gt;Osteoporosis treatment&lt;/keyword&gt;&lt;keyword&gt;Re-fractures&lt;/keyword&gt;&lt;keyword&gt;Secondary fracture prevention&lt;/keyword&gt;&lt;/keywords&gt;&lt;dates&gt;&lt;year&gt;2013&lt;/year&gt;&lt;pub-dates&gt;&lt;date&gt;2013/02/01&lt;/date&gt;&lt;/pub-dates&gt;&lt;/dates&gt;&lt;publisher&gt;Springer-Verlag&lt;/publisher&gt;&lt;isbn&gt;0937-941X&lt;/isbn&gt;&lt;urls&gt;&lt;related-urls&gt;&lt;url&gt;http://dx.doi.org/10.1007/s00198-012-2090-y&lt;/url&gt;&lt;/related-urls&gt;&lt;/urls&gt;&lt;electronic-resource-num&gt;10.1007/s00198-012-2090-y&lt;/electronic-resource-num&gt;&lt;language&gt;English&lt;/language&gt;&lt;/record&gt;&lt;/Cite&gt;&lt;/EndNote&gt;</w:instrText>
        </w:r>
        <w:r w:rsidR="00B24FEE">
          <w:fldChar w:fldCharType="separate"/>
        </w:r>
        <w:r w:rsidR="00B24FEE" w:rsidRPr="00B24FEE">
          <w:rPr>
            <w:noProof/>
            <w:vertAlign w:val="superscript"/>
          </w:rPr>
          <w:t>36</w:t>
        </w:r>
        <w:r w:rsidR="00B24FEE">
          <w:fldChar w:fldCharType="end"/>
        </w:r>
      </w:hyperlink>
      <w:r w:rsidRPr="00591BFC">
        <w:t>. There was no significant difference in primary care costs in the year of the hip fracture between men and women.</w:t>
      </w:r>
    </w:p>
    <w:p w14:paraId="20D1B5F6" w14:textId="54B1ADAC" w:rsidR="002A383E" w:rsidRPr="00591BFC" w:rsidRDefault="002A383E" w:rsidP="00E86771">
      <w:pPr>
        <w:spacing w:line="360" w:lineRule="auto"/>
      </w:pPr>
      <w:r w:rsidRPr="00591BFC">
        <w:t xml:space="preserve">Using the annual number of incident hip fracture cases, we were able to extrapolate our findings to the UK as a whole and estimate the annual impact of all </w:t>
      </w:r>
      <w:r w:rsidR="00EC42CF">
        <w:t xml:space="preserve">incident </w:t>
      </w:r>
      <w:r w:rsidRPr="00591BFC">
        <w:t>hip fractures on primary care and hospital services</w:t>
      </w:r>
      <w:r w:rsidR="00EC42CF" w:rsidRPr="00EC42CF">
        <w:t xml:space="preserve"> in the year of the event</w:t>
      </w:r>
      <w:r w:rsidRPr="00591BFC">
        <w:t>. This was estimated to be £</w:t>
      </w:r>
      <w:r w:rsidRPr="00591BFC">
        <w:rPr>
          <w:rFonts w:eastAsia="Times New Roman" w:cs="Calibri"/>
          <w:color w:val="000000"/>
          <w:lang w:eastAsia="en-GB"/>
        </w:rPr>
        <w:t>1,2</w:t>
      </w:r>
      <w:r w:rsidR="00EC42CF">
        <w:rPr>
          <w:rFonts w:eastAsia="Times New Roman" w:cs="Calibri"/>
          <w:color w:val="000000"/>
          <w:lang w:eastAsia="en-GB"/>
        </w:rPr>
        <w:t>15</w:t>
      </w:r>
      <w:r w:rsidRPr="00591BFC">
        <w:rPr>
          <w:rFonts w:eastAsia="Times New Roman" w:cs="Calibri"/>
          <w:color w:val="000000"/>
          <w:lang w:eastAsia="en-GB"/>
        </w:rPr>
        <w:t xml:space="preserve"> </w:t>
      </w:r>
      <w:r w:rsidRPr="00591BFC">
        <w:t>million a year and, if incidence is to rise by 32% in 2025</w:t>
      </w:r>
      <w:hyperlink w:anchor="_ENREF_129" w:tooltip="Hernlund, 2013 #1108" w:history="1">
        <w:r w:rsidR="00B24FEE">
          <w:fldChar w:fldCharType="begin">
            <w:fldData xml:space="preserve">PEVuZE5vdGU+PENpdGU+PEF1dGhvcj5IZXJubHVuZDwvQXV0aG9yPjxZZWFyPjIwMTM8L1llYXI+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=
</w:fldData>
          </w:fldChar>
        </w:r>
        <w:r w:rsidR="00B24FEE">
          <w:instrText xml:space="preserve"> ADDIN EN.CITE </w:instrText>
        </w:r>
        <w:r w:rsidR="00B24FEE">
          <w:fldChar w:fldCharType="begin">
            <w:fldData xml:space="preserve">PEVuZE5vdGU+PENpdGU+PEF1dGhvcj5IZXJubHVuZDwvQXV0aG9yPjxZZWFyPjIwMTM8L1llYXI+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=
</w:fldData>
          </w:fldChar>
        </w:r>
        <w:r w:rsidR="00B24FEE">
          <w:instrText xml:space="preserve"> ADDIN EN.CITE.DATA </w:instrText>
        </w:r>
        <w:r w:rsidR="00B24FEE">
          <w:fldChar w:fldCharType="end"/>
        </w:r>
        <w:r w:rsidR="00B24FEE">
          <w:fldChar w:fldCharType="separate"/>
        </w:r>
        <w:r w:rsidR="00B24FEE" w:rsidRPr="00B24FEE">
          <w:rPr>
            <w:noProof/>
            <w:vertAlign w:val="superscript"/>
          </w:rPr>
          <w:t>129</w:t>
        </w:r>
        <w:r w:rsidR="00B24FEE">
          <w:fldChar w:fldCharType="end"/>
        </w:r>
      </w:hyperlink>
      <w:r w:rsidRPr="00591BFC">
        <w:t>, the costs will increase to £1,6</w:t>
      </w:r>
      <w:r w:rsidR="00EC42CF">
        <w:t>04</w:t>
      </w:r>
      <w:r w:rsidRPr="00591BFC">
        <w:t xml:space="preserve"> million a year. Furthermore, given the high marginal annual costs of hip fracture per patient (£10,964), there is a considerable economic incentive to fund research aimed at identifying cost-effective ways of improving the uptake of osteoporosis therapies and the implementation of embed</w:t>
      </w:r>
      <w:r w:rsidR="00C0705C" w:rsidRPr="00591BFC">
        <w:t>ded</w:t>
      </w:r>
      <w:r w:rsidRPr="00591BFC">
        <w:t xml:space="preserve"> care pathways across healthcare services to effectively reduce avoidable fractures. Such data would aid decision makers</w:t>
      </w:r>
      <w:r w:rsidR="00C0705C" w:rsidRPr="00591BFC">
        <w:t xml:space="preserve"> to</w:t>
      </w:r>
      <w:r w:rsidRPr="00591BFC">
        <w:t xml:space="preserve"> implement policy decisions at a local and national level. Another major consequence of fragility fractures are the consequent increases in non-health care costs, resulting from the use of social care services, admission to care homes, and provision of unpaid care by friends and relatives</w:t>
      </w:r>
      <w:hyperlink w:anchor="_ENREF_148" w:tooltip="Hansen, 2013 #1128" w:history="1">
        <w:r w:rsidR="00B24FEE">
          <w:fldChar w:fldCharType="begin"/>
        </w:r>
        <w:r w:rsidR="00B24FEE">
          <w:instrText xml:space="preserve"> ADDIN EN.CITE &lt;EndNote&gt;&lt;Cite&gt;&lt;Author&gt;Hansen&lt;/Author&gt;&lt;Year&gt;2013&lt;/Year&gt;&lt;RecNum&gt;1128&lt;/RecNum&gt;&lt;DisplayText&gt;&lt;style face="superscript"&gt;148&lt;/style&gt;&lt;/DisplayText&gt;&lt;record&gt;&lt;rec-number&gt;1128&lt;/rec-number&gt;&lt;foreign-keys&gt;&lt;key app="EN" db-id="sxpszd2ti9dx04ewefrvfp5bpf5faazszr9p" timestamp="1435661164"&gt;1128&lt;/key&gt;&lt;/foreign-keys&gt;&lt;ref-type name="Journal Article"&gt;17&lt;/ref-type&gt;&lt;contributors&gt;&lt;authors&gt;&lt;author&gt;Hansen, L.&lt;/author&gt;&lt;author&gt;Mathiesen, A. S.&lt;/author&gt;&lt;author&gt;Vestergaard, P.&lt;/author&gt;&lt;author&gt;Ehlers, L. H.&lt;/author&gt;&lt;author&gt;Petersen, K. D.&lt;/author&gt;&lt;/authors&gt;&lt;/contributors&gt;&lt;auth-address&gt;Danish Center for Health Care Improvement, Aalborg University, Aalborg, Denmark. lhanse07@gmail.com&lt;/auth-address&gt;&lt;titles&gt;&lt;title&gt;A health economic analysis of osteoporotic fractures: who carries the burden?&lt;/title&gt;&lt;secondary-title&gt;Arch Osteoporos&lt;/secondary-title&gt;&lt;/titles&gt;&lt;periodical&gt;&lt;full-title&gt;Arch Osteoporos&lt;/full-title&gt;&lt;/periodical&gt;&lt;pages&gt;126&lt;/pages&gt;&lt;volume&gt;8&lt;/volume&gt;&lt;edition&gt;2013/02/20&lt;/edition&gt;&lt;keywords&gt;&lt;keyword&gt;Aged&lt;/keyword&gt;&lt;keyword&gt;*Cost of Illness&lt;/keyword&gt;&lt;keyword&gt;Denmark/epidemiology&lt;/keyword&gt;&lt;keyword&gt;Female&lt;/keyword&gt;&lt;keyword&gt;*Health Care Costs&lt;/keyword&gt;&lt;keyword&gt;Humans&lt;/keyword&gt;&lt;keyword&gt;Male&lt;/keyword&gt;&lt;keyword&gt;Middle Aged&lt;/keyword&gt;&lt;keyword&gt;Osteoporotic Fractures/*economics&lt;/keyword&gt;&lt;/keywords&gt;&lt;dates&gt;&lt;year&gt;2013&lt;/year&gt;&lt;/dates&gt;&lt;isbn&gt;1862-3514 (Electronic)&lt;/isbn&gt;&lt;accession-num&gt;23420317&lt;/accession-num&gt;&lt;urls&gt;&lt;related-urls&gt;&lt;url&gt;http://www.ncbi.nlm.nih.gov/pubmed/23420317&lt;/url&gt;&lt;/related-urls&gt;&lt;/urls&gt;&lt;custom2&gt;3880482&lt;/custom2&gt;&lt;electronic-resource-num&gt;10.1007/s11657-013-0126-3&lt;/electronic-resource-num&gt;&lt;language&gt;eng&lt;/language&gt;&lt;/record&gt;&lt;/Cite&gt;&lt;/EndNote&gt;</w:instrText>
        </w:r>
        <w:r w:rsidR="00B24FEE">
          <w:fldChar w:fldCharType="separate"/>
        </w:r>
        <w:r w:rsidR="00B24FEE" w:rsidRPr="00B24FEE">
          <w:rPr>
            <w:noProof/>
            <w:vertAlign w:val="superscript"/>
          </w:rPr>
          <w:t>148</w:t>
        </w:r>
        <w:r w:rsidR="00B24FEE">
          <w:fldChar w:fldCharType="end"/>
        </w:r>
      </w:hyperlink>
      <w:r w:rsidRPr="00591BFC">
        <w:t xml:space="preserve"> </w:t>
      </w:r>
      <w:r w:rsidR="000831C2" w:rsidRPr="00591BFC">
        <w:rPr>
          <w:noProof/>
        </w:rPr>
        <w:t xml:space="preserve">. </w:t>
      </w:r>
      <w:r w:rsidRPr="00591BFC">
        <w:t xml:space="preserve">Further research is needed to determine these costs for both hip and non-hip fragility fractures.  </w:t>
      </w:r>
    </w:p>
    <w:p w14:paraId="283E59C9" w14:textId="77777777" w:rsidR="002A383E" w:rsidRPr="00591BFC" w:rsidRDefault="002A383E" w:rsidP="00E86771">
      <w:pPr>
        <w:spacing w:line="360" w:lineRule="auto"/>
      </w:pPr>
      <w:r w:rsidRPr="00591BFC">
        <w:t>The main drivers of first year hospital costs were found to be mostly events related with hip fracture. Having a second hip fracture in the same year as the index fracture was associated with higher costs (£</w:t>
      </w:r>
      <w:r w:rsidRPr="00591BFC">
        <w:rPr>
          <w:color w:val="000000"/>
        </w:rPr>
        <w:t>9,198</w:t>
      </w:r>
      <w:r w:rsidRPr="00591BFC">
        <w:t>). However, hip fracture related complications or subsequent fractures were not found to be significantly associated with primary care costs. Another interesting finding with implications to economic evaluations concerning hip fracture management concerns the costs associated with mortality following hip fracture. Interventions that can improve survival may result in cost-savings or reduce future consumption of hospital resources.</w:t>
      </w:r>
    </w:p>
    <w:p w14:paraId="7B074F6E" w14:textId="77D8C55B" w:rsidR="002A383E" w:rsidRPr="00591BFC" w:rsidRDefault="002A383E" w:rsidP="00E86771">
      <w:pPr>
        <w:spacing w:line="360" w:lineRule="auto"/>
      </w:pPr>
      <w:r w:rsidRPr="00591BFC">
        <w:t>In addition to the above, we recogni</w:t>
      </w:r>
      <w:r w:rsidR="001F0197">
        <w:t>s</w:t>
      </w:r>
      <w:r w:rsidRPr="00591BFC">
        <w:t>e the following limitations. The hospital data were confined to a single region in UK. However, this region has a representative rate of hip fracture cases with similar gender and age distribution as the rest of the UK</w:t>
      </w:r>
      <w:hyperlink w:anchor="_ENREF_17" w:tooltip="Johansen, 2013 #73" w:history="1">
        <w:r w:rsidR="00B24FEE">
          <w:fldChar w:fldCharType="begin"/>
        </w:r>
        <w:r w:rsidR="00B24FEE">
          <w:instrText xml:space="preserve"> ADDIN EN.CITE &lt;EndNote&gt;&lt;Cite&gt;&lt;Author&gt;Johansen&lt;/Author&gt;&lt;Year&gt;2013&lt;/Year&gt;&lt;RecNum&gt;73&lt;/RecNum&gt;&lt;DisplayText&gt;&lt;style face="superscript"&gt;17&lt;/style&gt;&lt;/DisplayText&gt;&lt;record&gt;&lt;rec-number&gt;73&lt;/rec-number&gt;&lt;foreign-keys&gt;&lt;key app="EN" db-id="sxpszd2ti9dx04ewefrvfp5bpf5faazszr9p" timestamp="0"&gt;73&lt;/key&gt;&lt;/foreign-keys&gt;&lt;ref-type name="Report"&gt;27&lt;/ref-type&gt;&lt;contributors&gt;&lt;authors&gt;&lt;author&gt;Johansen, A.&lt;/author&gt;&lt;author&gt;Wakeman, R.&lt;/author&gt;&lt;author&gt;Boulton, C.&lt;/author&gt;&lt;author&gt;Plant, F.&lt;/author&gt;&lt;author&gt;Roberts, J.&lt;/author&gt;&lt;author&gt;Williams, A.&lt;/author&gt;&lt;/authors&gt;&lt;/contributors&gt;&lt;titles&gt;&lt;title&gt;National Hip Fracture Database. National report 2013&lt;/title&gt;&lt;/titles&gt;&lt;dates&gt;&lt;year&gt;2013&lt;/year&gt;&lt;/dates&gt;&lt;urls&gt;&lt;/urls&gt;&lt;/record&gt;&lt;/Cite&gt;&lt;/EndNote&gt;</w:instrText>
        </w:r>
        <w:r w:rsidR="00B24FEE">
          <w:fldChar w:fldCharType="separate"/>
        </w:r>
        <w:r w:rsidR="00B24FEE" w:rsidRPr="00B24FEE">
          <w:rPr>
            <w:noProof/>
            <w:vertAlign w:val="superscript"/>
          </w:rPr>
          <w:t>17</w:t>
        </w:r>
        <w:r w:rsidR="00B24FEE">
          <w:fldChar w:fldCharType="end"/>
        </w:r>
      </w:hyperlink>
      <w:r w:rsidR="00AB57EE" w:rsidRPr="00591BFC">
        <w:rPr>
          <w:noProof/>
        </w:rPr>
        <w:t xml:space="preserve">. </w:t>
      </w:r>
      <w:r w:rsidRPr="00591BFC">
        <w:t xml:space="preserve">Furthermore, the length of stay of index </w:t>
      </w:r>
      <w:r w:rsidRPr="00591BFC">
        <w:lastRenderedPageBreak/>
        <w:t>admission of a hip fracture is similar to that reported across the UK (19 vs. 20 days in 2012)</w:t>
      </w:r>
      <w:hyperlink w:anchor="_ENREF_17" w:tooltip="Johansen, 2013 #73" w:history="1">
        <w:r w:rsidR="00B24FEE">
          <w:fldChar w:fldCharType="begin"/>
        </w:r>
        <w:r w:rsidR="00B24FEE">
          <w:instrText xml:space="preserve"> ADDIN EN.CITE &lt;EndNote&gt;&lt;Cite&gt;&lt;Author&gt;Johansen&lt;/Author&gt;&lt;Year&gt;2013&lt;/Year&gt;&lt;RecNum&gt;73&lt;/RecNum&gt;&lt;DisplayText&gt;&lt;style face="superscript"&gt;17&lt;/style&gt;&lt;/DisplayText&gt;&lt;record&gt;&lt;rec-number&gt;73&lt;/rec-number&gt;&lt;foreign-keys&gt;&lt;key app="EN" db-id="sxpszd2ti9dx04ewefrvfp5bpf5faazszr9p" timestamp="0"&gt;73&lt;/key&gt;&lt;/foreign-keys&gt;&lt;ref-type name="Report"&gt;27&lt;/ref-type&gt;&lt;contributors&gt;&lt;authors&gt;&lt;author&gt;Johansen, A.&lt;/author&gt;&lt;author&gt;Wakeman, R.&lt;/author&gt;&lt;author&gt;Boulton, C.&lt;/author&gt;&lt;author&gt;Plant, F.&lt;/author&gt;&lt;author&gt;Roberts, J.&lt;/author&gt;&lt;author&gt;Williams, A.&lt;/author&gt;&lt;/authors&gt;&lt;/contributors&gt;&lt;titles&gt;&lt;title&gt;National Hip Fracture Database. National report 2013&lt;/title&gt;&lt;/titles&gt;&lt;dates&gt;&lt;year&gt;2013&lt;/year&gt;&lt;/dates&gt;&lt;urls&gt;&lt;/urls&gt;&lt;/record&gt;&lt;/Cite&gt;&lt;/EndNote&gt;</w:instrText>
        </w:r>
        <w:r w:rsidR="00B24FEE">
          <w:fldChar w:fldCharType="separate"/>
        </w:r>
        <w:r w:rsidR="00B24FEE" w:rsidRPr="00B24FEE">
          <w:rPr>
            <w:noProof/>
            <w:vertAlign w:val="superscript"/>
          </w:rPr>
          <w:t>17</w:t>
        </w:r>
        <w:r w:rsidR="00B24FEE">
          <w:fldChar w:fldCharType="end"/>
        </w:r>
      </w:hyperlink>
      <w:r w:rsidRPr="00591BFC">
        <w:t xml:space="preserve"> and by capturing actual NHS activity our results are strongly generali</w:t>
      </w:r>
      <w:r w:rsidR="00C0705C" w:rsidRPr="00591BFC">
        <w:t>s</w:t>
      </w:r>
      <w:r w:rsidRPr="00591BFC">
        <w:t>able. Although datasets such as HES capture key variables influencing costs of hospital stay such as diagnosis and procedures during episodes of hospitalisation, they are not comprehensive in recording other morbidity and severity measures.  Nonetheless, the validity of the HES dataset in identifying hip fracture cases has been shown to be very high</w:t>
      </w:r>
      <w:hyperlink w:anchor="_ENREF_17" w:tooltip="Johansen, 2013 #73" w:history="1">
        <w:r w:rsidR="00B24FEE">
          <w:fldChar w:fldCharType="begin"/>
        </w:r>
        <w:r w:rsidR="00B24FEE">
          <w:instrText xml:space="preserve"> ADDIN EN.CITE &lt;EndNote&gt;&lt;Cite&gt;&lt;Author&gt;Johansen&lt;/Author&gt;&lt;Year&gt;2013&lt;/Year&gt;&lt;RecNum&gt;73&lt;/RecNum&gt;&lt;DisplayText&gt;&lt;style face="superscript"&gt;17&lt;/style&gt;&lt;/DisplayText&gt;&lt;record&gt;&lt;rec-number&gt;73&lt;/rec-number&gt;&lt;foreign-keys&gt;&lt;key app="EN" db-id="sxpszd2ti9dx04ewefrvfp5bpf5faazszr9p" timestamp="0"&gt;73&lt;/key&gt;&lt;/foreign-keys&gt;&lt;ref-type name="Report"&gt;27&lt;/ref-type&gt;&lt;contributors&gt;&lt;authors&gt;&lt;author&gt;Johansen, A.&lt;/author&gt;&lt;author&gt;Wakeman, R.&lt;/author&gt;&lt;author&gt;Boulton, C.&lt;/author&gt;&lt;author&gt;Plant, F.&lt;/author&gt;&lt;author&gt;Roberts, J.&lt;/author&gt;&lt;author&gt;Williams, A.&lt;/author&gt;&lt;/authors&gt;&lt;/contributors&gt;&lt;titles&gt;&lt;title&gt;National Hip Fracture Database. National report 2013&lt;/title&gt;&lt;/titles&gt;&lt;dates&gt;&lt;year&gt;2013&lt;/year&gt;&lt;/dates&gt;&lt;urls&gt;&lt;/urls&gt;&lt;/record&gt;&lt;/Cite&gt;&lt;/EndNote&gt;</w:instrText>
        </w:r>
        <w:r w:rsidR="00B24FEE">
          <w:fldChar w:fldCharType="separate"/>
        </w:r>
        <w:r w:rsidR="00B24FEE" w:rsidRPr="00B24FEE">
          <w:rPr>
            <w:noProof/>
            <w:vertAlign w:val="superscript"/>
          </w:rPr>
          <w:t>17</w:t>
        </w:r>
        <w:r w:rsidR="00B24FEE">
          <w:fldChar w:fldCharType="end"/>
        </w:r>
      </w:hyperlink>
      <w:r w:rsidRPr="00591BFC">
        <w:t>.</w:t>
      </w:r>
      <w:r w:rsidR="00484408" w:rsidRPr="00591BFC">
        <w:t xml:space="preserve"> </w:t>
      </w:r>
      <w:r w:rsidRPr="00591BFC">
        <w:t>Furthermore, the ascertainment of diagnosis and co-morbidities occurs mostly in patients with admitted patient care (inpatient stay or day cases), and a better understanding is required of the reasons for outpatient and emergency contacts. Also, it would have been useful to have linked hospital data with social care records and estimate the costs beyond the healthcare setting. This is, however, very limited with the current administrative datasets in the UK. Hence, despite these limitations, the quality of the primary and hospital care datasets and the large sample sizes allowed us to make robust estimates of the healthcare costs of hip fracture and the impact of patient characteristics such as age, gender and deprivation and hip fracture related complications.</w:t>
      </w:r>
    </w:p>
    <w:p w14:paraId="627F1FE0" w14:textId="77777777" w:rsidR="002A383E" w:rsidRPr="00591BFC" w:rsidRDefault="002A383E" w:rsidP="00E86771">
      <w:pPr>
        <w:spacing w:line="360" w:lineRule="auto"/>
      </w:pPr>
      <w:r w:rsidRPr="00591BFC">
        <w:t>In conclusion, we report the impact of hip fracture on healthcare costs and its predictors in the UK. Our findings highli</w:t>
      </w:r>
      <w:r w:rsidR="00C0705C" w:rsidRPr="00591BFC">
        <w:t>ght the impact of hip fracture</w:t>
      </w:r>
      <w:r w:rsidRPr="00591BFC">
        <w:t xml:space="preserve"> and the importance of preventing hip re-fractures. </w:t>
      </w:r>
    </w:p>
    <w:p w14:paraId="41F6CA63" w14:textId="77777777" w:rsidR="000C1067" w:rsidRPr="00591BFC" w:rsidRDefault="00EC42CF" w:rsidP="00E86771">
      <w:pPr>
        <w:spacing w:line="360" w:lineRule="auto"/>
        <w:rPr>
          <w:lang w:eastAsia="x-none"/>
        </w:rPr>
      </w:pPr>
      <w:r>
        <w:rPr>
          <w:lang w:eastAsia="x-none"/>
        </w:rPr>
        <w:br w:type="page"/>
      </w:r>
    </w:p>
    <w:p w14:paraId="33BF1507" w14:textId="77777777" w:rsidR="00CF2E21" w:rsidRPr="00591BFC" w:rsidRDefault="00CF2E21" w:rsidP="00E86771">
      <w:pPr>
        <w:pStyle w:val="Heading1"/>
        <w:spacing w:line="360" w:lineRule="auto"/>
        <w:rPr>
          <w:rFonts w:ascii="Calibri" w:hAnsi="Calibri"/>
          <w:lang w:val="en-GB"/>
        </w:rPr>
      </w:pPr>
      <w:bookmarkStart w:id="391" w:name="_Toc308300804"/>
      <w:bookmarkStart w:id="392" w:name="_Toc311366611"/>
      <w:r w:rsidRPr="00591BFC">
        <w:rPr>
          <w:rFonts w:ascii="Calibri" w:hAnsi="Calibri"/>
          <w:lang w:val="en-GB"/>
        </w:rPr>
        <w:t xml:space="preserve">Chapter </w:t>
      </w:r>
      <w:r w:rsidR="00BB67BB" w:rsidRPr="00591BFC">
        <w:rPr>
          <w:rFonts w:ascii="Calibri" w:hAnsi="Calibri"/>
          <w:lang w:val="en-GB"/>
        </w:rPr>
        <w:t>8</w:t>
      </w:r>
      <w:r w:rsidRPr="00591BFC">
        <w:rPr>
          <w:rFonts w:ascii="Calibri" w:hAnsi="Calibri"/>
          <w:lang w:val="en-GB"/>
        </w:rPr>
        <w:t xml:space="preserve"> Cost-effectiveness </w:t>
      </w:r>
      <w:r w:rsidR="00EC42CF">
        <w:rPr>
          <w:rFonts w:ascii="Calibri" w:hAnsi="Calibri"/>
          <w:lang w:val="en-GB"/>
        </w:rPr>
        <w:t xml:space="preserve">analysis </w:t>
      </w:r>
      <w:r w:rsidR="00EC42CF" w:rsidRPr="00EC42CF">
        <w:rPr>
          <w:rFonts w:ascii="Calibri" w:hAnsi="Calibri"/>
          <w:lang w:val="en-GB"/>
        </w:rPr>
        <w:t>of models of care for secondary prevention of hip fracture</w:t>
      </w:r>
      <w:bookmarkEnd w:id="391"/>
      <w:bookmarkEnd w:id="392"/>
    </w:p>
    <w:p w14:paraId="449677F2" w14:textId="77777777" w:rsidR="00CF2E21" w:rsidRPr="00591BFC" w:rsidRDefault="00CF2E21" w:rsidP="00E86771">
      <w:pPr>
        <w:spacing w:line="360" w:lineRule="auto"/>
      </w:pPr>
    </w:p>
    <w:p w14:paraId="5B8466EA" w14:textId="77777777" w:rsidR="00CF2E21" w:rsidRPr="00591BFC" w:rsidRDefault="00CF2E21" w:rsidP="00E86771">
      <w:pPr>
        <w:pStyle w:val="Heading2"/>
        <w:spacing w:line="360" w:lineRule="auto"/>
        <w:rPr>
          <w:rFonts w:ascii="Calibri" w:hAnsi="Calibri"/>
          <w:lang w:val="en-GB"/>
        </w:rPr>
      </w:pPr>
      <w:bookmarkStart w:id="393" w:name="_Toc308300805"/>
      <w:bookmarkStart w:id="394" w:name="_Toc311366612"/>
      <w:r w:rsidRPr="00591BFC">
        <w:rPr>
          <w:rFonts w:ascii="Calibri" w:hAnsi="Calibri"/>
          <w:lang w:val="en-GB"/>
        </w:rPr>
        <w:t>Introduction</w:t>
      </w:r>
      <w:bookmarkEnd w:id="393"/>
      <w:bookmarkEnd w:id="394"/>
    </w:p>
    <w:p w14:paraId="016CFD59" w14:textId="77777777" w:rsidR="00CF2E21" w:rsidRPr="00591BFC" w:rsidRDefault="00CF2E21" w:rsidP="00E86771">
      <w:pPr>
        <w:spacing w:line="360" w:lineRule="auto"/>
      </w:pPr>
      <w:r w:rsidRPr="00591BFC">
        <w:t xml:space="preserve">In this chapter, we report the cost-effectiveness analysis of the delivery of secondary fracture prevention following index hip fracture in NHS hospitals. No firm evidence or evidence-based consensus exists as to </w:t>
      </w:r>
      <w:r w:rsidR="007A70B9">
        <w:t>which</w:t>
      </w:r>
      <w:r w:rsidRPr="00591BFC">
        <w:t xml:space="preserve"> type of secondary fracture prevention services for hip fracture</w:t>
      </w:r>
      <w:r w:rsidR="007A70B9">
        <w:t xml:space="preserve"> would be optimal</w:t>
      </w:r>
      <w:r w:rsidRPr="00591BFC">
        <w:t xml:space="preserve">. Hence, the aim is to determine whether introducing an orthogeriatrician (OG) or a </w:t>
      </w:r>
      <w:r w:rsidR="008E6533" w:rsidRPr="00591BFC">
        <w:t>FLN</w:t>
      </w:r>
      <w:r w:rsidRPr="00591BFC">
        <w:t>, as part of the delivery of secondary fracture prevention services, is cost-effective in the English NHS compared to standard care. The availability of large primary and secondary care administrative datasets allows robust estimation of the impact of the different models of care in terms of morbidity, survival, costs and cost-effectiveness.</w:t>
      </w:r>
    </w:p>
    <w:p w14:paraId="4D3FE6BE" w14:textId="77777777" w:rsidR="00CF2E21" w:rsidRPr="00591BFC" w:rsidRDefault="00CF2E21" w:rsidP="00E86771">
      <w:pPr>
        <w:spacing w:line="360" w:lineRule="auto"/>
      </w:pPr>
    </w:p>
    <w:p w14:paraId="2783F5B2" w14:textId="77777777" w:rsidR="00CF2E21" w:rsidRPr="00591BFC" w:rsidRDefault="00CF2E21" w:rsidP="00E86771">
      <w:pPr>
        <w:pStyle w:val="Heading2"/>
        <w:spacing w:line="360" w:lineRule="auto"/>
        <w:rPr>
          <w:rFonts w:ascii="Calibri" w:hAnsi="Calibri"/>
          <w:lang w:val="en-GB"/>
        </w:rPr>
      </w:pPr>
      <w:bookmarkStart w:id="395" w:name="_Toc308300806"/>
      <w:bookmarkStart w:id="396" w:name="_Toc311366613"/>
      <w:r w:rsidRPr="00591BFC">
        <w:rPr>
          <w:rFonts w:ascii="Calibri" w:hAnsi="Calibri"/>
          <w:lang w:val="en-GB"/>
        </w:rPr>
        <w:t>Aims</w:t>
      </w:r>
      <w:bookmarkEnd w:id="395"/>
      <w:bookmarkEnd w:id="396"/>
    </w:p>
    <w:p w14:paraId="0C757779" w14:textId="663FEDFD" w:rsidR="00CF2E21" w:rsidRPr="00591BFC" w:rsidRDefault="00CF2E21" w:rsidP="00E86771">
      <w:pPr>
        <w:spacing w:line="360" w:lineRule="auto"/>
      </w:pPr>
      <w:r w:rsidRPr="00591BFC">
        <w:t xml:space="preserve">Hip fractures are a major public health problem in terms of morbidity, mortality and healthcare and social care costs. Hip fractures account for the majority of osteoporotic fragility fractures and for over 40% of the estimated burden of osteoporosis worldwide </w:t>
      </w:r>
      <w:hyperlink w:anchor="_ENREF_128" w:tooltip="Johnell, 2006 #23" w:history="1">
        <w:r w:rsidR="00B24FEE">
          <w:fldChar w:fldCharType="begin"/>
        </w:r>
        <w:r w:rsidR="00B24FEE">
          <w:instrText xml:space="preserve"> ADDIN EN.CITE &lt;EndNote&gt;&lt;Cite&gt;&lt;Author&gt;Johnell&lt;/Author&gt;&lt;Year&gt;2006&lt;/Year&gt;&lt;RecNum&gt;23&lt;/RecNum&gt;&lt;DisplayText&gt;&lt;style face="superscript"&gt;128&lt;/style&gt;&lt;/DisplayText&gt;&lt;record&gt;&lt;rec-number&gt;23&lt;/rec-number&gt;&lt;foreign-keys&gt;&lt;key app="EN" db-id="sxpszd2ti9dx04ewefrvfp5bpf5faazszr9p" timestamp="0"&gt;23&lt;/key&gt;&lt;/foreign-keys&gt;&lt;ref-type name="Journal Article"&gt;17&lt;/ref-type&gt;&lt;contributors&gt;&lt;authors&gt;&lt;author&gt;Johnell, O.&lt;/author&gt;&lt;author&gt;Kanis, J.&lt;/author&gt;&lt;/authors&gt;&lt;/contributors&gt;&lt;titles&gt;&lt;title&gt;An estimate of the worldwide prevalence and disability associated with osteoporotic fractures&lt;/title&gt;&lt;secondary-title&gt;Osteoporosis International&lt;/secondary-title&gt;&lt;/titles&gt;&lt;pages&gt;1726-1733&lt;/pages&gt;&lt;volume&gt;17&lt;/volume&gt;&lt;number&gt;12&lt;/number&gt;&lt;keywords&gt;&lt;keyword&gt;Medicine&lt;/keyword&gt;&lt;/keywords&gt;&lt;dates&gt;&lt;year&gt;2006&lt;/year&gt;&lt;/dates&gt;&lt;publisher&gt;Springer London&lt;/publisher&gt;&lt;isbn&gt;0937-941X&lt;/isbn&gt;&lt;urls&gt;&lt;related-urls&gt;&lt;url&gt;http://dx.doi.org/10.1007/s00198-006-0172-4&lt;/url&gt;&lt;/related-urls&gt;&lt;/urls&gt;&lt;electronic-resource-num&gt;10.1007/s00198-006-0172-4&lt;/electronic-resource-num&gt;&lt;/record&gt;&lt;/Cite&gt;&lt;/EndNote&gt;</w:instrText>
        </w:r>
        <w:r w:rsidR="00B24FEE">
          <w:fldChar w:fldCharType="separate"/>
        </w:r>
        <w:r w:rsidR="00B24FEE" w:rsidRPr="00B24FEE">
          <w:rPr>
            <w:noProof/>
            <w:vertAlign w:val="superscript"/>
          </w:rPr>
          <w:t>128</w:t>
        </w:r>
        <w:r w:rsidR="00B24FEE">
          <w:fldChar w:fldCharType="end"/>
        </w:r>
      </w:hyperlink>
      <w:r w:rsidRPr="00591BFC">
        <w:t xml:space="preserve">. However, half of all hip fracture patients have had a prior fracture and responding to the first fracture is essential to prevent the second. In 2007, guidance on secondary prevention of fragility fractures </w:t>
      </w:r>
      <w:r w:rsidR="007A70B9">
        <w:t xml:space="preserve">recommended </w:t>
      </w:r>
      <w:r w:rsidRPr="00591BFC">
        <w:t>a comprehensive service consisting of osteoporosis assessment including a dual energy X-ray absorptiometry (DXA) scan to measure bone density if appropriate, treatment with bone protection therapy in osteoporosis patients, falls risk assessment and systems to improve adherence and persistence with therapy</w:t>
      </w:r>
      <w:hyperlink w:anchor="_ENREF_1" w:tooltip="British Orthopaedic Association, 2007 #25" w:history="1">
        <w:r w:rsidR="00B24FEE">
          <w:fldChar w:fldCharType="begin"/>
        </w:r>
        <w:r w:rsidR="00B24FEE">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fldChar w:fldCharType="separate"/>
        </w:r>
        <w:r w:rsidR="00B24FEE" w:rsidRPr="00B24FEE">
          <w:rPr>
            <w:noProof/>
            <w:vertAlign w:val="superscript"/>
          </w:rPr>
          <w:t>1</w:t>
        </w:r>
        <w:r w:rsidR="00B24FEE">
          <w:fldChar w:fldCharType="end"/>
        </w:r>
      </w:hyperlink>
      <w:r w:rsidRPr="00591BFC">
        <w:t>. The 2011 NICE guideline recommended a formal multidisciplinary management of the patients with hip fracture including liaison or integration with services such as primary care, bone health, falls prevention and social services</w:t>
      </w:r>
      <w:hyperlink w:anchor="_ENREF_29" w:tooltip="NICE, June 2011 #1099" w:history="1">
        <w:r w:rsidR="00B24FEE">
          <w:fldChar w:fldCharType="begin"/>
        </w:r>
        <w:r w:rsidR="00B24FEE">
          <w:instrText xml:space="preserve"> ADDIN EN.CITE &lt;EndNote&gt;&lt;Cite&gt;&lt;Author&gt;NICE&lt;/Author&gt;&lt;Year&gt;June 2011&lt;/Year&gt;&lt;RecNum&gt;1099&lt;/RecNum&gt;&lt;DisplayText&gt;&lt;style face="superscript"&gt;29&lt;/style&gt;&lt;/DisplayText&gt;&lt;record&gt;&lt;rec-number&gt;1099&lt;/rec-number&gt;&lt;foreign-keys&gt;&lt;key app="EN" db-id="sxpszd2ti9dx04ewefrvfp5bpf5faazszr9p" timestamp="0"&gt;1099&lt;/key&gt;&lt;/foreign-keys&gt;&lt;ref-type name="Report"&gt;27&lt;/ref-type&gt;&lt;contributors&gt;&lt;authors&gt;&lt;author&gt;NICE &lt;/author&gt;&lt;/authors&gt;&lt;/contributors&gt;&lt;titles&gt;&lt;title&gt;Clinical guidelines 124: The management of hip fracture in adults&lt;/title&gt;&lt;/titles&gt;&lt;dates&gt;&lt;year&gt;June 2011&lt;/year&gt;&lt;/dates&gt;&lt;urls&gt;&lt;/urls&gt;&lt;/record&gt;&lt;/Cite&gt;&lt;/EndNote&gt;</w:instrText>
        </w:r>
        <w:r w:rsidR="00B24FEE">
          <w:fldChar w:fldCharType="separate"/>
        </w:r>
        <w:r w:rsidR="00B24FEE" w:rsidRPr="00B24FEE">
          <w:rPr>
            <w:noProof/>
            <w:vertAlign w:val="superscript"/>
          </w:rPr>
          <w:t>29</w:t>
        </w:r>
        <w:r w:rsidR="00B24FEE">
          <w:fldChar w:fldCharType="end"/>
        </w:r>
      </w:hyperlink>
      <w:r w:rsidRPr="00591BFC">
        <w:t xml:space="preserve">. The Department of Health recommends a </w:t>
      </w:r>
      <w:r w:rsidR="007A70B9">
        <w:t>FLS</w:t>
      </w:r>
      <w:r w:rsidRPr="00591BFC">
        <w:t xml:space="preserve"> to organi</w:t>
      </w:r>
      <w:r w:rsidR="001F0197">
        <w:t>s</w:t>
      </w:r>
      <w:r w:rsidRPr="00591BFC">
        <w:t xml:space="preserve">e the secondary fracture prevention services to be delivered by a Nurse Specialist supported by a Lead Clinician in osteoporosis. However, despite these recommendations, no firm evidence or evidence-based consensus exists as to which model of secondary prevention care should be mandated across the NHS. As a result, current practice reflects a significant variation across NHS hospital providers in terms of the adoption of FLS and their structure. Therefore, the aim </w:t>
      </w:r>
      <w:r w:rsidRPr="00591BFC">
        <w:lastRenderedPageBreak/>
        <w:t xml:space="preserve">of this work is to determine whether introducing an </w:t>
      </w:r>
      <w:r w:rsidR="007A70B9">
        <w:t>orthogeriatrician</w:t>
      </w:r>
      <w:r w:rsidRPr="00591BFC">
        <w:t xml:space="preserve"> or a FLN for post-hip fracture care in hospital is c</w:t>
      </w:r>
      <w:r w:rsidR="007A70B9">
        <w:t>ost-effective when compared to usual</w:t>
      </w:r>
      <w:r w:rsidRPr="00591BFC">
        <w:t xml:space="preserve"> care in the English NHS.</w:t>
      </w:r>
    </w:p>
    <w:p w14:paraId="11750D37" w14:textId="77777777" w:rsidR="00CF2E21" w:rsidRPr="00591BFC" w:rsidRDefault="00CF2E21" w:rsidP="00E86771">
      <w:pPr>
        <w:spacing w:line="360" w:lineRule="auto"/>
      </w:pPr>
    </w:p>
    <w:p w14:paraId="5288A98E" w14:textId="77777777" w:rsidR="00CF2E21" w:rsidRPr="00591BFC" w:rsidRDefault="00CF2E21" w:rsidP="00E86771">
      <w:pPr>
        <w:pStyle w:val="Heading2"/>
        <w:spacing w:line="360" w:lineRule="auto"/>
        <w:rPr>
          <w:rFonts w:ascii="Calibri" w:hAnsi="Calibri"/>
          <w:lang w:val="en-GB"/>
        </w:rPr>
      </w:pPr>
      <w:bookmarkStart w:id="397" w:name="_Toc308300807"/>
      <w:bookmarkStart w:id="398" w:name="_Toc311366614"/>
      <w:r w:rsidRPr="00591BFC">
        <w:rPr>
          <w:rFonts w:ascii="Calibri" w:hAnsi="Calibri"/>
          <w:lang w:val="en-GB"/>
        </w:rPr>
        <w:t>Existing research</w:t>
      </w:r>
      <w:bookmarkEnd w:id="397"/>
      <w:bookmarkEnd w:id="398"/>
    </w:p>
    <w:p w14:paraId="5FDD9DBA" w14:textId="51594779" w:rsidR="00CF2E21" w:rsidRPr="00591BFC" w:rsidRDefault="00CF2E21" w:rsidP="00E86771">
      <w:pPr>
        <w:spacing w:line="360" w:lineRule="auto"/>
      </w:pPr>
      <w:r w:rsidRPr="00591BFC">
        <w:t>Two recently published systematic review assessed the economic evidence concerning the prevention of osteoporotic fractures</w:t>
      </w:r>
      <w:hyperlink w:anchor="_ENREF_36" w:tooltip="Ganda, 2013 #551" w:history="1">
        <w:r w:rsidR="00B24FEE">
          <w:fldChar w:fldCharType="begin"/>
        </w:r>
        <w:r w:rsidR="00B24FEE">
          <w:instrText xml:space="preserve"> ADDIN EN.CITE &lt;EndNote&gt;&lt;Cite&gt;&lt;Author&gt;Ganda&lt;/Author&gt;&lt;Year&gt;2013&lt;/Year&gt;&lt;RecNum&gt;551&lt;/RecNum&gt;&lt;DisplayText&gt;&lt;style face="superscript"&gt;36&lt;/style&gt;&lt;/DisplayText&gt;&lt;record&gt;&lt;rec-number&gt;551&lt;/rec-number&gt;&lt;foreign-keys&gt;&lt;key app="EN" db-id="sxpszd2ti9dx04ewefrvfp5bpf5faazszr9p" timestamp="0"&gt;551&lt;/key&gt;&lt;/foreign-keys&gt;&lt;ref-type name="Journal Article"&gt;17&lt;/ref-type&gt;&lt;contributors&gt;&lt;authors&gt;&lt;author&gt;Ganda, K.&lt;/author&gt;&lt;author&gt;Puech, M.&lt;/author&gt;&lt;author&gt;Chen, J. S.&lt;/author&gt;&lt;author&gt;Speerin, R.&lt;/author&gt;&lt;author&gt;Bleasel, J.&lt;/author&gt;&lt;author&gt;Center, J. R.&lt;/author&gt;&lt;author&gt;Eisman, J. A.&lt;/author&gt;&lt;author&gt;March, L.&lt;/author&gt;&lt;author&gt;Seibel, M. J.&lt;/author&gt;&lt;/authors&gt;&lt;/contributors&gt;&lt;titles&gt;&lt;title&gt;Models of care for the secondary prevention of osteoporotic fractures: a systematic review and meta-analysis&lt;/title&gt;&lt;secondary-title&gt;Osteoporosis International&lt;/secondary-title&gt;&lt;alt-title&gt;Osteoporos Int&lt;/alt-title&gt;&lt;/titles&gt;&lt;alt-periodical&gt;&lt;full-title&gt;Osteoporos Int&lt;/full-title&gt;&lt;/alt-periodical&gt;&lt;pages&gt;393-406&lt;/pages&gt;&lt;volume&gt;24&lt;/volume&gt;&lt;number&gt;2&lt;/number&gt;&lt;keywords&gt;&lt;keyword&gt;Cost-effectiveness&lt;/keyword&gt;&lt;keyword&gt;Fracture liaison services&lt;/keyword&gt;&lt;keyword&gt;Models of care&lt;/keyword&gt;&lt;keyword&gt;Osteoporosis treatment&lt;/keyword&gt;&lt;keyword&gt;Re-fractures&lt;/keyword&gt;&lt;keyword&gt;Secondary fracture prevention&lt;/keyword&gt;&lt;/keywords&gt;&lt;dates&gt;&lt;year&gt;2013&lt;/year&gt;&lt;pub-dates&gt;&lt;date&gt;2013/02/01&lt;/date&gt;&lt;/pub-dates&gt;&lt;/dates&gt;&lt;publisher&gt;Springer-Verlag&lt;/publisher&gt;&lt;isbn&gt;0937-941X&lt;/isbn&gt;&lt;urls&gt;&lt;related-urls&gt;&lt;url&gt;http://dx.doi.org/10.1007/s00198-012-2090-y&lt;/url&gt;&lt;/related-urls&gt;&lt;/urls&gt;&lt;electronic-resource-num&gt;10.1007/s00198-012-2090-y&lt;/electronic-resource-num&gt;&lt;language&gt;English&lt;/language&gt;&lt;/record&gt;&lt;/Cite&gt;&lt;/EndNote&gt;</w:instrText>
        </w:r>
        <w:r w:rsidR="00B24FEE">
          <w:fldChar w:fldCharType="separate"/>
        </w:r>
        <w:r w:rsidR="00B24FEE" w:rsidRPr="00B24FEE">
          <w:rPr>
            <w:noProof/>
            <w:vertAlign w:val="superscript"/>
          </w:rPr>
          <w:t>36</w:t>
        </w:r>
        <w:r w:rsidR="00B24FEE">
          <w:fldChar w:fldCharType="end"/>
        </w:r>
      </w:hyperlink>
      <w:r w:rsidRPr="00591BFC">
        <w:t>. These reviews identified three studies assessing the cost-effectiveness of models of care for the prevention of fractures, one in the UK</w:t>
      </w:r>
      <w:hyperlink w:anchor="_ENREF_20" w:tooltip="McLellan, 2011 #45" w:history="1">
        <w:r w:rsidR="00B24FEE">
          <w:fldChar w:fldCharType="begin"/>
        </w:r>
        <w:r w:rsidR="00B24FEE">
          <w:instrText xml:space="preserve"> ADDIN EN.CITE &lt;EndNote&gt;&lt;Cite&gt;&lt;Author&gt;McLellan&lt;/Author&gt;&lt;Year&gt;2011&lt;/Year&gt;&lt;RecNum&gt;45&lt;/RecNum&gt;&lt;DisplayText&gt;&lt;style face="superscript"&gt;20&lt;/style&gt;&lt;/DisplayText&gt;&lt;record&gt;&lt;rec-number&gt;45&lt;/rec-number&gt;&lt;foreign-keys&gt;&lt;key app="EN" db-id="sxpszd2ti9dx04ewefrvfp5bpf5faazszr9p" timestamp="0"&gt;45&lt;/key&gt;&lt;/foreign-keys&gt;&lt;ref-type name="Journal Article"&gt;17&lt;/ref-type&gt;&lt;contributors&gt;&lt;authors&gt;&lt;author&gt;McLellan, A.&lt;/author&gt;&lt;author&gt;Wolowacz, S.&lt;/author&gt;&lt;author&gt;Zimovetz, E.&lt;/author&gt;&lt;author&gt;Beard, S.&lt;/author&gt;&lt;author&gt;Lock, S.&lt;/author&gt;&lt;author&gt;McCrink, L.&lt;/author&gt;&lt;author&gt;Adekunle, F.&lt;/author&gt;&lt;author&gt;Roberts, D.&lt;/author&gt;&lt;/authors&gt;&lt;/contributors&gt;&lt;titles&gt;&lt;title&gt;Fracture liaison services for the evaluation and management of patients with osteoporotic fracture: a cost-effectiveness evaluation based on data collected over 8 years of service provision&lt;/title&gt;&lt;secondary-title&gt;Osteoporosis International&lt;/secondary-title&gt;&lt;/titles&gt;&lt;pages&gt;2083-2098&lt;/pages&gt;&lt;volume&gt;22&lt;/volume&gt;&lt;number&gt;7&lt;/number&gt;&lt;keywords&gt;&lt;keyword&gt;Medicine&lt;/keyword&gt;&lt;/keywords&gt;&lt;dates&gt;&lt;year&gt;2011&lt;/year&gt;&lt;/dates&gt;&lt;publisher&gt;Springer London&lt;/publisher&gt;&lt;isbn&gt;0937-941X&lt;/isbn&gt;&lt;urls&gt;&lt;related-urls&gt;&lt;url&gt;http://dx.doi.org/10.1007/s00198-011-1534-0&lt;/url&gt;&lt;/related-urls&gt;&lt;/urls&gt;&lt;electronic-resource-num&gt;10.1007/s00198-011-1534-0&lt;/electronic-resource-num&gt;&lt;/record&gt;&lt;/Cite&gt;&lt;/EndNote&gt;</w:instrText>
        </w:r>
        <w:r w:rsidR="00B24FEE">
          <w:fldChar w:fldCharType="separate"/>
        </w:r>
        <w:r w:rsidR="00B24FEE" w:rsidRPr="00B24FEE">
          <w:rPr>
            <w:noProof/>
            <w:vertAlign w:val="superscript"/>
          </w:rPr>
          <w:t>20</w:t>
        </w:r>
        <w:r w:rsidR="00B24FEE">
          <w:fldChar w:fldCharType="end"/>
        </w:r>
      </w:hyperlink>
      <w:r w:rsidRPr="00591BFC">
        <w:t>, one in Canada</w:t>
      </w:r>
      <w:hyperlink w:anchor="_ENREF_94" w:tooltip="Majumdar, 2009 #1137" w:history="1">
        <w:r w:rsidR="00B24FEE">
          <w:fldChar w:fldCharType="begin">
            <w:fldData xml:space="preserve">PEVuZE5vdGU+PENpdGU+PEF1dGhvcj5NYWp1bWRhcjwvQXV0aG9yPjxZZWFyPjIwMDk8L1llYXI+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==
</w:fldData>
          </w:fldChar>
        </w:r>
        <w:r w:rsidR="00B24FEE">
          <w:instrText xml:space="preserve"> ADDIN EN.CITE </w:instrText>
        </w:r>
        <w:r w:rsidR="00B24FEE">
          <w:fldChar w:fldCharType="begin">
            <w:fldData xml:space="preserve">PEVuZE5vdGU+PENpdGU+PEF1dGhvcj5NYWp1bWRhcjwvQXV0aG9yPjxZZWFyPjIwMDk8L1llYXI+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==
</w:fldData>
          </w:fldChar>
        </w:r>
        <w:r w:rsidR="00B24FEE">
          <w:instrText xml:space="preserve"> ADDIN EN.CITE.DATA </w:instrText>
        </w:r>
        <w:r w:rsidR="00B24FEE">
          <w:fldChar w:fldCharType="end"/>
        </w:r>
        <w:r w:rsidR="00B24FEE">
          <w:fldChar w:fldCharType="separate"/>
        </w:r>
        <w:r w:rsidR="00B24FEE" w:rsidRPr="00B24FEE">
          <w:rPr>
            <w:noProof/>
            <w:vertAlign w:val="superscript"/>
          </w:rPr>
          <w:t>94</w:t>
        </w:r>
        <w:r w:rsidR="00B24FEE">
          <w:fldChar w:fldCharType="end"/>
        </w:r>
      </w:hyperlink>
      <w:r w:rsidRPr="00591BFC">
        <w:t>, and one in Australia</w:t>
      </w:r>
      <w:hyperlink w:anchor="_ENREF_21" w:tooltip="Cooper, 2012 #147" w:history="1">
        <w:r w:rsidR="00B24FEE">
          <w:fldChar w:fldCharType="begin">
            <w:fldData xml:space="preserve">PEVuZE5vdGU+PENpdGU+PEF1dGhvcj5Db29wZXI8L0F1dGhvcj48WWVhcj4yMDEyPC9ZZWFyPjxS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</w:fldData>
          </w:fldChar>
        </w:r>
        <w:r w:rsidR="00B24FEE">
          <w:instrText xml:space="preserve"> ADDIN EN.CITE </w:instrText>
        </w:r>
        <w:r w:rsidR="00B24FEE">
          <w:fldChar w:fldCharType="begin">
            <w:fldData xml:space="preserve">PEVuZE5vdGU+PENpdGU+PEF1dGhvcj5Db29wZXI8L0F1dGhvcj48WWVhcj4yMDEyPC9ZZWFyPjxS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</w:fldData>
          </w:fldChar>
        </w:r>
        <w:r w:rsidR="00B24FEE">
          <w:instrText xml:space="preserve"> ADDIN EN.CITE.DATA </w:instrText>
        </w:r>
        <w:r w:rsidR="00B24FEE">
          <w:fldChar w:fldCharType="end"/>
        </w:r>
        <w:r w:rsidR="00B24FEE">
          <w:fldChar w:fldCharType="separate"/>
        </w:r>
        <w:r w:rsidR="00B24FEE" w:rsidRPr="00B24FEE">
          <w:rPr>
            <w:noProof/>
            <w:vertAlign w:val="superscript"/>
          </w:rPr>
          <w:t>21</w:t>
        </w:r>
        <w:r w:rsidR="00B24FEE">
          <w:fldChar w:fldCharType="end"/>
        </w:r>
      </w:hyperlink>
      <w:r w:rsidRPr="00591BFC">
        <w:t xml:space="preserve">.  The three cost-effectiveness studies used decision models (Markov models) to examine the impact of secondary fracture prevention interventions such as: the presence of a hospital osteoporosis case manager and Fracture Liaison services. The main outcome measure used across the three studies was quality-adjusted life years (QALYs) and the time horizon of the analysis varied from 10 years to lifetime. </w:t>
      </w:r>
    </w:p>
    <w:p w14:paraId="53F8CD0C" w14:textId="5159B5C0" w:rsidR="00CF2E21" w:rsidRPr="00591BFC" w:rsidRDefault="00CF2E21" w:rsidP="00E86771">
      <w:pPr>
        <w:spacing w:line="360" w:lineRule="auto"/>
      </w:pPr>
      <w:r w:rsidRPr="00591BFC">
        <w:t xml:space="preserve">The Canadian study by Majumdar </w:t>
      </w:r>
      <w:r w:rsidRPr="00591BFC">
        <w:rPr>
          <w:i/>
        </w:rPr>
        <w:t>et al.</w:t>
      </w:r>
      <w:hyperlink w:anchor="_ENREF_94" w:tooltip="Majumdar, 2009 #1137" w:history="1">
        <w:r w:rsidR="00B24FEE">
          <w:rPr>
            <w:i/>
          </w:rPr>
          <w:fldChar w:fldCharType="begin">
            <w:fldData xml:space="preserve">PEVuZE5vdGU+PENpdGU+PEF1dGhvcj5NYWp1bWRhcjwvQXV0aG9yPjxZZWFyPjIwMDk8L1llYXI+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==
</w:fldData>
          </w:fldChar>
        </w:r>
        <w:r w:rsidR="00B24FEE">
          <w:rPr>
            <w:i/>
          </w:rPr>
          <w:instrText xml:space="preserve"> ADDIN EN.CITE </w:instrText>
        </w:r>
        <w:r w:rsidR="00B24FEE">
          <w:rPr>
            <w:i/>
          </w:rPr>
          <w:fldChar w:fldCharType="begin">
            <w:fldData xml:space="preserve">PEVuZE5vdGU+PENpdGU+PEF1dGhvcj5NYWp1bWRhcjwvQXV0aG9yPjxZZWFyPjIwMDk8L1llYXI+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==
</w:fldData>
          </w:fldChar>
        </w:r>
        <w:r w:rsidR="00B24FEE">
          <w:rPr>
            <w:i/>
          </w:rPr>
          <w:instrText xml:space="preserve"> ADDIN EN.CITE.DATA </w:instrText>
        </w:r>
        <w:r w:rsidR="00B24FEE">
          <w:rPr>
            <w:i/>
          </w:rPr>
        </w:r>
        <w:r w:rsidR="00B24FEE">
          <w:rPr>
            <w:i/>
          </w:rPr>
          <w:fldChar w:fldCharType="end"/>
        </w:r>
        <w:r w:rsidR="00B24FEE">
          <w:rPr>
            <w:i/>
          </w:rPr>
        </w:r>
        <w:r w:rsidR="00B24FEE">
          <w:rPr>
            <w:i/>
          </w:rPr>
          <w:fldChar w:fldCharType="separate"/>
        </w:r>
        <w:r w:rsidR="00B24FEE" w:rsidRPr="00B24FEE">
          <w:rPr>
            <w:i/>
            <w:noProof/>
            <w:vertAlign w:val="superscript"/>
          </w:rPr>
          <w:t>94</w:t>
        </w:r>
        <w:r w:rsidR="00B24FEE">
          <w:rPr>
            <w:i/>
          </w:rPr>
          <w:fldChar w:fldCharType="end"/>
        </w:r>
      </w:hyperlink>
      <w:r w:rsidR="00C23C0B" w:rsidRPr="00591BFC">
        <w:t xml:space="preserve"> </w:t>
      </w:r>
      <w:r w:rsidRPr="00591BFC">
        <w:t xml:space="preserve">focused specifically on a hip fracture population and examined the impact of a hospital-based osteoporosis case manager in improving the rates of osteoporosis treatment, compared to usual care. The role of the case manager was to educate patients, arrange bone mineral density tests, provide prescriptions, and communicate with primary care doctors. The time horizon of the analysis was lifetime and the authors report the intervention to be both cost-saving and more effective compared to usual care. However, the model was based on published literature and a small clinical trial of 220 patients followed up for a year. Furthermore, the clinical trial did not evaluate the impact of the intervention in terms of re-fracture rates, quality of life or life expectancy. Rather the trial evaluated, as main outcomes, the receipt of bisphosphonate therapy, BMD testing and appropriate care. Hence, assumptions and published literature were required to link the trial outcomes with the main outcomes of the cost-effectiveness analysis, i.e. </w:t>
      </w:r>
      <w:r w:rsidR="008E6533" w:rsidRPr="00591BFC">
        <w:t>Quality of Life Years (</w:t>
      </w:r>
      <w:r w:rsidRPr="00591BFC">
        <w:t>QALYs</w:t>
      </w:r>
      <w:r w:rsidR="008E6533" w:rsidRPr="00591BFC">
        <w:t>)</w:t>
      </w:r>
      <w:r w:rsidRPr="00591BFC">
        <w:t xml:space="preserve">. Furthermore, the clinical trial excluded patients with hip fracture admitted from a care home </w:t>
      </w:r>
      <w:r w:rsidR="007A70B9">
        <w:t>who</w:t>
      </w:r>
      <w:r w:rsidRPr="00591BFC">
        <w:t xml:space="preserve"> are likely to represent a significant proportion of the hip fracture population. </w:t>
      </w:r>
    </w:p>
    <w:p w14:paraId="0ADF3575" w14:textId="6CD545BD" w:rsidR="00CF2E21" w:rsidRPr="00591BFC" w:rsidRDefault="00CF2E21" w:rsidP="00E86771">
      <w:pPr>
        <w:spacing w:line="360" w:lineRule="auto"/>
      </w:pPr>
      <w:r w:rsidRPr="00591BFC">
        <w:t xml:space="preserve">The Australian study by Cooper </w:t>
      </w:r>
      <w:r w:rsidRPr="00591BFC">
        <w:rPr>
          <w:i/>
        </w:rPr>
        <w:t>et al.</w:t>
      </w:r>
      <w:hyperlink w:anchor="_ENREF_21" w:tooltip="Cooper, 2012 #147" w:history="1">
        <w:r w:rsidR="00B24FEE">
          <w:rPr>
            <w:i/>
          </w:rPr>
          <w:fldChar w:fldCharType="begin">
            <w:fldData xml:space="preserve">PEVuZE5vdGU+PENpdGU+PEF1dGhvcj5Db29wZXI8L0F1dGhvcj48WWVhcj4yMDEyPC9ZZWFyPjxS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</w:fldData>
          </w:fldChar>
        </w:r>
        <w:r w:rsidR="00B24FEE">
          <w:rPr>
            <w:i/>
          </w:rPr>
          <w:instrText xml:space="preserve"> ADDIN EN.CITE </w:instrText>
        </w:r>
        <w:r w:rsidR="00B24FEE">
          <w:rPr>
            <w:i/>
          </w:rPr>
          <w:fldChar w:fldCharType="begin">
            <w:fldData xml:space="preserve">PEVuZE5vdGU+PENpdGU+PEF1dGhvcj5Db29wZXI8L0F1dGhvcj48WWVhcj4yMDEyPC9ZZWFyPjxS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</w:fldData>
          </w:fldChar>
        </w:r>
        <w:r w:rsidR="00B24FEE">
          <w:rPr>
            <w:i/>
          </w:rPr>
          <w:instrText xml:space="preserve"> ADDIN EN.CITE.DATA </w:instrText>
        </w:r>
        <w:r w:rsidR="00B24FEE">
          <w:rPr>
            <w:i/>
          </w:rPr>
        </w:r>
        <w:r w:rsidR="00B24FEE">
          <w:rPr>
            <w:i/>
          </w:rPr>
          <w:fldChar w:fldCharType="end"/>
        </w:r>
        <w:r w:rsidR="00B24FEE">
          <w:rPr>
            <w:i/>
          </w:rPr>
        </w:r>
        <w:r w:rsidR="00B24FEE">
          <w:rPr>
            <w:i/>
          </w:rPr>
          <w:fldChar w:fldCharType="separate"/>
        </w:r>
        <w:r w:rsidR="00B24FEE" w:rsidRPr="00B24FEE">
          <w:rPr>
            <w:i/>
            <w:noProof/>
            <w:vertAlign w:val="superscript"/>
          </w:rPr>
          <w:t>21</w:t>
        </w:r>
        <w:r w:rsidR="00B24FEE">
          <w:rPr>
            <w:i/>
          </w:rPr>
          <w:fldChar w:fldCharType="end"/>
        </w:r>
      </w:hyperlink>
      <w:r w:rsidR="00C23C0B" w:rsidRPr="00591BFC">
        <w:t xml:space="preserve"> </w:t>
      </w:r>
      <w:r w:rsidRPr="00591BFC">
        <w:t xml:space="preserve">compared an outpatient-based FLS for patients presenting with a fragility fracture compared to patients treated in primary care (standard care). The FLS involved additional input from a specialist clinic and resulted in increased usage of bone scans, lab investigations and medications compared to primary care. The time horizon of the analysis was 10 years. The authors reported the FLS to be highly cost-effective with an incremental cost-effectiveness ratio below AUD 20,000 per QALY gained compared to standard care (primary care). </w:t>
      </w:r>
      <w:r w:rsidRPr="00591BFC">
        <w:lastRenderedPageBreak/>
        <w:t xml:space="preserve">The model was based on a 4-year prospective observational study of patients with fragility fracture </w:t>
      </w:r>
      <w:r w:rsidR="007A70B9">
        <w:t xml:space="preserve">which included </w:t>
      </w:r>
      <w:r w:rsidRPr="00591BFC">
        <w:t>a concurrent control group treated in primary care. The observational study informed the clinical effectiveness and the natural history inputs of the decision model. However, the authors were not able to identify the components of the FLS that accounted for its clinical effectiveness. Furthermore, no results were provided for the subgroup of hip fracture patients nor did they extrapolate the findings to lifetime. Another limitation concerns the cost component of the a</w:t>
      </w:r>
      <w:r w:rsidR="007A70B9">
        <w:t>nalysis which was informed by a variety of</w:t>
      </w:r>
      <w:r w:rsidRPr="00591BFC">
        <w:t xml:space="preserve"> sources such as a burden of illness study, assumptions and the prospective observational study. Also, healthcare costs used in the model included only the t</w:t>
      </w:r>
      <w:r w:rsidR="007A70B9">
        <w:t>reatment of fractures, and excluded</w:t>
      </w:r>
      <w:r w:rsidRPr="00591BFC">
        <w:t xml:space="preserve"> other healthcare usage resulting from having a fracture.</w:t>
      </w:r>
    </w:p>
    <w:p w14:paraId="301272CA" w14:textId="660C30CF" w:rsidR="00CF2E21" w:rsidRPr="00591BFC" w:rsidRDefault="00CF2E21" w:rsidP="00E86771">
      <w:pPr>
        <w:spacing w:line="360" w:lineRule="auto"/>
      </w:pPr>
      <w:r w:rsidRPr="00591BFC">
        <w:t xml:space="preserve">The UK study by McLellan </w:t>
      </w:r>
      <w:r w:rsidRPr="00591BFC">
        <w:rPr>
          <w:i/>
        </w:rPr>
        <w:t>et al.</w:t>
      </w:r>
      <w:hyperlink w:anchor="_ENREF_20" w:tooltip="McLellan, 2011 #45" w:history="1">
        <w:r w:rsidR="00B24FEE">
          <w:rPr>
            <w:i/>
          </w:rPr>
          <w:fldChar w:fldCharType="begin"/>
        </w:r>
        <w:r w:rsidR="00B24FEE">
          <w:rPr>
            <w:i/>
          </w:rPr>
          <w:instrText xml:space="preserve"> ADDIN EN.CITE &lt;EndNote&gt;&lt;Cite&gt;&lt;Author&gt;McLellan&lt;/Author&gt;&lt;Year&gt;2011&lt;/Year&gt;&lt;RecNum&gt;45&lt;/RecNum&gt;&lt;DisplayText&gt;&lt;style face="superscript"&gt;20&lt;/style&gt;&lt;/DisplayText&gt;&lt;record&gt;&lt;rec-number&gt;45&lt;/rec-number&gt;&lt;foreign-keys&gt;&lt;key app="EN" db-id="sxpszd2ti9dx04ewefrvfp5bpf5faazszr9p" timestamp="0"&gt;45&lt;/key&gt;&lt;/foreign-keys&gt;&lt;ref-type name="Journal Article"&gt;17&lt;/ref-type&gt;&lt;contributors&gt;&lt;authors&gt;&lt;author&gt;McLellan, A.&lt;/author&gt;&lt;author&gt;Wolowacz, S.&lt;/author&gt;&lt;author&gt;Zimovetz, E.&lt;/author&gt;&lt;author&gt;Beard, S.&lt;/author&gt;&lt;author&gt;Lock, S.&lt;/author&gt;&lt;author&gt;McCrink, L.&lt;/author&gt;&lt;author&gt;Adekunle, F.&lt;/author&gt;&lt;author&gt;Roberts, D.&lt;/author&gt;&lt;/authors&gt;&lt;/contributors&gt;&lt;titles&gt;&lt;title&gt;Fracture liaison services for the evaluation and management of patients with osteoporotic fracture: a cost-effectiveness evaluation based on data collected over 8 years of service provision&lt;/title&gt;&lt;secondary-title&gt;Osteoporosis International&lt;/secondary-title&gt;&lt;/titles&gt;&lt;pages&gt;2083-2098&lt;/pages&gt;&lt;volume&gt;22&lt;/volume&gt;&lt;number&gt;7&lt;/number&gt;&lt;keywords&gt;&lt;keyword&gt;Medicine&lt;/keyword&gt;&lt;/keywords&gt;&lt;dates&gt;&lt;year&gt;2011&lt;/year&gt;&lt;/dates&gt;&lt;publisher&gt;Springer London&lt;/publisher&gt;&lt;isbn&gt;0937-941X&lt;/isbn&gt;&lt;urls&gt;&lt;related-urls&gt;&lt;url&gt;http://dx.doi.org/10.1007/s00198-011-1534-0&lt;/url&gt;&lt;/related-urls&gt;&lt;/urls&gt;&lt;electronic-resource-num&gt;10.1007/s00198-011-1534-0&lt;/electronic-resource-num&gt;&lt;/record&gt;&lt;/Cite&gt;&lt;/EndNote&gt;</w:instrText>
        </w:r>
        <w:r w:rsidR="00B24FEE">
          <w:rPr>
            <w:i/>
          </w:rPr>
          <w:fldChar w:fldCharType="separate"/>
        </w:r>
        <w:r w:rsidR="00B24FEE" w:rsidRPr="00B24FEE">
          <w:rPr>
            <w:i/>
            <w:noProof/>
            <w:vertAlign w:val="superscript"/>
          </w:rPr>
          <w:t>20</w:t>
        </w:r>
        <w:r w:rsidR="00B24FEE">
          <w:rPr>
            <w:i/>
          </w:rPr>
          <w:fldChar w:fldCharType="end"/>
        </w:r>
      </w:hyperlink>
      <w:r w:rsidR="00C23C0B" w:rsidRPr="00591BFC">
        <w:rPr>
          <w:i/>
        </w:rPr>
        <w:t xml:space="preserve"> </w:t>
      </w:r>
      <w:r w:rsidRPr="00591BFC">
        <w:t xml:space="preserve">compared a FLS for the prevention of further fractures with </w:t>
      </w:r>
      <w:r w:rsidR="007A70B9">
        <w:t xml:space="preserve">care in </w:t>
      </w:r>
      <w:r w:rsidRPr="00591BFC">
        <w:t xml:space="preserve">the absence of FLS. The FLS consisted of having an osteoporosis nurse identifying low-trauma fracture patients in hospital, educating and inviting them to the fracture risk-assessment clinic where a treatment recommendation </w:t>
      </w:r>
      <w:r w:rsidR="007A70B9">
        <w:t xml:space="preserve">was </w:t>
      </w:r>
      <w:r w:rsidRPr="00591BFC">
        <w:t xml:space="preserve">made, if appropriate, on the basis of assessment of future potential fracture risk. The treatment recommendation </w:t>
      </w:r>
      <w:r w:rsidR="007A70B9">
        <w:t>was</w:t>
      </w:r>
      <w:r w:rsidRPr="00591BFC">
        <w:t xml:space="preserve"> endorsed by the lead consultant and sent to the patient’s GP for the initiation of treatment in primary care. The time horizon of the analysis was lifetime. The authors reported the FLS to be more effective and less costly than no FLS. However, there are important limitations to this study. As </w:t>
      </w:r>
      <w:r w:rsidR="007A70B9">
        <w:t xml:space="preserve">in </w:t>
      </w:r>
      <w:r w:rsidRPr="00591BFC">
        <w:t>the Australian study, no results were provided for a population solely composed by hip fracture p</w:t>
      </w:r>
      <w:r w:rsidR="007A70B9">
        <w:t xml:space="preserve">atients. Furthermore, although the study </w:t>
      </w:r>
      <w:r w:rsidRPr="00591BFC">
        <w:t>was informed by 8 years of audit data collected by the West Glasgow FLS, there was no comparable control group. Hence, the authors had to rely on published literature and assumptions to model the impact of FLS on fractures relative to its absence. The remaining model inputs were also derived from a range of sources and fracture populations</w:t>
      </w:r>
      <w:r w:rsidR="007A70B9">
        <w:t>, and various</w:t>
      </w:r>
      <w:r w:rsidRPr="00591BFC">
        <w:t xml:space="preserve"> assumptions </w:t>
      </w:r>
      <w:r w:rsidR="007A70B9">
        <w:t>were required to</w:t>
      </w:r>
      <w:r w:rsidRPr="00591BFC">
        <w:t xml:space="preserve"> synthesise the data.</w:t>
      </w:r>
    </w:p>
    <w:p w14:paraId="4ECA8C71" w14:textId="77777777" w:rsidR="00CF2E21" w:rsidRPr="00591BFC" w:rsidRDefault="00CF2E21" w:rsidP="00E86771">
      <w:pPr>
        <w:spacing w:line="360" w:lineRule="auto"/>
      </w:pPr>
      <w:r w:rsidRPr="00591BFC">
        <w:t>Existent cost-effectiveness evidence is limited but seems to suggest that secondary prevention services for fractures can be cost-effective and even cost-saving. Nonetheless, the most cost-effective approach to provide secondary prevention service following hip fractures</w:t>
      </w:r>
      <w:r w:rsidR="007A70B9">
        <w:t xml:space="preserve"> remains unclear</w:t>
      </w:r>
      <w:r w:rsidRPr="00591BFC">
        <w:t>. There is t</w:t>
      </w:r>
      <w:r w:rsidR="007A70B9">
        <w:t>herefore</w:t>
      </w:r>
      <w:r w:rsidRPr="00591BFC">
        <w:t xml:space="preserve"> significant scope to bridge this gap by using large primary and secondary care administrative datasets supported by a systematic and detailed characterisation of the services provided across NHS providers. Such</w:t>
      </w:r>
      <w:r w:rsidR="007A70B9">
        <w:t xml:space="preserve"> a </w:t>
      </w:r>
      <w:r w:rsidR="007A70B9" w:rsidRPr="00591BFC">
        <w:t>framework</w:t>
      </w:r>
      <w:r w:rsidRPr="00591BFC">
        <w:t xml:space="preserve"> </w:t>
      </w:r>
      <w:r w:rsidR="007A70B9">
        <w:t>should allow</w:t>
      </w:r>
      <w:r w:rsidRPr="00591BFC">
        <w:t xml:space="preserve"> the impact of the different components of a FLS </w:t>
      </w:r>
      <w:r w:rsidR="007A70B9">
        <w:t xml:space="preserve">to be compared </w:t>
      </w:r>
      <w:r w:rsidRPr="00591BFC">
        <w:t xml:space="preserve">in a robust and precise manner. </w:t>
      </w:r>
    </w:p>
    <w:p w14:paraId="4B7ABBD1" w14:textId="77777777" w:rsidR="00CF2E21" w:rsidRPr="00591BFC" w:rsidRDefault="00CF2E21" w:rsidP="00E86771">
      <w:pPr>
        <w:spacing w:line="360" w:lineRule="auto"/>
      </w:pPr>
    </w:p>
    <w:p w14:paraId="3E8428ED" w14:textId="77777777" w:rsidR="00CF2E21" w:rsidRPr="00591BFC" w:rsidRDefault="00CF2E21" w:rsidP="00E86771">
      <w:pPr>
        <w:pStyle w:val="Heading2"/>
        <w:spacing w:line="360" w:lineRule="auto"/>
        <w:rPr>
          <w:rFonts w:ascii="Calibri" w:hAnsi="Calibri"/>
          <w:lang w:val="en-GB"/>
        </w:rPr>
      </w:pPr>
      <w:bookmarkStart w:id="399" w:name="_Toc308300808"/>
      <w:bookmarkStart w:id="400" w:name="_Toc311366615"/>
      <w:r w:rsidRPr="00591BFC">
        <w:rPr>
          <w:rFonts w:ascii="Calibri" w:hAnsi="Calibri"/>
          <w:lang w:val="en-GB"/>
        </w:rPr>
        <w:lastRenderedPageBreak/>
        <w:t>Methods</w:t>
      </w:r>
      <w:bookmarkEnd w:id="399"/>
      <w:bookmarkEnd w:id="400"/>
    </w:p>
    <w:p w14:paraId="6F22EA6E" w14:textId="77777777" w:rsidR="00CF2E21" w:rsidRPr="00591BFC" w:rsidRDefault="00CF2E21" w:rsidP="00E86771">
      <w:pPr>
        <w:pStyle w:val="Heading3"/>
        <w:spacing w:line="360" w:lineRule="auto"/>
        <w:rPr>
          <w:rFonts w:ascii="Calibri" w:hAnsi="Calibri"/>
          <w:lang w:val="en-GB"/>
        </w:rPr>
      </w:pPr>
      <w:bookmarkStart w:id="401" w:name="_Toc308300809"/>
      <w:bookmarkStart w:id="402" w:name="_Toc311366616"/>
      <w:r w:rsidRPr="00591BFC">
        <w:rPr>
          <w:rFonts w:ascii="Calibri" w:hAnsi="Calibri"/>
          <w:lang w:val="en-GB"/>
        </w:rPr>
        <w:t>Interventions under study</w:t>
      </w:r>
      <w:bookmarkEnd w:id="401"/>
      <w:bookmarkEnd w:id="402"/>
    </w:p>
    <w:p w14:paraId="2988721A" w14:textId="77777777" w:rsidR="00CF2E21" w:rsidRPr="00591BFC" w:rsidRDefault="00CF2E21" w:rsidP="00E86771">
      <w:pPr>
        <w:spacing w:line="360" w:lineRule="auto"/>
      </w:pPr>
      <w:r w:rsidRPr="00591BFC">
        <w:t>We estim</w:t>
      </w:r>
      <w:r w:rsidR="007A70B9">
        <w:t xml:space="preserve">ated the cost-effectiveness of </w:t>
      </w:r>
      <w:r w:rsidRPr="00591BFC">
        <w:t>t</w:t>
      </w:r>
      <w:r w:rsidR="007A70B9">
        <w:t>hree</w:t>
      </w:r>
      <w:r w:rsidRPr="00591BFC">
        <w:t xml:space="preserve"> models of secondary fracture prevention for all patients with a hip fracture admitted to a NHS hospital:</w:t>
      </w:r>
    </w:p>
    <w:p w14:paraId="728E17E6" w14:textId="77777777" w:rsidR="00CF2E21" w:rsidRPr="00591BFC" w:rsidRDefault="00CF2E21" w:rsidP="00E86771">
      <w:pPr>
        <w:pStyle w:val="ListParagraph"/>
        <w:numPr>
          <w:ilvl w:val="0"/>
          <w:numId w:val="21"/>
        </w:numPr>
        <w:spacing w:after="160" w:line="360" w:lineRule="auto"/>
      </w:pPr>
      <w:r w:rsidRPr="00591BFC">
        <w:t>Introduction of an orthogeriatrician (OG) model of post-hip fracture care;</w:t>
      </w:r>
    </w:p>
    <w:p w14:paraId="5037C532" w14:textId="77777777" w:rsidR="00CF2E21" w:rsidRPr="00591BFC" w:rsidRDefault="00CF2E21" w:rsidP="00E86771">
      <w:pPr>
        <w:pStyle w:val="ListParagraph"/>
        <w:numPr>
          <w:ilvl w:val="0"/>
          <w:numId w:val="21"/>
        </w:numPr>
        <w:spacing w:after="160" w:line="360" w:lineRule="auto"/>
      </w:pPr>
      <w:r w:rsidRPr="00591BFC">
        <w:t>Introduction of a fracture liaison nurse (FLN) model of post-hip fracture care;</w:t>
      </w:r>
    </w:p>
    <w:p w14:paraId="0694E5B6" w14:textId="77777777" w:rsidR="00CF2E21" w:rsidRPr="00591BFC" w:rsidRDefault="007A70B9" w:rsidP="00E86771">
      <w:pPr>
        <w:pStyle w:val="ListParagraph"/>
        <w:numPr>
          <w:ilvl w:val="0"/>
          <w:numId w:val="21"/>
        </w:numPr>
        <w:spacing w:after="160" w:line="360" w:lineRule="auto"/>
      </w:pPr>
      <w:r>
        <w:t>Usual</w:t>
      </w:r>
      <w:r w:rsidR="00CF2E21" w:rsidRPr="00591BFC">
        <w:t xml:space="preserve"> post-hip fracture care (no OG or FLN).</w:t>
      </w:r>
    </w:p>
    <w:p w14:paraId="193D22BA" w14:textId="77777777" w:rsidR="00CF2E21" w:rsidRPr="00591BFC" w:rsidRDefault="00CF2E21" w:rsidP="00E86771">
      <w:pPr>
        <w:spacing w:line="360" w:lineRule="auto"/>
      </w:pPr>
      <w:r w:rsidRPr="00591BFC">
        <w:t>In addition, the cost-effectiveness of these models of care was assessed in patient subgroups in terms of age at hip fracture (60, 70, 80 and 90 years), gender (male or female and Charlson co-morbidity index before hip fracture.</w:t>
      </w:r>
    </w:p>
    <w:p w14:paraId="596A0878" w14:textId="77777777" w:rsidR="00CF2E21" w:rsidRPr="00591BFC" w:rsidRDefault="00CF2E21" w:rsidP="00E86771">
      <w:pPr>
        <w:spacing w:line="360" w:lineRule="auto"/>
      </w:pPr>
    </w:p>
    <w:p w14:paraId="53D3C7B2" w14:textId="77777777" w:rsidR="00CF2E21" w:rsidRPr="00591BFC" w:rsidRDefault="00CF2E21" w:rsidP="00E86771">
      <w:pPr>
        <w:pStyle w:val="Heading3"/>
        <w:spacing w:line="360" w:lineRule="auto"/>
        <w:rPr>
          <w:rFonts w:ascii="Calibri" w:hAnsi="Calibri"/>
          <w:lang w:val="en-GB"/>
        </w:rPr>
      </w:pPr>
      <w:bookmarkStart w:id="403" w:name="_Toc308300810"/>
      <w:bookmarkStart w:id="404" w:name="_Toc311366617"/>
      <w:r w:rsidRPr="00591BFC">
        <w:rPr>
          <w:rFonts w:ascii="Calibri" w:hAnsi="Calibri"/>
          <w:lang w:val="en-GB"/>
        </w:rPr>
        <w:t>Model structure</w:t>
      </w:r>
      <w:bookmarkEnd w:id="403"/>
      <w:bookmarkEnd w:id="404"/>
    </w:p>
    <w:p w14:paraId="7EA0EB46" w14:textId="6D708692" w:rsidR="00CF2E21" w:rsidRPr="00591BFC" w:rsidRDefault="00CF2E21" w:rsidP="00E86771">
      <w:pPr>
        <w:spacing w:line="360" w:lineRule="auto"/>
      </w:pPr>
      <w:r w:rsidRPr="00591BFC">
        <w:t>A decision analytic model was developed to evaluate the costs, (quality-adjusted) life expectancy and cost-effectiveness of the different models of secondary care hip fracture prevention under evaluation. Given the natural history of hip fracture progression with recursive events, the most appropriate type of model was judged to be a Markov model which was developed in Excel (Microsoft, Redmond, WA). The model was used to simulate the natural history of the hip fracture population across health states representing the history of hip fracture and major non-hip fractures and hospital discharge to the patient’s own home or to a care home. Hence, the following hea</w:t>
      </w:r>
      <w:r w:rsidR="00F503F8" w:rsidRPr="00591BFC">
        <w:t>lth states were defined (</w:t>
      </w:r>
      <w:r w:rsidR="00F503F8" w:rsidRPr="00591BFC">
        <w:fldChar w:fldCharType="begin"/>
      </w:r>
      <w:r w:rsidR="00F503F8" w:rsidRPr="00591BFC">
        <w:instrText xml:space="preserve"> REF _Ref423005973 \h </w:instrText>
      </w:r>
      <w:r w:rsidR="00E814C1" w:rsidRPr="00591BFC">
        <w:instrText xml:space="preserve"> \* MERGEFORMAT </w:instrText>
      </w:r>
      <w:r w:rsidR="00F503F8" w:rsidRPr="00591BFC">
        <w:fldChar w:fldCharType="separate"/>
      </w:r>
      <w:r w:rsidR="003B70E3" w:rsidRPr="00591BFC">
        <w:t xml:space="preserve">Figure </w:t>
      </w:r>
      <w:r w:rsidR="003B70E3">
        <w:rPr>
          <w:noProof/>
        </w:rPr>
        <w:t>28</w:t>
      </w:r>
      <w:r w:rsidR="00F503F8" w:rsidRPr="00591BFC">
        <w:fldChar w:fldCharType="end"/>
      </w:r>
      <w:r w:rsidR="00F503F8" w:rsidRPr="00591BFC">
        <w:t xml:space="preserve">, </w:t>
      </w:r>
      <w:r w:rsidR="00F503F8" w:rsidRPr="00591BFC">
        <w:fldChar w:fldCharType="begin"/>
      </w:r>
      <w:r w:rsidR="00F503F8" w:rsidRPr="00591BFC">
        <w:instrText xml:space="preserve"> REF _Ref423006107 \h </w:instrText>
      </w:r>
      <w:r w:rsidR="00E814C1" w:rsidRPr="00591BFC">
        <w:instrText xml:space="preserve"> \* MERGEFORMAT </w:instrText>
      </w:r>
      <w:r w:rsidR="00F503F8" w:rsidRPr="00591BFC">
        <w:fldChar w:fldCharType="separate"/>
      </w:r>
      <w:r w:rsidR="003B70E3" w:rsidRPr="00591BFC">
        <w:t xml:space="preserve">Figure </w:t>
      </w:r>
      <w:r w:rsidR="003B70E3">
        <w:rPr>
          <w:noProof/>
        </w:rPr>
        <w:t>29</w:t>
      </w:r>
      <w:r w:rsidR="00F503F8" w:rsidRPr="00591BFC">
        <w:fldChar w:fldCharType="end"/>
      </w:r>
      <w:r w:rsidRPr="00591BFC">
        <w:t>):</w:t>
      </w:r>
    </w:p>
    <w:p w14:paraId="7E6EE70B" w14:textId="77777777" w:rsidR="00CF2E21" w:rsidRPr="00591BFC" w:rsidRDefault="00CF2E21" w:rsidP="00E86771">
      <w:pPr>
        <w:pStyle w:val="ListParagraph"/>
        <w:numPr>
          <w:ilvl w:val="0"/>
          <w:numId w:val="22"/>
        </w:numPr>
        <w:spacing w:after="160" w:line="360" w:lineRule="auto"/>
      </w:pPr>
      <w:r w:rsidRPr="00591BFC">
        <w:t>Death within 30 days following first or second hip fracture admission;</w:t>
      </w:r>
    </w:p>
    <w:p w14:paraId="7FA292B2" w14:textId="77777777" w:rsidR="00CF2E21" w:rsidRPr="00591BFC" w:rsidRDefault="00CF2E21" w:rsidP="00E86771">
      <w:pPr>
        <w:pStyle w:val="ListParagraph"/>
        <w:numPr>
          <w:ilvl w:val="0"/>
          <w:numId w:val="22"/>
        </w:numPr>
        <w:spacing w:after="160" w:line="360" w:lineRule="auto"/>
      </w:pPr>
      <w:r w:rsidRPr="00591BFC">
        <w:t>Second hip fracture;</w:t>
      </w:r>
    </w:p>
    <w:p w14:paraId="1AE2A0B1" w14:textId="77777777" w:rsidR="00CF2E21" w:rsidRPr="00591BFC" w:rsidRDefault="00CF2E21" w:rsidP="00E86771">
      <w:pPr>
        <w:pStyle w:val="ListParagraph"/>
        <w:numPr>
          <w:ilvl w:val="0"/>
          <w:numId w:val="22"/>
        </w:numPr>
        <w:spacing w:after="160" w:line="360" w:lineRule="auto"/>
      </w:pPr>
      <w:r w:rsidRPr="00591BFC">
        <w:t>Other major fragility non-hip fractures requiring hospitalisation;</w:t>
      </w:r>
    </w:p>
    <w:p w14:paraId="033B5AAE" w14:textId="77777777" w:rsidR="00CF2E21" w:rsidRPr="00591BFC" w:rsidRDefault="00CF2E21" w:rsidP="00E86771">
      <w:pPr>
        <w:pStyle w:val="ListParagraph"/>
        <w:numPr>
          <w:ilvl w:val="0"/>
          <w:numId w:val="22"/>
        </w:numPr>
        <w:spacing w:after="160" w:line="360" w:lineRule="auto"/>
      </w:pPr>
      <w:r w:rsidRPr="00591BFC">
        <w:t>History of primary hip fracture;</w:t>
      </w:r>
    </w:p>
    <w:p w14:paraId="1712776A" w14:textId="77777777" w:rsidR="00CF2E21" w:rsidRPr="00591BFC" w:rsidRDefault="00CF2E21" w:rsidP="00E86771">
      <w:pPr>
        <w:pStyle w:val="ListParagraph"/>
        <w:numPr>
          <w:ilvl w:val="0"/>
          <w:numId w:val="22"/>
        </w:numPr>
        <w:spacing w:after="160" w:line="360" w:lineRule="auto"/>
      </w:pPr>
      <w:r w:rsidRPr="00591BFC">
        <w:t>History of major fragility non-hip fractures requiring hospitalisation;</w:t>
      </w:r>
    </w:p>
    <w:p w14:paraId="3A7BEBD0" w14:textId="77777777" w:rsidR="00CF2E21" w:rsidRPr="00591BFC" w:rsidRDefault="00CF2E21" w:rsidP="00E86771">
      <w:pPr>
        <w:pStyle w:val="ListParagraph"/>
        <w:numPr>
          <w:ilvl w:val="0"/>
          <w:numId w:val="22"/>
        </w:numPr>
        <w:spacing w:after="160" w:line="360" w:lineRule="auto"/>
      </w:pPr>
      <w:r w:rsidRPr="00591BFC">
        <w:t>History of second hip fracture;</w:t>
      </w:r>
    </w:p>
    <w:p w14:paraId="3F124DEC" w14:textId="77777777" w:rsidR="00CF2E21" w:rsidRPr="00591BFC" w:rsidRDefault="00CF2E21" w:rsidP="00E86771">
      <w:pPr>
        <w:pStyle w:val="ListParagraph"/>
        <w:numPr>
          <w:ilvl w:val="0"/>
          <w:numId w:val="22"/>
        </w:numPr>
        <w:spacing w:after="160" w:line="360" w:lineRule="auto"/>
      </w:pPr>
      <w:r w:rsidRPr="00591BFC">
        <w:t>History of second hip fracture and major fragility non-hip fractures;</w:t>
      </w:r>
    </w:p>
    <w:p w14:paraId="3C443BE3" w14:textId="77777777" w:rsidR="00CF2E21" w:rsidRPr="00591BFC" w:rsidRDefault="00CF2E21" w:rsidP="00E86771">
      <w:pPr>
        <w:pStyle w:val="ListParagraph"/>
        <w:numPr>
          <w:ilvl w:val="0"/>
          <w:numId w:val="22"/>
        </w:numPr>
        <w:spacing w:after="160" w:line="360" w:lineRule="auto"/>
      </w:pPr>
      <w:r w:rsidRPr="00591BFC">
        <w:t>Death within year.</w:t>
      </w:r>
    </w:p>
    <w:p w14:paraId="20BA558C" w14:textId="77777777" w:rsidR="00CF2E21" w:rsidRPr="00591BFC" w:rsidRDefault="00CF2E21" w:rsidP="00E86771">
      <w:pPr>
        <w:spacing w:line="360" w:lineRule="auto"/>
      </w:pPr>
      <w:r w:rsidRPr="00591BFC">
        <w:t xml:space="preserve">The model had three absorbing states: history of second hip fracture and major fragility non-hip fractures (progressing only to death after reaching this state); death within 30 days following hip </w:t>
      </w:r>
      <w:r w:rsidRPr="00591BFC">
        <w:lastRenderedPageBreak/>
        <w:t>fracture, and death within year. We assumed that if a patient transited to a care home they would remain there for the rest of their lifetime.</w:t>
      </w:r>
    </w:p>
    <w:p w14:paraId="2770ACC9" w14:textId="77777777" w:rsidR="00345A4D" w:rsidRDefault="00345A4D" w:rsidP="00E86771">
      <w:pPr>
        <w:spacing w:line="360" w:lineRule="auto"/>
        <w:sectPr w:rsidR="00345A4D" w:rsidSect="00C76357">
          <w:pgSz w:w="11900" w:h="16840"/>
          <w:pgMar w:top="1440" w:right="1440" w:bottom="1440" w:left="1440" w:header="708" w:footer="708" w:gutter="0"/>
          <w:cols w:space="708"/>
          <w:docGrid w:linePitch="360"/>
        </w:sectPr>
      </w:pPr>
    </w:p>
    <w:p w14:paraId="28A15517" w14:textId="77777777" w:rsidR="00CF2E21" w:rsidRPr="00591BFC" w:rsidRDefault="00CF2E21" w:rsidP="00E86771">
      <w:pPr>
        <w:numPr>
          <w:ilvl w:val="0"/>
          <w:numId w:val="26"/>
        </w:numPr>
        <w:spacing w:line="360" w:lineRule="auto"/>
      </w:pPr>
    </w:p>
    <w:p w14:paraId="504A246D" w14:textId="77777777" w:rsidR="00CF2E21" w:rsidRPr="00591BFC" w:rsidRDefault="002149AD" w:rsidP="00E86771">
      <w:pPr>
        <w:spacing w:line="360" w:lineRule="auto"/>
      </w:pPr>
      <w:r>
        <w:rPr>
          <w:noProof/>
          <w:lang w:eastAsia="en-GB"/>
        </w:rPr>
        <w:pict w14:anchorId="487413D8">
          <v:shape id="Picture 28" o:spid="_x0000_i1052" type="#_x0000_t75" style="width:630.25pt;height:368.6pt;visibility:visible">
            <v:imagedata r:id="rId42" o:title=""/>
          </v:shape>
        </w:pict>
      </w:r>
    </w:p>
    <w:p w14:paraId="476457F8" w14:textId="77777777" w:rsidR="00961987" w:rsidRDefault="00961987" w:rsidP="00E86771">
      <w:pPr>
        <w:spacing w:line="360" w:lineRule="auto"/>
      </w:pPr>
    </w:p>
    <w:p w14:paraId="489189E5" w14:textId="77777777" w:rsidR="00CF2E21" w:rsidRPr="00591BFC" w:rsidRDefault="00CF2E21" w:rsidP="00E86771">
      <w:pPr>
        <w:spacing w:line="360" w:lineRule="auto"/>
      </w:pPr>
      <w:r w:rsidRPr="00591BFC">
        <w:lastRenderedPageBreak/>
        <w:t xml:space="preserve">B: </w:t>
      </w:r>
    </w:p>
    <w:p w14:paraId="1263E28C" w14:textId="77777777" w:rsidR="005E43F5" w:rsidRPr="00591BFC" w:rsidRDefault="002149AD" w:rsidP="00E86771">
      <w:pPr>
        <w:keepNext/>
        <w:spacing w:line="360" w:lineRule="auto"/>
      </w:pPr>
      <w:r>
        <w:rPr>
          <w:noProof/>
          <w:lang w:eastAsia="en-GB"/>
        </w:rPr>
        <w:pict w14:anchorId="749DD8BF">
          <v:shape id="_x0000_i1053" type="#_x0000_t75" style="width:639.4pt;height:332.6pt;visibility:visible">
            <v:imagedata r:id="rId43" o:title=""/>
          </v:shape>
        </w:pict>
      </w:r>
    </w:p>
    <w:p w14:paraId="42F776D6" w14:textId="77777777" w:rsidR="00CF2E21" w:rsidRPr="00591BFC" w:rsidRDefault="005E43F5" w:rsidP="00E86771">
      <w:pPr>
        <w:pStyle w:val="Caption"/>
        <w:spacing w:line="360" w:lineRule="auto"/>
      </w:pPr>
      <w:bookmarkStart w:id="405" w:name="_Ref423005973"/>
      <w:bookmarkStart w:id="406" w:name="_Toc424650339"/>
      <w:bookmarkStart w:id="407" w:name="_Toc311366724"/>
      <w:r w:rsidRPr="00591BFC">
        <w:t xml:space="preserve">Figure </w:t>
      </w:r>
      <w:r w:rsidR="002149AD">
        <w:fldChar w:fldCharType="begin"/>
      </w:r>
      <w:r w:rsidR="002149AD">
        <w:instrText xml:space="preserve"> SEQ Figure \* ARABIC </w:instrText>
      </w:r>
      <w:r w:rsidR="002149AD">
        <w:fldChar w:fldCharType="separate"/>
      </w:r>
      <w:r w:rsidR="00776C05">
        <w:rPr>
          <w:noProof/>
        </w:rPr>
        <w:t>28</w:t>
      </w:r>
      <w:r w:rsidR="002149AD">
        <w:rPr>
          <w:noProof/>
        </w:rPr>
        <w:fldChar w:fldCharType="end"/>
      </w:r>
      <w:bookmarkEnd w:id="405"/>
      <w:r w:rsidRPr="00591BFC">
        <w:t xml:space="preserve"> Model structure and health states in the first year of simulation: a. Discharge to care home, b. discharge to </w:t>
      </w:r>
      <w:r w:rsidR="00F503F8" w:rsidRPr="00591BFC">
        <w:t>own</w:t>
      </w:r>
      <w:r w:rsidRPr="00591BFC">
        <w:t xml:space="preserve"> home.</w:t>
      </w:r>
      <w:bookmarkEnd w:id="406"/>
      <w:bookmarkEnd w:id="407"/>
      <w:r w:rsidRPr="00591BFC">
        <w:t xml:space="preserve"> </w:t>
      </w:r>
    </w:p>
    <w:p w14:paraId="2A96C743" w14:textId="77777777" w:rsidR="00CF2E21" w:rsidRPr="00591BFC" w:rsidRDefault="00CF2E21" w:rsidP="00E86771">
      <w:pPr>
        <w:spacing w:line="360" w:lineRule="auto"/>
      </w:pPr>
    </w:p>
    <w:p w14:paraId="75670ECF" w14:textId="77777777" w:rsidR="00CF2E21" w:rsidRPr="00591BFC" w:rsidRDefault="00CF2E21" w:rsidP="00E86771">
      <w:pPr>
        <w:spacing w:line="360" w:lineRule="auto"/>
      </w:pPr>
      <w:r w:rsidRPr="00591BFC">
        <w:br w:type="page"/>
      </w:r>
      <w:r w:rsidRPr="00591BFC">
        <w:lastRenderedPageBreak/>
        <w:t xml:space="preserve">A: </w:t>
      </w:r>
    </w:p>
    <w:p w14:paraId="0DB00141" w14:textId="77777777" w:rsidR="00CF2E21" w:rsidRPr="00591BFC" w:rsidRDefault="002149AD" w:rsidP="00E86771">
      <w:pPr>
        <w:spacing w:line="360" w:lineRule="auto"/>
      </w:pPr>
      <w:r>
        <w:rPr>
          <w:noProof/>
          <w:lang w:eastAsia="en-GB"/>
        </w:rPr>
        <w:pict w14:anchorId="647FAD6A">
          <v:shape id="_x0000_i1054" type="#_x0000_t75" style="width:629.25pt;height:348.35pt;visibility:visible">
            <v:imagedata r:id="rId44" o:title=""/>
          </v:shape>
        </w:pict>
      </w:r>
    </w:p>
    <w:p w14:paraId="342CDD60" w14:textId="77777777" w:rsidR="00961987" w:rsidRDefault="00961987" w:rsidP="00E86771">
      <w:pPr>
        <w:spacing w:line="360" w:lineRule="auto"/>
      </w:pPr>
    </w:p>
    <w:p w14:paraId="38357FA5" w14:textId="77777777" w:rsidR="00961987" w:rsidRDefault="00961987" w:rsidP="00E86771">
      <w:pPr>
        <w:spacing w:line="360" w:lineRule="auto"/>
      </w:pPr>
    </w:p>
    <w:p w14:paraId="6DD42369" w14:textId="77777777" w:rsidR="00CF2E21" w:rsidRPr="00591BFC" w:rsidRDefault="00CF2E21" w:rsidP="00E86771">
      <w:pPr>
        <w:spacing w:line="360" w:lineRule="auto"/>
      </w:pPr>
      <w:r w:rsidRPr="00591BFC">
        <w:lastRenderedPageBreak/>
        <w:t xml:space="preserve">B: </w:t>
      </w:r>
    </w:p>
    <w:p w14:paraId="7E5F6FBF" w14:textId="77777777" w:rsidR="00F503F8" w:rsidRPr="00591BFC" w:rsidRDefault="002149AD" w:rsidP="00E86771">
      <w:pPr>
        <w:keepNext/>
        <w:spacing w:line="360" w:lineRule="auto"/>
      </w:pPr>
      <w:r>
        <w:rPr>
          <w:noProof/>
          <w:lang w:eastAsia="en-GB"/>
        </w:rPr>
        <w:pict w14:anchorId="79D7018E">
          <v:shape id="_x0000_i1055" type="#_x0000_t75" style="width:629.25pt;height:362.05pt;visibility:visible">
            <v:imagedata r:id="rId45" o:title=""/>
          </v:shape>
        </w:pict>
      </w:r>
    </w:p>
    <w:p w14:paraId="2624D7F3" w14:textId="77777777" w:rsidR="00CF2E21" w:rsidRPr="00591BFC" w:rsidRDefault="00F503F8" w:rsidP="00E86771">
      <w:pPr>
        <w:pStyle w:val="Caption"/>
        <w:spacing w:line="360" w:lineRule="auto"/>
      </w:pPr>
      <w:bookmarkStart w:id="408" w:name="_Ref423006107"/>
      <w:bookmarkStart w:id="409" w:name="_Toc424650340"/>
      <w:bookmarkStart w:id="410" w:name="_Toc311366725"/>
      <w:r w:rsidRPr="00591BFC">
        <w:t xml:space="preserve">Figure </w:t>
      </w:r>
      <w:r w:rsidR="002149AD">
        <w:fldChar w:fldCharType="begin"/>
      </w:r>
      <w:r w:rsidR="002149AD">
        <w:instrText xml:space="preserve"> SEQ Figure \* ARABIC </w:instrText>
      </w:r>
      <w:r w:rsidR="002149AD">
        <w:fldChar w:fldCharType="separate"/>
      </w:r>
      <w:r w:rsidR="00776C05">
        <w:rPr>
          <w:noProof/>
        </w:rPr>
        <w:t>29</w:t>
      </w:r>
      <w:r w:rsidR="002149AD">
        <w:rPr>
          <w:noProof/>
        </w:rPr>
        <w:fldChar w:fldCharType="end"/>
      </w:r>
      <w:bookmarkEnd w:id="408"/>
      <w:r w:rsidRPr="00591BFC">
        <w:t xml:space="preserve"> Model structure and health states in the</w:t>
      </w:r>
      <w:r w:rsidR="007A70B9">
        <w:t xml:space="preserve"> years</w:t>
      </w:r>
      <w:r w:rsidRPr="00591BFC">
        <w:t xml:space="preserve"> following </w:t>
      </w:r>
      <w:r w:rsidR="007A70B9">
        <w:t xml:space="preserve">the </w:t>
      </w:r>
      <w:r w:rsidRPr="00591BFC">
        <w:t>first hip fracture: a. Discharge to care home, b. Discharge to own home.</w:t>
      </w:r>
      <w:bookmarkEnd w:id="409"/>
      <w:bookmarkEnd w:id="410"/>
    </w:p>
    <w:p w14:paraId="6E7D445D" w14:textId="77777777" w:rsidR="00345A4D" w:rsidRDefault="00345A4D" w:rsidP="00E86771">
      <w:pPr>
        <w:spacing w:line="360" w:lineRule="auto"/>
        <w:sectPr w:rsidR="00345A4D" w:rsidSect="00C43F88">
          <w:pgSz w:w="16840" w:h="11900" w:orient="landscape"/>
          <w:pgMar w:top="1440" w:right="1440" w:bottom="1440" w:left="1440" w:header="708" w:footer="708" w:gutter="0"/>
          <w:cols w:space="708"/>
          <w:docGrid w:linePitch="360"/>
        </w:sectPr>
      </w:pPr>
    </w:p>
    <w:p w14:paraId="25408EAC" w14:textId="77777777" w:rsidR="00CF2E21" w:rsidRPr="00591BFC" w:rsidRDefault="007A70B9" w:rsidP="00E86771">
      <w:pPr>
        <w:spacing w:line="360" w:lineRule="auto"/>
      </w:pPr>
      <w:r>
        <w:lastRenderedPageBreak/>
        <w:t>The m</w:t>
      </w:r>
      <w:r w:rsidR="00CF2E21" w:rsidRPr="00591BFC">
        <w:t xml:space="preserve">odel structure and assumptions were informed by </w:t>
      </w:r>
      <w:r>
        <w:t>the hip fracture</w:t>
      </w:r>
      <w:r w:rsidR="00CF2E21" w:rsidRPr="00591BFC">
        <w:t xml:space="preserve">, the needs of the decision problem and discussions with clinical experts, health economists, statisticians and epidemiologists involved in the project. This meant that an iterative process was used to define the model structure where the agreed conceptual framework was revisited given the </w:t>
      </w:r>
      <w:r w:rsidR="008A6CC5">
        <w:t>results</w:t>
      </w:r>
      <w:r w:rsidR="00CF2E21" w:rsidRPr="00591BFC">
        <w:t xml:space="preserve"> of the data </w:t>
      </w:r>
      <w:r w:rsidR="008A6CC5">
        <w:t xml:space="preserve">analysis </w:t>
      </w:r>
      <w:r w:rsidR="00CF2E21" w:rsidRPr="00591BFC">
        <w:t xml:space="preserve">and new findings in the published literature.  </w:t>
      </w:r>
    </w:p>
    <w:p w14:paraId="38AE1B5A" w14:textId="0997D871" w:rsidR="00CF2E21" w:rsidRPr="00591BFC" w:rsidRDefault="00CF2E21" w:rsidP="00E86771">
      <w:pPr>
        <w:spacing w:line="360" w:lineRule="auto"/>
      </w:pPr>
      <w:r w:rsidRPr="00591BFC">
        <w:t>The time horizon of the analysis was lifetime and the population moved between health states according to defined transition probabilities. A cycle length of one year was considered appropriate given the natural history of hip fracture patients. Half-cycle correction was performed using the lifetable approach</w:t>
      </w:r>
      <w:hyperlink w:anchor="_ENREF_149" w:tooltip="Barendregt, 2009 #1227" w:history="1">
        <w:r w:rsidR="00B24FEE">
          <w:fldChar w:fldCharType="begin"/>
        </w:r>
        <w:r w:rsidR="00B24FEE">
          <w:instrText xml:space="preserve"> ADDIN EN.CITE &lt;EndNote&gt;&lt;Cite&gt;&lt;Author&gt;Barendregt&lt;/Author&gt;&lt;Year&gt;2009&lt;/Year&gt;&lt;RecNum&gt;1227&lt;/RecNum&gt;&lt;DisplayText&gt;&lt;style face="superscript"&gt;149&lt;/style&gt;&lt;/DisplayText&gt;&lt;record&gt;&lt;rec-number&gt;1227&lt;/rec-number&gt;&lt;foreign-keys&gt;&lt;key app="EN" db-id="sxpszd2ti9dx04ewefrvfp5bpf5faazszr9p" timestamp="1436435397"&gt;1227&lt;/key&gt;&lt;/foreign-keys&gt;&lt;ref-type name="Journal Article"&gt;17&lt;/ref-type&gt;&lt;contributors&gt;&lt;authors&gt;&lt;author&gt;Barendregt, J. J.&lt;/author&gt;&lt;/authors&gt;&lt;/contributors&gt;&lt;auth-address&gt;University of Queensland, School of Population Health, Herston, Australia. j.barendregt@sph.uq.edu.au&lt;/auth-address&gt;&lt;titles&gt;&lt;title&gt;The half-cycle correction: banish rather than explain it&lt;/title&gt;&lt;secondary-title&gt;Med Decis Making&lt;/secondary-title&gt;&lt;/titles&gt;&lt;periodical&gt;&lt;full-title&gt;Med Decis Making&lt;/full-title&gt;&lt;/periodical&gt;&lt;pages&gt;500-2&lt;/pages&gt;&lt;volume&gt;29&lt;/volume&gt;&lt;number&gt;4&lt;/number&gt;&lt;edition&gt;2009/07/03&lt;/edition&gt;&lt;keywords&gt;&lt;keyword&gt;*Decision Support Techniques&lt;/keyword&gt;&lt;keyword&gt;Humans&lt;/keyword&gt;&lt;keyword&gt;*Life Expectancy&lt;/keyword&gt;&lt;keyword&gt;*Markov Chains&lt;/keyword&gt;&lt;keyword&gt;*Models, Statistical&lt;/keyword&gt;&lt;keyword&gt;Probability&lt;/keyword&gt;&lt;keyword&gt;*Quality-Adjusted Life Years&lt;/keyword&gt;&lt;keyword&gt;Treatment Outcome&lt;/keyword&gt;&lt;keyword&gt;United States&lt;/keyword&gt;&lt;/keywords&gt;&lt;dates&gt;&lt;year&gt;2009&lt;/year&gt;&lt;pub-dates&gt;&lt;date&gt;Jul-Aug&lt;/date&gt;&lt;/pub-dates&gt;&lt;/dates&gt;&lt;isbn&gt;0272-989X (Print)&amp;#xD;0272-989X (Linking)&lt;/isbn&gt;&lt;accession-num&gt;19571330&lt;/accession-num&gt;&lt;urls&gt;&lt;related-urls&gt;&lt;url&gt;http://www.ncbi.nlm.nih.gov/pubmed/19571330&lt;/url&gt;&lt;/related-urls&gt;&lt;/urls&gt;&lt;electronic-resource-num&gt;10.1177/0272989X09340585&amp;#xD;0272989X09340585 [pii]&lt;/electronic-resource-num&gt;&lt;language&gt;eng&lt;/language&gt;&lt;/record&gt;&lt;/Cite&gt;&lt;/EndNote&gt;</w:instrText>
        </w:r>
        <w:r w:rsidR="00B24FEE">
          <w:fldChar w:fldCharType="separate"/>
        </w:r>
        <w:r w:rsidR="00B24FEE" w:rsidRPr="00B24FEE">
          <w:rPr>
            <w:noProof/>
            <w:vertAlign w:val="superscript"/>
          </w:rPr>
          <w:t>149</w:t>
        </w:r>
        <w:r w:rsidR="00B24FEE">
          <w:fldChar w:fldCharType="end"/>
        </w:r>
      </w:hyperlink>
      <w:r w:rsidRPr="00591BFC">
        <w:t>.</w:t>
      </w:r>
    </w:p>
    <w:p w14:paraId="0A5C0E63" w14:textId="3A4034A3" w:rsidR="00CF2E21" w:rsidRPr="00591BFC" w:rsidRDefault="00CF2E21" w:rsidP="00E86771">
      <w:pPr>
        <w:spacing w:line="360" w:lineRule="auto"/>
      </w:pPr>
      <w:r w:rsidRPr="00591BFC">
        <w:t>The model simulated the transition of a cohort of patients with an index hip fracture through the health states over time, to estimat</w:t>
      </w:r>
      <w:r w:rsidR="00C23C0B" w:rsidRPr="00591BFC">
        <w:t>e expected costs and outcomes (</w:t>
      </w:r>
      <w:r w:rsidR="00C23C0B" w:rsidRPr="00591BFC">
        <w:fldChar w:fldCharType="begin"/>
      </w:r>
      <w:r w:rsidR="00C23C0B" w:rsidRPr="00591BFC">
        <w:instrText xml:space="preserve"> REF _Ref423005973 \h </w:instrText>
      </w:r>
      <w:r w:rsidR="00E814C1" w:rsidRPr="00591BFC">
        <w:instrText xml:space="preserve"> \* MERGEFORMAT </w:instrText>
      </w:r>
      <w:r w:rsidR="00C23C0B" w:rsidRPr="00591BFC">
        <w:fldChar w:fldCharType="separate"/>
      </w:r>
      <w:r w:rsidR="003B70E3" w:rsidRPr="00591BFC">
        <w:t xml:space="preserve">Figure </w:t>
      </w:r>
      <w:r w:rsidR="003B70E3">
        <w:rPr>
          <w:noProof/>
        </w:rPr>
        <w:t>28</w:t>
      </w:r>
      <w:r w:rsidR="00C23C0B" w:rsidRPr="00591BFC">
        <w:fldChar w:fldCharType="end"/>
      </w:r>
      <w:r w:rsidR="00C23C0B" w:rsidRPr="00591BFC">
        <w:t xml:space="preserve"> and </w:t>
      </w:r>
      <w:r w:rsidR="00C23C0B" w:rsidRPr="00591BFC">
        <w:fldChar w:fldCharType="begin"/>
      </w:r>
      <w:r w:rsidR="00C23C0B" w:rsidRPr="00591BFC">
        <w:instrText xml:space="preserve"> REF _Ref423006107 \h </w:instrText>
      </w:r>
      <w:r w:rsidR="00E814C1" w:rsidRPr="00591BFC">
        <w:instrText xml:space="preserve"> \* MERGEFORMAT </w:instrText>
      </w:r>
      <w:r w:rsidR="00C23C0B" w:rsidRPr="00591BFC">
        <w:fldChar w:fldCharType="separate"/>
      </w:r>
      <w:r w:rsidR="003B70E3" w:rsidRPr="00591BFC">
        <w:t xml:space="preserve">Figure </w:t>
      </w:r>
      <w:r w:rsidR="003B70E3">
        <w:rPr>
          <w:noProof/>
        </w:rPr>
        <w:t>29</w:t>
      </w:r>
      <w:r w:rsidR="00C23C0B" w:rsidRPr="00591BFC">
        <w:fldChar w:fldCharType="end"/>
      </w:r>
      <w:r w:rsidRPr="00591BFC">
        <w:t>). For example, at the start of the simulation, patients with a hip fracture could die within 30 days or be discharged home or to a care home (nursing or residential care home). In the same cycle, patients could then develop a second hip fracture, other major fragility fracture requiring hospitalisation (non-hip such as pelvic, spine, wrist, humerus and rib), have no further events or die (</w:t>
      </w:r>
      <w:r w:rsidR="00C23C0B" w:rsidRPr="00591BFC">
        <w:fldChar w:fldCharType="begin"/>
      </w:r>
      <w:r w:rsidR="00C23C0B" w:rsidRPr="00591BFC">
        <w:instrText xml:space="preserve"> REF _Ref423005973 \h </w:instrText>
      </w:r>
      <w:r w:rsidR="00E814C1" w:rsidRPr="00591BFC">
        <w:instrText xml:space="preserve"> \* MERGEFORMAT </w:instrText>
      </w:r>
      <w:r w:rsidR="00C23C0B" w:rsidRPr="00591BFC">
        <w:fldChar w:fldCharType="separate"/>
      </w:r>
      <w:r w:rsidR="003B70E3" w:rsidRPr="00591BFC">
        <w:t xml:space="preserve">Figure </w:t>
      </w:r>
      <w:r w:rsidR="003B70E3">
        <w:rPr>
          <w:noProof/>
        </w:rPr>
        <w:t>28</w:t>
      </w:r>
      <w:r w:rsidR="00C23C0B" w:rsidRPr="00591BFC">
        <w:fldChar w:fldCharType="end"/>
      </w:r>
      <w:r w:rsidRPr="00591BFC">
        <w:t>). If patients experienced a second hip fracture, they could die within 30 days or, if alive, be discharged to a care home or their own home. In the next cycles, patients were allowed to continue progressing if they had not yet reached an absorbing state (</w:t>
      </w:r>
      <w:r w:rsidR="00C23C0B" w:rsidRPr="00591BFC">
        <w:fldChar w:fldCharType="begin"/>
      </w:r>
      <w:r w:rsidR="00C23C0B" w:rsidRPr="00591BFC">
        <w:instrText xml:space="preserve"> REF _Ref423006107 \h </w:instrText>
      </w:r>
      <w:r w:rsidR="00E814C1" w:rsidRPr="00591BFC">
        <w:instrText xml:space="preserve"> \* MERGEFORMAT </w:instrText>
      </w:r>
      <w:r w:rsidR="00C23C0B" w:rsidRPr="00591BFC">
        <w:fldChar w:fldCharType="separate"/>
      </w:r>
      <w:r w:rsidR="003B70E3" w:rsidRPr="00591BFC">
        <w:t xml:space="preserve">Figure </w:t>
      </w:r>
      <w:r w:rsidR="003B70E3">
        <w:rPr>
          <w:noProof/>
        </w:rPr>
        <w:t>29</w:t>
      </w:r>
      <w:r w:rsidR="00C23C0B" w:rsidRPr="00591BFC">
        <w:fldChar w:fldCharType="end"/>
      </w:r>
      <w:r w:rsidRPr="00591BFC">
        <w:t xml:space="preserve">). </w:t>
      </w:r>
    </w:p>
    <w:p w14:paraId="08A09268" w14:textId="77777777" w:rsidR="00CF2E21" w:rsidRPr="00591BFC" w:rsidRDefault="00CF2E21" w:rsidP="00E86771">
      <w:pPr>
        <w:spacing w:line="360" w:lineRule="auto"/>
      </w:pPr>
      <w:r w:rsidRPr="00591BFC">
        <w:t xml:space="preserve">Finally, the model adopted the perspective of the </w:t>
      </w:r>
      <w:r w:rsidR="008E6533" w:rsidRPr="00591BFC">
        <w:t>NHS</w:t>
      </w:r>
      <w:r w:rsidRPr="00591BFC">
        <w:t xml:space="preserve"> and personal social services. All costs and effects were discounted beyond the first year of simulation using an annual discount rate of 3.5%, based on current UK government recommendations. The price year was 2012/2013 </w:t>
      </w:r>
      <w:r w:rsidR="008A6CC5">
        <w:t xml:space="preserve">and when necessary, costs were </w:t>
      </w:r>
      <w:r w:rsidR="008A6CC5" w:rsidRPr="008A6CC5">
        <w:t>adjusted to that year</w:t>
      </w:r>
      <w:r w:rsidR="008A6CC5">
        <w:t xml:space="preserve"> </w:t>
      </w:r>
      <w:r w:rsidRPr="00591BFC">
        <w:t>using the UK health sector p</w:t>
      </w:r>
      <w:r w:rsidR="00C23C0B" w:rsidRPr="00591BFC">
        <w:t>ay and prices inflation factor.</w:t>
      </w:r>
    </w:p>
    <w:p w14:paraId="131D5A3A" w14:textId="77777777" w:rsidR="00CF2E21" w:rsidRPr="00591BFC" w:rsidRDefault="00CF2E21" w:rsidP="00E86771">
      <w:pPr>
        <w:pStyle w:val="Heading3"/>
        <w:spacing w:line="360" w:lineRule="auto"/>
        <w:rPr>
          <w:rFonts w:ascii="Calibri" w:hAnsi="Calibri"/>
          <w:lang w:val="en-GB"/>
        </w:rPr>
      </w:pPr>
      <w:bookmarkStart w:id="411" w:name="_Toc308300811"/>
      <w:bookmarkStart w:id="412" w:name="_Toc311366618"/>
      <w:r w:rsidRPr="00591BFC">
        <w:rPr>
          <w:rFonts w:ascii="Calibri" w:hAnsi="Calibri"/>
          <w:lang w:val="en-GB"/>
        </w:rPr>
        <w:t>Data sources</w:t>
      </w:r>
      <w:bookmarkEnd w:id="411"/>
      <w:bookmarkEnd w:id="412"/>
    </w:p>
    <w:p w14:paraId="681B309E" w14:textId="77777777" w:rsidR="00CF2E21" w:rsidRPr="00591BFC" w:rsidRDefault="00CF2E21" w:rsidP="00E86771">
      <w:pPr>
        <w:spacing w:line="360" w:lineRule="auto"/>
      </w:pPr>
      <w:r w:rsidRPr="00591BFC">
        <w:t xml:space="preserve">The data sources used to inform the model inputs consisted of: hospital episode statistics (HES) database; clinical practice research database (CPRD GOLD); and published literature. </w:t>
      </w:r>
    </w:p>
    <w:p w14:paraId="76251D86" w14:textId="77777777" w:rsidR="00CF2E21" w:rsidRPr="00591BFC" w:rsidRDefault="00CF2E21" w:rsidP="00E86771">
      <w:pPr>
        <w:pStyle w:val="Heading4"/>
        <w:spacing w:line="360" w:lineRule="auto"/>
        <w:rPr>
          <w:rFonts w:ascii="Calibri" w:hAnsi="Calibri"/>
        </w:rPr>
      </w:pPr>
      <w:r w:rsidRPr="00591BFC">
        <w:rPr>
          <w:rFonts w:ascii="Calibri" w:hAnsi="Calibri"/>
        </w:rPr>
        <w:t>HES dataset</w:t>
      </w:r>
    </w:p>
    <w:p w14:paraId="08EA8EC0" w14:textId="77777777" w:rsidR="00CF2E21" w:rsidRPr="00591BFC" w:rsidRDefault="00CF2E21" w:rsidP="00E86771">
      <w:pPr>
        <w:spacing w:line="360" w:lineRule="auto"/>
      </w:pPr>
      <w:r w:rsidRPr="00591BFC">
        <w:t>The HES database contained all hospital NHS patient care, in the form of ‘finished consultant episodes’, and linked mortality data from the Office of National Statistics (ONS) on 33,152 patients with hip fracture who attended one of the 11 hospitals in a region of England between 1</w:t>
      </w:r>
      <w:r w:rsidRPr="00591BFC">
        <w:rPr>
          <w:vertAlign w:val="superscript"/>
        </w:rPr>
        <w:t>st</w:t>
      </w:r>
      <w:r w:rsidRPr="00591BFC">
        <w:t xml:space="preserve"> April 2003 and 31</w:t>
      </w:r>
      <w:r w:rsidRPr="00591BFC">
        <w:rPr>
          <w:vertAlign w:val="superscript"/>
        </w:rPr>
        <w:t>st</w:t>
      </w:r>
      <w:r w:rsidRPr="00591BFC">
        <w:t xml:space="preserve"> March 2013. Chapters </w:t>
      </w:r>
      <w:r w:rsidR="00C23C0B" w:rsidRPr="00591BFC">
        <w:t xml:space="preserve">5 </w:t>
      </w:r>
      <w:r w:rsidRPr="00591BFC">
        <w:t xml:space="preserve">and </w:t>
      </w:r>
      <w:r w:rsidR="00C23C0B" w:rsidRPr="00591BFC">
        <w:t xml:space="preserve">Chapter 7 </w:t>
      </w:r>
      <w:r w:rsidRPr="00591BFC">
        <w:t xml:space="preserve">describe the methodology underlying the construction of the HES dataset. Briefly, we identified HES records for all patients over 60 years of </w:t>
      </w:r>
      <w:r w:rsidRPr="00591BFC">
        <w:lastRenderedPageBreak/>
        <w:t>age who had had an emergency hospital admission with a primary ICD10 diagnosis code for hip fracture (S72.0-S72.2 S72.9) between April 2003 and March 2013. Patients were excluded if they were day cases, had a previous history of hip fracture or had the hip fracture due to trauma accident. The resulting HES dataset was used to estimate the following model inputs:</w:t>
      </w:r>
    </w:p>
    <w:p w14:paraId="297312F9" w14:textId="77777777" w:rsidR="00CF2E21" w:rsidRPr="00591BFC" w:rsidRDefault="00CF2E21" w:rsidP="00E86771">
      <w:pPr>
        <w:pStyle w:val="ListParagraph"/>
        <w:numPr>
          <w:ilvl w:val="0"/>
          <w:numId w:val="23"/>
        </w:numPr>
        <w:spacing w:after="160" w:line="360" w:lineRule="auto"/>
      </w:pPr>
      <w:r w:rsidRPr="00591BFC">
        <w:t>Time to second hip fracture;</w:t>
      </w:r>
    </w:p>
    <w:p w14:paraId="3EABAF47" w14:textId="77777777" w:rsidR="00CF2E21" w:rsidRPr="00591BFC" w:rsidRDefault="00CF2E21" w:rsidP="00E86771">
      <w:pPr>
        <w:pStyle w:val="ListParagraph"/>
        <w:numPr>
          <w:ilvl w:val="0"/>
          <w:numId w:val="23"/>
        </w:numPr>
        <w:spacing w:after="160" w:line="360" w:lineRule="auto"/>
      </w:pPr>
      <w:r w:rsidRPr="00591BFC">
        <w:t>Time to major non-hip fragility fracture;</w:t>
      </w:r>
    </w:p>
    <w:p w14:paraId="5B7001F2" w14:textId="77777777" w:rsidR="00CF2E21" w:rsidRPr="00591BFC" w:rsidRDefault="00CF2E21" w:rsidP="00E86771">
      <w:pPr>
        <w:pStyle w:val="ListParagraph"/>
        <w:numPr>
          <w:ilvl w:val="0"/>
          <w:numId w:val="23"/>
        </w:numPr>
        <w:spacing w:after="160" w:line="360" w:lineRule="auto"/>
      </w:pPr>
      <w:r w:rsidRPr="00591BFC">
        <w:t>Probability of death within 30 days of admission due to hip fracture;</w:t>
      </w:r>
    </w:p>
    <w:p w14:paraId="730781DE" w14:textId="77777777" w:rsidR="00CF2E21" w:rsidRPr="00591BFC" w:rsidRDefault="00CF2E21" w:rsidP="00E86771">
      <w:pPr>
        <w:pStyle w:val="ListParagraph"/>
        <w:numPr>
          <w:ilvl w:val="0"/>
          <w:numId w:val="23"/>
        </w:numPr>
        <w:spacing w:after="160" w:line="360" w:lineRule="auto"/>
      </w:pPr>
      <w:r w:rsidRPr="00591BFC">
        <w:t>Probability of being discharged to a care home after hip fracture;</w:t>
      </w:r>
    </w:p>
    <w:p w14:paraId="020E2381" w14:textId="77777777" w:rsidR="00CF2E21" w:rsidRPr="00591BFC" w:rsidRDefault="00CF2E21" w:rsidP="00E86771">
      <w:pPr>
        <w:pStyle w:val="ListParagraph"/>
        <w:numPr>
          <w:ilvl w:val="0"/>
          <w:numId w:val="23"/>
        </w:numPr>
        <w:spacing w:after="160" w:line="360" w:lineRule="auto"/>
      </w:pPr>
      <w:r w:rsidRPr="00591BFC">
        <w:t>Time to death;</w:t>
      </w:r>
    </w:p>
    <w:p w14:paraId="7374B718" w14:textId="77777777" w:rsidR="00CF2E21" w:rsidRPr="00591BFC" w:rsidRDefault="00CF2E21" w:rsidP="00E86771">
      <w:pPr>
        <w:pStyle w:val="ListParagraph"/>
        <w:numPr>
          <w:ilvl w:val="0"/>
          <w:numId w:val="23"/>
        </w:numPr>
        <w:spacing w:after="160" w:line="360" w:lineRule="auto"/>
      </w:pPr>
      <w:r w:rsidRPr="00591BFC">
        <w:t xml:space="preserve">Effectiveness of OG and FLN relative to </w:t>
      </w:r>
      <w:r w:rsidR="008A6CC5">
        <w:t>usual</w:t>
      </w:r>
      <w:r w:rsidRPr="00591BFC">
        <w:t xml:space="preserve"> care;</w:t>
      </w:r>
    </w:p>
    <w:p w14:paraId="5FA10C81" w14:textId="77777777" w:rsidR="00CF2E21" w:rsidRPr="00591BFC" w:rsidRDefault="00CF2E21" w:rsidP="00E86771">
      <w:pPr>
        <w:pStyle w:val="ListParagraph"/>
        <w:numPr>
          <w:ilvl w:val="0"/>
          <w:numId w:val="23"/>
        </w:numPr>
        <w:spacing w:after="160" w:line="360" w:lineRule="auto"/>
      </w:pPr>
      <w:r w:rsidRPr="00591BFC">
        <w:t xml:space="preserve">Hospital costs in the year of hip fracture and subsequent years. </w:t>
      </w:r>
    </w:p>
    <w:p w14:paraId="40699A4A" w14:textId="77777777" w:rsidR="00CF2E21" w:rsidRPr="00591BFC" w:rsidRDefault="00CF2E21" w:rsidP="00E86771">
      <w:pPr>
        <w:pStyle w:val="Heading4"/>
        <w:spacing w:line="360" w:lineRule="auto"/>
        <w:rPr>
          <w:rFonts w:ascii="Calibri" w:hAnsi="Calibri"/>
        </w:rPr>
      </w:pPr>
      <w:r w:rsidRPr="00591BFC">
        <w:rPr>
          <w:rFonts w:ascii="Calibri" w:hAnsi="Calibri"/>
        </w:rPr>
        <w:t>CPRD dataset</w:t>
      </w:r>
    </w:p>
    <w:p w14:paraId="2E50D22A" w14:textId="77777777" w:rsidR="00CF2E21" w:rsidRPr="00591BFC" w:rsidRDefault="00CF2E21" w:rsidP="00E86771">
      <w:pPr>
        <w:spacing w:line="360" w:lineRule="auto"/>
      </w:pPr>
      <w:r w:rsidRPr="00591BFC">
        <w:t>The CPRD GOLD database covered primary care data from 4,433 patients with hip fracture, between 1</w:t>
      </w:r>
      <w:r w:rsidRPr="00591BFC">
        <w:rPr>
          <w:vertAlign w:val="superscript"/>
        </w:rPr>
        <w:t>st</w:t>
      </w:r>
      <w:r w:rsidRPr="00591BFC">
        <w:t xml:space="preserve"> April 2003 and 31</w:t>
      </w:r>
      <w:r w:rsidRPr="00591BFC">
        <w:rPr>
          <w:vertAlign w:val="superscript"/>
        </w:rPr>
        <w:t>st</w:t>
      </w:r>
      <w:r w:rsidRPr="00591BFC">
        <w:t xml:space="preserve"> March 2012, registered with CPRD GOLD practices and linked with HES and ONS datasets.</w:t>
      </w:r>
      <w:r w:rsidR="008A6CC5">
        <w:t xml:space="preserve"> </w:t>
      </w:r>
      <w:r w:rsidR="008A6CC5" w:rsidRPr="008A6CC5">
        <w:t>These patients represent 62% of all hip fracture patients identified using the READ codes (see Chapter 6) within the participating GP practices contributing data to the CPRD within England and Wales (n=7155), between April 2003 and March 2012.</w:t>
      </w:r>
      <w:r w:rsidRPr="00591BFC">
        <w:t xml:space="preserve"> Chapter </w:t>
      </w:r>
      <w:r w:rsidR="008A6CC5">
        <w:t>7</w:t>
      </w:r>
      <w:r w:rsidRPr="00591BFC">
        <w:t xml:space="preserve"> describes the methodology in detail. Briefly, we identified hip fracture patients in the CPRD GOLD dataset using the same criteria as for the HES dataset. </w:t>
      </w:r>
      <w:r w:rsidR="008A6CC5" w:rsidRPr="008A6CC5">
        <w:t xml:space="preserve">About 60% of the primary care practices contributing to CPRD have agreed to linkage to the HES and ONS data. The HES records for which linking to CPRD was possible consisted to admitted patient care data from April 1999 to March 2012. </w:t>
      </w:r>
      <w:r w:rsidRPr="00591BFC">
        <w:t>The resulting CPRD GOLD dataset was used to estimate the primary care costs in the year of hip</w:t>
      </w:r>
      <w:r w:rsidR="00C23C0B" w:rsidRPr="00591BFC">
        <w:t xml:space="preserve"> fracture and subsequent years.</w:t>
      </w:r>
    </w:p>
    <w:p w14:paraId="6D9B6175" w14:textId="77777777" w:rsidR="00CF2E21" w:rsidRPr="00591BFC" w:rsidRDefault="00CF2E21" w:rsidP="00E86771">
      <w:pPr>
        <w:pStyle w:val="Heading3"/>
        <w:spacing w:line="360" w:lineRule="auto"/>
        <w:rPr>
          <w:rFonts w:ascii="Calibri" w:hAnsi="Calibri"/>
          <w:lang w:val="en-GB"/>
        </w:rPr>
      </w:pPr>
      <w:bookmarkStart w:id="413" w:name="_Toc308300812"/>
      <w:bookmarkStart w:id="414" w:name="_Toc311366619"/>
      <w:r w:rsidRPr="00591BFC">
        <w:rPr>
          <w:rFonts w:ascii="Calibri" w:hAnsi="Calibri"/>
          <w:lang w:val="en-GB"/>
        </w:rPr>
        <w:t>Model inputs</w:t>
      </w:r>
      <w:bookmarkEnd w:id="413"/>
      <w:bookmarkEnd w:id="414"/>
    </w:p>
    <w:p w14:paraId="7CF6BB4A" w14:textId="77777777" w:rsidR="00CF2E21" w:rsidRPr="00591BFC" w:rsidRDefault="00CF2E21" w:rsidP="00E86771">
      <w:pPr>
        <w:pStyle w:val="Heading4"/>
        <w:spacing w:line="360" w:lineRule="auto"/>
        <w:rPr>
          <w:rFonts w:ascii="Calibri" w:hAnsi="Calibri"/>
        </w:rPr>
      </w:pPr>
      <w:r w:rsidRPr="00591BFC">
        <w:rPr>
          <w:rFonts w:ascii="Calibri" w:hAnsi="Calibri"/>
        </w:rPr>
        <w:t>Risk equations for second hip fracture, non-hip fragility fracture, all-cause mortality and admission to care home</w:t>
      </w:r>
    </w:p>
    <w:p w14:paraId="207BF468" w14:textId="77777777" w:rsidR="00CF2E21" w:rsidRPr="00591BFC" w:rsidRDefault="00CF2E21" w:rsidP="00E86771">
      <w:pPr>
        <w:spacing w:line="360" w:lineRule="auto"/>
      </w:pPr>
      <w:r w:rsidRPr="00591BFC">
        <w:t>The HES database was used to develop the risk equations for the following events: second hip fracture, major non-hip fragility fracture, admission to care home (nursing or residential) following hip fracture and death. Major non-hip fracture requiring hospitalisation was defined as spine, wrist, pelvis, rib, humerus or other fragility fractures and identified with ICD-10 diagnosis codes: S22, S32, S42, S52.0-S52.3, S22.5 and S22.6. The criteria followed for identifying hip fractures was also applied to major non-hip fractures, i.e. the relevant ICD-10 codes had to be primary diagnosis, over 60 years of age at fracture, emergency admission and no trauma accident.</w:t>
      </w:r>
    </w:p>
    <w:p w14:paraId="4E5BEA42" w14:textId="77777777" w:rsidR="00CF2E21" w:rsidRPr="00591BFC" w:rsidRDefault="00CF2E21" w:rsidP="00E86771">
      <w:pPr>
        <w:spacing w:line="360" w:lineRule="auto"/>
      </w:pPr>
      <w:r w:rsidRPr="00591BFC">
        <w:lastRenderedPageBreak/>
        <w:t>The risk equations for second hip fracture and major non-hip fracture consisted of multivariate semi-parametric proportional hazards survival models derived with time to event determined in continuous time from the onset of first hip fracture, using the censor date of death or the date of administrative censoring (31</w:t>
      </w:r>
      <w:r w:rsidRPr="00591BFC">
        <w:rPr>
          <w:vertAlign w:val="superscript"/>
        </w:rPr>
        <w:t>st</w:t>
      </w:r>
      <w:r w:rsidRPr="00591BFC">
        <w:t xml:space="preserve"> March 2013). </w:t>
      </w:r>
    </w:p>
    <w:p w14:paraId="3736D3D3" w14:textId="03872857" w:rsidR="00CF2E21" w:rsidRPr="00591BFC" w:rsidRDefault="00CF2E21" w:rsidP="00E86771">
      <w:pPr>
        <w:spacing w:line="360" w:lineRule="auto"/>
      </w:pPr>
      <w:r w:rsidRPr="00591BFC">
        <w:t>The risk equations for all-cause mortality included two logistic models to capture the high mortality in the first 30 days after first and second hip fracture, and a Gompertz proportional hazards survival model for the subsequent years. Time to death was modelled in continuous time, using patient’s current age as time at risk to better extrapolate beyond the observed follow-up period</w:t>
      </w:r>
      <w:hyperlink w:anchor="_ENREF_150" w:tooltip="Hayes, 2013 #1228" w:history="1">
        <w:r w:rsidR="00B24FEE">
          <w:fldChar w:fldCharType="begin"/>
        </w:r>
        <w:r w:rsidR="00B24FEE">
          <w:instrText xml:space="preserve"> ADDIN EN.CITE &lt;EndNote&gt;&lt;Cite&gt;&lt;Author&gt;Hayes&lt;/Author&gt;&lt;Year&gt;2013&lt;/Year&gt;&lt;RecNum&gt;1228&lt;/RecNum&gt;&lt;DisplayText&gt;&lt;style face="superscript"&gt;150&lt;/style&gt;&lt;/DisplayText&gt;&lt;record&gt;&lt;rec-number&gt;1228&lt;/rec-number&gt;&lt;foreign-keys&gt;&lt;key app="EN" db-id="sxpszd2ti9dx04ewefrvfp5bpf5faazszr9p" timestamp="1436435656"&gt;1228&lt;/key&gt;&lt;/foreign-keys&gt;&lt;ref-type name="Journal Article"&gt;17&lt;/ref-type&gt;&lt;contributors&gt;&lt;authors&gt;&lt;author&gt;Hayes, A. J.&lt;/author&gt;&lt;author&gt;Leal, J.&lt;/author&gt;&lt;author&gt;Gray, A. M.&lt;/author&gt;&lt;author&gt;Holman, R. R.&lt;/author&gt;&lt;author&gt;Clarke, P. M.&lt;/author&gt;&lt;/authors&gt;&lt;/contributors&gt;&lt;auth-address&gt;Sydney School of Public Health, University of Sydney, Sydney, NSW 2006, Australia. alison.hayes@sydney.edu.au&lt;/auth-address&gt;&lt;titles&gt;&lt;title&gt;UKPDS outcomes model 2: a new version of a model to simulate lifetime health outcomes of patients with type 2 diabetes mellitus using data from the 30 year United Kingdom Prospective Diabetes Study: UKPDS 82&lt;/title&gt;&lt;secondary-title&gt;Diabetologia&lt;/secondary-title&gt;&lt;/titles&gt;&lt;periodical&gt;&lt;full-title&gt;Diabetologia&lt;/full-title&gt;&lt;/periodical&gt;&lt;pages&gt;1925-33&lt;/pages&gt;&lt;volume&gt;56&lt;/volume&gt;&lt;number&gt;9&lt;/number&gt;&lt;edition&gt;2013/06/25&lt;/edition&gt;&lt;keywords&gt;&lt;keyword&gt;Adult&lt;/keyword&gt;&lt;keyword&gt;Aged&lt;/keyword&gt;&lt;keyword&gt;Diabetes Mellitus, Type 2/*physiopathology&lt;/keyword&gt;&lt;keyword&gt;Female&lt;/keyword&gt;&lt;keyword&gt;Great Britain&lt;/keyword&gt;&lt;keyword&gt;Humans&lt;/keyword&gt;&lt;keyword&gt;Male&lt;/keyword&gt;&lt;keyword&gt;Middle Aged&lt;/keyword&gt;&lt;keyword&gt;Models, Theoretical&lt;/keyword&gt;&lt;keyword&gt;Outcome Assessment (Health Care)&lt;/keyword&gt;&lt;keyword&gt;Prospective Studies&lt;/keyword&gt;&lt;/keywords&gt;&lt;dates&gt;&lt;year&gt;2013&lt;/year&gt;&lt;pub-dates&gt;&lt;date&gt;Sep&lt;/date&gt;&lt;/pub-dates&gt;&lt;/dates&gt;&lt;isbn&gt;1432-0428 (Electronic)&amp;#xD;0012-186X (Linking)&lt;/isbn&gt;&lt;accession-num&gt;23793713&lt;/accession-num&gt;&lt;urls&gt;&lt;related-urls&gt;&lt;url&gt;http://www.ncbi.nlm.nih.gov/pubmed/23793713&lt;/url&gt;&lt;/related-urls&gt;&lt;/urls&gt;&lt;electronic-resource-num&gt;10.1007/s00125-013-2940-y&lt;/electronic-resource-num&gt;&lt;language&gt;eng&lt;/language&gt;&lt;/record&gt;&lt;/Cite&gt;&lt;/EndNote&gt;</w:instrText>
        </w:r>
        <w:r w:rsidR="00B24FEE">
          <w:fldChar w:fldCharType="separate"/>
        </w:r>
        <w:r w:rsidR="00B24FEE" w:rsidRPr="00B24FEE">
          <w:rPr>
            <w:noProof/>
            <w:vertAlign w:val="superscript"/>
          </w:rPr>
          <w:t>150</w:t>
        </w:r>
        <w:r w:rsidR="00B24FEE">
          <w:fldChar w:fldCharType="end"/>
        </w:r>
      </w:hyperlink>
      <w:r w:rsidRPr="00591BFC">
        <w:t>.</w:t>
      </w:r>
    </w:p>
    <w:p w14:paraId="4D690411" w14:textId="77777777" w:rsidR="00CF2E21" w:rsidRPr="00591BFC" w:rsidRDefault="00CF2E21" w:rsidP="00E86771">
      <w:pPr>
        <w:spacing w:line="360" w:lineRule="auto"/>
      </w:pPr>
      <w:r w:rsidRPr="00591BFC">
        <w:t xml:space="preserve">The risk equations to predict the probability of a care home admission (nursing or residential) following hip fracture (first and second) consisted of two logistic models.  Admissions and discharges to a care home were identified in HES using the variables ‘admission source’ and ‘discharge destination’ and the codes for temporary accommodation and nursing/residential home.  We assumed that if a patient had been admitted or discharged to a nursing/residential home at any point they would remain in a care home for the rest of their lifetime. This was to reduce the potential risk of misclassification regarding the admission source. Hence, the estimated equations focused solely on patients </w:t>
      </w:r>
      <w:r w:rsidR="008A6CC5">
        <w:t>who</w:t>
      </w:r>
      <w:r w:rsidRPr="00591BFC">
        <w:t xml:space="preserve"> were not in a care home before the hip fracture event and the dependent variable was new admission to a care home. </w:t>
      </w:r>
    </w:p>
    <w:p w14:paraId="50CDE5C7" w14:textId="77777777" w:rsidR="00CF2E21" w:rsidRPr="00591BFC" w:rsidRDefault="00CF2E21" w:rsidP="00E86771">
      <w:pPr>
        <w:spacing w:line="360" w:lineRule="auto"/>
      </w:pPr>
      <w:r w:rsidRPr="00591BFC">
        <w:t xml:space="preserve">The set of candidate covariates for each equation included time-invariant factors (i.e. gender, age and Charlson co-morbidity index at first hip fracture) and time-variant factors such as: occurrence or history of second hip fracture, occurrence or history of major non-hip fracture, and admission from care home or own home.  </w:t>
      </w:r>
    </w:p>
    <w:p w14:paraId="05F4E8D3" w14:textId="0212EE5A" w:rsidR="00CF2E21" w:rsidRPr="00591BFC" w:rsidRDefault="00CF2E21" w:rsidP="00E86771">
      <w:pPr>
        <w:spacing w:line="360" w:lineRule="auto"/>
      </w:pPr>
      <w:r w:rsidRPr="00591BFC">
        <w:t xml:space="preserve">The following process was used to estimate the risk equations. First, binary covariates (e.g. gender, history of fracture, admission source, etc.) were only included if they occurred at least 100 times given the large sample size of the dataset. Second, a multivariate model was fitted and all covariates with </w:t>
      </w:r>
      <w:r w:rsidRPr="00591BFC">
        <w:rPr>
          <w:i/>
        </w:rPr>
        <w:t>p</w:t>
      </w:r>
      <w:r w:rsidRPr="00591BFC">
        <w:t xml:space="preserve">&gt;0.3 were discarded. The final model was selected in a backwards stepwise regression at </w:t>
      </w:r>
      <w:r w:rsidRPr="00591BFC">
        <w:rPr>
          <w:i/>
        </w:rPr>
        <w:t>p</w:t>
      </w:r>
      <w:r w:rsidRPr="00591BFC">
        <w:t xml:space="preserve">&lt;0.05. The robustness of the final model specification was tested by performing forwards stepwise regression and varying the </w:t>
      </w:r>
      <w:r w:rsidRPr="00591BFC">
        <w:rPr>
          <w:i/>
        </w:rPr>
        <w:t>p</w:t>
      </w:r>
      <w:r w:rsidRPr="00591BFC">
        <w:t xml:space="preserve">-value in the first step (e.g. </w:t>
      </w:r>
      <w:r w:rsidRPr="00591BFC">
        <w:rPr>
          <w:i/>
        </w:rPr>
        <w:t>p</w:t>
      </w:r>
      <w:r w:rsidRPr="00591BFC">
        <w:t xml:space="preserve">&gt;0.2, </w:t>
      </w:r>
      <w:r w:rsidRPr="00591BFC">
        <w:rPr>
          <w:i/>
        </w:rPr>
        <w:t>p</w:t>
      </w:r>
      <w:r w:rsidRPr="00591BFC">
        <w:t>&gt;0.1). The parametric form of the underlying hazard was examined graphically and models were chosen according to the Akaike’s information criterion for exponential, Weibull and Gompertz parametric forms. The proportional hazards assumption was tested using the Schoenfeld residuals</w:t>
      </w:r>
      <w:hyperlink w:anchor="_ENREF_151" w:tooltip="Scoenfeld, 1982 #1229" w:history="1">
        <w:r w:rsidR="00B24FEE">
          <w:fldChar w:fldCharType="begin"/>
        </w:r>
        <w:r w:rsidR="00B24FEE">
          <w:instrText xml:space="preserve"> ADDIN EN.CITE &lt;EndNote&gt;&lt;Cite&gt;&lt;Author&gt;Scoenfeld&lt;/Author&gt;&lt;Year&gt;1982&lt;/Year&gt;&lt;RecNum&gt;1229&lt;/RecNum&gt;&lt;DisplayText&gt;&lt;style face="superscript"&gt;151&lt;/style&gt;&lt;/DisplayText&gt;&lt;record&gt;&lt;rec-number&gt;1229&lt;/rec-number&gt;&lt;foreign-keys&gt;&lt;key app="EN" db-id="sxpszd2ti9dx04ewefrvfp5bpf5faazszr9p" timestamp="1436435898"&gt;1229&lt;/key&gt;&lt;/foreign-keys&gt;&lt;ref-type name="Journal Article"&gt;17&lt;/ref-type&gt;&lt;contributors&gt;&lt;authors&gt;&lt;author&gt;Scoenfeld, D.&lt;/author&gt;&lt;/authors&gt;&lt;/contributors&gt;&lt;titles&gt;&lt;title&gt;Partial residuals for the proportional hazards regression model&lt;/title&gt;&lt;secondary-title&gt;Biometrika&lt;/secondary-title&gt;&lt;/titles&gt;&lt;periodical&gt;&lt;full-title&gt;Biometrika&lt;/full-title&gt;&lt;/periodical&gt;&lt;pages&gt;239-241&lt;/pages&gt;&lt;volume&gt;69&lt;/volume&gt;&lt;dates&gt;&lt;year&gt;1982&lt;/year&gt;&lt;/dates&gt;&lt;urls&gt;&lt;/urls&gt;&lt;/record&gt;&lt;/Cite&gt;&lt;/EndNote&gt;</w:instrText>
        </w:r>
        <w:r w:rsidR="00B24FEE">
          <w:fldChar w:fldCharType="separate"/>
        </w:r>
        <w:r w:rsidR="00B24FEE" w:rsidRPr="00B24FEE">
          <w:rPr>
            <w:noProof/>
            <w:vertAlign w:val="superscript"/>
          </w:rPr>
          <w:t>151</w:t>
        </w:r>
        <w:r w:rsidR="00B24FEE">
          <w:fldChar w:fldCharType="end"/>
        </w:r>
      </w:hyperlink>
      <w:r w:rsidRPr="00591BFC">
        <w:t xml:space="preserve"> in Cox models with the same covariates as the parametric ones and the specification of the independent variable was tested using the Pregibon Link test</w:t>
      </w:r>
      <w:hyperlink w:anchor="_ENREF_152" w:tooltip="Pregibon, 1982 #1230" w:history="1">
        <w:r w:rsidR="00B24FEE">
          <w:fldChar w:fldCharType="begin"/>
        </w:r>
        <w:r w:rsidR="00B24FEE">
          <w:instrText xml:space="preserve"> ADDIN EN.CITE &lt;EndNote&gt;&lt;Cite&gt;&lt;Author&gt;Pregibon&lt;/Author&gt;&lt;Year&gt;1982&lt;/Year&gt;&lt;RecNum&gt;1230&lt;/RecNum&gt;&lt;DisplayText&gt;&lt;style face="superscript"&gt;152&lt;/style&gt;&lt;/DisplayText&gt;&lt;record&gt;&lt;rec-number&gt;1230&lt;/rec-number&gt;&lt;foreign-keys&gt;&lt;key app="EN" db-id="sxpszd2ti9dx04ewefrvfp5bpf5faazszr9p" timestamp="1436435968"&gt;1230&lt;/key&gt;&lt;/foreign-keys&gt;&lt;ref-type name="Journal Article"&gt;17&lt;/ref-type&gt;&lt;contributors&gt;&lt;authors&gt;&lt;author&gt;Pregibon, D.&lt;/author&gt;&lt;/authors&gt;&lt;/contributors&gt;&lt;titles&gt;&lt;title&gt;Resistant fits for some commonly used logistic models with medical application&lt;/title&gt;&lt;secondary-title&gt;Biometrics&lt;/secondary-title&gt;&lt;/titles&gt;&lt;periodical&gt;&lt;full-title&gt;Biometrics&lt;/full-title&gt;&lt;/periodical&gt;&lt;pages&gt;485-98&lt;/pages&gt;&lt;volume&gt;38&lt;/volume&gt;&lt;number&gt;2&lt;/number&gt;&lt;edition&gt;1982/06/01&lt;/edition&gt;&lt;keywords&gt;&lt;keyword&gt;*Epidemiologic Methods&lt;/keyword&gt;&lt;keyword&gt;*Epidemiology&lt;/keyword&gt;&lt;keyword&gt;Humans&lt;/keyword&gt;&lt;keyword&gt;Mathematics&lt;/keyword&gt;&lt;keyword&gt;Models, Biological&lt;/keyword&gt;&lt;keyword&gt;Probability&lt;/keyword&gt;&lt;/keywords&gt;&lt;dates&gt;&lt;year&gt;1982&lt;/year&gt;&lt;pub-dates&gt;&lt;date&gt;Jun&lt;/date&gt;&lt;/pub-dates&gt;&lt;/dates&gt;&lt;isbn&gt;0006-341X (Print)&amp;#xD;0006-341X (Linking)&lt;/isbn&gt;&lt;accession-num&gt;7115876&lt;/accession-num&gt;&lt;urls&gt;&lt;related-urls&gt;&lt;url&gt;http://www.ncbi.nlm.nih.gov/pubmed/7115876&lt;/url&gt;&lt;/related-urls&gt;&lt;/urls&gt;&lt;language&gt;eng&lt;/language&gt;&lt;/record&gt;&lt;/Cite&gt;&lt;/EndNote&gt;</w:instrText>
        </w:r>
        <w:r w:rsidR="00B24FEE">
          <w:fldChar w:fldCharType="separate"/>
        </w:r>
        <w:r w:rsidR="00B24FEE" w:rsidRPr="00B24FEE">
          <w:rPr>
            <w:noProof/>
            <w:vertAlign w:val="superscript"/>
          </w:rPr>
          <w:t>152</w:t>
        </w:r>
        <w:r w:rsidR="00B24FEE">
          <w:fldChar w:fldCharType="end"/>
        </w:r>
      </w:hyperlink>
      <w:r w:rsidRPr="00591BFC">
        <w:t xml:space="preserve">. Internal validation of the risk equations was performed by comparing the </w:t>
      </w:r>
      <w:r w:rsidRPr="00591BFC">
        <w:lastRenderedPageBreak/>
        <w:t>predictions, as cumulative failure, against the observed incidence of events and death, Kaplan-Meier cumulative failure, over the follow up period. Statistical analysis was carried out using STATA v.12.</w:t>
      </w:r>
    </w:p>
    <w:p w14:paraId="1F949EDA" w14:textId="3A1F0C24" w:rsidR="00CF2E21" w:rsidRPr="00591BFC" w:rsidRDefault="00CF2E21" w:rsidP="00E86771">
      <w:pPr>
        <w:spacing w:line="360" w:lineRule="auto"/>
      </w:pPr>
      <w:r w:rsidRPr="00591BFC">
        <w:t xml:space="preserve">The mean follow-up time of patients was 2.6 years (SD 2.5) and 84,717 patient-years of data were available to estimate the risk equations. </w:t>
      </w:r>
      <w:r w:rsidR="00615358" w:rsidRPr="00591BFC">
        <w:fldChar w:fldCharType="begin"/>
      </w:r>
      <w:r w:rsidR="00615358" w:rsidRPr="00591BFC">
        <w:instrText xml:space="preserve"> REF _Ref423076848 \h </w:instrText>
      </w:r>
      <w:r w:rsidR="00E814C1" w:rsidRPr="00591BFC">
        <w:instrText xml:space="preserve"> \* MERGEFORMAT </w:instrText>
      </w:r>
      <w:r w:rsidR="00615358" w:rsidRPr="00591BFC">
        <w:fldChar w:fldCharType="separate"/>
      </w:r>
      <w:r w:rsidR="00776C05" w:rsidRPr="00591BFC">
        <w:t xml:space="preserve">Table </w:t>
      </w:r>
      <w:r w:rsidR="00776C05">
        <w:rPr>
          <w:noProof/>
        </w:rPr>
        <w:t>27</w:t>
      </w:r>
      <w:r w:rsidR="00615358" w:rsidRPr="00591BFC">
        <w:fldChar w:fldCharType="end"/>
      </w:r>
      <w:r w:rsidR="00615358" w:rsidRPr="00591BFC">
        <w:t xml:space="preserve"> </w:t>
      </w:r>
      <w:r w:rsidRPr="00591BFC">
        <w:t xml:space="preserve">reports the number of events available to estimate the risk equations. </w:t>
      </w:r>
      <w:r w:rsidR="00615358" w:rsidRPr="00591BFC">
        <w:fldChar w:fldCharType="begin"/>
      </w:r>
      <w:r w:rsidR="00615358" w:rsidRPr="00591BFC">
        <w:instrText xml:space="preserve"> REF _Ref423077059 \h </w:instrText>
      </w:r>
      <w:r w:rsidR="00E814C1" w:rsidRPr="00591BFC">
        <w:instrText xml:space="preserve"> \* MERGEFORMAT </w:instrText>
      </w:r>
      <w:r w:rsidR="00615358" w:rsidRPr="00591BFC">
        <w:fldChar w:fldCharType="separate"/>
      </w:r>
      <w:r w:rsidR="00776C05" w:rsidRPr="00591BFC">
        <w:t xml:space="preserve">Table </w:t>
      </w:r>
      <w:r w:rsidR="00776C05">
        <w:rPr>
          <w:noProof/>
        </w:rPr>
        <w:t>28</w:t>
      </w:r>
      <w:r w:rsidR="00615358" w:rsidRPr="00591BFC">
        <w:fldChar w:fldCharType="end"/>
      </w:r>
      <w:r w:rsidR="00615358" w:rsidRPr="00591BFC">
        <w:t xml:space="preserve"> and </w:t>
      </w:r>
      <w:r w:rsidR="00615358" w:rsidRPr="00591BFC">
        <w:fldChar w:fldCharType="begin"/>
      </w:r>
      <w:r w:rsidR="00615358" w:rsidRPr="00591BFC">
        <w:instrText xml:space="preserve"> REF _Ref423077015 \h </w:instrText>
      </w:r>
      <w:r w:rsidR="00E814C1" w:rsidRPr="00591BFC">
        <w:instrText xml:space="preserve"> \* MERGEFORMAT </w:instrText>
      </w:r>
      <w:r w:rsidR="00615358" w:rsidRPr="00591BFC">
        <w:fldChar w:fldCharType="separate"/>
      </w:r>
      <w:r w:rsidR="006C1591" w:rsidRPr="00591BFC">
        <w:t xml:space="preserve">Table </w:t>
      </w:r>
      <w:r w:rsidR="008A2F17">
        <w:rPr>
          <w:noProof/>
        </w:rPr>
        <w:t>29</w:t>
      </w:r>
      <w:r w:rsidR="00615358" w:rsidRPr="00591BFC">
        <w:fldChar w:fldCharType="end"/>
      </w:r>
      <w:r w:rsidR="00615358" w:rsidRPr="00591BFC">
        <w:t xml:space="preserve"> </w:t>
      </w:r>
      <w:r w:rsidRPr="00591BFC">
        <w:t xml:space="preserve">report the </w:t>
      </w:r>
      <w:r w:rsidR="00615358" w:rsidRPr="00591BFC">
        <w:t>fully specified risk equations.</w:t>
      </w:r>
    </w:p>
    <w:p w14:paraId="239ECD84" w14:textId="77777777" w:rsidR="00615358" w:rsidRPr="00591BFC" w:rsidRDefault="00615358" w:rsidP="00E86771">
      <w:pPr>
        <w:pStyle w:val="Caption"/>
        <w:keepNext/>
        <w:spacing w:line="360" w:lineRule="auto"/>
      </w:pPr>
      <w:bookmarkStart w:id="415" w:name="_Ref423076848"/>
      <w:bookmarkStart w:id="416" w:name="_Toc308262422"/>
      <w:bookmarkStart w:id="417" w:name="_Toc311366688"/>
      <w:r w:rsidRPr="00591BFC">
        <w:t xml:space="preserve">Table </w:t>
      </w:r>
      <w:r w:rsidR="002149AD">
        <w:fldChar w:fldCharType="begin"/>
      </w:r>
      <w:r w:rsidR="002149AD">
        <w:instrText xml:space="preserve"> SEQ Table \* ARABIC </w:instrText>
      </w:r>
      <w:r w:rsidR="002149AD">
        <w:fldChar w:fldCharType="separate"/>
      </w:r>
      <w:r w:rsidR="00776C05">
        <w:rPr>
          <w:noProof/>
        </w:rPr>
        <w:t>27</w:t>
      </w:r>
      <w:r w:rsidR="002149AD">
        <w:rPr>
          <w:noProof/>
        </w:rPr>
        <w:fldChar w:fldCharType="end"/>
      </w:r>
      <w:bookmarkEnd w:id="415"/>
      <w:r w:rsidRPr="00591BFC">
        <w:t xml:space="preserve"> Number of events and average event rates observed in the HES dataset for 33,152 hip fracture patients</w:t>
      </w:r>
      <w:bookmarkEnd w:id="416"/>
      <w:bookmarkEnd w:id="417"/>
    </w:p>
    <w:tbl>
      <w:tblPr>
        <w:tblW w:w="0" w:type="auto"/>
        <w:tblBorders>
          <w:top w:val="single" w:sz="4" w:space="0" w:color="auto"/>
          <w:bottom w:val="single" w:sz="4" w:space="0" w:color="auto"/>
        </w:tblBorders>
        <w:tblLook w:val="04A0" w:firstRow="1" w:lastRow="0" w:firstColumn="1" w:lastColumn="0" w:noHBand="0" w:noVBand="1"/>
      </w:tblPr>
      <w:tblGrid>
        <w:gridCol w:w="3005"/>
        <w:gridCol w:w="3005"/>
        <w:gridCol w:w="3006"/>
      </w:tblGrid>
      <w:tr w:rsidR="00CF2E21" w:rsidRPr="00591BFC" w14:paraId="2FB758D0" w14:textId="77777777" w:rsidTr="00694E86">
        <w:tc>
          <w:tcPr>
            <w:tcW w:w="3005" w:type="dxa"/>
            <w:tcBorders>
              <w:top w:val="single" w:sz="4" w:space="0" w:color="auto"/>
              <w:bottom w:val="single" w:sz="4" w:space="0" w:color="auto"/>
            </w:tcBorders>
            <w:shd w:val="clear" w:color="auto" w:fill="auto"/>
          </w:tcPr>
          <w:p w14:paraId="1E3EFCE6" w14:textId="77777777" w:rsidR="00CF2E21" w:rsidRPr="00591BFC" w:rsidRDefault="00CF2E21" w:rsidP="00E86771">
            <w:pPr>
              <w:spacing w:line="360" w:lineRule="auto"/>
              <w:rPr>
                <w:b/>
              </w:rPr>
            </w:pPr>
            <w:r w:rsidRPr="00591BFC">
              <w:rPr>
                <w:b/>
              </w:rPr>
              <w:t>Event</w:t>
            </w:r>
          </w:p>
        </w:tc>
        <w:tc>
          <w:tcPr>
            <w:tcW w:w="3005" w:type="dxa"/>
            <w:tcBorders>
              <w:top w:val="single" w:sz="4" w:space="0" w:color="auto"/>
              <w:bottom w:val="single" w:sz="4" w:space="0" w:color="auto"/>
            </w:tcBorders>
            <w:shd w:val="clear" w:color="auto" w:fill="auto"/>
          </w:tcPr>
          <w:p w14:paraId="7178C304" w14:textId="77777777" w:rsidR="00CF2E21" w:rsidRPr="00591BFC" w:rsidRDefault="00CF2E21" w:rsidP="00E86771">
            <w:pPr>
              <w:spacing w:line="360" w:lineRule="auto"/>
              <w:rPr>
                <w:b/>
              </w:rPr>
            </w:pPr>
            <w:r w:rsidRPr="00591BFC">
              <w:rPr>
                <w:b/>
              </w:rPr>
              <w:t>Total</w:t>
            </w:r>
          </w:p>
        </w:tc>
        <w:tc>
          <w:tcPr>
            <w:tcW w:w="3006" w:type="dxa"/>
            <w:tcBorders>
              <w:top w:val="single" w:sz="4" w:space="0" w:color="auto"/>
              <w:bottom w:val="single" w:sz="4" w:space="0" w:color="auto"/>
            </w:tcBorders>
            <w:shd w:val="clear" w:color="auto" w:fill="auto"/>
          </w:tcPr>
          <w:p w14:paraId="40DE6AE3" w14:textId="77777777" w:rsidR="00CF2E21" w:rsidRPr="00591BFC" w:rsidRDefault="00CF2E21" w:rsidP="00E86771">
            <w:pPr>
              <w:spacing w:line="360" w:lineRule="auto"/>
              <w:rPr>
                <w:b/>
              </w:rPr>
            </w:pPr>
            <w:r w:rsidRPr="00591BFC">
              <w:rPr>
                <w:b/>
              </w:rPr>
              <w:t>Annual event rate*</w:t>
            </w:r>
          </w:p>
        </w:tc>
      </w:tr>
      <w:tr w:rsidR="00CF2E21" w:rsidRPr="00591BFC" w14:paraId="46B52F7A" w14:textId="77777777" w:rsidTr="00694E86">
        <w:tc>
          <w:tcPr>
            <w:tcW w:w="3005" w:type="dxa"/>
            <w:tcBorders>
              <w:top w:val="single" w:sz="4" w:space="0" w:color="auto"/>
            </w:tcBorders>
            <w:shd w:val="clear" w:color="auto" w:fill="auto"/>
          </w:tcPr>
          <w:p w14:paraId="27D6EEF1" w14:textId="77777777" w:rsidR="00CF2E21" w:rsidRPr="00591BFC" w:rsidRDefault="00CF2E21" w:rsidP="00E86771">
            <w:pPr>
              <w:spacing w:line="360" w:lineRule="auto"/>
            </w:pPr>
            <w:r w:rsidRPr="00591BFC">
              <w:t>Death</w:t>
            </w:r>
          </w:p>
        </w:tc>
        <w:tc>
          <w:tcPr>
            <w:tcW w:w="3005" w:type="dxa"/>
            <w:tcBorders>
              <w:top w:val="single" w:sz="4" w:space="0" w:color="auto"/>
            </w:tcBorders>
            <w:shd w:val="clear" w:color="auto" w:fill="auto"/>
          </w:tcPr>
          <w:p w14:paraId="7B99630C" w14:textId="77777777" w:rsidR="00CF2E21" w:rsidRPr="00591BFC" w:rsidRDefault="00CF2E21" w:rsidP="00E86771">
            <w:pPr>
              <w:spacing w:line="360" w:lineRule="auto"/>
            </w:pPr>
            <w:r w:rsidRPr="00591BFC">
              <w:t>19,084</w:t>
            </w:r>
          </w:p>
        </w:tc>
        <w:tc>
          <w:tcPr>
            <w:tcW w:w="3006" w:type="dxa"/>
            <w:tcBorders>
              <w:top w:val="single" w:sz="4" w:space="0" w:color="auto"/>
            </w:tcBorders>
            <w:shd w:val="clear" w:color="auto" w:fill="auto"/>
          </w:tcPr>
          <w:p w14:paraId="4679B8D9" w14:textId="77777777" w:rsidR="00CF2E21" w:rsidRPr="00591BFC" w:rsidRDefault="00CF2E21" w:rsidP="00E86771">
            <w:pPr>
              <w:spacing w:line="360" w:lineRule="auto"/>
            </w:pPr>
            <w:r w:rsidRPr="00591BFC">
              <w:t>0.225</w:t>
            </w:r>
          </w:p>
        </w:tc>
      </w:tr>
      <w:tr w:rsidR="00CF2E21" w:rsidRPr="00591BFC" w14:paraId="127461B3" w14:textId="77777777" w:rsidTr="00694E86">
        <w:tc>
          <w:tcPr>
            <w:tcW w:w="3005" w:type="dxa"/>
            <w:shd w:val="clear" w:color="auto" w:fill="auto"/>
          </w:tcPr>
          <w:p w14:paraId="2FEB4293" w14:textId="77777777" w:rsidR="00CF2E21" w:rsidRPr="00591BFC" w:rsidRDefault="00CF2E21" w:rsidP="00E86771">
            <w:pPr>
              <w:spacing w:line="360" w:lineRule="auto"/>
            </w:pPr>
            <w:r w:rsidRPr="00591BFC">
              <w:t>Second hip fracture</w:t>
            </w:r>
          </w:p>
        </w:tc>
        <w:tc>
          <w:tcPr>
            <w:tcW w:w="3005" w:type="dxa"/>
            <w:shd w:val="clear" w:color="auto" w:fill="auto"/>
          </w:tcPr>
          <w:p w14:paraId="6F65C06A" w14:textId="77777777" w:rsidR="00CF2E21" w:rsidRPr="00591BFC" w:rsidRDefault="00CF2E21" w:rsidP="00E86771">
            <w:pPr>
              <w:spacing w:line="360" w:lineRule="auto"/>
            </w:pPr>
            <w:r w:rsidRPr="00591BFC">
              <w:t>2,206</w:t>
            </w:r>
          </w:p>
        </w:tc>
        <w:tc>
          <w:tcPr>
            <w:tcW w:w="3006" w:type="dxa"/>
            <w:shd w:val="clear" w:color="auto" w:fill="auto"/>
          </w:tcPr>
          <w:p w14:paraId="2D93997F" w14:textId="77777777" w:rsidR="00CF2E21" w:rsidRPr="00591BFC" w:rsidRDefault="00CF2E21" w:rsidP="00E86771">
            <w:pPr>
              <w:spacing w:line="360" w:lineRule="auto"/>
            </w:pPr>
            <w:r w:rsidRPr="00591BFC">
              <w:t>0.026</w:t>
            </w:r>
          </w:p>
        </w:tc>
      </w:tr>
      <w:tr w:rsidR="00CF2E21" w:rsidRPr="00591BFC" w14:paraId="7F191A00" w14:textId="77777777" w:rsidTr="00694E86">
        <w:tc>
          <w:tcPr>
            <w:tcW w:w="3005" w:type="dxa"/>
            <w:shd w:val="clear" w:color="auto" w:fill="auto"/>
          </w:tcPr>
          <w:p w14:paraId="15D4CB39" w14:textId="77777777" w:rsidR="00CF2E21" w:rsidRPr="00591BFC" w:rsidRDefault="00CF2E21" w:rsidP="00E86771">
            <w:pPr>
              <w:spacing w:line="360" w:lineRule="auto"/>
            </w:pPr>
            <w:r w:rsidRPr="00591BFC">
              <w:t>Major non-hip fracture</w:t>
            </w:r>
          </w:p>
        </w:tc>
        <w:tc>
          <w:tcPr>
            <w:tcW w:w="3005" w:type="dxa"/>
            <w:shd w:val="clear" w:color="auto" w:fill="auto"/>
          </w:tcPr>
          <w:p w14:paraId="1F851038" w14:textId="77777777" w:rsidR="00CF2E21" w:rsidRPr="00591BFC" w:rsidRDefault="00CF2E21" w:rsidP="00E86771">
            <w:pPr>
              <w:spacing w:line="360" w:lineRule="auto"/>
            </w:pPr>
            <w:r w:rsidRPr="00591BFC">
              <w:t>1,464</w:t>
            </w:r>
          </w:p>
        </w:tc>
        <w:tc>
          <w:tcPr>
            <w:tcW w:w="3006" w:type="dxa"/>
            <w:shd w:val="clear" w:color="auto" w:fill="auto"/>
          </w:tcPr>
          <w:p w14:paraId="4ECBE4E6" w14:textId="77777777" w:rsidR="00CF2E21" w:rsidRPr="00591BFC" w:rsidRDefault="00CF2E21" w:rsidP="00E86771">
            <w:pPr>
              <w:spacing w:line="360" w:lineRule="auto"/>
            </w:pPr>
            <w:r w:rsidRPr="00591BFC">
              <w:t>0.017</w:t>
            </w:r>
          </w:p>
        </w:tc>
      </w:tr>
    </w:tbl>
    <w:p w14:paraId="01077906" w14:textId="77777777" w:rsidR="00CF2E21" w:rsidRPr="00591BFC" w:rsidRDefault="00CF2E21" w:rsidP="00E86771">
      <w:pPr>
        <w:spacing w:line="360" w:lineRule="auto"/>
      </w:pPr>
      <w:r w:rsidRPr="00591BFC">
        <w:t>* Estimated as total divided by total patient-years (84,717)</w:t>
      </w:r>
    </w:p>
    <w:p w14:paraId="16BA9AF2" w14:textId="77777777" w:rsidR="00CF2E21" w:rsidRPr="00591BFC" w:rsidRDefault="00CF2E21" w:rsidP="00E86771">
      <w:pPr>
        <w:spacing w:line="360" w:lineRule="auto"/>
      </w:pPr>
    </w:p>
    <w:p w14:paraId="0FD6FF80" w14:textId="77777777" w:rsidR="00615358" w:rsidRPr="00591BFC" w:rsidRDefault="00615358" w:rsidP="00E86771">
      <w:pPr>
        <w:pStyle w:val="Caption"/>
        <w:keepNext/>
        <w:spacing w:line="360" w:lineRule="auto"/>
      </w:pPr>
      <w:bookmarkStart w:id="418" w:name="_Ref423077059"/>
      <w:bookmarkStart w:id="419" w:name="_Toc308262423"/>
      <w:bookmarkStart w:id="420" w:name="_Toc311366689"/>
      <w:r w:rsidRPr="00591BFC">
        <w:t xml:space="preserve">Table </w:t>
      </w:r>
      <w:r w:rsidR="002149AD">
        <w:fldChar w:fldCharType="begin"/>
      </w:r>
      <w:r w:rsidR="002149AD">
        <w:instrText xml:space="preserve"> SEQ Table \* ARABIC </w:instrText>
      </w:r>
      <w:r w:rsidR="002149AD">
        <w:fldChar w:fldCharType="separate"/>
      </w:r>
      <w:r w:rsidR="00776C05">
        <w:rPr>
          <w:noProof/>
        </w:rPr>
        <w:t>28</w:t>
      </w:r>
      <w:r w:rsidR="002149AD">
        <w:rPr>
          <w:noProof/>
        </w:rPr>
        <w:fldChar w:fldCharType="end"/>
      </w:r>
      <w:bookmarkEnd w:id="418"/>
      <w:r w:rsidRPr="00591BFC">
        <w:t xml:space="preserve"> Risk equations estimating the probability of admission to a care home</w:t>
      </w:r>
      <w:bookmarkEnd w:id="419"/>
      <w:bookmarkEnd w:id="420"/>
    </w:p>
    <w:tbl>
      <w:tblPr>
        <w:tblW w:w="5000" w:type="pct"/>
        <w:tblLayout w:type="fixed"/>
        <w:tblLook w:val="04A0" w:firstRow="1" w:lastRow="0" w:firstColumn="1" w:lastColumn="0" w:noHBand="0" w:noVBand="1"/>
      </w:tblPr>
      <w:tblGrid>
        <w:gridCol w:w="2756"/>
        <w:gridCol w:w="2320"/>
        <w:gridCol w:w="1016"/>
        <w:gridCol w:w="2322"/>
        <w:gridCol w:w="822"/>
      </w:tblGrid>
      <w:tr w:rsidR="00CF2E21" w:rsidRPr="00591BFC" w14:paraId="42F9769D" w14:textId="77777777" w:rsidTr="00DB4F65">
        <w:tc>
          <w:tcPr>
            <w:tcW w:w="1492" w:type="pct"/>
            <w:shd w:val="clear" w:color="auto" w:fill="auto"/>
          </w:tcPr>
          <w:p w14:paraId="4614785A" w14:textId="77777777" w:rsidR="00CF2E21" w:rsidRPr="00591BFC" w:rsidRDefault="00CF2E21" w:rsidP="00E86771">
            <w:pPr>
              <w:spacing w:line="360" w:lineRule="auto"/>
            </w:pPr>
            <w:r w:rsidRPr="00591BFC">
              <w:t>Event</w:t>
            </w:r>
          </w:p>
        </w:tc>
        <w:tc>
          <w:tcPr>
            <w:tcW w:w="1256" w:type="pct"/>
            <w:shd w:val="clear" w:color="auto" w:fill="auto"/>
          </w:tcPr>
          <w:p w14:paraId="1A59E249" w14:textId="77777777" w:rsidR="00CF2E21" w:rsidRPr="00591BFC" w:rsidRDefault="00CF2E21" w:rsidP="00E86771">
            <w:pPr>
              <w:spacing w:line="360" w:lineRule="auto"/>
              <w:jc w:val="right"/>
            </w:pPr>
            <w:r w:rsidRPr="00591BFC">
              <w:t>Care home after 1</w:t>
            </w:r>
            <w:r w:rsidRPr="00591BFC">
              <w:rPr>
                <w:vertAlign w:val="superscript"/>
              </w:rPr>
              <w:t>st</w:t>
            </w:r>
            <w:r w:rsidRPr="00591BFC">
              <w:t xml:space="preserve"> hip fracture</w:t>
            </w:r>
          </w:p>
        </w:tc>
        <w:tc>
          <w:tcPr>
            <w:tcW w:w="550" w:type="pct"/>
            <w:shd w:val="clear" w:color="auto" w:fill="auto"/>
          </w:tcPr>
          <w:p w14:paraId="054AD48D" w14:textId="77777777" w:rsidR="00CF2E21" w:rsidRPr="00591BFC" w:rsidRDefault="00CF2E21" w:rsidP="00E86771">
            <w:pPr>
              <w:spacing w:line="360" w:lineRule="auto"/>
              <w:jc w:val="right"/>
            </w:pPr>
          </w:p>
        </w:tc>
        <w:tc>
          <w:tcPr>
            <w:tcW w:w="1257" w:type="pct"/>
            <w:shd w:val="clear" w:color="auto" w:fill="auto"/>
          </w:tcPr>
          <w:p w14:paraId="22C8EA62" w14:textId="77777777" w:rsidR="00CF2E21" w:rsidRPr="00591BFC" w:rsidRDefault="00CF2E21" w:rsidP="00E86771">
            <w:pPr>
              <w:spacing w:line="360" w:lineRule="auto"/>
              <w:jc w:val="right"/>
            </w:pPr>
            <w:r w:rsidRPr="00591BFC">
              <w:t>Care home after 2</w:t>
            </w:r>
            <w:r w:rsidRPr="00591BFC">
              <w:rPr>
                <w:vertAlign w:val="superscript"/>
              </w:rPr>
              <w:t>nd</w:t>
            </w:r>
            <w:r w:rsidRPr="00591BFC">
              <w:t xml:space="preserve"> hip fracture</w:t>
            </w:r>
          </w:p>
        </w:tc>
        <w:tc>
          <w:tcPr>
            <w:tcW w:w="445" w:type="pct"/>
            <w:shd w:val="clear" w:color="auto" w:fill="auto"/>
          </w:tcPr>
          <w:p w14:paraId="10D47E2E" w14:textId="77777777" w:rsidR="00CF2E21" w:rsidRPr="00591BFC" w:rsidRDefault="00CF2E21" w:rsidP="00E86771">
            <w:pPr>
              <w:spacing w:line="360" w:lineRule="auto"/>
              <w:jc w:val="right"/>
            </w:pPr>
          </w:p>
        </w:tc>
      </w:tr>
      <w:tr w:rsidR="00CF2E21" w:rsidRPr="00591BFC" w14:paraId="415D3D90" w14:textId="77777777" w:rsidTr="00DB4F65">
        <w:tc>
          <w:tcPr>
            <w:tcW w:w="1492" w:type="pct"/>
            <w:shd w:val="clear" w:color="auto" w:fill="auto"/>
          </w:tcPr>
          <w:p w14:paraId="77483EF2" w14:textId="77777777" w:rsidR="00CF2E21" w:rsidRPr="00591BFC" w:rsidRDefault="00CF2E21" w:rsidP="00E86771">
            <w:pPr>
              <w:spacing w:line="360" w:lineRule="auto"/>
            </w:pPr>
            <w:r w:rsidRPr="00591BFC">
              <w:t>Patient-years</w:t>
            </w:r>
          </w:p>
        </w:tc>
        <w:tc>
          <w:tcPr>
            <w:tcW w:w="1256" w:type="pct"/>
            <w:shd w:val="clear" w:color="auto" w:fill="auto"/>
          </w:tcPr>
          <w:p w14:paraId="29A3C8EB" w14:textId="77777777" w:rsidR="00CF2E21" w:rsidRPr="00591BFC" w:rsidRDefault="00CF2E21" w:rsidP="00E86771">
            <w:pPr>
              <w:spacing w:line="360" w:lineRule="auto"/>
              <w:jc w:val="right"/>
            </w:pPr>
            <w:r w:rsidRPr="00591BFC">
              <w:t>24879</w:t>
            </w:r>
          </w:p>
        </w:tc>
        <w:tc>
          <w:tcPr>
            <w:tcW w:w="550" w:type="pct"/>
            <w:shd w:val="clear" w:color="auto" w:fill="auto"/>
          </w:tcPr>
          <w:p w14:paraId="0B5FB4B8" w14:textId="77777777" w:rsidR="00CF2E21" w:rsidRPr="00591BFC" w:rsidRDefault="00CF2E21" w:rsidP="00E86771">
            <w:pPr>
              <w:spacing w:line="360" w:lineRule="auto"/>
              <w:jc w:val="right"/>
            </w:pPr>
          </w:p>
        </w:tc>
        <w:tc>
          <w:tcPr>
            <w:tcW w:w="1257" w:type="pct"/>
            <w:shd w:val="clear" w:color="auto" w:fill="auto"/>
          </w:tcPr>
          <w:p w14:paraId="71A4A60C" w14:textId="77777777" w:rsidR="00CF2E21" w:rsidRPr="00591BFC" w:rsidRDefault="00CF2E21" w:rsidP="00E86771">
            <w:pPr>
              <w:spacing w:line="360" w:lineRule="auto"/>
              <w:jc w:val="right"/>
            </w:pPr>
            <w:r w:rsidRPr="00591BFC">
              <w:t>1599</w:t>
            </w:r>
          </w:p>
        </w:tc>
        <w:tc>
          <w:tcPr>
            <w:tcW w:w="445" w:type="pct"/>
            <w:shd w:val="clear" w:color="auto" w:fill="auto"/>
          </w:tcPr>
          <w:p w14:paraId="548304D5" w14:textId="77777777" w:rsidR="00CF2E21" w:rsidRPr="00591BFC" w:rsidRDefault="00CF2E21" w:rsidP="00E86771">
            <w:pPr>
              <w:spacing w:line="360" w:lineRule="auto"/>
              <w:jc w:val="right"/>
            </w:pPr>
          </w:p>
        </w:tc>
      </w:tr>
      <w:tr w:rsidR="00CF2E21" w:rsidRPr="00591BFC" w14:paraId="0939878D" w14:textId="77777777" w:rsidTr="00DB4F65">
        <w:tc>
          <w:tcPr>
            <w:tcW w:w="1492" w:type="pct"/>
            <w:shd w:val="clear" w:color="auto" w:fill="auto"/>
          </w:tcPr>
          <w:p w14:paraId="310FA384" w14:textId="77777777" w:rsidR="00CF2E21" w:rsidRPr="00591BFC" w:rsidRDefault="00CF2E21" w:rsidP="00E86771">
            <w:pPr>
              <w:spacing w:line="360" w:lineRule="auto"/>
            </w:pPr>
            <w:r w:rsidRPr="00591BFC">
              <w:t>Patients</w:t>
            </w:r>
          </w:p>
        </w:tc>
        <w:tc>
          <w:tcPr>
            <w:tcW w:w="1256" w:type="pct"/>
            <w:shd w:val="clear" w:color="auto" w:fill="auto"/>
          </w:tcPr>
          <w:p w14:paraId="4000CF80" w14:textId="77777777" w:rsidR="00CF2E21" w:rsidRPr="00591BFC" w:rsidRDefault="00CF2E21" w:rsidP="00E86771">
            <w:pPr>
              <w:spacing w:line="360" w:lineRule="auto"/>
              <w:jc w:val="right"/>
            </w:pPr>
            <w:r w:rsidRPr="00591BFC">
              <w:t>24879</w:t>
            </w:r>
          </w:p>
        </w:tc>
        <w:tc>
          <w:tcPr>
            <w:tcW w:w="550" w:type="pct"/>
            <w:shd w:val="clear" w:color="auto" w:fill="auto"/>
          </w:tcPr>
          <w:p w14:paraId="7A254573" w14:textId="77777777" w:rsidR="00CF2E21" w:rsidRPr="00591BFC" w:rsidRDefault="00CF2E21" w:rsidP="00E86771">
            <w:pPr>
              <w:spacing w:line="360" w:lineRule="auto"/>
              <w:jc w:val="right"/>
            </w:pPr>
          </w:p>
        </w:tc>
        <w:tc>
          <w:tcPr>
            <w:tcW w:w="1257" w:type="pct"/>
            <w:shd w:val="clear" w:color="auto" w:fill="auto"/>
          </w:tcPr>
          <w:p w14:paraId="02E658D3" w14:textId="77777777" w:rsidR="00CF2E21" w:rsidRPr="00591BFC" w:rsidRDefault="00CF2E21" w:rsidP="00E86771">
            <w:pPr>
              <w:spacing w:line="360" w:lineRule="auto"/>
              <w:jc w:val="right"/>
            </w:pPr>
            <w:r w:rsidRPr="00591BFC">
              <w:t>1599</w:t>
            </w:r>
          </w:p>
        </w:tc>
        <w:tc>
          <w:tcPr>
            <w:tcW w:w="445" w:type="pct"/>
            <w:shd w:val="clear" w:color="auto" w:fill="auto"/>
          </w:tcPr>
          <w:p w14:paraId="59EA367F" w14:textId="77777777" w:rsidR="00CF2E21" w:rsidRPr="00591BFC" w:rsidRDefault="00CF2E21" w:rsidP="00E86771">
            <w:pPr>
              <w:spacing w:line="360" w:lineRule="auto"/>
              <w:jc w:val="right"/>
            </w:pPr>
          </w:p>
        </w:tc>
      </w:tr>
      <w:tr w:rsidR="00CF2E21" w:rsidRPr="00591BFC" w14:paraId="646C03BD" w14:textId="77777777" w:rsidTr="00DB4F65">
        <w:tc>
          <w:tcPr>
            <w:tcW w:w="1492" w:type="pct"/>
            <w:shd w:val="clear" w:color="auto" w:fill="auto"/>
          </w:tcPr>
          <w:p w14:paraId="7F11D56E" w14:textId="77777777" w:rsidR="00CF2E21" w:rsidRPr="00591BFC" w:rsidRDefault="00CF2E21" w:rsidP="00E86771">
            <w:pPr>
              <w:spacing w:line="360" w:lineRule="auto"/>
            </w:pPr>
            <w:r w:rsidRPr="00591BFC">
              <w:t>No of events</w:t>
            </w:r>
          </w:p>
        </w:tc>
        <w:tc>
          <w:tcPr>
            <w:tcW w:w="1256" w:type="pct"/>
            <w:shd w:val="clear" w:color="auto" w:fill="auto"/>
          </w:tcPr>
          <w:p w14:paraId="6A35D96A" w14:textId="77777777" w:rsidR="00CF2E21" w:rsidRPr="00591BFC" w:rsidRDefault="00CF2E21" w:rsidP="00E86771">
            <w:pPr>
              <w:spacing w:line="360" w:lineRule="auto"/>
              <w:jc w:val="right"/>
            </w:pPr>
            <w:r w:rsidRPr="00591BFC">
              <w:t>4869</w:t>
            </w:r>
          </w:p>
        </w:tc>
        <w:tc>
          <w:tcPr>
            <w:tcW w:w="550" w:type="pct"/>
            <w:shd w:val="clear" w:color="auto" w:fill="auto"/>
          </w:tcPr>
          <w:p w14:paraId="2EE2AC79" w14:textId="77777777" w:rsidR="00CF2E21" w:rsidRPr="00591BFC" w:rsidRDefault="00CF2E21" w:rsidP="00E86771">
            <w:pPr>
              <w:spacing w:line="360" w:lineRule="auto"/>
              <w:jc w:val="right"/>
            </w:pPr>
          </w:p>
        </w:tc>
        <w:tc>
          <w:tcPr>
            <w:tcW w:w="1257" w:type="pct"/>
            <w:shd w:val="clear" w:color="auto" w:fill="auto"/>
          </w:tcPr>
          <w:p w14:paraId="48FF6630" w14:textId="77777777" w:rsidR="00CF2E21" w:rsidRPr="00591BFC" w:rsidRDefault="00CF2E21" w:rsidP="00E86771">
            <w:pPr>
              <w:spacing w:line="360" w:lineRule="auto"/>
              <w:jc w:val="right"/>
            </w:pPr>
            <w:r w:rsidRPr="00591BFC">
              <w:t>278</w:t>
            </w:r>
          </w:p>
        </w:tc>
        <w:tc>
          <w:tcPr>
            <w:tcW w:w="445" w:type="pct"/>
            <w:shd w:val="clear" w:color="auto" w:fill="auto"/>
          </w:tcPr>
          <w:p w14:paraId="09001D2D" w14:textId="77777777" w:rsidR="00CF2E21" w:rsidRPr="00591BFC" w:rsidRDefault="00CF2E21" w:rsidP="00E86771">
            <w:pPr>
              <w:spacing w:line="360" w:lineRule="auto"/>
              <w:jc w:val="right"/>
            </w:pPr>
          </w:p>
        </w:tc>
      </w:tr>
      <w:tr w:rsidR="00CF2E21" w:rsidRPr="00591BFC" w14:paraId="4EB4B31F" w14:textId="77777777" w:rsidTr="00DB4F65">
        <w:tc>
          <w:tcPr>
            <w:tcW w:w="1492" w:type="pct"/>
            <w:shd w:val="clear" w:color="auto" w:fill="auto"/>
          </w:tcPr>
          <w:p w14:paraId="1ED852F0" w14:textId="77777777" w:rsidR="00CF2E21" w:rsidRPr="00591BFC" w:rsidRDefault="00CF2E21" w:rsidP="00E86771">
            <w:pPr>
              <w:spacing w:line="360" w:lineRule="auto"/>
            </w:pPr>
            <w:r w:rsidRPr="00591BFC">
              <w:t>Functional form</w:t>
            </w:r>
          </w:p>
        </w:tc>
        <w:tc>
          <w:tcPr>
            <w:tcW w:w="1256" w:type="pct"/>
            <w:shd w:val="clear" w:color="auto" w:fill="auto"/>
          </w:tcPr>
          <w:p w14:paraId="6BF27C87" w14:textId="77777777" w:rsidR="00CF2E21" w:rsidRPr="00591BFC" w:rsidRDefault="00CF2E21" w:rsidP="00E86771">
            <w:pPr>
              <w:spacing w:line="360" w:lineRule="auto"/>
              <w:jc w:val="right"/>
            </w:pPr>
            <w:r w:rsidRPr="00591BFC">
              <w:t>Logistic</w:t>
            </w:r>
          </w:p>
        </w:tc>
        <w:tc>
          <w:tcPr>
            <w:tcW w:w="550" w:type="pct"/>
            <w:shd w:val="clear" w:color="auto" w:fill="auto"/>
          </w:tcPr>
          <w:p w14:paraId="50A041DA" w14:textId="77777777" w:rsidR="00CF2E21" w:rsidRPr="00591BFC" w:rsidRDefault="00CF2E21" w:rsidP="00E86771">
            <w:pPr>
              <w:spacing w:line="360" w:lineRule="auto"/>
              <w:jc w:val="right"/>
            </w:pPr>
          </w:p>
        </w:tc>
        <w:tc>
          <w:tcPr>
            <w:tcW w:w="1257" w:type="pct"/>
            <w:shd w:val="clear" w:color="auto" w:fill="auto"/>
          </w:tcPr>
          <w:p w14:paraId="2F0B16F2" w14:textId="77777777" w:rsidR="00CF2E21" w:rsidRPr="00591BFC" w:rsidRDefault="00CF2E21" w:rsidP="00E86771">
            <w:pPr>
              <w:spacing w:line="360" w:lineRule="auto"/>
              <w:jc w:val="right"/>
            </w:pPr>
            <w:r w:rsidRPr="00591BFC">
              <w:t>Logistic</w:t>
            </w:r>
          </w:p>
        </w:tc>
        <w:tc>
          <w:tcPr>
            <w:tcW w:w="445" w:type="pct"/>
            <w:shd w:val="clear" w:color="auto" w:fill="auto"/>
          </w:tcPr>
          <w:p w14:paraId="577C1815" w14:textId="77777777" w:rsidR="00CF2E21" w:rsidRPr="00591BFC" w:rsidRDefault="00CF2E21" w:rsidP="00E86771">
            <w:pPr>
              <w:spacing w:line="360" w:lineRule="auto"/>
              <w:jc w:val="right"/>
            </w:pPr>
          </w:p>
        </w:tc>
      </w:tr>
      <w:tr w:rsidR="00CF2E21" w:rsidRPr="00591BFC" w14:paraId="3F2EEA02" w14:textId="77777777" w:rsidTr="00DB4F65">
        <w:tc>
          <w:tcPr>
            <w:tcW w:w="1492" w:type="pct"/>
            <w:shd w:val="clear" w:color="auto" w:fill="auto"/>
          </w:tcPr>
          <w:p w14:paraId="05488FC5" w14:textId="77777777" w:rsidR="00CF2E21" w:rsidRPr="00591BFC" w:rsidRDefault="00CF2E21" w:rsidP="00E86771">
            <w:pPr>
              <w:spacing w:line="360" w:lineRule="auto"/>
            </w:pPr>
            <w:r w:rsidRPr="00591BFC">
              <w:t>Parameters</w:t>
            </w:r>
          </w:p>
        </w:tc>
        <w:tc>
          <w:tcPr>
            <w:tcW w:w="1256" w:type="pct"/>
            <w:shd w:val="clear" w:color="auto" w:fill="auto"/>
          </w:tcPr>
          <w:p w14:paraId="4BC0346F" w14:textId="77777777" w:rsidR="00CF2E21" w:rsidRPr="00591BFC" w:rsidRDefault="00CF2E21" w:rsidP="00E86771">
            <w:pPr>
              <w:spacing w:line="360" w:lineRule="auto"/>
              <w:jc w:val="right"/>
            </w:pPr>
            <w:r w:rsidRPr="00591BFC">
              <w:t>Mean</w:t>
            </w:r>
          </w:p>
        </w:tc>
        <w:tc>
          <w:tcPr>
            <w:tcW w:w="550" w:type="pct"/>
            <w:shd w:val="clear" w:color="auto" w:fill="auto"/>
          </w:tcPr>
          <w:p w14:paraId="27A8652F" w14:textId="77777777" w:rsidR="00CF2E21" w:rsidRPr="00591BFC" w:rsidRDefault="00CF2E21" w:rsidP="00E86771">
            <w:pPr>
              <w:spacing w:line="360" w:lineRule="auto"/>
              <w:jc w:val="right"/>
            </w:pPr>
            <w:r w:rsidRPr="00591BFC">
              <w:t>SE</w:t>
            </w:r>
          </w:p>
        </w:tc>
        <w:tc>
          <w:tcPr>
            <w:tcW w:w="1257" w:type="pct"/>
            <w:shd w:val="clear" w:color="auto" w:fill="auto"/>
          </w:tcPr>
          <w:p w14:paraId="023E9445" w14:textId="77777777" w:rsidR="00CF2E21" w:rsidRPr="00591BFC" w:rsidRDefault="00CF2E21" w:rsidP="00E86771">
            <w:pPr>
              <w:spacing w:line="360" w:lineRule="auto"/>
              <w:jc w:val="right"/>
            </w:pPr>
            <w:r w:rsidRPr="00591BFC">
              <w:t>Mean</w:t>
            </w:r>
          </w:p>
        </w:tc>
        <w:tc>
          <w:tcPr>
            <w:tcW w:w="445" w:type="pct"/>
            <w:shd w:val="clear" w:color="auto" w:fill="auto"/>
          </w:tcPr>
          <w:p w14:paraId="35CAC687" w14:textId="77777777" w:rsidR="00CF2E21" w:rsidRPr="00591BFC" w:rsidRDefault="00CF2E21" w:rsidP="00E86771">
            <w:pPr>
              <w:spacing w:line="360" w:lineRule="auto"/>
              <w:jc w:val="right"/>
            </w:pPr>
            <w:r w:rsidRPr="00591BFC">
              <w:t>SE</w:t>
            </w:r>
          </w:p>
        </w:tc>
      </w:tr>
      <w:tr w:rsidR="00CF2E21" w:rsidRPr="00591BFC" w14:paraId="54E4F963" w14:textId="77777777" w:rsidTr="00DB4F65">
        <w:tc>
          <w:tcPr>
            <w:tcW w:w="1492" w:type="pct"/>
            <w:shd w:val="clear" w:color="auto" w:fill="auto"/>
          </w:tcPr>
          <w:p w14:paraId="05D42BB7" w14:textId="77777777" w:rsidR="00CF2E21" w:rsidRPr="00591BFC" w:rsidRDefault="00CF2E21" w:rsidP="00E86771">
            <w:pPr>
              <w:spacing w:line="360" w:lineRule="auto"/>
            </w:pPr>
            <w:r w:rsidRPr="00591BFC">
              <w:t>Constant</w:t>
            </w:r>
          </w:p>
        </w:tc>
        <w:tc>
          <w:tcPr>
            <w:tcW w:w="1256" w:type="pct"/>
            <w:shd w:val="clear" w:color="auto" w:fill="auto"/>
          </w:tcPr>
          <w:p w14:paraId="379DCEEB" w14:textId="77777777" w:rsidR="00CF2E21" w:rsidRPr="00591BFC" w:rsidRDefault="00CF2E21" w:rsidP="00E86771">
            <w:pPr>
              <w:spacing w:line="360" w:lineRule="auto"/>
              <w:jc w:val="right"/>
              <w:rPr>
                <w:color w:val="000000"/>
              </w:rPr>
            </w:pPr>
            <w:r w:rsidRPr="00591BFC">
              <w:rPr>
                <w:color w:val="000000"/>
              </w:rPr>
              <w:t>-10.490</w:t>
            </w:r>
          </w:p>
        </w:tc>
        <w:tc>
          <w:tcPr>
            <w:tcW w:w="550" w:type="pct"/>
            <w:shd w:val="clear" w:color="auto" w:fill="auto"/>
          </w:tcPr>
          <w:p w14:paraId="3C17D321" w14:textId="77777777" w:rsidR="00CF2E21" w:rsidRPr="00591BFC" w:rsidRDefault="00CF2E21" w:rsidP="00E86771">
            <w:pPr>
              <w:spacing w:line="360" w:lineRule="auto"/>
              <w:jc w:val="right"/>
              <w:rPr>
                <w:color w:val="000000"/>
              </w:rPr>
            </w:pPr>
            <w:r w:rsidRPr="00591BFC">
              <w:rPr>
                <w:color w:val="000000"/>
              </w:rPr>
              <w:t>1.398</w:t>
            </w:r>
          </w:p>
        </w:tc>
        <w:tc>
          <w:tcPr>
            <w:tcW w:w="1257" w:type="pct"/>
            <w:shd w:val="clear" w:color="auto" w:fill="auto"/>
          </w:tcPr>
          <w:p w14:paraId="790B76F2" w14:textId="77777777" w:rsidR="00CF2E21" w:rsidRPr="00591BFC" w:rsidRDefault="00CF2E21" w:rsidP="00E86771">
            <w:pPr>
              <w:spacing w:line="360" w:lineRule="auto"/>
              <w:jc w:val="right"/>
              <w:rPr>
                <w:color w:val="000000"/>
              </w:rPr>
            </w:pPr>
            <w:r w:rsidRPr="00591BFC">
              <w:rPr>
                <w:color w:val="000000"/>
              </w:rPr>
              <w:t>-4.120</w:t>
            </w:r>
          </w:p>
        </w:tc>
        <w:tc>
          <w:tcPr>
            <w:tcW w:w="445" w:type="pct"/>
            <w:shd w:val="clear" w:color="auto" w:fill="auto"/>
          </w:tcPr>
          <w:p w14:paraId="47DF1993" w14:textId="77777777" w:rsidR="00CF2E21" w:rsidRPr="00591BFC" w:rsidRDefault="00CF2E21" w:rsidP="00E86771">
            <w:pPr>
              <w:spacing w:line="360" w:lineRule="auto"/>
              <w:jc w:val="right"/>
              <w:rPr>
                <w:color w:val="000000"/>
              </w:rPr>
            </w:pPr>
            <w:r w:rsidRPr="00591BFC">
              <w:rPr>
                <w:color w:val="000000"/>
              </w:rPr>
              <w:t>0.777</w:t>
            </w:r>
          </w:p>
        </w:tc>
      </w:tr>
      <w:tr w:rsidR="00CF2E21" w:rsidRPr="00591BFC" w14:paraId="092B4AFE" w14:textId="77777777" w:rsidTr="00DB4F65">
        <w:tc>
          <w:tcPr>
            <w:tcW w:w="1492" w:type="pct"/>
            <w:shd w:val="clear" w:color="auto" w:fill="auto"/>
          </w:tcPr>
          <w:p w14:paraId="6F4034C3" w14:textId="77777777" w:rsidR="00CF2E21" w:rsidRPr="00591BFC" w:rsidRDefault="00CF2E21" w:rsidP="00E86771">
            <w:pPr>
              <w:spacing w:line="360" w:lineRule="auto"/>
            </w:pPr>
            <w:r w:rsidRPr="00591BFC">
              <w:t>Female</w:t>
            </w:r>
          </w:p>
        </w:tc>
        <w:tc>
          <w:tcPr>
            <w:tcW w:w="1256" w:type="pct"/>
            <w:shd w:val="clear" w:color="auto" w:fill="auto"/>
          </w:tcPr>
          <w:p w14:paraId="0D3508F7" w14:textId="77777777" w:rsidR="00CF2E21" w:rsidRPr="00591BFC" w:rsidRDefault="00CF2E21" w:rsidP="00E86771">
            <w:pPr>
              <w:spacing w:line="360" w:lineRule="auto"/>
              <w:jc w:val="right"/>
              <w:rPr>
                <w:color w:val="000000"/>
              </w:rPr>
            </w:pPr>
            <w:r w:rsidRPr="00591BFC">
              <w:rPr>
                <w:color w:val="000000"/>
              </w:rPr>
              <w:t>0.152</w:t>
            </w:r>
          </w:p>
        </w:tc>
        <w:tc>
          <w:tcPr>
            <w:tcW w:w="550" w:type="pct"/>
            <w:shd w:val="clear" w:color="auto" w:fill="auto"/>
          </w:tcPr>
          <w:p w14:paraId="46A5A367" w14:textId="77777777" w:rsidR="00CF2E21" w:rsidRPr="00591BFC" w:rsidRDefault="00CF2E21" w:rsidP="00E86771">
            <w:pPr>
              <w:spacing w:line="360" w:lineRule="auto"/>
              <w:jc w:val="right"/>
              <w:rPr>
                <w:color w:val="000000"/>
              </w:rPr>
            </w:pPr>
            <w:r w:rsidRPr="00591BFC">
              <w:rPr>
                <w:color w:val="000000"/>
              </w:rPr>
              <w:t>0.040</w:t>
            </w:r>
          </w:p>
        </w:tc>
        <w:tc>
          <w:tcPr>
            <w:tcW w:w="1257" w:type="pct"/>
            <w:shd w:val="clear" w:color="auto" w:fill="auto"/>
          </w:tcPr>
          <w:p w14:paraId="5B7A7EAF" w14:textId="77777777" w:rsidR="00CF2E21" w:rsidRPr="00591BFC" w:rsidRDefault="00CF2E21" w:rsidP="00E86771">
            <w:pPr>
              <w:spacing w:line="360" w:lineRule="auto"/>
              <w:jc w:val="right"/>
            </w:pPr>
          </w:p>
        </w:tc>
        <w:tc>
          <w:tcPr>
            <w:tcW w:w="445" w:type="pct"/>
            <w:shd w:val="clear" w:color="auto" w:fill="auto"/>
          </w:tcPr>
          <w:p w14:paraId="055AD85E" w14:textId="77777777" w:rsidR="00CF2E21" w:rsidRPr="00591BFC" w:rsidRDefault="00CF2E21" w:rsidP="00E86771">
            <w:pPr>
              <w:spacing w:line="360" w:lineRule="auto"/>
              <w:jc w:val="right"/>
            </w:pPr>
          </w:p>
        </w:tc>
      </w:tr>
      <w:tr w:rsidR="00CF2E21" w:rsidRPr="00591BFC" w14:paraId="67A05B2E" w14:textId="77777777" w:rsidTr="00DB4F65">
        <w:tc>
          <w:tcPr>
            <w:tcW w:w="1492" w:type="pct"/>
            <w:shd w:val="clear" w:color="auto" w:fill="auto"/>
          </w:tcPr>
          <w:p w14:paraId="5CE8B8A1" w14:textId="77777777" w:rsidR="00CF2E21" w:rsidRPr="00591BFC" w:rsidRDefault="00CF2E21" w:rsidP="00E86771">
            <w:pPr>
              <w:spacing w:line="360" w:lineRule="auto"/>
            </w:pPr>
            <w:r w:rsidRPr="00591BFC">
              <w:t>Age at 1</w:t>
            </w:r>
            <w:r w:rsidRPr="00591BFC">
              <w:rPr>
                <w:vertAlign w:val="superscript"/>
              </w:rPr>
              <w:t>st</w:t>
            </w:r>
            <w:r w:rsidRPr="00591BFC">
              <w:t xml:space="preserve"> hip fracture</w:t>
            </w:r>
          </w:p>
        </w:tc>
        <w:tc>
          <w:tcPr>
            <w:tcW w:w="1256" w:type="pct"/>
            <w:shd w:val="clear" w:color="auto" w:fill="auto"/>
          </w:tcPr>
          <w:p w14:paraId="66FFE7D4" w14:textId="77777777" w:rsidR="00CF2E21" w:rsidRPr="00591BFC" w:rsidRDefault="00CF2E21" w:rsidP="00E86771">
            <w:pPr>
              <w:spacing w:line="360" w:lineRule="auto"/>
              <w:jc w:val="right"/>
              <w:rPr>
                <w:color w:val="000000"/>
              </w:rPr>
            </w:pPr>
            <w:r w:rsidRPr="00591BFC">
              <w:rPr>
                <w:color w:val="000000"/>
              </w:rPr>
              <w:t>0.173</w:t>
            </w:r>
          </w:p>
        </w:tc>
        <w:tc>
          <w:tcPr>
            <w:tcW w:w="550" w:type="pct"/>
            <w:shd w:val="clear" w:color="auto" w:fill="auto"/>
          </w:tcPr>
          <w:p w14:paraId="026DAD13" w14:textId="77777777" w:rsidR="00CF2E21" w:rsidRPr="00591BFC" w:rsidRDefault="00CF2E21" w:rsidP="00E86771">
            <w:pPr>
              <w:spacing w:line="360" w:lineRule="auto"/>
              <w:jc w:val="right"/>
              <w:rPr>
                <w:color w:val="000000"/>
              </w:rPr>
            </w:pPr>
            <w:r w:rsidRPr="00591BFC">
              <w:rPr>
                <w:color w:val="000000"/>
              </w:rPr>
              <w:t>0.034</w:t>
            </w:r>
          </w:p>
        </w:tc>
        <w:tc>
          <w:tcPr>
            <w:tcW w:w="1257" w:type="pct"/>
            <w:shd w:val="clear" w:color="auto" w:fill="auto"/>
          </w:tcPr>
          <w:p w14:paraId="44956B73" w14:textId="77777777" w:rsidR="00CF2E21" w:rsidRPr="00591BFC" w:rsidRDefault="00CF2E21" w:rsidP="00E86771">
            <w:pPr>
              <w:spacing w:line="360" w:lineRule="auto"/>
              <w:jc w:val="right"/>
            </w:pPr>
          </w:p>
        </w:tc>
        <w:tc>
          <w:tcPr>
            <w:tcW w:w="445" w:type="pct"/>
            <w:shd w:val="clear" w:color="auto" w:fill="auto"/>
          </w:tcPr>
          <w:p w14:paraId="3347E170" w14:textId="77777777" w:rsidR="00CF2E21" w:rsidRPr="00591BFC" w:rsidRDefault="00CF2E21" w:rsidP="00E86771">
            <w:pPr>
              <w:spacing w:line="360" w:lineRule="auto"/>
              <w:jc w:val="right"/>
            </w:pPr>
          </w:p>
        </w:tc>
      </w:tr>
      <w:tr w:rsidR="00CF2E21" w:rsidRPr="00591BFC" w14:paraId="6A8C6357" w14:textId="77777777" w:rsidTr="00DB4F65">
        <w:tc>
          <w:tcPr>
            <w:tcW w:w="1492" w:type="pct"/>
            <w:shd w:val="clear" w:color="auto" w:fill="auto"/>
          </w:tcPr>
          <w:p w14:paraId="0DD6D738" w14:textId="77777777" w:rsidR="00CF2E21" w:rsidRPr="00591BFC" w:rsidRDefault="00CF2E21" w:rsidP="00E86771">
            <w:pPr>
              <w:spacing w:line="360" w:lineRule="auto"/>
            </w:pPr>
            <w:r w:rsidRPr="00591BFC">
              <w:t>(Age at 1</w:t>
            </w:r>
            <w:r w:rsidRPr="00591BFC">
              <w:rPr>
                <w:vertAlign w:val="superscript"/>
              </w:rPr>
              <w:t>st</w:t>
            </w:r>
            <w:r w:rsidRPr="00591BFC">
              <w:t xml:space="preserve"> hip fracture)^2</w:t>
            </w:r>
          </w:p>
        </w:tc>
        <w:tc>
          <w:tcPr>
            <w:tcW w:w="1256" w:type="pct"/>
            <w:shd w:val="clear" w:color="auto" w:fill="auto"/>
          </w:tcPr>
          <w:p w14:paraId="060B3B37" w14:textId="77777777" w:rsidR="00CF2E21" w:rsidRPr="00591BFC" w:rsidRDefault="00CF2E21" w:rsidP="00E86771">
            <w:pPr>
              <w:spacing w:line="360" w:lineRule="auto"/>
              <w:jc w:val="right"/>
              <w:rPr>
                <w:color w:val="000000"/>
              </w:rPr>
            </w:pPr>
            <w:r w:rsidRPr="00591BFC">
              <w:rPr>
                <w:color w:val="000000"/>
              </w:rPr>
              <w:t>-0.0008</w:t>
            </w:r>
          </w:p>
        </w:tc>
        <w:tc>
          <w:tcPr>
            <w:tcW w:w="550" w:type="pct"/>
            <w:shd w:val="clear" w:color="auto" w:fill="auto"/>
          </w:tcPr>
          <w:p w14:paraId="77EB6579" w14:textId="77777777" w:rsidR="00CF2E21" w:rsidRPr="00591BFC" w:rsidRDefault="00CF2E21" w:rsidP="00E86771">
            <w:pPr>
              <w:spacing w:line="360" w:lineRule="auto"/>
              <w:jc w:val="right"/>
              <w:rPr>
                <w:color w:val="000000"/>
              </w:rPr>
            </w:pPr>
            <w:r w:rsidRPr="00591BFC">
              <w:rPr>
                <w:color w:val="000000"/>
              </w:rPr>
              <w:t>0.0002</w:t>
            </w:r>
          </w:p>
        </w:tc>
        <w:tc>
          <w:tcPr>
            <w:tcW w:w="1257" w:type="pct"/>
            <w:shd w:val="clear" w:color="auto" w:fill="auto"/>
          </w:tcPr>
          <w:p w14:paraId="1CA0D183" w14:textId="77777777" w:rsidR="00CF2E21" w:rsidRPr="00591BFC" w:rsidRDefault="00CF2E21" w:rsidP="00E86771">
            <w:pPr>
              <w:spacing w:line="360" w:lineRule="auto"/>
              <w:jc w:val="right"/>
            </w:pPr>
          </w:p>
        </w:tc>
        <w:tc>
          <w:tcPr>
            <w:tcW w:w="445" w:type="pct"/>
            <w:shd w:val="clear" w:color="auto" w:fill="auto"/>
          </w:tcPr>
          <w:p w14:paraId="6092607C" w14:textId="77777777" w:rsidR="00CF2E21" w:rsidRPr="00591BFC" w:rsidRDefault="00CF2E21" w:rsidP="00E86771">
            <w:pPr>
              <w:spacing w:line="360" w:lineRule="auto"/>
              <w:jc w:val="right"/>
            </w:pPr>
          </w:p>
        </w:tc>
      </w:tr>
      <w:tr w:rsidR="00CF2E21" w:rsidRPr="00591BFC" w14:paraId="22F58079" w14:textId="77777777" w:rsidTr="00DB4F65">
        <w:tc>
          <w:tcPr>
            <w:tcW w:w="1492" w:type="pct"/>
            <w:shd w:val="clear" w:color="auto" w:fill="auto"/>
          </w:tcPr>
          <w:p w14:paraId="26CBE8D5" w14:textId="77777777" w:rsidR="00CF2E21" w:rsidRPr="00591BFC" w:rsidRDefault="00CF2E21" w:rsidP="00E86771">
            <w:pPr>
              <w:spacing w:line="360" w:lineRule="auto"/>
            </w:pPr>
            <w:r w:rsidRPr="00591BFC">
              <w:lastRenderedPageBreak/>
              <w:t>Age at 2</w:t>
            </w:r>
            <w:r w:rsidRPr="00591BFC">
              <w:rPr>
                <w:vertAlign w:val="superscript"/>
              </w:rPr>
              <w:t>nd</w:t>
            </w:r>
            <w:r w:rsidRPr="00591BFC">
              <w:t xml:space="preserve"> hip fracture</w:t>
            </w:r>
          </w:p>
        </w:tc>
        <w:tc>
          <w:tcPr>
            <w:tcW w:w="1256" w:type="pct"/>
            <w:shd w:val="clear" w:color="auto" w:fill="auto"/>
          </w:tcPr>
          <w:p w14:paraId="77B00041" w14:textId="77777777" w:rsidR="00CF2E21" w:rsidRPr="00591BFC" w:rsidRDefault="00CF2E21" w:rsidP="00E86771">
            <w:pPr>
              <w:spacing w:line="360" w:lineRule="auto"/>
              <w:jc w:val="right"/>
            </w:pPr>
          </w:p>
        </w:tc>
        <w:tc>
          <w:tcPr>
            <w:tcW w:w="550" w:type="pct"/>
            <w:shd w:val="clear" w:color="auto" w:fill="auto"/>
          </w:tcPr>
          <w:p w14:paraId="3606A564" w14:textId="77777777" w:rsidR="00CF2E21" w:rsidRPr="00591BFC" w:rsidRDefault="00CF2E21" w:rsidP="00E86771">
            <w:pPr>
              <w:spacing w:line="360" w:lineRule="auto"/>
              <w:jc w:val="right"/>
            </w:pPr>
          </w:p>
        </w:tc>
        <w:tc>
          <w:tcPr>
            <w:tcW w:w="1257" w:type="pct"/>
            <w:shd w:val="clear" w:color="auto" w:fill="auto"/>
          </w:tcPr>
          <w:p w14:paraId="3803B6D5" w14:textId="77777777" w:rsidR="00CF2E21" w:rsidRPr="00591BFC" w:rsidRDefault="00CF2E21" w:rsidP="00E86771">
            <w:pPr>
              <w:spacing w:line="360" w:lineRule="auto"/>
              <w:jc w:val="right"/>
              <w:rPr>
                <w:color w:val="000000"/>
              </w:rPr>
            </w:pPr>
            <w:r w:rsidRPr="00591BFC">
              <w:rPr>
                <w:color w:val="000000"/>
              </w:rPr>
              <w:t>0.030</w:t>
            </w:r>
          </w:p>
        </w:tc>
        <w:tc>
          <w:tcPr>
            <w:tcW w:w="445" w:type="pct"/>
            <w:shd w:val="clear" w:color="auto" w:fill="auto"/>
          </w:tcPr>
          <w:p w14:paraId="0189EA7D" w14:textId="77777777" w:rsidR="00CF2E21" w:rsidRPr="00591BFC" w:rsidRDefault="00CF2E21" w:rsidP="00E86771">
            <w:pPr>
              <w:spacing w:line="360" w:lineRule="auto"/>
              <w:jc w:val="right"/>
              <w:rPr>
                <w:color w:val="000000"/>
              </w:rPr>
            </w:pPr>
            <w:r w:rsidRPr="00591BFC">
              <w:rPr>
                <w:color w:val="000000"/>
              </w:rPr>
              <w:t>0.009</w:t>
            </w:r>
          </w:p>
        </w:tc>
      </w:tr>
      <w:tr w:rsidR="00CF2E21" w:rsidRPr="00591BFC" w14:paraId="4765E9C8" w14:textId="77777777" w:rsidTr="00DB4F65">
        <w:tc>
          <w:tcPr>
            <w:tcW w:w="1492" w:type="pct"/>
            <w:shd w:val="clear" w:color="auto" w:fill="auto"/>
          </w:tcPr>
          <w:p w14:paraId="3F4E6B3D" w14:textId="77777777" w:rsidR="00CF2E21" w:rsidRPr="00591BFC" w:rsidRDefault="00CF2E21" w:rsidP="00E86771">
            <w:pPr>
              <w:spacing w:line="360" w:lineRule="auto"/>
            </w:pPr>
            <w:r w:rsidRPr="00591BFC">
              <w:t>CCI score</w:t>
            </w:r>
          </w:p>
        </w:tc>
        <w:tc>
          <w:tcPr>
            <w:tcW w:w="1256" w:type="pct"/>
            <w:shd w:val="clear" w:color="auto" w:fill="auto"/>
          </w:tcPr>
          <w:p w14:paraId="3E74DADD" w14:textId="77777777" w:rsidR="00CF2E21" w:rsidRPr="00591BFC" w:rsidRDefault="00CF2E21" w:rsidP="00E86771">
            <w:pPr>
              <w:spacing w:line="360" w:lineRule="auto"/>
              <w:jc w:val="right"/>
              <w:rPr>
                <w:color w:val="000000"/>
              </w:rPr>
            </w:pPr>
            <w:r w:rsidRPr="00591BFC">
              <w:rPr>
                <w:color w:val="000000"/>
              </w:rPr>
              <w:t>0.042</w:t>
            </w:r>
          </w:p>
        </w:tc>
        <w:tc>
          <w:tcPr>
            <w:tcW w:w="550" w:type="pct"/>
            <w:shd w:val="clear" w:color="auto" w:fill="auto"/>
          </w:tcPr>
          <w:p w14:paraId="23FD2E66" w14:textId="77777777" w:rsidR="00CF2E21" w:rsidRPr="00591BFC" w:rsidRDefault="00CF2E21" w:rsidP="00E86771">
            <w:pPr>
              <w:spacing w:line="360" w:lineRule="auto"/>
              <w:jc w:val="right"/>
              <w:rPr>
                <w:color w:val="000000"/>
              </w:rPr>
            </w:pPr>
            <w:r w:rsidRPr="00591BFC">
              <w:rPr>
                <w:color w:val="000000"/>
              </w:rPr>
              <w:t>0.011</w:t>
            </w:r>
          </w:p>
        </w:tc>
        <w:tc>
          <w:tcPr>
            <w:tcW w:w="1257" w:type="pct"/>
            <w:shd w:val="clear" w:color="auto" w:fill="auto"/>
          </w:tcPr>
          <w:p w14:paraId="42E9B7ED" w14:textId="77777777" w:rsidR="00CF2E21" w:rsidRPr="00591BFC" w:rsidRDefault="00CF2E21" w:rsidP="00E86771">
            <w:pPr>
              <w:spacing w:line="360" w:lineRule="auto"/>
              <w:jc w:val="right"/>
            </w:pPr>
          </w:p>
        </w:tc>
        <w:tc>
          <w:tcPr>
            <w:tcW w:w="445" w:type="pct"/>
            <w:shd w:val="clear" w:color="auto" w:fill="auto"/>
          </w:tcPr>
          <w:p w14:paraId="1B41D3C5" w14:textId="77777777" w:rsidR="00CF2E21" w:rsidRPr="00591BFC" w:rsidRDefault="00CF2E21" w:rsidP="00E86771">
            <w:pPr>
              <w:spacing w:line="360" w:lineRule="auto"/>
              <w:jc w:val="right"/>
            </w:pPr>
          </w:p>
        </w:tc>
      </w:tr>
      <w:tr w:rsidR="00CF2E21" w:rsidRPr="00591BFC" w14:paraId="719C412E" w14:textId="77777777" w:rsidTr="00DB4F65">
        <w:tc>
          <w:tcPr>
            <w:tcW w:w="1492" w:type="pct"/>
            <w:shd w:val="clear" w:color="auto" w:fill="auto"/>
          </w:tcPr>
          <w:p w14:paraId="2BC686DB" w14:textId="77777777" w:rsidR="00CF2E21" w:rsidRPr="00591BFC" w:rsidRDefault="00CF2E21" w:rsidP="00E86771">
            <w:pPr>
              <w:spacing w:line="360" w:lineRule="auto"/>
            </w:pPr>
            <w:r w:rsidRPr="00591BFC">
              <w:t>p&gt;X</w:t>
            </w:r>
            <w:r w:rsidRPr="00591BFC">
              <w:rPr>
                <w:vertAlign w:val="superscript"/>
              </w:rPr>
              <w:t>2</w:t>
            </w:r>
          </w:p>
        </w:tc>
        <w:tc>
          <w:tcPr>
            <w:tcW w:w="1256" w:type="pct"/>
            <w:shd w:val="clear" w:color="auto" w:fill="auto"/>
          </w:tcPr>
          <w:p w14:paraId="7A305A4B" w14:textId="77777777" w:rsidR="00CF2E21" w:rsidRPr="00591BFC" w:rsidRDefault="00CF2E21" w:rsidP="00E86771">
            <w:pPr>
              <w:spacing w:line="360" w:lineRule="auto"/>
              <w:jc w:val="right"/>
            </w:pPr>
            <w:r w:rsidRPr="00591BFC">
              <w:t>&lt;0.001</w:t>
            </w:r>
          </w:p>
        </w:tc>
        <w:tc>
          <w:tcPr>
            <w:tcW w:w="550" w:type="pct"/>
            <w:shd w:val="clear" w:color="auto" w:fill="auto"/>
          </w:tcPr>
          <w:p w14:paraId="2C04EE2D" w14:textId="77777777" w:rsidR="00CF2E21" w:rsidRPr="00591BFC" w:rsidRDefault="00CF2E21" w:rsidP="00E86771">
            <w:pPr>
              <w:spacing w:line="360" w:lineRule="auto"/>
              <w:jc w:val="right"/>
            </w:pPr>
          </w:p>
        </w:tc>
        <w:tc>
          <w:tcPr>
            <w:tcW w:w="1257" w:type="pct"/>
            <w:shd w:val="clear" w:color="auto" w:fill="auto"/>
          </w:tcPr>
          <w:p w14:paraId="543202CC" w14:textId="77777777" w:rsidR="00CF2E21" w:rsidRPr="00591BFC" w:rsidRDefault="00CF2E21" w:rsidP="00E86771">
            <w:pPr>
              <w:spacing w:line="360" w:lineRule="auto"/>
              <w:jc w:val="right"/>
            </w:pPr>
            <w:r w:rsidRPr="00591BFC">
              <w:t>&lt;0.001</w:t>
            </w:r>
          </w:p>
        </w:tc>
        <w:tc>
          <w:tcPr>
            <w:tcW w:w="445" w:type="pct"/>
            <w:shd w:val="clear" w:color="auto" w:fill="auto"/>
          </w:tcPr>
          <w:p w14:paraId="1DA22CC5" w14:textId="77777777" w:rsidR="00CF2E21" w:rsidRPr="00591BFC" w:rsidRDefault="00CF2E21" w:rsidP="00E86771">
            <w:pPr>
              <w:spacing w:line="360" w:lineRule="auto"/>
              <w:jc w:val="right"/>
            </w:pPr>
          </w:p>
        </w:tc>
      </w:tr>
    </w:tbl>
    <w:p w14:paraId="127D63B8" w14:textId="77777777" w:rsidR="00CF2E21" w:rsidRPr="00591BFC" w:rsidRDefault="00CF2E21" w:rsidP="00E86771">
      <w:pPr>
        <w:spacing w:line="360" w:lineRule="auto"/>
        <w:sectPr w:rsidR="00CF2E21" w:rsidRPr="00591BFC" w:rsidSect="003B70E3">
          <w:pgSz w:w="11900" w:h="16840"/>
          <w:pgMar w:top="1440" w:right="1440" w:bottom="1440" w:left="1440" w:header="708" w:footer="708" w:gutter="0"/>
          <w:cols w:space="708"/>
          <w:docGrid w:linePitch="360"/>
        </w:sectPr>
      </w:pPr>
    </w:p>
    <w:p w14:paraId="6F6753CC" w14:textId="77777777" w:rsidR="00615358" w:rsidRPr="00591BFC" w:rsidRDefault="00615358" w:rsidP="00E86771">
      <w:pPr>
        <w:pStyle w:val="Caption"/>
        <w:keepNext/>
        <w:spacing w:line="360" w:lineRule="auto"/>
      </w:pPr>
      <w:bookmarkStart w:id="421" w:name="_Ref423077015"/>
      <w:bookmarkStart w:id="422" w:name="_Toc308262424"/>
      <w:bookmarkStart w:id="423" w:name="_Toc311366690"/>
      <w:r w:rsidRPr="00591BFC">
        <w:lastRenderedPageBreak/>
        <w:t xml:space="preserve">Table </w:t>
      </w:r>
      <w:r w:rsidR="002149AD">
        <w:fldChar w:fldCharType="begin"/>
      </w:r>
      <w:r w:rsidR="002149AD">
        <w:instrText xml:space="preserve"> SEQ Table \* ARABIC </w:instrText>
      </w:r>
      <w:r w:rsidR="002149AD">
        <w:fldChar w:fldCharType="separate"/>
      </w:r>
      <w:r w:rsidR="00776C05">
        <w:rPr>
          <w:noProof/>
        </w:rPr>
        <w:t>29</w:t>
      </w:r>
      <w:r w:rsidR="002149AD">
        <w:rPr>
          <w:noProof/>
        </w:rPr>
        <w:fldChar w:fldCharType="end"/>
      </w:r>
      <w:bookmarkEnd w:id="421"/>
      <w:r w:rsidRPr="00591BFC">
        <w:t xml:space="preserve"> Risk equations estimating the probability of events and all-cause mortality</w:t>
      </w:r>
      <w:bookmarkEnd w:id="422"/>
      <w:bookmarkEnd w:id="423"/>
    </w:p>
    <w:tbl>
      <w:tblPr>
        <w:tblW w:w="5000" w:type="pct"/>
        <w:tblLook w:val="04A0" w:firstRow="1" w:lastRow="0" w:firstColumn="1" w:lastColumn="0" w:noHBand="0" w:noVBand="1"/>
      </w:tblPr>
      <w:tblGrid>
        <w:gridCol w:w="1160"/>
        <w:gridCol w:w="872"/>
        <w:gridCol w:w="674"/>
        <w:gridCol w:w="871"/>
        <w:gridCol w:w="674"/>
        <w:gridCol w:w="966"/>
        <w:gridCol w:w="674"/>
        <w:gridCol w:w="966"/>
        <w:gridCol w:w="674"/>
        <w:gridCol w:w="1031"/>
        <w:gridCol w:w="674"/>
      </w:tblGrid>
      <w:tr w:rsidR="00CF2E21" w:rsidRPr="00591BFC" w14:paraId="64F84C25" w14:textId="77777777" w:rsidTr="00DB4F65">
        <w:tc>
          <w:tcPr>
            <w:tcW w:w="1116" w:type="pct"/>
            <w:shd w:val="clear" w:color="auto" w:fill="auto"/>
          </w:tcPr>
          <w:p w14:paraId="6A069DA9" w14:textId="77777777" w:rsidR="00CF2E21" w:rsidRPr="00591BFC" w:rsidRDefault="00CF2E21" w:rsidP="00E86771">
            <w:pPr>
              <w:spacing w:line="360" w:lineRule="auto"/>
            </w:pPr>
            <w:r w:rsidRPr="00591BFC">
              <w:t>Event</w:t>
            </w:r>
          </w:p>
        </w:tc>
        <w:tc>
          <w:tcPr>
            <w:tcW w:w="352" w:type="pct"/>
            <w:shd w:val="clear" w:color="auto" w:fill="auto"/>
          </w:tcPr>
          <w:p w14:paraId="1ADB539C" w14:textId="77777777" w:rsidR="00CF2E21" w:rsidRPr="00591BFC" w:rsidRDefault="00CF2E21" w:rsidP="00E86771">
            <w:pPr>
              <w:spacing w:line="360" w:lineRule="auto"/>
              <w:jc w:val="right"/>
            </w:pPr>
            <w:r w:rsidRPr="00591BFC">
              <w:t>2</w:t>
            </w:r>
            <w:r w:rsidRPr="00591BFC">
              <w:rPr>
                <w:vertAlign w:val="superscript"/>
              </w:rPr>
              <w:t>nd</w:t>
            </w:r>
            <w:r w:rsidRPr="00591BFC">
              <w:t xml:space="preserve"> hip fracture</w:t>
            </w:r>
          </w:p>
        </w:tc>
        <w:tc>
          <w:tcPr>
            <w:tcW w:w="258" w:type="pct"/>
            <w:shd w:val="clear" w:color="auto" w:fill="auto"/>
          </w:tcPr>
          <w:p w14:paraId="6B233AC5" w14:textId="77777777" w:rsidR="00CF2E21" w:rsidRPr="00591BFC" w:rsidRDefault="00CF2E21" w:rsidP="00E86771">
            <w:pPr>
              <w:spacing w:line="360" w:lineRule="auto"/>
              <w:jc w:val="right"/>
            </w:pPr>
          </w:p>
        </w:tc>
        <w:tc>
          <w:tcPr>
            <w:tcW w:w="404" w:type="pct"/>
            <w:shd w:val="clear" w:color="auto" w:fill="auto"/>
          </w:tcPr>
          <w:p w14:paraId="41929320" w14:textId="77777777" w:rsidR="00CF2E21" w:rsidRPr="00591BFC" w:rsidRDefault="00CF2E21" w:rsidP="00E86771">
            <w:pPr>
              <w:spacing w:line="360" w:lineRule="auto"/>
              <w:jc w:val="right"/>
            </w:pPr>
            <w:r w:rsidRPr="00591BFC">
              <w:t>Non-hip fracture</w:t>
            </w:r>
          </w:p>
        </w:tc>
        <w:tc>
          <w:tcPr>
            <w:tcW w:w="257" w:type="pct"/>
            <w:shd w:val="clear" w:color="auto" w:fill="auto"/>
          </w:tcPr>
          <w:p w14:paraId="2F22FA55" w14:textId="77777777" w:rsidR="00CF2E21" w:rsidRPr="00591BFC" w:rsidRDefault="00CF2E21" w:rsidP="00E86771">
            <w:pPr>
              <w:spacing w:line="360" w:lineRule="auto"/>
              <w:jc w:val="right"/>
            </w:pPr>
          </w:p>
        </w:tc>
        <w:tc>
          <w:tcPr>
            <w:tcW w:w="657" w:type="pct"/>
            <w:shd w:val="clear" w:color="auto" w:fill="auto"/>
          </w:tcPr>
          <w:p w14:paraId="6BEA6232" w14:textId="77777777" w:rsidR="00CF2E21" w:rsidRPr="00591BFC" w:rsidRDefault="00CF2E21" w:rsidP="00E86771">
            <w:pPr>
              <w:spacing w:line="360" w:lineRule="auto"/>
              <w:jc w:val="right"/>
            </w:pPr>
            <w:r w:rsidRPr="00591BFC">
              <w:t>30-day all-cause mortality after first hip fracture</w:t>
            </w:r>
          </w:p>
        </w:tc>
        <w:tc>
          <w:tcPr>
            <w:tcW w:w="257" w:type="pct"/>
            <w:shd w:val="clear" w:color="auto" w:fill="auto"/>
          </w:tcPr>
          <w:p w14:paraId="19C617C5" w14:textId="77777777" w:rsidR="00CF2E21" w:rsidRPr="00591BFC" w:rsidRDefault="00CF2E21" w:rsidP="00E86771">
            <w:pPr>
              <w:spacing w:line="360" w:lineRule="auto"/>
              <w:jc w:val="right"/>
            </w:pPr>
          </w:p>
        </w:tc>
        <w:tc>
          <w:tcPr>
            <w:tcW w:w="657" w:type="pct"/>
            <w:shd w:val="clear" w:color="auto" w:fill="auto"/>
          </w:tcPr>
          <w:p w14:paraId="5F8AA0EE" w14:textId="77777777" w:rsidR="00CF2E21" w:rsidRPr="00591BFC" w:rsidRDefault="00CF2E21" w:rsidP="00E86771">
            <w:pPr>
              <w:spacing w:line="360" w:lineRule="auto"/>
              <w:jc w:val="right"/>
            </w:pPr>
            <w:r w:rsidRPr="00591BFC">
              <w:t>30-day mortality after second hip fracture</w:t>
            </w:r>
          </w:p>
        </w:tc>
        <w:tc>
          <w:tcPr>
            <w:tcW w:w="257" w:type="pct"/>
            <w:shd w:val="clear" w:color="auto" w:fill="auto"/>
          </w:tcPr>
          <w:p w14:paraId="644CA56C" w14:textId="77777777" w:rsidR="00CF2E21" w:rsidRPr="00591BFC" w:rsidRDefault="00CF2E21" w:rsidP="00E86771">
            <w:pPr>
              <w:spacing w:line="360" w:lineRule="auto"/>
              <w:jc w:val="right"/>
            </w:pPr>
          </w:p>
        </w:tc>
        <w:tc>
          <w:tcPr>
            <w:tcW w:w="516" w:type="pct"/>
            <w:shd w:val="clear" w:color="auto" w:fill="auto"/>
          </w:tcPr>
          <w:p w14:paraId="6B730DB4" w14:textId="77777777" w:rsidR="00CF2E21" w:rsidRPr="00591BFC" w:rsidRDefault="00CF2E21" w:rsidP="00E86771">
            <w:pPr>
              <w:spacing w:line="360" w:lineRule="auto"/>
              <w:jc w:val="right"/>
            </w:pPr>
            <w:r w:rsidRPr="00591BFC">
              <w:t>All-cause mortality post 30 days</w:t>
            </w:r>
          </w:p>
        </w:tc>
        <w:tc>
          <w:tcPr>
            <w:tcW w:w="268" w:type="pct"/>
            <w:shd w:val="clear" w:color="auto" w:fill="auto"/>
          </w:tcPr>
          <w:p w14:paraId="37E19AB1" w14:textId="77777777" w:rsidR="00CF2E21" w:rsidRPr="00591BFC" w:rsidRDefault="00CF2E21" w:rsidP="00E86771">
            <w:pPr>
              <w:spacing w:line="360" w:lineRule="auto"/>
              <w:jc w:val="right"/>
            </w:pPr>
          </w:p>
        </w:tc>
      </w:tr>
      <w:tr w:rsidR="00CF2E21" w:rsidRPr="00591BFC" w14:paraId="0B763753" w14:textId="77777777" w:rsidTr="00DB4F65">
        <w:trPr>
          <w:trHeight w:val="281"/>
        </w:trPr>
        <w:tc>
          <w:tcPr>
            <w:tcW w:w="1116" w:type="pct"/>
            <w:shd w:val="clear" w:color="auto" w:fill="auto"/>
          </w:tcPr>
          <w:p w14:paraId="248E0B19" w14:textId="77777777" w:rsidR="00CF2E21" w:rsidRPr="00591BFC" w:rsidRDefault="00CF2E21" w:rsidP="00E86771">
            <w:pPr>
              <w:spacing w:after="0" w:line="360" w:lineRule="auto"/>
            </w:pPr>
            <w:r w:rsidRPr="00591BFC">
              <w:t>Patient-years</w:t>
            </w:r>
          </w:p>
        </w:tc>
        <w:tc>
          <w:tcPr>
            <w:tcW w:w="352" w:type="pct"/>
            <w:shd w:val="clear" w:color="auto" w:fill="auto"/>
          </w:tcPr>
          <w:p w14:paraId="784C87E2" w14:textId="77777777" w:rsidR="00CF2E21" w:rsidRPr="00591BFC" w:rsidRDefault="00CF2E21" w:rsidP="00E86771">
            <w:pPr>
              <w:spacing w:after="0" w:line="360" w:lineRule="auto"/>
              <w:jc w:val="right"/>
            </w:pPr>
            <w:r w:rsidRPr="00591BFC">
              <w:t>59740</w:t>
            </w:r>
          </w:p>
        </w:tc>
        <w:tc>
          <w:tcPr>
            <w:tcW w:w="258" w:type="pct"/>
            <w:shd w:val="clear" w:color="auto" w:fill="auto"/>
          </w:tcPr>
          <w:p w14:paraId="2B05E615" w14:textId="77777777" w:rsidR="00CF2E21" w:rsidRPr="00591BFC" w:rsidRDefault="00CF2E21" w:rsidP="00E86771">
            <w:pPr>
              <w:spacing w:after="0" w:line="360" w:lineRule="auto"/>
              <w:jc w:val="right"/>
            </w:pPr>
          </w:p>
        </w:tc>
        <w:tc>
          <w:tcPr>
            <w:tcW w:w="404" w:type="pct"/>
            <w:shd w:val="clear" w:color="auto" w:fill="auto"/>
          </w:tcPr>
          <w:p w14:paraId="1C588C92" w14:textId="77777777" w:rsidR="00CF2E21" w:rsidRPr="00591BFC" w:rsidRDefault="00CF2E21" w:rsidP="00E86771">
            <w:pPr>
              <w:spacing w:after="0" w:line="360" w:lineRule="auto"/>
              <w:jc w:val="right"/>
            </w:pPr>
            <w:r w:rsidRPr="00591BFC">
              <w:t>60557</w:t>
            </w:r>
          </w:p>
        </w:tc>
        <w:tc>
          <w:tcPr>
            <w:tcW w:w="257" w:type="pct"/>
            <w:shd w:val="clear" w:color="auto" w:fill="auto"/>
          </w:tcPr>
          <w:p w14:paraId="0C1587D2" w14:textId="77777777" w:rsidR="00CF2E21" w:rsidRPr="00591BFC" w:rsidRDefault="00CF2E21" w:rsidP="00E86771">
            <w:pPr>
              <w:spacing w:after="0" w:line="360" w:lineRule="auto"/>
              <w:jc w:val="right"/>
            </w:pPr>
          </w:p>
        </w:tc>
        <w:tc>
          <w:tcPr>
            <w:tcW w:w="657" w:type="pct"/>
            <w:shd w:val="clear" w:color="auto" w:fill="auto"/>
          </w:tcPr>
          <w:p w14:paraId="31084168" w14:textId="77777777" w:rsidR="00CF2E21" w:rsidRPr="00591BFC" w:rsidRDefault="00CF2E21" w:rsidP="00E86771">
            <w:pPr>
              <w:spacing w:after="0" w:line="360" w:lineRule="auto"/>
              <w:jc w:val="right"/>
            </w:pPr>
            <w:r w:rsidRPr="00591BFC">
              <w:t>32989</w:t>
            </w:r>
          </w:p>
        </w:tc>
        <w:tc>
          <w:tcPr>
            <w:tcW w:w="257" w:type="pct"/>
            <w:shd w:val="clear" w:color="auto" w:fill="auto"/>
          </w:tcPr>
          <w:p w14:paraId="24C1FC83" w14:textId="77777777" w:rsidR="00CF2E21" w:rsidRPr="00591BFC" w:rsidRDefault="00CF2E21" w:rsidP="00E86771">
            <w:pPr>
              <w:spacing w:after="0" w:line="360" w:lineRule="auto"/>
              <w:jc w:val="right"/>
            </w:pPr>
          </w:p>
        </w:tc>
        <w:tc>
          <w:tcPr>
            <w:tcW w:w="657" w:type="pct"/>
            <w:shd w:val="clear" w:color="auto" w:fill="auto"/>
          </w:tcPr>
          <w:p w14:paraId="4100FD3D" w14:textId="77777777" w:rsidR="00CF2E21" w:rsidRPr="00591BFC" w:rsidRDefault="00CF2E21" w:rsidP="00E86771">
            <w:pPr>
              <w:spacing w:after="0" w:line="360" w:lineRule="auto"/>
              <w:jc w:val="right"/>
            </w:pPr>
            <w:r w:rsidRPr="00591BFC">
              <w:t>2197</w:t>
            </w:r>
          </w:p>
        </w:tc>
        <w:tc>
          <w:tcPr>
            <w:tcW w:w="257" w:type="pct"/>
            <w:shd w:val="clear" w:color="auto" w:fill="auto"/>
          </w:tcPr>
          <w:p w14:paraId="5DFFEA38" w14:textId="77777777" w:rsidR="00CF2E21" w:rsidRPr="00591BFC" w:rsidRDefault="00CF2E21" w:rsidP="00E86771">
            <w:pPr>
              <w:spacing w:after="0" w:line="360" w:lineRule="auto"/>
              <w:jc w:val="right"/>
            </w:pPr>
          </w:p>
        </w:tc>
        <w:tc>
          <w:tcPr>
            <w:tcW w:w="516" w:type="pct"/>
            <w:shd w:val="clear" w:color="auto" w:fill="auto"/>
          </w:tcPr>
          <w:p w14:paraId="3DC9571C" w14:textId="77777777" w:rsidR="00CF2E21" w:rsidRPr="00591BFC" w:rsidRDefault="00CF2E21" w:rsidP="00E86771">
            <w:pPr>
              <w:spacing w:after="0" w:line="360" w:lineRule="auto"/>
              <w:jc w:val="right"/>
            </w:pPr>
            <w:r w:rsidRPr="00591BFC">
              <w:t>62907</w:t>
            </w:r>
          </w:p>
        </w:tc>
        <w:tc>
          <w:tcPr>
            <w:tcW w:w="268" w:type="pct"/>
            <w:shd w:val="clear" w:color="auto" w:fill="auto"/>
          </w:tcPr>
          <w:p w14:paraId="701FB52B" w14:textId="77777777" w:rsidR="00CF2E21" w:rsidRPr="00591BFC" w:rsidRDefault="00CF2E21" w:rsidP="00E86771">
            <w:pPr>
              <w:spacing w:after="0" w:line="360" w:lineRule="auto"/>
              <w:jc w:val="right"/>
            </w:pPr>
          </w:p>
        </w:tc>
      </w:tr>
      <w:tr w:rsidR="00CF2E21" w:rsidRPr="00591BFC" w14:paraId="6899E564" w14:textId="77777777" w:rsidTr="00DB4F65">
        <w:tc>
          <w:tcPr>
            <w:tcW w:w="1116" w:type="pct"/>
            <w:shd w:val="clear" w:color="auto" w:fill="auto"/>
          </w:tcPr>
          <w:p w14:paraId="513512A4" w14:textId="77777777" w:rsidR="00CF2E21" w:rsidRPr="00591BFC" w:rsidRDefault="00CF2E21" w:rsidP="00E86771">
            <w:pPr>
              <w:spacing w:after="0" w:line="360" w:lineRule="auto"/>
            </w:pPr>
            <w:r w:rsidRPr="00591BFC">
              <w:t>Patients</w:t>
            </w:r>
          </w:p>
        </w:tc>
        <w:tc>
          <w:tcPr>
            <w:tcW w:w="352" w:type="pct"/>
            <w:shd w:val="clear" w:color="auto" w:fill="auto"/>
          </w:tcPr>
          <w:p w14:paraId="7C18ECD9" w14:textId="77777777" w:rsidR="00CF2E21" w:rsidRPr="00591BFC" w:rsidRDefault="00CF2E21" w:rsidP="00E86771">
            <w:pPr>
              <w:spacing w:after="0" w:line="360" w:lineRule="auto"/>
              <w:jc w:val="right"/>
            </w:pPr>
            <w:r w:rsidRPr="00591BFC">
              <w:t>29888</w:t>
            </w:r>
          </w:p>
        </w:tc>
        <w:tc>
          <w:tcPr>
            <w:tcW w:w="258" w:type="pct"/>
            <w:shd w:val="clear" w:color="auto" w:fill="auto"/>
          </w:tcPr>
          <w:p w14:paraId="634347C7" w14:textId="77777777" w:rsidR="00CF2E21" w:rsidRPr="00591BFC" w:rsidRDefault="00CF2E21" w:rsidP="00E86771">
            <w:pPr>
              <w:spacing w:after="0" w:line="360" w:lineRule="auto"/>
              <w:jc w:val="right"/>
            </w:pPr>
          </w:p>
        </w:tc>
        <w:tc>
          <w:tcPr>
            <w:tcW w:w="404" w:type="pct"/>
            <w:shd w:val="clear" w:color="auto" w:fill="auto"/>
          </w:tcPr>
          <w:p w14:paraId="27257C61" w14:textId="77777777" w:rsidR="00CF2E21" w:rsidRPr="00591BFC" w:rsidRDefault="00CF2E21" w:rsidP="00E86771">
            <w:pPr>
              <w:spacing w:after="0" w:line="360" w:lineRule="auto"/>
              <w:jc w:val="right"/>
            </w:pPr>
            <w:r w:rsidRPr="00591BFC">
              <w:t>29888</w:t>
            </w:r>
          </w:p>
        </w:tc>
        <w:tc>
          <w:tcPr>
            <w:tcW w:w="257" w:type="pct"/>
            <w:shd w:val="clear" w:color="auto" w:fill="auto"/>
          </w:tcPr>
          <w:p w14:paraId="64215BF8" w14:textId="77777777" w:rsidR="00CF2E21" w:rsidRPr="00591BFC" w:rsidRDefault="00CF2E21" w:rsidP="00E86771">
            <w:pPr>
              <w:spacing w:after="0" w:line="360" w:lineRule="auto"/>
              <w:jc w:val="right"/>
            </w:pPr>
          </w:p>
        </w:tc>
        <w:tc>
          <w:tcPr>
            <w:tcW w:w="657" w:type="pct"/>
            <w:shd w:val="clear" w:color="auto" w:fill="auto"/>
          </w:tcPr>
          <w:p w14:paraId="6ED224EA" w14:textId="77777777" w:rsidR="00CF2E21" w:rsidRPr="00591BFC" w:rsidRDefault="00CF2E21" w:rsidP="00E86771">
            <w:pPr>
              <w:spacing w:after="0" w:line="360" w:lineRule="auto"/>
              <w:jc w:val="right"/>
            </w:pPr>
            <w:r w:rsidRPr="00591BFC">
              <w:t>32989</w:t>
            </w:r>
          </w:p>
        </w:tc>
        <w:tc>
          <w:tcPr>
            <w:tcW w:w="257" w:type="pct"/>
            <w:shd w:val="clear" w:color="auto" w:fill="auto"/>
          </w:tcPr>
          <w:p w14:paraId="0EDF0D76" w14:textId="77777777" w:rsidR="00CF2E21" w:rsidRPr="00591BFC" w:rsidRDefault="00CF2E21" w:rsidP="00E86771">
            <w:pPr>
              <w:spacing w:after="0" w:line="360" w:lineRule="auto"/>
              <w:jc w:val="right"/>
            </w:pPr>
          </w:p>
        </w:tc>
        <w:tc>
          <w:tcPr>
            <w:tcW w:w="657" w:type="pct"/>
            <w:shd w:val="clear" w:color="auto" w:fill="auto"/>
          </w:tcPr>
          <w:p w14:paraId="1E142370" w14:textId="77777777" w:rsidR="00CF2E21" w:rsidRPr="00591BFC" w:rsidRDefault="00CF2E21" w:rsidP="00E86771">
            <w:pPr>
              <w:spacing w:after="0" w:line="360" w:lineRule="auto"/>
              <w:jc w:val="right"/>
            </w:pPr>
            <w:r w:rsidRPr="00591BFC">
              <w:t>2197</w:t>
            </w:r>
          </w:p>
        </w:tc>
        <w:tc>
          <w:tcPr>
            <w:tcW w:w="257" w:type="pct"/>
            <w:shd w:val="clear" w:color="auto" w:fill="auto"/>
          </w:tcPr>
          <w:p w14:paraId="05A042AD" w14:textId="77777777" w:rsidR="00CF2E21" w:rsidRPr="00591BFC" w:rsidRDefault="00CF2E21" w:rsidP="00E86771">
            <w:pPr>
              <w:spacing w:after="0" w:line="360" w:lineRule="auto"/>
              <w:jc w:val="right"/>
            </w:pPr>
          </w:p>
        </w:tc>
        <w:tc>
          <w:tcPr>
            <w:tcW w:w="516" w:type="pct"/>
            <w:shd w:val="clear" w:color="auto" w:fill="auto"/>
          </w:tcPr>
          <w:p w14:paraId="702AA928" w14:textId="77777777" w:rsidR="00CF2E21" w:rsidRPr="00591BFC" w:rsidRDefault="00CF2E21" w:rsidP="00E86771">
            <w:pPr>
              <w:spacing w:after="0" w:line="360" w:lineRule="auto"/>
              <w:jc w:val="right"/>
            </w:pPr>
            <w:r w:rsidRPr="00591BFC">
              <w:t>29888</w:t>
            </w:r>
          </w:p>
        </w:tc>
        <w:tc>
          <w:tcPr>
            <w:tcW w:w="268" w:type="pct"/>
            <w:shd w:val="clear" w:color="auto" w:fill="auto"/>
          </w:tcPr>
          <w:p w14:paraId="2FA85A38" w14:textId="77777777" w:rsidR="00CF2E21" w:rsidRPr="00591BFC" w:rsidRDefault="00CF2E21" w:rsidP="00E86771">
            <w:pPr>
              <w:spacing w:after="0" w:line="360" w:lineRule="auto"/>
              <w:jc w:val="right"/>
            </w:pPr>
          </w:p>
        </w:tc>
      </w:tr>
      <w:tr w:rsidR="00CF2E21" w:rsidRPr="00591BFC" w14:paraId="18CC5AE4" w14:textId="77777777" w:rsidTr="00DB4F65">
        <w:tc>
          <w:tcPr>
            <w:tcW w:w="1116" w:type="pct"/>
            <w:shd w:val="clear" w:color="auto" w:fill="auto"/>
          </w:tcPr>
          <w:p w14:paraId="73021F5E" w14:textId="77777777" w:rsidR="00CF2E21" w:rsidRPr="00591BFC" w:rsidRDefault="00CF2E21" w:rsidP="00E86771">
            <w:pPr>
              <w:spacing w:after="0" w:line="360" w:lineRule="auto"/>
            </w:pPr>
            <w:r w:rsidRPr="00591BFC">
              <w:t>No of events</w:t>
            </w:r>
          </w:p>
        </w:tc>
        <w:tc>
          <w:tcPr>
            <w:tcW w:w="352" w:type="pct"/>
            <w:shd w:val="clear" w:color="auto" w:fill="auto"/>
          </w:tcPr>
          <w:p w14:paraId="337A4486" w14:textId="77777777" w:rsidR="00CF2E21" w:rsidRPr="00591BFC" w:rsidRDefault="00CF2E21" w:rsidP="00E86771">
            <w:pPr>
              <w:spacing w:after="0" w:line="360" w:lineRule="auto"/>
              <w:jc w:val="right"/>
            </w:pPr>
            <w:r w:rsidRPr="00591BFC">
              <w:t>2206</w:t>
            </w:r>
          </w:p>
        </w:tc>
        <w:tc>
          <w:tcPr>
            <w:tcW w:w="258" w:type="pct"/>
            <w:shd w:val="clear" w:color="auto" w:fill="auto"/>
          </w:tcPr>
          <w:p w14:paraId="74A38764" w14:textId="77777777" w:rsidR="00CF2E21" w:rsidRPr="00591BFC" w:rsidRDefault="00CF2E21" w:rsidP="00E86771">
            <w:pPr>
              <w:spacing w:after="0" w:line="360" w:lineRule="auto"/>
              <w:jc w:val="right"/>
            </w:pPr>
          </w:p>
        </w:tc>
        <w:tc>
          <w:tcPr>
            <w:tcW w:w="404" w:type="pct"/>
            <w:shd w:val="clear" w:color="auto" w:fill="auto"/>
          </w:tcPr>
          <w:p w14:paraId="408E08CE" w14:textId="77777777" w:rsidR="00CF2E21" w:rsidRPr="00591BFC" w:rsidRDefault="00CF2E21" w:rsidP="00E86771">
            <w:pPr>
              <w:spacing w:after="0" w:line="360" w:lineRule="auto"/>
              <w:jc w:val="right"/>
            </w:pPr>
            <w:r w:rsidRPr="00591BFC">
              <w:t>1464</w:t>
            </w:r>
          </w:p>
        </w:tc>
        <w:tc>
          <w:tcPr>
            <w:tcW w:w="257" w:type="pct"/>
            <w:shd w:val="clear" w:color="auto" w:fill="auto"/>
          </w:tcPr>
          <w:p w14:paraId="23F49BE2" w14:textId="77777777" w:rsidR="00CF2E21" w:rsidRPr="00591BFC" w:rsidRDefault="00CF2E21" w:rsidP="00E86771">
            <w:pPr>
              <w:spacing w:after="0" w:line="360" w:lineRule="auto"/>
              <w:jc w:val="right"/>
            </w:pPr>
          </w:p>
        </w:tc>
        <w:tc>
          <w:tcPr>
            <w:tcW w:w="657" w:type="pct"/>
            <w:shd w:val="clear" w:color="auto" w:fill="auto"/>
          </w:tcPr>
          <w:p w14:paraId="7A0CE6CB" w14:textId="77777777" w:rsidR="00CF2E21" w:rsidRPr="00591BFC" w:rsidRDefault="00CF2E21" w:rsidP="00E86771">
            <w:pPr>
              <w:spacing w:after="0" w:line="360" w:lineRule="auto"/>
              <w:jc w:val="right"/>
            </w:pPr>
            <w:r w:rsidRPr="00591BFC">
              <w:t>3101</w:t>
            </w:r>
          </w:p>
        </w:tc>
        <w:tc>
          <w:tcPr>
            <w:tcW w:w="257" w:type="pct"/>
            <w:shd w:val="clear" w:color="auto" w:fill="auto"/>
          </w:tcPr>
          <w:p w14:paraId="5BFEF4B4" w14:textId="77777777" w:rsidR="00CF2E21" w:rsidRPr="00591BFC" w:rsidRDefault="00CF2E21" w:rsidP="00E86771">
            <w:pPr>
              <w:spacing w:after="0" w:line="360" w:lineRule="auto"/>
              <w:jc w:val="right"/>
            </w:pPr>
          </w:p>
        </w:tc>
        <w:tc>
          <w:tcPr>
            <w:tcW w:w="657" w:type="pct"/>
            <w:shd w:val="clear" w:color="auto" w:fill="auto"/>
          </w:tcPr>
          <w:p w14:paraId="5EFE7A13" w14:textId="77777777" w:rsidR="00CF2E21" w:rsidRPr="00591BFC" w:rsidRDefault="00CF2E21" w:rsidP="00E86771">
            <w:pPr>
              <w:spacing w:after="0" w:line="360" w:lineRule="auto"/>
              <w:jc w:val="right"/>
            </w:pPr>
            <w:r w:rsidRPr="00591BFC">
              <w:t>173</w:t>
            </w:r>
          </w:p>
        </w:tc>
        <w:tc>
          <w:tcPr>
            <w:tcW w:w="257" w:type="pct"/>
            <w:shd w:val="clear" w:color="auto" w:fill="auto"/>
          </w:tcPr>
          <w:p w14:paraId="639E1F30" w14:textId="77777777" w:rsidR="00CF2E21" w:rsidRPr="00591BFC" w:rsidRDefault="00CF2E21" w:rsidP="00E86771">
            <w:pPr>
              <w:spacing w:after="0" w:line="360" w:lineRule="auto"/>
              <w:jc w:val="right"/>
            </w:pPr>
          </w:p>
        </w:tc>
        <w:tc>
          <w:tcPr>
            <w:tcW w:w="516" w:type="pct"/>
            <w:shd w:val="clear" w:color="auto" w:fill="auto"/>
          </w:tcPr>
          <w:p w14:paraId="441F710B" w14:textId="77777777" w:rsidR="00CF2E21" w:rsidRPr="00591BFC" w:rsidRDefault="00CF2E21" w:rsidP="00E86771">
            <w:pPr>
              <w:spacing w:after="0" w:line="360" w:lineRule="auto"/>
              <w:jc w:val="right"/>
            </w:pPr>
            <w:r w:rsidRPr="00591BFC">
              <w:t>13008</w:t>
            </w:r>
          </w:p>
        </w:tc>
        <w:tc>
          <w:tcPr>
            <w:tcW w:w="268" w:type="pct"/>
            <w:shd w:val="clear" w:color="auto" w:fill="auto"/>
          </w:tcPr>
          <w:p w14:paraId="05408F76" w14:textId="77777777" w:rsidR="00CF2E21" w:rsidRPr="00591BFC" w:rsidRDefault="00CF2E21" w:rsidP="00E86771">
            <w:pPr>
              <w:spacing w:after="0" w:line="360" w:lineRule="auto"/>
              <w:jc w:val="right"/>
            </w:pPr>
          </w:p>
        </w:tc>
      </w:tr>
      <w:tr w:rsidR="00CF2E21" w:rsidRPr="00591BFC" w14:paraId="08081C3A" w14:textId="77777777" w:rsidTr="00DB4F65">
        <w:tc>
          <w:tcPr>
            <w:tcW w:w="1116" w:type="pct"/>
            <w:shd w:val="clear" w:color="auto" w:fill="auto"/>
          </w:tcPr>
          <w:p w14:paraId="72C79911" w14:textId="77777777" w:rsidR="00CF2E21" w:rsidRPr="00591BFC" w:rsidRDefault="00CF2E21" w:rsidP="00E86771">
            <w:pPr>
              <w:spacing w:after="0" w:line="360" w:lineRule="auto"/>
            </w:pPr>
            <w:r w:rsidRPr="00591BFC">
              <w:t>Functional form</w:t>
            </w:r>
          </w:p>
        </w:tc>
        <w:tc>
          <w:tcPr>
            <w:tcW w:w="352" w:type="pct"/>
            <w:shd w:val="clear" w:color="auto" w:fill="auto"/>
          </w:tcPr>
          <w:p w14:paraId="6E4822E0" w14:textId="77777777" w:rsidR="00CF2E21" w:rsidRPr="00591BFC" w:rsidRDefault="00CF2E21" w:rsidP="00E86771">
            <w:pPr>
              <w:spacing w:after="0" w:line="360" w:lineRule="auto"/>
              <w:jc w:val="right"/>
            </w:pPr>
            <w:r w:rsidRPr="00591BFC">
              <w:t>Weibull</w:t>
            </w:r>
          </w:p>
        </w:tc>
        <w:tc>
          <w:tcPr>
            <w:tcW w:w="258" w:type="pct"/>
            <w:shd w:val="clear" w:color="auto" w:fill="auto"/>
          </w:tcPr>
          <w:p w14:paraId="606ED566" w14:textId="77777777" w:rsidR="00CF2E21" w:rsidRPr="00591BFC" w:rsidRDefault="00CF2E21" w:rsidP="00E86771">
            <w:pPr>
              <w:spacing w:after="0" w:line="360" w:lineRule="auto"/>
              <w:jc w:val="right"/>
            </w:pPr>
          </w:p>
        </w:tc>
        <w:tc>
          <w:tcPr>
            <w:tcW w:w="404" w:type="pct"/>
            <w:shd w:val="clear" w:color="auto" w:fill="auto"/>
          </w:tcPr>
          <w:p w14:paraId="16FD84CC" w14:textId="77777777" w:rsidR="00CF2E21" w:rsidRPr="00591BFC" w:rsidRDefault="00CF2E21" w:rsidP="00E86771">
            <w:pPr>
              <w:spacing w:after="0" w:line="360" w:lineRule="auto"/>
              <w:jc w:val="right"/>
            </w:pPr>
            <w:r w:rsidRPr="00591BFC">
              <w:t>Weibull</w:t>
            </w:r>
          </w:p>
        </w:tc>
        <w:tc>
          <w:tcPr>
            <w:tcW w:w="257" w:type="pct"/>
            <w:shd w:val="clear" w:color="auto" w:fill="auto"/>
          </w:tcPr>
          <w:p w14:paraId="16DC3850" w14:textId="77777777" w:rsidR="00CF2E21" w:rsidRPr="00591BFC" w:rsidRDefault="00CF2E21" w:rsidP="00E86771">
            <w:pPr>
              <w:spacing w:after="0" w:line="360" w:lineRule="auto"/>
              <w:jc w:val="right"/>
            </w:pPr>
          </w:p>
        </w:tc>
        <w:tc>
          <w:tcPr>
            <w:tcW w:w="657" w:type="pct"/>
            <w:shd w:val="clear" w:color="auto" w:fill="auto"/>
          </w:tcPr>
          <w:p w14:paraId="1969235E" w14:textId="77777777" w:rsidR="00CF2E21" w:rsidRPr="00591BFC" w:rsidRDefault="00CF2E21" w:rsidP="00E86771">
            <w:pPr>
              <w:spacing w:after="0" w:line="360" w:lineRule="auto"/>
              <w:jc w:val="right"/>
            </w:pPr>
            <w:r w:rsidRPr="00591BFC">
              <w:t>Logistic</w:t>
            </w:r>
          </w:p>
        </w:tc>
        <w:tc>
          <w:tcPr>
            <w:tcW w:w="257" w:type="pct"/>
            <w:shd w:val="clear" w:color="auto" w:fill="auto"/>
          </w:tcPr>
          <w:p w14:paraId="717E7981" w14:textId="77777777" w:rsidR="00CF2E21" w:rsidRPr="00591BFC" w:rsidRDefault="00CF2E21" w:rsidP="00E86771">
            <w:pPr>
              <w:spacing w:after="0" w:line="360" w:lineRule="auto"/>
              <w:jc w:val="right"/>
            </w:pPr>
          </w:p>
        </w:tc>
        <w:tc>
          <w:tcPr>
            <w:tcW w:w="657" w:type="pct"/>
            <w:shd w:val="clear" w:color="auto" w:fill="auto"/>
          </w:tcPr>
          <w:p w14:paraId="1C083816" w14:textId="77777777" w:rsidR="00CF2E21" w:rsidRPr="00591BFC" w:rsidRDefault="00CF2E21" w:rsidP="00E86771">
            <w:pPr>
              <w:spacing w:after="0" w:line="360" w:lineRule="auto"/>
              <w:jc w:val="right"/>
            </w:pPr>
            <w:r w:rsidRPr="00591BFC">
              <w:t>Logistic</w:t>
            </w:r>
          </w:p>
        </w:tc>
        <w:tc>
          <w:tcPr>
            <w:tcW w:w="257" w:type="pct"/>
            <w:shd w:val="clear" w:color="auto" w:fill="auto"/>
          </w:tcPr>
          <w:p w14:paraId="025C5EF7" w14:textId="77777777" w:rsidR="00CF2E21" w:rsidRPr="00591BFC" w:rsidRDefault="00CF2E21" w:rsidP="00E86771">
            <w:pPr>
              <w:spacing w:after="0" w:line="360" w:lineRule="auto"/>
              <w:jc w:val="right"/>
            </w:pPr>
          </w:p>
        </w:tc>
        <w:tc>
          <w:tcPr>
            <w:tcW w:w="516" w:type="pct"/>
            <w:shd w:val="clear" w:color="auto" w:fill="auto"/>
          </w:tcPr>
          <w:p w14:paraId="2CB3DB56" w14:textId="77777777" w:rsidR="00CF2E21" w:rsidRPr="00591BFC" w:rsidRDefault="00CF2E21" w:rsidP="00E86771">
            <w:pPr>
              <w:spacing w:after="0" w:line="360" w:lineRule="auto"/>
              <w:jc w:val="right"/>
            </w:pPr>
            <w:r w:rsidRPr="00591BFC">
              <w:t>Gompertz</w:t>
            </w:r>
          </w:p>
        </w:tc>
        <w:tc>
          <w:tcPr>
            <w:tcW w:w="268" w:type="pct"/>
            <w:shd w:val="clear" w:color="auto" w:fill="auto"/>
          </w:tcPr>
          <w:p w14:paraId="0AF22F2A" w14:textId="77777777" w:rsidR="00CF2E21" w:rsidRPr="00591BFC" w:rsidRDefault="00CF2E21" w:rsidP="00E86771">
            <w:pPr>
              <w:spacing w:after="0" w:line="360" w:lineRule="auto"/>
              <w:jc w:val="right"/>
            </w:pPr>
          </w:p>
        </w:tc>
      </w:tr>
      <w:tr w:rsidR="00CF2E21" w:rsidRPr="00591BFC" w14:paraId="04793DAD" w14:textId="77777777" w:rsidTr="00DB4F65">
        <w:tc>
          <w:tcPr>
            <w:tcW w:w="1116" w:type="pct"/>
            <w:shd w:val="clear" w:color="auto" w:fill="auto"/>
          </w:tcPr>
          <w:p w14:paraId="3A2F98DD" w14:textId="77777777" w:rsidR="00CF2E21" w:rsidRPr="00591BFC" w:rsidRDefault="00CF2E21" w:rsidP="00E86771">
            <w:pPr>
              <w:spacing w:after="0" w:line="360" w:lineRule="auto"/>
            </w:pPr>
            <w:r w:rsidRPr="00591BFC">
              <w:t>Parameters</w:t>
            </w:r>
          </w:p>
        </w:tc>
        <w:tc>
          <w:tcPr>
            <w:tcW w:w="352" w:type="pct"/>
            <w:shd w:val="clear" w:color="auto" w:fill="auto"/>
          </w:tcPr>
          <w:p w14:paraId="4F082E2D" w14:textId="77777777" w:rsidR="00CF2E21" w:rsidRPr="00591BFC" w:rsidRDefault="00CF2E21" w:rsidP="00E86771">
            <w:pPr>
              <w:spacing w:after="0" w:line="360" w:lineRule="auto"/>
              <w:jc w:val="right"/>
            </w:pPr>
            <w:r w:rsidRPr="00591BFC">
              <w:t>Mean</w:t>
            </w:r>
          </w:p>
        </w:tc>
        <w:tc>
          <w:tcPr>
            <w:tcW w:w="258" w:type="pct"/>
            <w:shd w:val="clear" w:color="auto" w:fill="auto"/>
          </w:tcPr>
          <w:p w14:paraId="07E050AA" w14:textId="77777777" w:rsidR="00CF2E21" w:rsidRPr="00591BFC" w:rsidRDefault="00CF2E21" w:rsidP="00E86771">
            <w:pPr>
              <w:spacing w:after="0" w:line="360" w:lineRule="auto"/>
              <w:jc w:val="right"/>
            </w:pPr>
            <w:r w:rsidRPr="00591BFC">
              <w:t>SE</w:t>
            </w:r>
          </w:p>
        </w:tc>
        <w:tc>
          <w:tcPr>
            <w:tcW w:w="404" w:type="pct"/>
            <w:shd w:val="clear" w:color="auto" w:fill="auto"/>
          </w:tcPr>
          <w:p w14:paraId="438334D7" w14:textId="77777777" w:rsidR="00CF2E21" w:rsidRPr="00591BFC" w:rsidRDefault="00CF2E21" w:rsidP="00E86771">
            <w:pPr>
              <w:spacing w:after="0" w:line="360" w:lineRule="auto"/>
              <w:jc w:val="right"/>
            </w:pPr>
            <w:r w:rsidRPr="00591BFC">
              <w:t>Mean</w:t>
            </w:r>
          </w:p>
        </w:tc>
        <w:tc>
          <w:tcPr>
            <w:tcW w:w="257" w:type="pct"/>
            <w:shd w:val="clear" w:color="auto" w:fill="auto"/>
          </w:tcPr>
          <w:p w14:paraId="1B8F06F5" w14:textId="77777777" w:rsidR="00CF2E21" w:rsidRPr="00591BFC" w:rsidRDefault="00CF2E21" w:rsidP="00E86771">
            <w:pPr>
              <w:spacing w:after="0" w:line="360" w:lineRule="auto"/>
              <w:jc w:val="right"/>
            </w:pPr>
            <w:r w:rsidRPr="00591BFC">
              <w:t>SE</w:t>
            </w:r>
          </w:p>
        </w:tc>
        <w:tc>
          <w:tcPr>
            <w:tcW w:w="657" w:type="pct"/>
            <w:shd w:val="clear" w:color="auto" w:fill="auto"/>
          </w:tcPr>
          <w:p w14:paraId="590A993A" w14:textId="77777777" w:rsidR="00CF2E21" w:rsidRPr="00591BFC" w:rsidRDefault="00CF2E21" w:rsidP="00E86771">
            <w:pPr>
              <w:spacing w:after="0" w:line="360" w:lineRule="auto"/>
              <w:jc w:val="right"/>
            </w:pPr>
            <w:r w:rsidRPr="00591BFC">
              <w:t>Mean</w:t>
            </w:r>
          </w:p>
        </w:tc>
        <w:tc>
          <w:tcPr>
            <w:tcW w:w="257" w:type="pct"/>
            <w:shd w:val="clear" w:color="auto" w:fill="auto"/>
          </w:tcPr>
          <w:p w14:paraId="06A53711" w14:textId="77777777" w:rsidR="00CF2E21" w:rsidRPr="00591BFC" w:rsidRDefault="00CF2E21" w:rsidP="00E86771">
            <w:pPr>
              <w:spacing w:after="0" w:line="360" w:lineRule="auto"/>
              <w:jc w:val="right"/>
            </w:pPr>
            <w:r w:rsidRPr="00591BFC">
              <w:t>SE</w:t>
            </w:r>
          </w:p>
        </w:tc>
        <w:tc>
          <w:tcPr>
            <w:tcW w:w="657" w:type="pct"/>
            <w:shd w:val="clear" w:color="auto" w:fill="auto"/>
          </w:tcPr>
          <w:p w14:paraId="0B3E375C" w14:textId="77777777" w:rsidR="00CF2E21" w:rsidRPr="00591BFC" w:rsidRDefault="00CF2E21" w:rsidP="00E86771">
            <w:pPr>
              <w:spacing w:after="0" w:line="360" w:lineRule="auto"/>
              <w:jc w:val="right"/>
            </w:pPr>
            <w:r w:rsidRPr="00591BFC">
              <w:t>Mean</w:t>
            </w:r>
          </w:p>
        </w:tc>
        <w:tc>
          <w:tcPr>
            <w:tcW w:w="257" w:type="pct"/>
            <w:shd w:val="clear" w:color="auto" w:fill="auto"/>
          </w:tcPr>
          <w:p w14:paraId="6CDE7007" w14:textId="77777777" w:rsidR="00CF2E21" w:rsidRPr="00591BFC" w:rsidRDefault="00CF2E21" w:rsidP="00E86771">
            <w:pPr>
              <w:spacing w:after="0" w:line="360" w:lineRule="auto"/>
              <w:jc w:val="right"/>
            </w:pPr>
            <w:r w:rsidRPr="00591BFC">
              <w:t>SE</w:t>
            </w:r>
          </w:p>
        </w:tc>
        <w:tc>
          <w:tcPr>
            <w:tcW w:w="516" w:type="pct"/>
            <w:shd w:val="clear" w:color="auto" w:fill="auto"/>
          </w:tcPr>
          <w:p w14:paraId="2C7CB1CF" w14:textId="77777777" w:rsidR="00CF2E21" w:rsidRPr="00591BFC" w:rsidRDefault="00CF2E21" w:rsidP="00E86771">
            <w:pPr>
              <w:spacing w:after="0" w:line="360" w:lineRule="auto"/>
              <w:jc w:val="right"/>
            </w:pPr>
            <w:r w:rsidRPr="00591BFC">
              <w:t>Mean</w:t>
            </w:r>
          </w:p>
        </w:tc>
        <w:tc>
          <w:tcPr>
            <w:tcW w:w="268" w:type="pct"/>
            <w:shd w:val="clear" w:color="auto" w:fill="auto"/>
          </w:tcPr>
          <w:p w14:paraId="46BE1004" w14:textId="77777777" w:rsidR="00CF2E21" w:rsidRPr="00591BFC" w:rsidRDefault="00CF2E21" w:rsidP="00E86771">
            <w:pPr>
              <w:spacing w:after="0" w:line="360" w:lineRule="auto"/>
              <w:jc w:val="right"/>
            </w:pPr>
            <w:r w:rsidRPr="00591BFC">
              <w:t>SE</w:t>
            </w:r>
          </w:p>
        </w:tc>
      </w:tr>
      <w:tr w:rsidR="00CF2E21" w:rsidRPr="00591BFC" w14:paraId="307E53BD" w14:textId="77777777" w:rsidTr="00DB4F65">
        <w:tc>
          <w:tcPr>
            <w:tcW w:w="1116" w:type="pct"/>
            <w:shd w:val="clear" w:color="auto" w:fill="auto"/>
          </w:tcPr>
          <w:p w14:paraId="3A3FCF9E" w14:textId="77777777" w:rsidR="00CF2E21" w:rsidRPr="00591BFC" w:rsidRDefault="00CF2E21" w:rsidP="00E86771">
            <w:pPr>
              <w:spacing w:after="0" w:line="360" w:lineRule="auto"/>
            </w:pPr>
            <w:r w:rsidRPr="00591BFC">
              <w:t>Constant</w:t>
            </w:r>
          </w:p>
        </w:tc>
        <w:tc>
          <w:tcPr>
            <w:tcW w:w="352" w:type="pct"/>
            <w:shd w:val="clear" w:color="auto" w:fill="auto"/>
          </w:tcPr>
          <w:p w14:paraId="3D0CBBF6" w14:textId="77777777" w:rsidR="00CF2E21" w:rsidRPr="00591BFC" w:rsidRDefault="00CF2E21" w:rsidP="00E86771">
            <w:pPr>
              <w:spacing w:after="0" w:line="360" w:lineRule="auto"/>
              <w:jc w:val="right"/>
            </w:pPr>
            <w:r w:rsidRPr="00591BFC">
              <w:t>-6.951</w:t>
            </w:r>
          </w:p>
        </w:tc>
        <w:tc>
          <w:tcPr>
            <w:tcW w:w="258" w:type="pct"/>
            <w:shd w:val="clear" w:color="auto" w:fill="auto"/>
          </w:tcPr>
          <w:p w14:paraId="2C93A4DC" w14:textId="77777777" w:rsidR="00CF2E21" w:rsidRPr="00591BFC" w:rsidRDefault="00CF2E21" w:rsidP="00E86771">
            <w:pPr>
              <w:spacing w:after="0" w:line="360" w:lineRule="auto"/>
              <w:jc w:val="right"/>
            </w:pPr>
            <w:r w:rsidRPr="00591BFC">
              <w:t>0.244</w:t>
            </w:r>
          </w:p>
        </w:tc>
        <w:tc>
          <w:tcPr>
            <w:tcW w:w="404" w:type="pct"/>
            <w:shd w:val="clear" w:color="auto" w:fill="auto"/>
          </w:tcPr>
          <w:p w14:paraId="37285341" w14:textId="77777777" w:rsidR="00CF2E21" w:rsidRPr="00591BFC" w:rsidRDefault="00CF2E21" w:rsidP="00E86771">
            <w:pPr>
              <w:spacing w:after="0" w:line="360" w:lineRule="auto"/>
              <w:jc w:val="right"/>
            </w:pPr>
            <w:r w:rsidRPr="00591BFC">
              <w:t>-6.867</w:t>
            </w:r>
          </w:p>
        </w:tc>
        <w:tc>
          <w:tcPr>
            <w:tcW w:w="257" w:type="pct"/>
            <w:shd w:val="clear" w:color="auto" w:fill="auto"/>
          </w:tcPr>
          <w:p w14:paraId="210EBB75" w14:textId="77777777" w:rsidR="00CF2E21" w:rsidRPr="00591BFC" w:rsidRDefault="00CF2E21" w:rsidP="00E86771">
            <w:pPr>
              <w:spacing w:after="0" w:line="360" w:lineRule="auto"/>
              <w:jc w:val="right"/>
            </w:pPr>
            <w:r w:rsidRPr="00591BFC">
              <w:t>0.298</w:t>
            </w:r>
          </w:p>
        </w:tc>
        <w:tc>
          <w:tcPr>
            <w:tcW w:w="657" w:type="pct"/>
            <w:shd w:val="clear" w:color="auto" w:fill="auto"/>
          </w:tcPr>
          <w:p w14:paraId="4D3A3EFC" w14:textId="77777777" w:rsidR="00CF2E21" w:rsidRPr="00591BFC" w:rsidRDefault="00CF2E21" w:rsidP="00E86771">
            <w:pPr>
              <w:spacing w:after="0" w:line="360" w:lineRule="auto"/>
              <w:jc w:val="right"/>
            </w:pPr>
            <w:r w:rsidRPr="00591BFC">
              <w:t>-8.705</w:t>
            </w:r>
          </w:p>
        </w:tc>
        <w:tc>
          <w:tcPr>
            <w:tcW w:w="257" w:type="pct"/>
            <w:shd w:val="clear" w:color="auto" w:fill="auto"/>
          </w:tcPr>
          <w:p w14:paraId="4E8F2E53" w14:textId="77777777" w:rsidR="00CF2E21" w:rsidRPr="00591BFC" w:rsidRDefault="00CF2E21" w:rsidP="00E86771">
            <w:pPr>
              <w:spacing w:after="0" w:line="360" w:lineRule="auto"/>
              <w:jc w:val="right"/>
            </w:pPr>
            <w:r w:rsidRPr="00591BFC">
              <w:t>0.242</w:t>
            </w:r>
          </w:p>
        </w:tc>
        <w:tc>
          <w:tcPr>
            <w:tcW w:w="657" w:type="pct"/>
            <w:shd w:val="clear" w:color="auto" w:fill="auto"/>
          </w:tcPr>
          <w:p w14:paraId="65F10BC1" w14:textId="77777777" w:rsidR="00CF2E21" w:rsidRPr="00591BFC" w:rsidRDefault="00CF2E21" w:rsidP="00E86771">
            <w:pPr>
              <w:spacing w:after="0" w:line="360" w:lineRule="auto"/>
              <w:jc w:val="right"/>
            </w:pPr>
            <w:r w:rsidRPr="00591BFC">
              <w:t>-6.264</w:t>
            </w:r>
          </w:p>
        </w:tc>
        <w:tc>
          <w:tcPr>
            <w:tcW w:w="257" w:type="pct"/>
            <w:shd w:val="clear" w:color="auto" w:fill="auto"/>
          </w:tcPr>
          <w:p w14:paraId="6B5CD0A4" w14:textId="77777777" w:rsidR="00CF2E21" w:rsidRPr="00591BFC" w:rsidRDefault="00CF2E21" w:rsidP="00E86771">
            <w:pPr>
              <w:spacing w:after="0" w:line="360" w:lineRule="auto"/>
              <w:jc w:val="right"/>
            </w:pPr>
            <w:r w:rsidRPr="00591BFC">
              <w:t>1.014</w:t>
            </w:r>
          </w:p>
        </w:tc>
        <w:tc>
          <w:tcPr>
            <w:tcW w:w="516" w:type="pct"/>
            <w:shd w:val="clear" w:color="auto" w:fill="auto"/>
          </w:tcPr>
          <w:p w14:paraId="62BD0223" w14:textId="77777777" w:rsidR="00CF2E21" w:rsidRPr="00591BFC" w:rsidRDefault="00CF2E21" w:rsidP="00E86771">
            <w:pPr>
              <w:spacing w:after="0" w:line="360" w:lineRule="auto"/>
              <w:jc w:val="right"/>
            </w:pPr>
            <w:r w:rsidRPr="00591BFC">
              <w:t>-7.471</w:t>
            </w:r>
          </w:p>
        </w:tc>
        <w:tc>
          <w:tcPr>
            <w:tcW w:w="268" w:type="pct"/>
            <w:shd w:val="clear" w:color="auto" w:fill="auto"/>
          </w:tcPr>
          <w:p w14:paraId="0807DB8D" w14:textId="77777777" w:rsidR="00CF2E21" w:rsidRPr="00591BFC" w:rsidRDefault="00CF2E21" w:rsidP="00E86771">
            <w:pPr>
              <w:spacing w:after="0" w:line="360" w:lineRule="auto"/>
              <w:jc w:val="right"/>
            </w:pPr>
            <w:r w:rsidRPr="00591BFC">
              <w:t>0.143</w:t>
            </w:r>
          </w:p>
        </w:tc>
      </w:tr>
      <w:tr w:rsidR="00CF2E21" w:rsidRPr="00591BFC" w14:paraId="5A82C6B6" w14:textId="77777777" w:rsidTr="00DB4F65">
        <w:tc>
          <w:tcPr>
            <w:tcW w:w="1116" w:type="pct"/>
            <w:shd w:val="clear" w:color="auto" w:fill="auto"/>
          </w:tcPr>
          <w:p w14:paraId="795F573E" w14:textId="77777777" w:rsidR="00CF2E21" w:rsidRPr="00591BFC" w:rsidRDefault="00CF2E21" w:rsidP="00E86771">
            <w:pPr>
              <w:spacing w:after="0" w:line="360" w:lineRule="auto"/>
            </w:pPr>
            <w:r w:rsidRPr="00591BFC">
              <w:t>ρ</w:t>
            </w:r>
          </w:p>
        </w:tc>
        <w:tc>
          <w:tcPr>
            <w:tcW w:w="352" w:type="pct"/>
            <w:shd w:val="clear" w:color="auto" w:fill="auto"/>
          </w:tcPr>
          <w:p w14:paraId="59A2E0B4" w14:textId="77777777" w:rsidR="00CF2E21" w:rsidRPr="00591BFC" w:rsidRDefault="00CF2E21" w:rsidP="00E86771">
            <w:pPr>
              <w:spacing w:after="0" w:line="360" w:lineRule="auto"/>
              <w:jc w:val="right"/>
            </w:pPr>
            <w:r w:rsidRPr="00591BFC">
              <w:t>1.099</w:t>
            </w:r>
          </w:p>
        </w:tc>
        <w:tc>
          <w:tcPr>
            <w:tcW w:w="258" w:type="pct"/>
            <w:shd w:val="clear" w:color="auto" w:fill="auto"/>
          </w:tcPr>
          <w:p w14:paraId="58934AE8" w14:textId="77777777" w:rsidR="00CF2E21" w:rsidRPr="00591BFC" w:rsidRDefault="00CF2E21" w:rsidP="00E86771">
            <w:pPr>
              <w:spacing w:after="0" w:line="360" w:lineRule="auto"/>
              <w:jc w:val="right"/>
            </w:pPr>
            <w:r w:rsidRPr="00591BFC">
              <w:t>0.018</w:t>
            </w:r>
          </w:p>
        </w:tc>
        <w:tc>
          <w:tcPr>
            <w:tcW w:w="404" w:type="pct"/>
            <w:shd w:val="clear" w:color="auto" w:fill="auto"/>
          </w:tcPr>
          <w:p w14:paraId="25AD873E" w14:textId="77777777" w:rsidR="00CF2E21" w:rsidRPr="00591BFC" w:rsidRDefault="00CF2E21" w:rsidP="00E86771">
            <w:pPr>
              <w:spacing w:after="0" w:line="360" w:lineRule="auto"/>
              <w:jc w:val="right"/>
            </w:pPr>
            <w:r w:rsidRPr="00591BFC">
              <w:t>1.259</w:t>
            </w:r>
          </w:p>
        </w:tc>
        <w:tc>
          <w:tcPr>
            <w:tcW w:w="257" w:type="pct"/>
            <w:shd w:val="clear" w:color="auto" w:fill="auto"/>
          </w:tcPr>
          <w:p w14:paraId="0D2A0AA7" w14:textId="77777777" w:rsidR="00CF2E21" w:rsidRPr="00591BFC" w:rsidRDefault="00CF2E21" w:rsidP="00E86771">
            <w:pPr>
              <w:spacing w:after="0" w:line="360" w:lineRule="auto"/>
              <w:jc w:val="right"/>
            </w:pPr>
            <w:r w:rsidRPr="00591BFC">
              <w:t>0.024</w:t>
            </w:r>
          </w:p>
        </w:tc>
        <w:tc>
          <w:tcPr>
            <w:tcW w:w="657" w:type="pct"/>
            <w:shd w:val="clear" w:color="auto" w:fill="auto"/>
          </w:tcPr>
          <w:p w14:paraId="20E753D4" w14:textId="77777777" w:rsidR="00CF2E21" w:rsidRPr="00591BFC" w:rsidRDefault="00CF2E21" w:rsidP="00E86771">
            <w:pPr>
              <w:spacing w:after="0" w:line="360" w:lineRule="auto"/>
              <w:jc w:val="right"/>
            </w:pPr>
          </w:p>
        </w:tc>
        <w:tc>
          <w:tcPr>
            <w:tcW w:w="257" w:type="pct"/>
            <w:shd w:val="clear" w:color="auto" w:fill="auto"/>
          </w:tcPr>
          <w:p w14:paraId="6587B777" w14:textId="77777777" w:rsidR="00CF2E21" w:rsidRPr="00591BFC" w:rsidRDefault="00CF2E21" w:rsidP="00E86771">
            <w:pPr>
              <w:spacing w:after="0" w:line="360" w:lineRule="auto"/>
              <w:jc w:val="right"/>
            </w:pPr>
          </w:p>
        </w:tc>
        <w:tc>
          <w:tcPr>
            <w:tcW w:w="657" w:type="pct"/>
            <w:shd w:val="clear" w:color="auto" w:fill="auto"/>
          </w:tcPr>
          <w:p w14:paraId="22964D10" w14:textId="77777777" w:rsidR="00CF2E21" w:rsidRPr="00591BFC" w:rsidRDefault="00CF2E21" w:rsidP="00E86771">
            <w:pPr>
              <w:spacing w:after="0" w:line="360" w:lineRule="auto"/>
              <w:jc w:val="right"/>
            </w:pPr>
          </w:p>
        </w:tc>
        <w:tc>
          <w:tcPr>
            <w:tcW w:w="257" w:type="pct"/>
            <w:shd w:val="clear" w:color="auto" w:fill="auto"/>
          </w:tcPr>
          <w:p w14:paraId="7B1729D0" w14:textId="77777777" w:rsidR="00CF2E21" w:rsidRPr="00591BFC" w:rsidRDefault="00CF2E21" w:rsidP="00E86771">
            <w:pPr>
              <w:spacing w:after="0" w:line="360" w:lineRule="auto"/>
              <w:jc w:val="right"/>
            </w:pPr>
          </w:p>
        </w:tc>
        <w:tc>
          <w:tcPr>
            <w:tcW w:w="516" w:type="pct"/>
            <w:shd w:val="clear" w:color="auto" w:fill="auto"/>
          </w:tcPr>
          <w:p w14:paraId="42AC09F2" w14:textId="77777777" w:rsidR="00CF2E21" w:rsidRPr="00591BFC" w:rsidRDefault="00CF2E21" w:rsidP="00E86771">
            <w:pPr>
              <w:spacing w:after="0" w:line="360" w:lineRule="auto"/>
              <w:jc w:val="right"/>
            </w:pPr>
          </w:p>
        </w:tc>
        <w:tc>
          <w:tcPr>
            <w:tcW w:w="268" w:type="pct"/>
            <w:shd w:val="clear" w:color="auto" w:fill="auto"/>
          </w:tcPr>
          <w:p w14:paraId="5D066CA4" w14:textId="77777777" w:rsidR="00CF2E21" w:rsidRPr="00591BFC" w:rsidRDefault="00CF2E21" w:rsidP="00E86771">
            <w:pPr>
              <w:spacing w:after="0" w:line="360" w:lineRule="auto"/>
              <w:jc w:val="right"/>
            </w:pPr>
          </w:p>
        </w:tc>
      </w:tr>
      <w:tr w:rsidR="00CF2E21" w:rsidRPr="00591BFC" w14:paraId="5D39FE64" w14:textId="77777777" w:rsidTr="00DB4F65">
        <w:tc>
          <w:tcPr>
            <w:tcW w:w="1116" w:type="pct"/>
            <w:shd w:val="clear" w:color="auto" w:fill="auto"/>
          </w:tcPr>
          <w:p w14:paraId="660E2CF9" w14:textId="77777777" w:rsidR="00CF2E21" w:rsidRPr="00591BFC" w:rsidRDefault="00CF2E21" w:rsidP="00E86771">
            <w:pPr>
              <w:spacing w:after="0" w:line="360" w:lineRule="auto"/>
            </w:pPr>
            <w:r w:rsidRPr="00591BFC">
              <w:t>γ</w:t>
            </w:r>
          </w:p>
        </w:tc>
        <w:tc>
          <w:tcPr>
            <w:tcW w:w="352" w:type="pct"/>
            <w:shd w:val="clear" w:color="auto" w:fill="auto"/>
          </w:tcPr>
          <w:p w14:paraId="48E04C22" w14:textId="77777777" w:rsidR="00CF2E21" w:rsidRPr="00591BFC" w:rsidRDefault="00CF2E21" w:rsidP="00E86771">
            <w:pPr>
              <w:spacing w:after="0" w:line="360" w:lineRule="auto"/>
              <w:jc w:val="right"/>
            </w:pPr>
          </w:p>
        </w:tc>
        <w:tc>
          <w:tcPr>
            <w:tcW w:w="258" w:type="pct"/>
            <w:shd w:val="clear" w:color="auto" w:fill="auto"/>
          </w:tcPr>
          <w:p w14:paraId="5FD5A1F8" w14:textId="77777777" w:rsidR="00CF2E21" w:rsidRPr="00591BFC" w:rsidRDefault="00CF2E21" w:rsidP="00E86771">
            <w:pPr>
              <w:spacing w:after="0" w:line="360" w:lineRule="auto"/>
              <w:jc w:val="right"/>
            </w:pPr>
          </w:p>
        </w:tc>
        <w:tc>
          <w:tcPr>
            <w:tcW w:w="404" w:type="pct"/>
            <w:shd w:val="clear" w:color="auto" w:fill="auto"/>
          </w:tcPr>
          <w:p w14:paraId="21B39D55" w14:textId="77777777" w:rsidR="00CF2E21" w:rsidRPr="00591BFC" w:rsidRDefault="00CF2E21" w:rsidP="00E86771">
            <w:pPr>
              <w:spacing w:after="0" w:line="360" w:lineRule="auto"/>
              <w:jc w:val="right"/>
            </w:pPr>
          </w:p>
        </w:tc>
        <w:tc>
          <w:tcPr>
            <w:tcW w:w="257" w:type="pct"/>
            <w:shd w:val="clear" w:color="auto" w:fill="auto"/>
          </w:tcPr>
          <w:p w14:paraId="02A7917C" w14:textId="77777777" w:rsidR="00CF2E21" w:rsidRPr="00591BFC" w:rsidRDefault="00CF2E21" w:rsidP="00E86771">
            <w:pPr>
              <w:spacing w:after="0" w:line="360" w:lineRule="auto"/>
              <w:jc w:val="right"/>
            </w:pPr>
          </w:p>
        </w:tc>
        <w:tc>
          <w:tcPr>
            <w:tcW w:w="657" w:type="pct"/>
            <w:shd w:val="clear" w:color="auto" w:fill="auto"/>
          </w:tcPr>
          <w:p w14:paraId="71850016" w14:textId="77777777" w:rsidR="00CF2E21" w:rsidRPr="00591BFC" w:rsidRDefault="00CF2E21" w:rsidP="00E86771">
            <w:pPr>
              <w:spacing w:after="0" w:line="360" w:lineRule="auto"/>
              <w:jc w:val="right"/>
            </w:pPr>
          </w:p>
        </w:tc>
        <w:tc>
          <w:tcPr>
            <w:tcW w:w="257" w:type="pct"/>
            <w:shd w:val="clear" w:color="auto" w:fill="auto"/>
          </w:tcPr>
          <w:p w14:paraId="1661351F" w14:textId="77777777" w:rsidR="00CF2E21" w:rsidRPr="00591BFC" w:rsidRDefault="00CF2E21" w:rsidP="00E86771">
            <w:pPr>
              <w:spacing w:after="0" w:line="360" w:lineRule="auto"/>
              <w:jc w:val="right"/>
            </w:pPr>
          </w:p>
        </w:tc>
        <w:tc>
          <w:tcPr>
            <w:tcW w:w="657" w:type="pct"/>
            <w:shd w:val="clear" w:color="auto" w:fill="auto"/>
          </w:tcPr>
          <w:p w14:paraId="2A3FAAAC" w14:textId="77777777" w:rsidR="00CF2E21" w:rsidRPr="00591BFC" w:rsidRDefault="00CF2E21" w:rsidP="00E86771">
            <w:pPr>
              <w:spacing w:after="0" w:line="360" w:lineRule="auto"/>
              <w:jc w:val="right"/>
            </w:pPr>
          </w:p>
        </w:tc>
        <w:tc>
          <w:tcPr>
            <w:tcW w:w="257" w:type="pct"/>
            <w:shd w:val="clear" w:color="auto" w:fill="auto"/>
          </w:tcPr>
          <w:p w14:paraId="67835C1A" w14:textId="77777777" w:rsidR="00CF2E21" w:rsidRPr="00591BFC" w:rsidRDefault="00CF2E21" w:rsidP="00E86771">
            <w:pPr>
              <w:spacing w:after="0" w:line="360" w:lineRule="auto"/>
              <w:jc w:val="right"/>
            </w:pPr>
          </w:p>
        </w:tc>
        <w:tc>
          <w:tcPr>
            <w:tcW w:w="516" w:type="pct"/>
            <w:shd w:val="clear" w:color="auto" w:fill="auto"/>
          </w:tcPr>
          <w:p w14:paraId="3571468F" w14:textId="77777777" w:rsidR="00CF2E21" w:rsidRPr="00591BFC" w:rsidRDefault="00CF2E21" w:rsidP="00E86771">
            <w:pPr>
              <w:spacing w:after="0" w:line="360" w:lineRule="auto"/>
              <w:jc w:val="right"/>
            </w:pPr>
            <w:r w:rsidRPr="00591BFC">
              <w:t>0.012</w:t>
            </w:r>
          </w:p>
        </w:tc>
        <w:tc>
          <w:tcPr>
            <w:tcW w:w="268" w:type="pct"/>
            <w:shd w:val="clear" w:color="auto" w:fill="auto"/>
          </w:tcPr>
          <w:p w14:paraId="55ACB21E" w14:textId="77777777" w:rsidR="00CF2E21" w:rsidRPr="00591BFC" w:rsidRDefault="00CF2E21" w:rsidP="00E86771">
            <w:pPr>
              <w:spacing w:after="0" w:line="360" w:lineRule="auto"/>
              <w:jc w:val="right"/>
            </w:pPr>
            <w:r w:rsidRPr="00591BFC">
              <w:t>0.005</w:t>
            </w:r>
          </w:p>
        </w:tc>
      </w:tr>
      <w:tr w:rsidR="00CF2E21" w:rsidRPr="00591BFC" w14:paraId="70029D40" w14:textId="77777777" w:rsidTr="00DB4F65">
        <w:tc>
          <w:tcPr>
            <w:tcW w:w="1116" w:type="pct"/>
            <w:shd w:val="clear" w:color="auto" w:fill="auto"/>
          </w:tcPr>
          <w:p w14:paraId="14E125D6" w14:textId="77777777" w:rsidR="00CF2E21" w:rsidRPr="00591BFC" w:rsidRDefault="00CF2E21" w:rsidP="00E86771">
            <w:pPr>
              <w:spacing w:after="0" w:line="360" w:lineRule="auto"/>
            </w:pPr>
            <w:r w:rsidRPr="00591BFC">
              <w:t>Female</w:t>
            </w:r>
          </w:p>
        </w:tc>
        <w:tc>
          <w:tcPr>
            <w:tcW w:w="352" w:type="pct"/>
            <w:shd w:val="clear" w:color="auto" w:fill="auto"/>
          </w:tcPr>
          <w:p w14:paraId="1C753E9D" w14:textId="77777777" w:rsidR="00CF2E21" w:rsidRPr="00591BFC" w:rsidRDefault="00CF2E21" w:rsidP="00E86771">
            <w:pPr>
              <w:spacing w:after="0" w:line="360" w:lineRule="auto"/>
              <w:jc w:val="right"/>
            </w:pPr>
            <w:r w:rsidRPr="00591BFC">
              <w:t>0.117</w:t>
            </w:r>
          </w:p>
        </w:tc>
        <w:tc>
          <w:tcPr>
            <w:tcW w:w="258" w:type="pct"/>
            <w:shd w:val="clear" w:color="auto" w:fill="auto"/>
          </w:tcPr>
          <w:p w14:paraId="58EFC588" w14:textId="77777777" w:rsidR="00CF2E21" w:rsidRPr="00591BFC" w:rsidRDefault="00CF2E21" w:rsidP="00E86771">
            <w:pPr>
              <w:spacing w:after="0" w:line="360" w:lineRule="auto"/>
              <w:jc w:val="right"/>
            </w:pPr>
            <w:r w:rsidRPr="00591BFC">
              <w:t>0.055</w:t>
            </w:r>
          </w:p>
        </w:tc>
        <w:tc>
          <w:tcPr>
            <w:tcW w:w="404" w:type="pct"/>
            <w:shd w:val="clear" w:color="auto" w:fill="auto"/>
          </w:tcPr>
          <w:p w14:paraId="0179CA9A" w14:textId="77777777" w:rsidR="00CF2E21" w:rsidRPr="00591BFC" w:rsidRDefault="00CF2E21" w:rsidP="00E86771">
            <w:pPr>
              <w:spacing w:after="0" w:line="360" w:lineRule="auto"/>
              <w:jc w:val="right"/>
            </w:pPr>
            <w:r w:rsidRPr="00591BFC">
              <w:t>0.481</w:t>
            </w:r>
          </w:p>
        </w:tc>
        <w:tc>
          <w:tcPr>
            <w:tcW w:w="257" w:type="pct"/>
            <w:shd w:val="clear" w:color="auto" w:fill="auto"/>
          </w:tcPr>
          <w:p w14:paraId="385E2168" w14:textId="77777777" w:rsidR="00CF2E21" w:rsidRPr="00591BFC" w:rsidRDefault="00CF2E21" w:rsidP="00E86771">
            <w:pPr>
              <w:spacing w:after="0" w:line="360" w:lineRule="auto"/>
              <w:jc w:val="right"/>
            </w:pPr>
            <w:r w:rsidRPr="00591BFC">
              <w:t>0.077</w:t>
            </w:r>
          </w:p>
        </w:tc>
        <w:tc>
          <w:tcPr>
            <w:tcW w:w="657" w:type="pct"/>
            <w:shd w:val="clear" w:color="auto" w:fill="auto"/>
          </w:tcPr>
          <w:p w14:paraId="0E3453C0" w14:textId="77777777" w:rsidR="00CF2E21" w:rsidRPr="00591BFC" w:rsidRDefault="00CF2E21" w:rsidP="00E86771">
            <w:pPr>
              <w:spacing w:after="0" w:line="360" w:lineRule="auto"/>
              <w:jc w:val="right"/>
            </w:pPr>
            <w:r w:rsidRPr="00591BFC">
              <w:t>-0.505</w:t>
            </w:r>
          </w:p>
        </w:tc>
        <w:tc>
          <w:tcPr>
            <w:tcW w:w="257" w:type="pct"/>
            <w:shd w:val="clear" w:color="auto" w:fill="auto"/>
          </w:tcPr>
          <w:p w14:paraId="087D97D6" w14:textId="77777777" w:rsidR="00CF2E21" w:rsidRPr="00591BFC" w:rsidRDefault="00CF2E21" w:rsidP="00E86771">
            <w:pPr>
              <w:spacing w:after="0" w:line="360" w:lineRule="auto"/>
              <w:jc w:val="right"/>
            </w:pPr>
            <w:r w:rsidRPr="00591BFC">
              <w:t>0.043</w:t>
            </w:r>
          </w:p>
        </w:tc>
        <w:tc>
          <w:tcPr>
            <w:tcW w:w="657" w:type="pct"/>
            <w:shd w:val="clear" w:color="auto" w:fill="auto"/>
          </w:tcPr>
          <w:p w14:paraId="5536B13A" w14:textId="77777777" w:rsidR="00CF2E21" w:rsidRPr="00591BFC" w:rsidRDefault="00CF2E21" w:rsidP="00E86771">
            <w:pPr>
              <w:spacing w:after="0" w:line="360" w:lineRule="auto"/>
              <w:jc w:val="right"/>
            </w:pPr>
            <w:r w:rsidRPr="00591BFC">
              <w:t>-0.623</w:t>
            </w:r>
          </w:p>
        </w:tc>
        <w:tc>
          <w:tcPr>
            <w:tcW w:w="257" w:type="pct"/>
            <w:shd w:val="clear" w:color="auto" w:fill="auto"/>
          </w:tcPr>
          <w:p w14:paraId="2E39D8A9" w14:textId="77777777" w:rsidR="00CF2E21" w:rsidRPr="00591BFC" w:rsidRDefault="00CF2E21" w:rsidP="00E86771">
            <w:pPr>
              <w:spacing w:after="0" w:line="360" w:lineRule="auto"/>
              <w:jc w:val="right"/>
            </w:pPr>
            <w:r w:rsidRPr="00591BFC">
              <w:t>0.186</w:t>
            </w:r>
          </w:p>
        </w:tc>
        <w:tc>
          <w:tcPr>
            <w:tcW w:w="516" w:type="pct"/>
            <w:shd w:val="clear" w:color="auto" w:fill="auto"/>
          </w:tcPr>
          <w:p w14:paraId="7C399605" w14:textId="77777777" w:rsidR="00CF2E21" w:rsidRPr="00591BFC" w:rsidRDefault="00CF2E21" w:rsidP="00E86771">
            <w:pPr>
              <w:spacing w:after="0" w:line="360" w:lineRule="auto"/>
              <w:jc w:val="right"/>
            </w:pPr>
            <w:r w:rsidRPr="00591BFC">
              <w:t>-0.436</w:t>
            </w:r>
          </w:p>
        </w:tc>
        <w:tc>
          <w:tcPr>
            <w:tcW w:w="268" w:type="pct"/>
            <w:shd w:val="clear" w:color="auto" w:fill="auto"/>
          </w:tcPr>
          <w:p w14:paraId="483D3AB9" w14:textId="77777777" w:rsidR="00CF2E21" w:rsidRPr="00591BFC" w:rsidRDefault="00CF2E21" w:rsidP="00E86771">
            <w:pPr>
              <w:spacing w:after="0" w:line="360" w:lineRule="auto"/>
              <w:jc w:val="right"/>
            </w:pPr>
            <w:r w:rsidRPr="00591BFC">
              <w:t>0.020</w:t>
            </w:r>
          </w:p>
        </w:tc>
      </w:tr>
      <w:tr w:rsidR="00CF2E21" w:rsidRPr="00591BFC" w14:paraId="3CEF2176" w14:textId="77777777" w:rsidTr="00DB4F65">
        <w:tc>
          <w:tcPr>
            <w:tcW w:w="1116" w:type="pct"/>
            <w:shd w:val="clear" w:color="auto" w:fill="auto"/>
          </w:tcPr>
          <w:p w14:paraId="2F579C7C" w14:textId="77777777" w:rsidR="00CF2E21" w:rsidRPr="00591BFC" w:rsidRDefault="00CF2E21" w:rsidP="00E86771">
            <w:pPr>
              <w:spacing w:after="0" w:line="360" w:lineRule="auto"/>
            </w:pPr>
            <w:r w:rsidRPr="00591BFC">
              <w:t>Age at 1</w:t>
            </w:r>
            <w:r w:rsidRPr="00591BFC">
              <w:rPr>
                <w:vertAlign w:val="superscript"/>
              </w:rPr>
              <w:t>st</w:t>
            </w:r>
            <w:r w:rsidRPr="00591BFC">
              <w:t xml:space="preserve"> hip fracture</w:t>
            </w:r>
          </w:p>
        </w:tc>
        <w:tc>
          <w:tcPr>
            <w:tcW w:w="352" w:type="pct"/>
            <w:shd w:val="clear" w:color="auto" w:fill="auto"/>
          </w:tcPr>
          <w:p w14:paraId="4F1AFAD1" w14:textId="77777777" w:rsidR="00CF2E21" w:rsidRPr="00591BFC" w:rsidRDefault="00CF2E21" w:rsidP="00E86771">
            <w:pPr>
              <w:spacing w:after="0" w:line="360" w:lineRule="auto"/>
              <w:jc w:val="right"/>
            </w:pPr>
            <w:r w:rsidRPr="00591BFC">
              <w:t>0.042</w:t>
            </w:r>
          </w:p>
        </w:tc>
        <w:tc>
          <w:tcPr>
            <w:tcW w:w="258" w:type="pct"/>
            <w:shd w:val="clear" w:color="auto" w:fill="auto"/>
          </w:tcPr>
          <w:p w14:paraId="5914FF7D" w14:textId="77777777" w:rsidR="00CF2E21" w:rsidRPr="00591BFC" w:rsidRDefault="00CF2E21" w:rsidP="00E86771">
            <w:pPr>
              <w:spacing w:after="0" w:line="360" w:lineRule="auto"/>
              <w:jc w:val="right"/>
            </w:pPr>
            <w:r w:rsidRPr="00591BFC">
              <w:t>0.003</w:t>
            </w:r>
          </w:p>
        </w:tc>
        <w:tc>
          <w:tcPr>
            <w:tcW w:w="404" w:type="pct"/>
            <w:shd w:val="clear" w:color="auto" w:fill="auto"/>
          </w:tcPr>
          <w:p w14:paraId="159A36E7" w14:textId="77777777" w:rsidR="00CF2E21" w:rsidRPr="00591BFC" w:rsidRDefault="00CF2E21" w:rsidP="00E86771">
            <w:pPr>
              <w:spacing w:after="0" w:line="360" w:lineRule="auto"/>
              <w:jc w:val="right"/>
            </w:pPr>
            <w:r w:rsidRPr="00591BFC">
              <w:t>0.028</w:t>
            </w:r>
          </w:p>
        </w:tc>
        <w:tc>
          <w:tcPr>
            <w:tcW w:w="257" w:type="pct"/>
            <w:shd w:val="clear" w:color="auto" w:fill="auto"/>
          </w:tcPr>
          <w:p w14:paraId="58390340" w14:textId="77777777" w:rsidR="00CF2E21" w:rsidRPr="00591BFC" w:rsidRDefault="00CF2E21" w:rsidP="00E86771">
            <w:pPr>
              <w:spacing w:after="0" w:line="360" w:lineRule="auto"/>
              <w:jc w:val="right"/>
            </w:pPr>
            <w:r w:rsidRPr="00591BFC">
              <w:t>0.004</w:t>
            </w:r>
          </w:p>
        </w:tc>
        <w:tc>
          <w:tcPr>
            <w:tcW w:w="657" w:type="pct"/>
            <w:shd w:val="clear" w:color="auto" w:fill="auto"/>
          </w:tcPr>
          <w:p w14:paraId="1E3E8518" w14:textId="77777777" w:rsidR="00CF2E21" w:rsidRPr="00591BFC" w:rsidRDefault="00CF2E21" w:rsidP="00E86771">
            <w:pPr>
              <w:spacing w:after="0" w:line="360" w:lineRule="auto"/>
              <w:jc w:val="right"/>
            </w:pPr>
            <w:r w:rsidRPr="00591BFC">
              <w:t>0.075</w:t>
            </w:r>
          </w:p>
        </w:tc>
        <w:tc>
          <w:tcPr>
            <w:tcW w:w="257" w:type="pct"/>
            <w:shd w:val="clear" w:color="auto" w:fill="auto"/>
          </w:tcPr>
          <w:p w14:paraId="5F84B133" w14:textId="77777777" w:rsidR="00CF2E21" w:rsidRPr="00591BFC" w:rsidRDefault="00CF2E21" w:rsidP="00E86771">
            <w:pPr>
              <w:spacing w:after="0" w:line="360" w:lineRule="auto"/>
              <w:jc w:val="right"/>
            </w:pPr>
            <w:r w:rsidRPr="00591BFC">
              <w:t>0.003</w:t>
            </w:r>
          </w:p>
        </w:tc>
        <w:tc>
          <w:tcPr>
            <w:tcW w:w="657" w:type="pct"/>
            <w:shd w:val="clear" w:color="auto" w:fill="auto"/>
          </w:tcPr>
          <w:p w14:paraId="008ED64F" w14:textId="77777777" w:rsidR="00CF2E21" w:rsidRPr="00591BFC" w:rsidRDefault="00CF2E21" w:rsidP="00E86771">
            <w:pPr>
              <w:spacing w:after="0" w:line="360" w:lineRule="auto"/>
              <w:jc w:val="right"/>
            </w:pPr>
          </w:p>
        </w:tc>
        <w:tc>
          <w:tcPr>
            <w:tcW w:w="257" w:type="pct"/>
            <w:shd w:val="clear" w:color="auto" w:fill="auto"/>
          </w:tcPr>
          <w:p w14:paraId="02C053F1" w14:textId="77777777" w:rsidR="00CF2E21" w:rsidRPr="00591BFC" w:rsidRDefault="00CF2E21" w:rsidP="00E86771">
            <w:pPr>
              <w:spacing w:after="0" w:line="360" w:lineRule="auto"/>
              <w:jc w:val="right"/>
            </w:pPr>
          </w:p>
        </w:tc>
        <w:tc>
          <w:tcPr>
            <w:tcW w:w="516" w:type="pct"/>
            <w:shd w:val="clear" w:color="auto" w:fill="auto"/>
          </w:tcPr>
          <w:p w14:paraId="276103B8" w14:textId="77777777" w:rsidR="00CF2E21" w:rsidRPr="00591BFC" w:rsidRDefault="00CF2E21" w:rsidP="00E86771">
            <w:pPr>
              <w:spacing w:after="0" w:line="360" w:lineRule="auto"/>
              <w:jc w:val="right"/>
            </w:pPr>
            <w:r w:rsidRPr="00591BFC">
              <w:t>0.072</w:t>
            </w:r>
          </w:p>
        </w:tc>
        <w:tc>
          <w:tcPr>
            <w:tcW w:w="268" w:type="pct"/>
            <w:shd w:val="clear" w:color="auto" w:fill="auto"/>
          </w:tcPr>
          <w:p w14:paraId="4FD86D8A" w14:textId="77777777" w:rsidR="00CF2E21" w:rsidRPr="00591BFC" w:rsidRDefault="00CF2E21" w:rsidP="00E86771">
            <w:pPr>
              <w:spacing w:after="0" w:line="360" w:lineRule="auto"/>
              <w:jc w:val="right"/>
            </w:pPr>
            <w:r w:rsidRPr="00591BFC">
              <w:t>0.002</w:t>
            </w:r>
          </w:p>
        </w:tc>
      </w:tr>
      <w:tr w:rsidR="00CF2E21" w:rsidRPr="00591BFC" w14:paraId="0B37CD27" w14:textId="77777777" w:rsidTr="00DB4F65">
        <w:tc>
          <w:tcPr>
            <w:tcW w:w="1116" w:type="pct"/>
            <w:shd w:val="clear" w:color="auto" w:fill="auto"/>
          </w:tcPr>
          <w:p w14:paraId="3CE37140" w14:textId="77777777" w:rsidR="00CF2E21" w:rsidRPr="00591BFC" w:rsidRDefault="00CF2E21" w:rsidP="00E86771">
            <w:pPr>
              <w:spacing w:after="0" w:line="360" w:lineRule="auto"/>
            </w:pPr>
            <w:r w:rsidRPr="00591BFC">
              <w:t>Age at 2</w:t>
            </w:r>
            <w:r w:rsidRPr="00591BFC">
              <w:rPr>
                <w:vertAlign w:val="superscript"/>
              </w:rPr>
              <w:t>nd</w:t>
            </w:r>
            <w:r w:rsidRPr="00591BFC">
              <w:t xml:space="preserve"> hip fracture</w:t>
            </w:r>
          </w:p>
        </w:tc>
        <w:tc>
          <w:tcPr>
            <w:tcW w:w="352" w:type="pct"/>
            <w:shd w:val="clear" w:color="auto" w:fill="auto"/>
          </w:tcPr>
          <w:p w14:paraId="7C7C85BA" w14:textId="77777777" w:rsidR="00CF2E21" w:rsidRPr="00591BFC" w:rsidRDefault="00CF2E21" w:rsidP="00E86771">
            <w:pPr>
              <w:spacing w:after="0" w:line="360" w:lineRule="auto"/>
              <w:jc w:val="right"/>
            </w:pPr>
          </w:p>
        </w:tc>
        <w:tc>
          <w:tcPr>
            <w:tcW w:w="258" w:type="pct"/>
            <w:shd w:val="clear" w:color="auto" w:fill="auto"/>
          </w:tcPr>
          <w:p w14:paraId="50233CD6" w14:textId="77777777" w:rsidR="00CF2E21" w:rsidRPr="00591BFC" w:rsidRDefault="00CF2E21" w:rsidP="00E86771">
            <w:pPr>
              <w:spacing w:after="0" w:line="360" w:lineRule="auto"/>
              <w:jc w:val="right"/>
            </w:pPr>
          </w:p>
        </w:tc>
        <w:tc>
          <w:tcPr>
            <w:tcW w:w="404" w:type="pct"/>
            <w:shd w:val="clear" w:color="auto" w:fill="auto"/>
          </w:tcPr>
          <w:p w14:paraId="72E1B8C7" w14:textId="77777777" w:rsidR="00CF2E21" w:rsidRPr="00591BFC" w:rsidRDefault="00CF2E21" w:rsidP="00E86771">
            <w:pPr>
              <w:spacing w:after="0" w:line="360" w:lineRule="auto"/>
              <w:jc w:val="right"/>
            </w:pPr>
          </w:p>
        </w:tc>
        <w:tc>
          <w:tcPr>
            <w:tcW w:w="257" w:type="pct"/>
            <w:shd w:val="clear" w:color="auto" w:fill="auto"/>
          </w:tcPr>
          <w:p w14:paraId="587A9EBB" w14:textId="77777777" w:rsidR="00CF2E21" w:rsidRPr="00591BFC" w:rsidRDefault="00CF2E21" w:rsidP="00E86771">
            <w:pPr>
              <w:spacing w:after="0" w:line="360" w:lineRule="auto"/>
              <w:jc w:val="right"/>
            </w:pPr>
          </w:p>
        </w:tc>
        <w:tc>
          <w:tcPr>
            <w:tcW w:w="657" w:type="pct"/>
            <w:shd w:val="clear" w:color="auto" w:fill="auto"/>
          </w:tcPr>
          <w:p w14:paraId="73285043" w14:textId="77777777" w:rsidR="00CF2E21" w:rsidRPr="00591BFC" w:rsidRDefault="00CF2E21" w:rsidP="00E86771">
            <w:pPr>
              <w:spacing w:after="0" w:line="360" w:lineRule="auto"/>
              <w:jc w:val="right"/>
            </w:pPr>
          </w:p>
        </w:tc>
        <w:tc>
          <w:tcPr>
            <w:tcW w:w="257" w:type="pct"/>
            <w:shd w:val="clear" w:color="auto" w:fill="auto"/>
          </w:tcPr>
          <w:p w14:paraId="6C9BFC7E" w14:textId="77777777" w:rsidR="00CF2E21" w:rsidRPr="00591BFC" w:rsidRDefault="00CF2E21" w:rsidP="00E86771">
            <w:pPr>
              <w:spacing w:after="0" w:line="360" w:lineRule="auto"/>
              <w:jc w:val="right"/>
            </w:pPr>
          </w:p>
        </w:tc>
        <w:tc>
          <w:tcPr>
            <w:tcW w:w="657" w:type="pct"/>
            <w:shd w:val="clear" w:color="auto" w:fill="auto"/>
          </w:tcPr>
          <w:p w14:paraId="37326C2E" w14:textId="77777777" w:rsidR="00CF2E21" w:rsidRPr="00591BFC" w:rsidRDefault="00CF2E21" w:rsidP="00E86771">
            <w:pPr>
              <w:spacing w:after="0" w:line="360" w:lineRule="auto"/>
              <w:jc w:val="right"/>
            </w:pPr>
            <w:r w:rsidRPr="00591BFC">
              <w:t>0.048</w:t>
            </w:r>
          </w:p>
        </w:tc>
        <w:tc>
          <w:tcPr>
            <w:tcW w:w="257" w:type="pct"/>
            <w:shd w:val="clear" w:color="auto" w:fill="auto"/>
          </w:tcPr>
          <w:p w14:paraId="246CE4AC" w14:textId="77777777" w:rsidR="00CF2E21" w:rsidRPr="00591BFC" w:rsidRDefault="00CF2E21" w:rsidP="00E86771">
            <w:pPr>
              <w:spacing w:after="0" w:line="360" w:lineRule="auto"/>
              <w:jc w:val="right"/>
            </w:pPr>
            <w:r w:rsidRPr="00591BFC">
              <w:t>0.012</w:t>
            </w:r>
          </w:p>
        </w:tc>
        <w:tc>
          <w:tcPr>
            <w:tcW w:w="516" w:type="pct"/>
            <w:shd w:val="clear" w:color="auto" w:fill="auto"/>
          </w:tcPr>
          <w:p w14:paraId="008D6AA9" w14:textId="77777777" w:rsidR="00CF2E21" w:rsidRPr="00591BFC" w:rsidRDefault="00CF2E21" w:rsidP="00E86771">
            <w:pPr>
              <w:spacing w:after="0" w:line="360" w:lineRule="auto"/>
              <w:jc w:val="right"/>
            </w:pPr>
          </w:p>
        </w:tc>
        <w:tc>
          <w:tcPr>
            <w:tcW w:w="268" w:type="pct"/>
            <w:shd w:val="clear" w:color="auto" w:fill="auto"/>
          </w:tcPr>
          <w:p w14:paraId="4C419682" w14:textId="77777777" w:rsidR="00CF2E21" w:rsidRPr="00591BFC" w:rsidRDefault="00CF2E21" w:rsidP="00E86771">
            <w:pPr>
              <w:spacing w:after="0" w:line="360" w:lineRule="auto"/>
              <w:jc w:val="right"/>
            </w:pPr>
          </w:p>
        </w:tc>
      </w:tr>
      <w:tr w:rsidR="00CF2E21" w:rsidRPr="00591BFC" w14:paraId="1FE598D8" w14:textId="77777777" w:rsidTr="00DB4F65">
        <w:tc>
          <w:tcPr>
            <w:tcW w:w="1116" w:type="pct"/>
            <w:shd w:val="clear" w:color="auto" w:fill="auto"/>
          </w:tcPr>
          <w:p w14:paraId="76C5FA86" w14:textId="77777777" w:rsidR="00CF2E21" w:rsidRPr="00591BFC" w:rsidRDefault="00CF2E21" w:rsidP="00E86771">
            <w:pPr>
              <w:spacing w:after="0" w:line="360" w:lineRule="auto"/>
            </w:pPr>
            <w:r w:rsidRPr="00591BFC">
              <w:t>Care home</w:t>
            </w:r>
          </w:p>
        </w:tc>
        <w:tc>
          <w:tcPr>
            <w:tcW w:w="352" w:type="pct"/>
            <w:shd w:val="clear" w:color="auto" w:fill="auto"/>
          </w:tcPr>
          <w:p w14:paraId="2428F113" w14:textId="77777777" w:rsidR="00CF2E21" w:rsidRPr="00591BFC" w:rsidRDefault="00CF2E21" w:rsidP="00E86771">
            <w:pPr>
              <w:spacing w:after="0" w:line="360" w:lineRule="auto"/>
              <w:jc w:val="right"/>
            </w:pPr>
          </w:p>
        </w:tc>
        <w:tc>
          <w:tcPr>
            <w:tcW w:w="258" w:type="pct"/>
            <w:shd w:val="clear" w:color="auto" w:fill="auto"/>
          </w:tcPr>
          <w:p w14:paraId="51B52C42" w14:textId="77777777" w:rsidR="00CF2E21" w:rsidRPr="00591BFC" w:rsidRDefault="00CF2E21" w:rsidP="00E86771">
            <w:pPr>
              <w:spacing w:after="0" w:line="360" w:lineRule="auto"/>
              <w:jc w:val="right"/>
            </w:pPr>
          </w:p>
        </w:tc>
        <w:tc>
          <w:tcPr>
            <w:tcW w:w="404" w:type="pct"/>
            <w:shd w:val="clear" w:color="auto" w:fill="auto"/>
          </w:tcPr>
          <w:p w14:paraId="2E6FCF52" w14:textId="77777777" w:rsidR="00CF2E21" w:rsidRPr="00591BFC" w:rsidRDefault="00CF2E21" w:rsidP="00E86771">
            <w:pPr>
              <w:spacing w:after="0" w:line="360" w:lineRule="auto"/>
              <w:jc w:val="right"/>
            </w:pPr>
            <w:r w:rsidRPr="00591BFC">
              <w:t>0.451</w:t>
            </w:r>
          </w:p>
        </w:tc>
        <w:tc>
          <w:tcPr>
            <w:tcW w:w="257" w:type="pct"/>
            <w:shd w:val="clear" w:color="auto" w:fill="auto"/>
          </w:tcPr>
          <w:p w14:paraId="1271537C" w14:textId="77777777" w:rsidR="00CF2E21" w:rsidRPr="00591BFC" w:rsidRDefault="00CF2E21" w:rsidP="00E86771">
            <w:pPr>
              <w:spacing w:after="0" w:line="360" w:lineRule="auto"/>
              <w:jc w:val="right"/>
            </w:pPr>
            <w:r w:rsidRPr="00591BFC">
              <w:t>0.055</w:t>
            </w:r>
          </w:p>
        </w:tc>
        <w:tc>
          <w:tcPr>
            <w:tcW w:w="657" w:type="pct"/>
            <w:shd w:val="clear" w:color="auto" w:fill="auto"/>
          </w:tcPr>
          <w:p w14:paraId="209C7598" w14:textId="77777777" w:rsidR="00CF2E21" w:rsidRPr="00591BFC" w:rsidRDefault="00CF2E21" w:rsidP="00E86771">
            <w:pPr>
              <w:spacing w:after="0" w:line="360" w:lineRule="auto"/>
              <w:jc w:val="right"/>
            </w:pPr>
            <w:r w:rsidRPr="00591BFC">
              <w:t>0.236</w:t>
            </w:r>
          </w:p>
        </w:tc>
        <w:tc>
          <w:tcPr>
            <w:tcW w:w="257" w:type="pct"/>
            <w:shd w:val="clear" w:color="auto" w:fill="auto"/>
          </w:tcPr>
          <w:p w14:paraId="2D580EE1" w14:textId="77777777" w:rsidR="00CF2E21" w:rsidRPr="00591BFC" w:rsidRDefault="00CF2E21" w:rsidP="00E86771">
            <w:pPr>
              <w:spacing w:after="0" w:line="360" w:lineRule="auto"/>
              <w:jc w:val="right"/>
            </w:pPr>
            <w:r w:rsidRPr="00591BFC">
              <w:t>0.057</w:t>
            </w:r>
          </w:p>
        </w:tc>
        <w:tc>
          <w:tcPr>
            <w:tcW w:w="657" w:type="pct"/>
            <w:shd w:val="clear" w:color="auto" w:fill="auto"/>
          </w:tcPr>
          <w:p w14:paraId="263F8C3B" w14:textId="77777777" w:rsidR="00CF2E21" w:rsidRPr="00591BFC" w:rsidRDefault="00CF2E21" w:rsidP="00E86771">
            <w:pPr>
              <w:spacing w:after="0" w:line="360" w:lineRule="auto"/>
              <w:jc w:val="right"/>
            </w:pPr>
            <w:r w:rsidRPr="00591BFC">
              <w:t>0.360</w:t>
            </w:r>
          </w:p>
        </w:tc>
        <w:tc>
          <w:tcPr>
            <w:tcW w:w="257" w:type="pct"/>
            <w:shd w:val="clear" w:color="auto" w:fill="auto"/>
          </w:tcPr>
          <w:p w14:paraId="6EF379A4" w14:textId="77777777" w:rsidR="00CF2E21" w:rsidRPr="00591BFC" w:rsidRDefault="00CF2E21" w:rsidP="00E86771">
            <w:pPr>
              <w:spacing w:after="0" w:line="360" w:lineRule="auto"/>
              <w:jc w:val="right"/>
            </w:pPr>
            <w:r w:rsidRPr="00591BFC">
              <w:t>0.170</w:t>
            </w:r>
          </w:p>
        </w:tc>
        <w:tc>
          <w:tcPr>
            <w:tcW w:w="516" w:type="pct"/>
            <w:shd w:val="clear" w:color="auto" w:fill="auto"/>
          </w:tcPr>
          <w:p w14:paraId="0D8E69FD" w14:textId="77777777" w:rsidR="00CF2E21" w:rsidRPr="00591BFC" w:rsidRDefault="00CF2E21" w:rsidP="00E86771">
            <w:pPr>
              <w:spacing w:after="0" w:line="360" w:lineRule="auto"/>
              <w:jc w:val="right"/>
            </w:pPr>
            <w:r w:rsidRPr="00591BFC">
              <w:t>2.092</w:t>
            </w:r>
          </w:p>
        </w:tc>
        <w:tc>
          <w:tcPr>
            <w:tcW w:w="268" w:type="pct"/>
            <w:shd w:val="clear" w:color="auto" w:fill="auto"/>
          </w:tcPr>
          <w:p w14:paraId="2B84C77C" w14:textId="77777777" w:rsidR="00CF2E21" w:rsidRPr="00591BFC" w:rsidRDefault="00CF2E21" w:rsidP="00E86771">
            <w:pPr>
              <w:spacing w:after="0" w:line="360" w:lineRule="auto"/>
              <w:jc w:val="right"/>
            </w:pPr>
            <w:r w:rsidRPr="00591BFC">
              <w:t>0.219</w:t>
            </w:r>
          </w:p>
        </w:tc>
      </w:tr>
      <w:tr w:rsidR="00CF2E21" w:rsidRPr="00591BFC" w14:paraId="4E337043" w14:textId="77777777" w:rsidTr="00DB4F65">
        <w:tc>
          <w:tcPr>
            <w:tcW w:w="1116" w:type="pct"/>
            <w:shd w:val="clear" w:color="auto" w:fill="auto"/>
          </w:tcPr>
          <w:p w14:paraId="4625642B" w14:textId="77777777" w:rsidR="00CF2E21" w:rsidRPr="00591BFC" w:rsidRDefault="00CF2E21" w:rsidP="00E86771">
            <w:pPr>
              <w:spacing w:after="0" w:line="360" w:lineRule="auto"/>
            </w:pPr>
            <w:r w:rsidRPr="00591BFC">
              <w:lastRenderedPageBreak/>
              <w:t>CCI score</w:t>
            </w:r>
          </w:p>
        </w:tc>
        <w:tc>
          <w:tcPr>
            <w:tcW w:w="352" w:type="pct"/>
            <w:shd w:val="clear" w:color="auto" w:fill="auto"/>
          </w:tcPr>
          <w:p w14:paraId="2380AD53" w14:textId="77777777" w:rsidR="00CF2E21" w:rsidRPr="00591BFC" w:rsidRDefault="00CF2E21" w:rsidP="00E86771">
            <w:pPr>
              <w:spacing w:after="0" w:line="360" w:lineRule="auto"/>
              <w:jc w:val="right"/>
            </w:pPr>
          </w:p>
        </w:tc>
        <w:tc>
          <w:tcPr>
            <w:tcW w:w="258" w:type="pct"/>
            <w:shd w:val="clear" w:color="auto" w:fill="auto"/>
          </w:tcPr>
          <w:p w14:paraId="1A860B9E" w14:textId="77777777" w:rsidR="00CF2E21" w:rsidRPr="00591BFC" w:rsidRDefault="00CF2E21" w:rsidP="00E86771">
            <w:pPr>
              <w:spacing w:after="0" w:line="360" w:lineRule="auto"/>
              <w:jc w:val="right"/>
            </w:pPr>
          </w:p>
        </w:tc>
        <w:tc>
          <w:tcPr>
            <w:tcW w:w="404" w:type="pct"/>
            <w:shd w:val="clear" w:color="auto" w:fill="auto"/>
          </w:tcPr>
          <w:p w14:paraId="2378644C" w14:textId="77777777" w:rsidR="00CF2E21" w:rsidRPr="00591BFC" w:rsidRDefault="00CF2E21" w:rsidP="00E86771">
            <w:pPr>
              <w:spacing w:after="0" w:line="360" w:lineRule="auto"/>
              <w:jc w:val="right"/>
            </w:pPr>
          </w:p>
        </w:tc>
        <w:tc>
          <w:tcPr>
            <w:tcW w:w="257" w:type="pct"/>
            <w:shd w:val="clear" w:color="auto" w:fill="auto"/>
          </w:tcPr>
          <w:p w14:paraId="5CAC7E6A" w14:textId="77777777" w:rsidR="00CF2E21" w:rsidRPr="00591BFC" w:rsidRDefault="00CF2E21" w:rsidP="00E86771">
            <w:pPr>
              <w:spacing w:after="0" w:line="360" w:lineRule="auto"/>
              <w:jc w:val="right"/>
            </w:pPr>
          </w:p>
        </w:tc>
        <w:tc>
          <w:tcPr>
            <w:tcW w:w="657" w:type="pct"/>
            <w:shd w:val="clear" w:color="auto" w:fill="auto"/>
          </w:tcPr>
          <w:p w14:paraId="607A9B4C" w14:textId="77777777" w:rsidR="00CF2E21" w:rsidRPr="00591BFC" w:rsidRDefault="00CF2E21" w:rsidP="00E86771">
            <w:pPr>
              <w:spacing w:after="0" w:line="360" w:lineRule="auto"/>
              <w:jc w:val="right"/>
            </w:pPr>
            <w:r w:rsidRPr="00591BFC">
              <w:t>0.269</w:t>
            </w:r>
          </w:p>
        </w:tc>
        <w:tc>
          <w:tcPr>
            <w:tcW w:w="257" w:type="pct"/>
            <w:shd w:val="clear" w:color="auto" w:fill="auto"/>
          </w:tcPr>
          <w:p w14:paraId="5AA496F0" w14:textId="77777777" w:rsidR="00CF2E21" w:rsidRPr="00591BFC" w:rsidRDefault="00CF2E21" w:rsidP="00E86771">
            <w:pPr>
              <w:spacing w:after="0" w:line="360" w:lineRule="auto"/>
              <w:jc w:val="right"/>
            </w:pPr>
            <w:r w:rsidRPr="00591BFC">
              <w:t>0.010</w:t>
            </w:r>
          </w:p>
        </w:tc>
        <w:tc>
          <w:tcPr>
            <w:tcW w:w="657" w:type="pct"/>
            <w:shd w:val="clear" w:color="auto" w:fill="auto"/>
          </w:tcPr>
          <w:p w14:paraId="773F5757" w14:textId="77777777" w:rsidR="00CF2E21" w:rsidRPr="00591BFC" w:rsidRDefault="00CF2E21" w:rsidP="00E86771">
            <w:pPr>
              <w:spacing w:after="0" w:line="360" w:lineRule="auto"/>
              <w:jc w:val="right"/>
            </w:pPr>
          </w:p>
        </w:tc>
        <w:tc>
          <w:tcPr>
            <w:tcW w:w="257" w:type="pct"/>
            <w:shd w:val="clear" w:color="auto" w:fill="auto"/>
          </w:tcPr>
          <w:p w14:paraId="5406A2DC" w14:textId="77777777" w:rsidR="00CF2E21" w:rsidRPr="00591BFC" w:rsidRDefault="00CF2E21" w:rsidP="00E86771">
            <w:pPr>
              <w:spacing w:after="0" w:line="360" w:lineRule="auto"/>
              <w:jc w:val="right"/>
            </w:pPr>
          </w:p>
        </w:tc>
        <w:tc>
          <w:tcPr>
            <w:tcW w:w="516" w:type="pct"/>
            <w:shd w:val="clear" w:color="auto" w:fill="auto"/>
          </w:tcPr>
          <w:p w14:paraId="1DA2AE50" w14:textId="77777777" w:rsidR="00CF2E21" w:rsidRPr="00591BFC" w:rsidRDefault="00CF2E21" w:rsidP="00E86771">
            <w:pPr>
              <w:spacing w:after="0" w:line="360" w:lineRule="auto"/>
              <w:jc w:val="right"/>
            </w:pPr>
            <w:r w:rsidRPr="00591BFC">
              <w:t>0.655</w:t>
            </w:r>
          </w:p>
        </w:tc>
        <w:tc>
          <w:tcPr>
            <w:tcW w:w="268" w:type="pct"/>
            <w:shd w:val="clear" w:color="auto" w:fill="auto"/>
          </w:tcPr>
          <w:p w14:paraId="0505E51E" w14:textId="77777777" w:rsidR="00CF2E21" w:rsidRPr="00591BFC" w:rsidRDefault="00CF2E21" w:rsidP="00E86771">
            <w:pPr>
              <w:spacing w:after="0" w:line="360" w:lineRule="auto"/>
              <w:jc w:val="right"/>
            </w:pPr>
            <w:r w:rsidRPr="00591BFC">
              <w:t>0.062</w:t>
            </w:r>
          </w:p>
        </w:tc>
      </w:tr>
      <w:tr w:rsidR="00CF2E21" w:rsidRPr="00591BFC" w14:paraId="1074C40F" w14:textId="77777777" w:rsidTr="00DB4F65">
        <w:tc>
          <w:tcPr>
            <w:tcW w:w="1116" w:type="pct"/>
            <w:shd w:val="clear" w:color="auto" w:fill="auto"/>
          </w:tcPr>
          <w:p w14:paraId="2666954E" w14:textId="77777777" w:rsidR="00CF2E21" w:rsidRPr="00591BFC" w:rsidRDefault="00CF2E21" w:rsidP="00E86771">
            <w:pPr>
              <w:spacing w:after="0" w:line="360" w:lineRule="auto"/>
            </w:pPr>
            <w:r w:rsidRPr="00591BFC">
              <w:t>Non-hip fracture</w:t>
            </w:r>
          </w:p>
        </w:tc>
        <w:tc>
          <w:tcPr>
            <w:tcW w:w="352" w:type="pct"/>
            <w:shd w:val="clear" w:color="auto" w:fill="auto"/>
          </w:tcPr>
          <w:p w14:paraId="487A9871" w14:textId="77777777" w:rsidR="00CF2E21" w:rsidRPr="00591BFC" w:rsidRDefault="00CF2E21" w:rsidP="00E86771">
            <w:pPr>
              <w:spacing w:after="0" w:line="360" w:lineRule="auto"/>
              <w:jc w:val="right"/>
            </w:pPr>
            <w:r w:rsidRPr="00591BFC">
              <w:t>0.371</w:t>
            </w:r>
          </w:p>
        </w:tc>
        <w:tc>
          <w:tcPr>
            <w:tcW w:w="258" w:type="pct"/>
            <w:shd w:val="clear" w:color="auto" w:fill="auto"/>
          </w:tcPr>
          <w:p w14:paraId="22370F5A" w14:textId="77777777" w:rsidR="00CF2E21" w:rsidRPr="00591BFC" w:rsidRDefault="00CF2E21" w:rsidP="00E86771">
            <w:pPr>
              <w:spacing w:after="0" w:line="360" w:lineRule="auto"/>
              <w:jc w:val="right"/>
            </w:pPr>
            <w:r w:rsidRPr="00591BFC">
              <w:t>0.117</w:t>
            </w:r>
          </w:p>
        </w:tc>
        <w:tc>
          <w:tcPr>
            <w:tcW w:w="404" w:type="pct"/>
            <w:shd w:val="clear" w:color="auto" w:fill="auto"/>
          </w:tcPr>
          <w:p w14:paraId="3554C38B" w14:textId="77777777" w:rsidR="00CF2E21" w:rsidRPr="00591BFC" w:rsidRDefault="00CF2E21" w:rsidP="00E86771">
            <w:pPr>
              <w:spacing w:after="0" w:line="360" w:lineRule="auto"/>
              <w:jc w:val="right"/>
            </w:pPr>
          </w:p>
        </w:tc>
        <w:tc>
          <w:tcPr>
            <w:tcW w:w="257" w:type="pct"/>
            <w:shd w:val="clear" w:color="auto" w:fill="auto"/>
          </w:tcPr>
          <w:p w14:paraId="0FDE68CA" w14:textId="77777777" w:rsidR="00CF2E21" w:rsidRPr="00591BFC" w:rsidRDefault="00CF2E21" w:rsidP="00E86771">
            <w:pPr>
              <w:spacing w:after="0" w:line="360" w:lineRule="auto"/>
              <w:jc w:val="right"/>
            </w:pPr>
          </w:p>
        </w:tc>
        <w:tc>
          <w:tcPr>
            <w:tcW w:w="657" w:type="pct"/>
            <w:shd w:val="clear" w:color="auto" w:fill="auto"/>
          </w:tcPr>
          <w:p w14:paraId="6266D72F" w14:textId="77777777" w:rsidR="00CF2E21" w:rsidRPr="00591BFC" w:rsidRDefault="00CF2E21" w:rsidP="00E86771">
            <w:pPr>
              <w:spacing w:after="0" w:line="360" w:lineRule="auto"/>
              <w:jc w:val="right"/>
            </w:pPr>
          </w:p>
        </w:tc>
        <w:tc>
          <w:tcPr>
            <w:tcW w:w="257" w:type="pct"/>
            <w:shd w:val="clear" w:color="auto" w:fill="auto"/>
          </w:tcPr>
          <w:p w14:paraId="1E5A230F" w14:textId="77777777" w:rsidR="00CF2E21" w:rsidRPr="00591BFC" w:rsidRDefault="00CF2E21" w:rsidP="00E86771">
            <w:pPr>
              <w:spacing w:after="0" w:line="360" w:lineRule="auto"/>
              <w:jc w:val="right"/>
            </w:pPr>
          </w:p>
        </w:tc>
        <w:tc>
          <w:tcPr>
            <w:tcW w:w="657" w:type="pct"/>
            <w:shd w:val="clear" w:color="auto" w:fill="auto"/>
          </w:tcPr>
          <w:p w14:paraId="02FFA908" w14:textId="77777777" w:rsidR="00CF2E21" w:rsidRPr="00591BFC" w:rsidRDefault="00CF2E21" w:rsidP="00E86771">
            <w:pPr>
              <w:spacing w:after="0" w:line="360" w:lineRule="auto"/>
              <w:jc w:val="right"/>
            </w:pPr>
          </w:p>
        </w:tc>
        <w:tc>
          <w:tcPr>
            <w:tcW w:w="257" w:type="pct"/>
            <w:shd w:val="clear" w:color="auto" w:fill="auto"/>
          </w:tcPr>
          <w:p w14:paraId="25043C53" w14:textId="77777777" w:rsidR="00CF2E21" w:rsidRPr="00591BFC" w:rsidRDefault="00CF2E21" w:rsidP="00E86771">
            <w:pPr>
              <w:spacing w:after="0" w:line="360" w:lineRule="auto"/>
              <w:jc w:val="right"/>
            </w:pPr>
          </w:p>
        </w:tc>
        <w:tc>
          <w:tcPr>
            <w:tcW w:w="516" w:type="pct"/>
            <w:shd w:val="clear" w:color="auto" w:fill="auto"/>
          </w:tcPr>
          <w:p w14:paraId="2E8AFA46" w14:textId="77777777" w:rsidR="00CF2E21" w:rsidRPr="00591BFC" w:rsidRDefault="00CF2E21" w:rsidP="00E86771">
            <w:pPr>
              <w:spacing w:after="0" w:line="360" w:lineRule="auto"/>
              <w:jc w:val="right"/>
            </w:pPr>
          </w:p>
        </w:tc>
        <w:tc>
          <w:tcPr>
            <w:tcW w:w="268" w:type="pct"/>
            <w:shd w:val="clear" w:color="auto" w:fill="auto"/>
          </w:tcPr>
          <w:p w14:paraId="24B009CD" w14:textId="77777777" w:rsidR="00CF2E21" w:rsidRPr="00591BFC" w:rsidRDefault="00CF2E21" w:rsidP="00E86771">
            <w:pPr>
              <w:spacing w:after="0" w:line="360" w:lineRule="auto"/>
              <w:jc w:val="right"/>
            </w:pPr>
          </w:p>
        </w:tc>
      </w:tr>
      <w:tr w:rsidR="00CF2E21" w:rsidRPr="00591BFC" w14:paraId="2DAAA1E5" w14:textId="77777777" w:rsidTr="00DB4F65">
        <w:tc>
          <w:tcPr>
            <w:tcW w:w="1116" w:type="pct"/>
            <w:shd w:val="clear" w:color="auto" w:fill="auto"/>
          </w:tcPr>
          <w:p w14:paraId="6A922AF8" w14:textId="77777777" w:rsidR="00CF2E21" w:rsidRPr="00591BFC" w:rsidRDefault="00CF2E21" w:rsidP="00E86771">
            <w:pPr>
              <w:spacing w:after="0" w:line="360" w:lineRule="auto"/>
            </w:pPr>
            <w:r w:rsidRPr="00591BFC">
              <w:t>2</w:t>
            </w:r>
            <w:r w:rsidRPr="00591BFC">
              <w:rPr>
                <w:vertAlign w:val="superscript"/>
              </w:rPr>
              <w:t>nd</w:t>
            </w:r>
            <w:r w:rsidRPr="00591BFC">
              <w:t xml:space="preserve"> hip fracture</w:t>
            </w:r>
          </w:p>
        </w:tc>
        <w:tc>
          <w:tcPr>
            <w:tcW w:w="352" w:type="pct"/>
            <w:shd w:val="clear" w:color="auto" w:fill="auto"/>
          </w:tcPr>
          <w:p w14:paraId="04875CCA" w14:textId="77777777" w:rsidR="00CF2E21" w:rsidRPr="00591BFC" w:rsidRDefault="00CF2E21" w:rsidP="00E86771">
            <w:pPr>
              <w:spacing w:after="0" w:line="360" w:lineRule="auto"/>
              <w:jc w:val="right"/>
            </w:pPr>
          </w:p>
        </w:tc>
        <w:tc>
          <w:tcPr>
            <w:tcW w:w="258" w:type="pct"/>
            <w:shd w:val="clear" w:color="auto" w:fill="auto"/>
          </w:tcPr>
          <w:p w14:paraId="57FF6C0D" w14:textId="77777777" w:rsidR="00CF2E21" w:rsidRPr="00591BFC" w:rsidRDefault="00CF2E21" w:rsidP="00E86771">
            <w:pPr>
              <w:spacing w:after="0" w:line="360" w:lineRule="auto"/>
              <w:jc w:val="right"/>
            </w:pPr>
          </w:p>
        </w:tc>
        <w:tc>
          <w:tcPr>
            <w:tcW w:w="404" w:type="pct"/>
            <w:shd w:val="clear" w:color="auto" w:fill="auto"/>
          </w:tcPr>
          <w:p w14:paraId="7CE1112D" w14:textId="77777777" w:rsidR="00CF2E21" w:rsidRPr="00591BFC" w:rsidRDefault="00CF2E21" w:rsidP="00E86771">
            <w:pPr>
              <w:spacing w:after="0" w:line="360" w:lineRule="auto"/>
              <w:jc w:val="right"/>
            </w:pPr>
            <w:r w:rsidRPr="00591BFC">
              <w:t>0.377</w:t>
            </w:r>
          </w:p>
        </w:tc>
        <w:tc>
          <w:tcPr>
            <w:tcW w:w="257" w:type="pct"/>
            <w:shd w:val="clear" w:color="auto" w:fill="auto"/>
          </w:tcPr>
          <w:p w14:paraId="615CDF1C" w14:textId="77777777" w:rsidR="00CF2E21" w:rsidRPr="00591BFC" w:rsidRDefault="00CF2E21" w:rsidP="00E86771">
            <w:pPr>
              <w:spacing w:after="0" w:line="360" w:lineRule="auto"/>
              <w:jc w:val="right"/>
            </w:pPr>
            <w:r w:rsidRPr="00591BFC">
              <w:t>0.121</w:t>
            </w:r>
          </w:p>
        </w:tc>
        <w:tc>
          <w:tcPr>
            <w:tcW w:w="657" w:type="pct"/>
            <w:shd w:val="clear" w:color="auto" w:fill="auto"/>
          </w:tcPr>
          <w:p w14:paraId="42E82770" w14:textId="77777777" w:rsidR="00CF2E21" w:rsidRPr="00591BFC" w:rsidRDefault="00CF2E21" w:rsidP="00E86771">
            <w:pPr>
              <w:spacing w:after="0" w:line="360" w:lineRule="auto"/>
              <w:jc w:val="right"/>
            </w:pPr>
          </w:p>
        </w:tc>
        <w:tc>
          <w:tcPr>
            <w:tcW w:w="257" w:type="pct"/>
            <w:shd w:val="clear" w:color="auto" w:fill="auto"/>
          </w:tcPr>
          <w:p w14:paraId="5F3DCD9A" w14:textId="77777777" w:rsidR="00CF2E21" w:rsidRPr="00591BFC" w:rsidRDefault="00CF2E21" w:rsidP="00E86771">
            <w:pPr>
              <w:spacing w:after="0" w:line="360" w:lineRule="auto"/>
              <w:jc w:val="right"/>
            </w:pPr>
          </w:p>
        </w:tc>
        <w:tc>
          <w:tcPr>
            <w:tcW w:w="657" w:type="pct"/>
            <w:shd w:val="clear" w:color="auto" w:fill="auto"/>
          </w:tcPr>
          <w:p w14:paraId="61056595" w14:textId="77777777" w:rsidR="00CF2E21" w:rsidRPr="00591BFC" w:rsidRDefault="00CF2E21" w:rsidP="00E86771">
            <w:pPr>
              <w:spacing w:after="0" w:line="360" w:lineRule="auto"/>
              <w:jc w:val="right"/>
            </w:pPr>
          </w:p>
        </w:tc>
        <w:tc>
          <w:tcPr>
            <w:tcW w:w="257" w:type="pct"/>
            <w:shd w:val="clear" w:color="auto" w:fill="auto"/>
          </w:tcPr>
          <w:p w14:paraId="271700C3" w14:textId="77777777" w:rsidR="00CF2E21" w:rsidRPr="00591BFC" w:rsidRDefault="00CF2E21" w:rsidP="00E86771">
            <w:pPr>
              <w:spacing w:after="0" w:line="360" w:lineRule="auto"/>
              <w:jc w:val="right"/>
            </w:pPr>
          </w:p>
        </w:tc>
        <w:tc>
          <w:tcPr>
            <w:tcW w:w="516" w:type="pct"/>
            <w:shd w:val="clear" w:color="auto" w:fill="auto"/>
          </w:tcPr>
          <w:p w14:paraId="38850771" w14:textId="77777777" w:rsidR="00CF2E21" w:rsidRPr="00591BFC" w:rsidRDefault="00CF2E21" w:rsidP="00E86771">
            <w:pPr>
              <w:spacing w:after="0" w:line="360" w:lineRule="auto"/>
              <w:jc w:val="right"/>
            </w:pPr>
          </w:p>
        </w:tc>
        <w:tc>
          <w:tcPr>
            <w:tcW w:w="268" w:type="pct"/>
            <w:shd w:val="clear" w:color="auto" w:fill="auto"/>
          </w:tcPr>
          <w:p w14:paraId="627B4248" w14:textId="77777777" w:rsidR="00CF2E21" w:rsidRPr="00591BFC" w:rsidRDefault="00CF2E21" w:rsidP="00E86771">
            <w:pPr>
              <w:spacing w:after="0" w:line="360" w:lineRule="auto"/>
              <w:jc w:val="right"/>
            </w:pPr>
          </w:p>
        </w:tc>
      </w:tr>
      <w:tr w:rsidR="00CF2E21" w:rsidRPr="00591BFC" w14:paraId="0A6C1ED3" w14:textId="77777777" w:rsidTr="00DB4F65">
        <w:tc>
          <w:tcPr>
            <w:tcW w:w="1116" w:type="pct"/>
            <w:shd w:val="clear" w:color="auto" w:fill="auto"/>
          </w:tcPr>
          <w:p w14:paraId="06118A96" w14:textId="77777777" w:rsidR="00CF2E21" w:rsidRPr="00591BFC" w:rsidRDefault="00CF2E21" w:rsidP="00E86771">
            <w:pPr>
              <w:spacing w:after="0" w:line="360" w:lineRule="auto"/>
            </w:pPr>
            <w:r w:rsidRPr="00591BFC">
              <w:t>History of non-hip fracture</w:t>
            </w:r>
          </w:p>
        </w:tc>
        <w:tc>
          <w:tcPr>
            <w:tcW w:w="352" w:type="pct"/>
            <w:shd w:val="clear" w:color="auto" w:fill="auto"/>
          </w:tcPr>
          <w:p w14:paraId="69FE5F67" w14:textId="77777777" w:rsidR="00CF2E21" w:rsidRPr="00591BFC" w:rsidRDefault="00CF2E21" w:rsidP="00E86771">
            <w:pPr>
              <w:spacing w:after="0" w:line="360" w:lineRule="auto"/>
              <w:jc w:val="right"/>
            </w:pPr>
          </w:p>
        </w:tc>
        <w:tc>
          <w:tcPr>
            <w:tcW w:w="258" w:type="pct"/>
            <w:shd w:val="clear" w:color="auto" w:fill="auto"/>
          </w:tcPr>
          <w:p w14:paraId="5E9ED41F" w14:textId="77777777" w:rsidR="00CF2E21" w:rsidRPr="00591BFC" w:rsidRDefault="00CF2E21" w:rsidP="00E86771">
            <w:pPr>
              <w:spacing w:after="0" w:line="360" w:lineRule="auto"/>
              <w:jc w:val="right"/>
            </w:pPr>
          </w:p>
        </w:tc>
        <w:tc>
          <w:tcPr>
            <w:tcW w:w="404" w:type="pct"/>
            <w:shd w:val="clear" w:color="auto" w:fill="auto"/>
          </w:tcPr>
          <w:p w14:paraId="0E3CA413" w14:textId="77777777" w:rsidR="00CF2E21" w:rsidRPr="00591BFC" w:rsidRDefault="00CF2E21" w:rsidP="00E86771">
            <w:pPr>
              <w:spacing w:after="0" w:line="360" w:lineRule="auto"/>
              <w:jc w:val="right"/>
            </w:pPr>
          </w:p>
        </w:tc>
        <w:tc>
          <w:tcPr>
            <w:tcW w:w="257" w:type="pct"/>
            <w:shd w:val="clear" w:color="auto" w:fill="auto"/>
          </w:tcPr>
          <w:p w14:paraId="476F1537" w14:textId="77777777" w:rsidR="00CF2E21" w:rsidRPr="00591BFC" w:rsidRDefault="00CF2E21" w:rsidP="00E86771">
            <w:pPr>
              <w:spacing w:after="0" w:line="360" w:lineRule="auto"/>
              <w:jc w:val="right"/>
            </w:pPr>
          </w:p>
        </w:tc>
        <w:tc>
          <w:tcPr>
            <w:tcW w:w="657" w:type="pct"/>
            <w:shd w:val="clear" w:color="auto" w:fill="auto"/>
          </w:tcPr>
          <w:p w14:paraId="0B8DAE2F" w14:textId="77777777" w:rsidR="00CF2E21" w:rsidRPr="00591BFC" w:rsidRDefault="00CF2E21" w:rsidP="00E86771">
            <w:pPr>
              <w:spacing w:after="0" w:line="360" w:lineRule="auto"/>
              <w:jc w:val="right"/>
            </w:pPr>
          </w:p>
        </w:tc>
        <w:tc>
          <w:tcPr>
            <w:tcW w:w="257" w:type="pct"/>
            <w:shd w:val="clear" w:color="auto" w:fill="auto"/>
          </w:tcPr>
          <w:p w14:paraId="555FF453" w14:textId="77777777" w:rsidR="00CF2E21" w:rsidRPr="00591BFC" w:rsidRDefault="00CF2E21" w:rsidP="00E86771">
            <w:pPr>
              <w:spacing w:after="0" w:line="360" w:lineRule="auto"/>
              <w:jc w:val="right"/>
            </w:pPr>
          </w:p>
        </w:tc>
        <w:tc>
          <w:tcPr>
            <w:tcW w:w="657" w:type="pct"/>
            <w:shd w:val="clear" w:color="auto" w:fill="auto"/>
          </w:tcPr>
          <w:p w14:paraId="5D2CF748" w14:textId="77777777" w:rsidR="00CF2E21" w:rsidRPr="00591BFC" w:rsidRDefault="00CF2E21" w:rsidP="00E86771">
            <w:pPr>
              <w:spacing w:after="0" w:line="360" w:lineRule="auto"/>
              <w:jc w:val="right"/>
            </w:pPr>
          </w:p>
        </w:tc>
        <w:tc>
          <w:tcPr>
            <w:tcW w:w="257" w:type="pct"/>
            <w:shd w:val="clear" w:color="auto" w:fill="auto"/>
          </w:tcPr>
          <w:p w14:paraId="21176AE9" w14:textId="77777777" w:rsidR="00CF2E21" w:rsidRPr="00591BFC" w:rsidRDefault="00CF2E21" w:rsidP="00E86771">
            <w:pPr>
              <w:spacing w:after="0" w:line="360" w:lineRule="auto"/>
              <w:jc w:val="right"/>
            </w:pPr>
          </w:p>
        </w:tc>
        <w:tc>
          <w:tcPr>
            <w:tcW w:w="516" w:type="pct"/>
            <w:shd w:val="clear" w:color="auto" w:fill="auto"/>
          </w:tcPr>
          <w:p w14:paraId="1A6D39C0" w14:textId="77777777" w:rsidR="00CF2E21" w:rsidRPr="00591BFC" w:rsidRDefault="00CF2E21" w:rsidP="00E86771">
            <w:pPr>
              <w:spacing w:after="0" w:line="360" w:lineRule="auto"/>
              <w:jc w:val="right"/>
            </w:pPr>
            <w:r w:rsidRPr="00591BFC">
              <w:t>0.152</w:t>
            </w:r>
          </w:p>
        </w:tc>
        <w:tc>
          <w:tcPr>
            <w:tcW w:w="268" w:type="pct"/>
            <w:shd w:val="clear" w:color="auto" w:fill="auto"/>
          </w:tcPr>
          <w:p w14:paraId="6B4D2AB4" w14:textId="77777777" w:rsidR="00CF2E21" w:rsidRPr="00591BFC" w:rsidRDefault="00CF2E21" w:rsidP="00E86771">
            <w:pPr>
              <w:spacing w:after="0" w:line="360" w:lineRule="auto"/>
              <w:jc w:val="right"/>
            </w:pPr>
            <w:r w:rsidRPr="00591BFC">
              <w:t>0.053</w:t>
            </w:r>
          </w:p>
        </w:tc>
      </w:tr>
      <w:tr w:rsidR="00CF2E21" w:rsidRPr="00591BFC" w14:paraId="54E42C37" w14:textId="77777777" w:rsidTr="00DB4F65">
        <w:tc>
          <w:tcPr>
            <w:tcW w:w="1116" w:type="pct"/>
            <w:shd w:val="clear" w:color="auto" w:fill="auto"/>
          </w:tcPr>
          <w:p w14:paraId="70E739A0" w14:textId="77777777" w:rsidR="00CF2E21" w:rsidRPr="00591BFC" w:rsidRDefault="00CF2E21" w:rsidP="00E86771">
            <w:pPr>
              <w:spacing w:after="0" w:line="360" w:lineRule="auto"/>
            </w:pPr>
            <w:r w:rsidRPr="00591BFC">
              <w:t>History of 2nd hip fracture</w:t>
            </w:r>
          </w:p>
        </w:tc>
        <w:tc>
          <w:tcPr>
            <w:tcW w:w="352" w:type="pct"/>
            <w:shd w:val="clear" w:color="auto" w:fill="auto"/>
          </w:tcPr>
          <w:p w14:paraId="719A9912" w14:textId="77777777" w:rsidR="00CF2E21" w:rsidRPr="00591BFC" w:rsidRDefault="00CF2E21" w:rsidP="00E86771">
            <w:pPr>
              <w:spacing w:after="0" w:line="360" w:lineRule="auto"/>
              <w:jc w:val="right"/>
            </w:pPr>
          </w:p>
        </w:tc>
        <w:tc>
          <w:tcPr>
            <w:tcW w:w="258" w:type="pct"/>
            <w:shd w:val="clear" w:color="auto" w:fill="auto"/>
          </w:tcPr>
          <w:p w14:paraId="52EF41BF" w14:textId="77777777" w:rsidR="00CF2E21" w:rsidRPr="00591BFC" w:rsidRDefault="00CF2E21" w:rsidP="00E86771">
            <w:pPr>
              <w:spacing w:after="0" w:line="360" w:lineRule="auto"/>
              <w:jc w:val="right"/>
            </w:pPr>
          </w:p>
        </w:tc>
        <w:tc>
          <w:tcPr>
            <w:tcW w:w="404" w:type="pct"/>
            <w:shd w:val="clear" w:color="auto" w:fill="auto"/>
          </w:tcPr>
          <w:p w14:paraId="3FBA201E" w14:textId="77777777" w:rsidR="00CF2E21" w:rsidRPr="00591BFC" w:rsidRDefault="00CF2E21" w:rsidP="00E86771">
            <w:pPr>
              <w:spacing w:after="0" w:line="360" w:lineRule="auto"/>
              <w:jc w:val="right"/>
            </w:pPr>
            <w:r w:rsidRPr="00591BFC">
              <w:t>0.286</w:t>
            </w:r>
          </w:p>
        </w:tc>
        <w:tc>
          <w:tcPr>
            <w:tcW w:w="257" w:type="pct"/>
            <w:shd w:val="clear" w:color="auto" w:fill="auto"/>
          </w:tcPr>
          <w:p w14:paraId="626EEFAB" w14:textId="77777777" w:rsidR="00CF2E21" w:rsidRPr="00591BFC" w:rsidRDefault="00CF2E21" w:rsidP="00E86771">
            <w:pPr>
              <w:spacing w:after="0" w:line="360" w:lineRule="auto"/>
              <w:jc w:val="right"/>
            </w:pPr>
            <w:r w:rsidRPr="00591BFC">
              <w:t>0.113</w:t>
            </w:r>
          </w:p>
        </w:tc>
        <w:tc>
          <w:tcPr>
            <w:tcW w:w="657" w:type="pct"/>
            <w:shd w:val="clear" w:color="auto" w:fill="auto"/>
          </w:tcPr>
          <w:p w14:paraId="54ED6BFB" w14:textId="77777777" w:rsidR="00CF2E21" w:rsidRPr="00591BFC" w:rsidRDefault="00CF2E21" w:rsidP="00E86771">
            <w:pPr>
              <w:spacing w:after="0" w:line="360" w:lineRule="auto"/>
              <w:jc w:val="right"/>
            </w:pPr>
          </w:p>
        </w:tc>
        <w:tc>
          <w:tcPr>
            <w:tcW w:w="257" w:type="pct"/>
            <w:shd w:val="clear" w:color="auto" w:fill="auto"/>
          </w:tcPr>
          <w:p w14:paraId="33545580" w14:textId="77777777" w:rsidR="00CF2E21" w:rsidRPr="00591BFC" w:rsidRDefault="00CF2E21" w:rsidP="00E86771">
            <w:pPr>
              <w:spacing w:after="0" w:line="360" w:lineRule="auto"/>
              <w:jc w:val="right"/>
            </w:pPr>
          </w:p>
        </w:tc>
        <w:tc>
          <w:tcPr>
            <w:tcW w:w="657" w:type="pct"/>
            <w:shd w:val="clear" w:color="auto" w:fill="auto"/>
          </w:tcPr>
          <w:p w14:paraId="4560D6C2" w14:textId="77777777" w:rsidR="00CF2E21" w:rsidRPr="00591BFC" w:rsidRDefault="00CF2E21" w:rsidP="00E86771">
            <w:pPr>
              <w:spacing w:after="0" w:line="360" w:lineRule="auto"/>
              <w:jc w:val="right"/>
            </w:pPr>
          </w:p>
        </w:tc>
        <w:tc>
          <w:tcPr>
            <w:tcW w:w="257" w:type="pct"/>
            <w:shd w:val="clear" w:color="auto" w:fill="auto"/>
          </w:tcPr>
          <w:p w14:paraId="2F1BA05A" w14:textId="77777777" w:rsidR="00CF2E21" w:rsidRPr="00591BFC" w:rsidRDefault="00CF2E21" w:rsidP="00E86771">
            <w:pPr>
              <w:spacing w:after="0" w:line="360" w:lineRule="auto"/>
              <w:jc w:val="right"/>
            </w:pPr>
          </w:p>
        </w:tc>
        <w:tc>
          <w:tcPr>
            <w:tcW w:w="516" w:type="pct"/>
            <w:shd w:val="clear" w:color="auto" w:fill="auto"/>
          </w:tcPr>
          <w:p w14:paraId="51E3684C" w14:textId="77777777" w:rsidR="00CF2E21" w:rsidRPr="00591BFC" w:rsidRDefault="00CF2E21" w:rsidP="00E86771">
            <w:pPr>
              <w:spacing w:after="0" w:line="360" w:lineRule="auto"/>
              <w:jc w:val="right"/>
            </w:pPr>
            <w:r w:rsidRPr="00591BFC">
              <w:t>0.246</w:t>
            </w:r>
          </w:p>
        </w:tc>
        <w:tc>
          <w:tcPr>
            <w:tcW w:w="268" w:type="pct"/>
            <w:shd w:val="clear" w:color="auto" w:fill="auto"/>
          </w:tcPr>
          <w:p w14:paraId="1C251004" w14:textId="77777777" w:rsidR="00CF2E21" w:rsidRPr="00591BFC" w:rsidRDefault="00CF2E21" w:rsidP="00E86771">
            <w:pPr>
              <w:spacing w:after="0" w:line="360" w:lineRule="auto"/>
              <w:jc w:val="right"/>
            </w:pPr>
            <w:r w:rsidRPr="00591BFC">
              <w:t>0.044</w:t>
            </w:r>
          </w:p>
        </w:tc>
      </w:tr>
      <w:tr w:rsidR="00CF2E21" w:rsidRPr="00591BFC" w14:paraId="3B138B66" w14:textId="77777777" w:rsidTr="00DB4F65">
        <w:tc>
          <w:tcPr>
            <w:tcW w:w="1116" w:type="pct"/>
            <w:shd w:val="clear" w:color="auto" w:fill="auto"/>
          </w:tcPr>
          <w:p w14:paraId="50810DC0" w14:textId="77777777" w:rsidR="00CF2E21" w:rsidRPr="00591BFC" w:rsidRDefault="00CF2E21" w:rsidP="00E86771">
            <w:pPr>
              <w:spacing w:after="0" w:line="360" w:lineRule="auto"/>
            </w:pPr>
            <w:r w:rsidRPr="00591BFC">
              <w:t>Age X care home</w:t>
            </w:r>
          </w:p>
        </w:tc>
        <w:tc>
          <w:tcPr>
            <w:tcW w:w="352" w:type="pct"/>
            <w:shd w:val="clear" w:color="auto" w:fill="auto"/>
          </w:tcPr>
          <w:p w14:paraId="01F95B71" w14:textId="77777777" w:rsidR="00CF2E21" w:rsidRPr="00591BFC" w:rsidRDefault="00CF2E21" w:rsidP="00E86771">
            <w:pPr>
              <w:spacing w:after="0" w:line="360" w:lineRule="auto"/>
              <w:jc w:val="right"/>
            </w:pPr>
          </w:p>
        </w:tc>
        <w:tc>
          <w:tcPr>
            <w:tcW w:w="258" w:type="pct"/>
            <w:shd w:val="clear" w:color="auto" w:fill="auto"/>
          </w:tcPr>
          <w:p w14:paraId="5635A59D" w14:textId="77777777" w:rsidR="00CF2E21" w:rsidRPr="00591BFC" w:rsidRDefault="00CF2E21" w:rsidP="00E86771">
            <w:pPr>
              <w:spacing w:after="0" w:line="360" w:lineRule="auto"/>
              <w:jc w:val="right"/>
            </w:pPr>
          </w:p>
        </w:tc>
        <w:tc>
          <w:tcPr>
            <w:tcW w:w="404" w:type="pct"/>
            <w:shd w:val="clear" w:color="auto" w:fill="auto"/>
          </w:tcPr>
          <w:p w14:paraId="631F4E47" w14:textId="77777777" w:rsidR="00CF2E21" w:rsidRPr="00591BFC" w:rsidRDefault="00CF2E21" w:rsidP="00E86771">
            <w:pPr>
              <w:spacing w:after="0" w:line="360" w:lineRule="auto"/>
              <w:jc w:val="right"/>
            </w:pPr>
          </w:p>
        </w:tc>
        <w:tc>
          <w:tcPr>
            <w:tcW w:w="257" w:type="pct"/>
            <w:shd w:val="clear" w:color="auto" w:fill="auto"/>
          </w:tcPr>
          <w:p w14:paraId="430AED42" w14:textId="77777777" w:rsidR="00CF2E21" w:rsidRPr="00591BFC" w:rsidRDefault="00CF2E21" w:rsidP="00E86771">
            <w:pPr>
              <w:spacing w:after="0" w:line="360" w:lineRule="auto"/>
              <w:jc w:val="right"/>
            </w:pPr>
          </w:p>
        </w:tc>
        <w:tc>
          <w:tcPr>
            <w:tcW w:w="657" w:type="pct"/>
            <w:shd w:val="clear" w:color="auto" w:fill="auto"/>
          </w:tcPr>
          <w:p w14:paraId="153CD34C" w14:textId="77777777" w:rsidR="00CF2E21" w:rsidRPr="00591BFC" w:rsidRDefault="00CF2E21" w:rsidP="00E86771">
            <w:pPr>
              <w:spacing w:after="0" w:line="360" w:lineRule="auto"/>
              <w:jc w:val="right"/>
            </w:pPr>
          </w:p>
        </w:tc>
        <w:tc>
          <w:tcPr>
            <w:tcW w:w="257" w:type="pct"/>
            <w:shd w:val="clear" w:color="auto" w:fill="auto"/>
          </w:tcPr>
          <w:p w14:paraId="5982C7AD" w14:textId="77777777" w:rsidR="00CF2E21" w:rsidRPr="00591BFC" w:rsidRDefault="00CF2E21" w:rsidP="00E86771">
            <w:pPr>
              <w:spacing w:after="0" w:line="360" w:lineRule="auto"/>
              <w:jc w:val="right"/>
            </w:pPr>
          </w:p>
        </w:tc>
        <w:tc>
          <w:tcPr>
            <w:tcW w:w="657" w:type="pct"/>
            <w:shd w:val="clear" w:color="auto" w:fill="auto"/>
          </w:tcPr>
          <w:p w14:paraId="0933131D" w14:textId="77777777" w:rsidR="00CF2E21" w:rsidRPr="00591BFC" w:rsidRDefault="00CF2E21" w:rsidP="00E86771">
            <w:pPr>
              <w:spacing w:after="0" w:line="360" w:lineRule="auto"/>
              <w:jc w:val="right"/>
            </w:pPr>
          </w:p>
        </w:tc>
        <w:tc>
          <w:tcPr>
            <w:tcW w:w="257" w:type="pct"/>
            <w:shd w:val="clear" w:color="auto" w:fill="auto"/>
          </w:tcPr>
          <w:p w14:paraId="0770FC28" w14:textId="77777777" w:rsidR="00CF2E21" w:rsidRPr="00591BFC" w:rsidRDefault="00CF2E21" w:rsidP="00E86771">
            <w:pPr>
              <w:spacing w:after="0" w:line="360" w:lineRule="auto"/>
              <w:jc w:val="right"/>
            </w:pPr>
          </w:p>
        </w:tc>
        <w:tc>
          <w:tcPr>
            <w:tcW w:w="516" w:type="pct"/>
            <w:shd w:val="clear" w:color="auto" w:fill="auto"/>
          </w:tcPr>
          <w:p w14:paraId="14863BFD" w14:textId="77777777" w:rsidR="00CF2E21" w:rsidRPr="00591BFC" w:rsidRDefault="00CF2E21" w:rsidP="00E86771">
            <w:pPr>
              <w:spacing w:after="0" w:line="360" w:lineRule="auto"/>
              <w:jc w:val="right"/>
            </w:pPr>
            <w:r w:rsidRPr="00591BFC">
              <w:t>-0.020</w:t>
            </w:r>
          </w:p>
        </w:tc>
        <w:tc>
          <w:tcPr>
            <w:tcW w:w="268" w:type="pct"/>
            <w:shd w:val="clear" w:color="auto" w:fill="auto"/>
          </w:tcPr>
          <w:p w14:paraId="7CB807E3" w14:textId="77777777" w:rsidR="00CF2E21" w:rsidRPr="00591BFC" w:rsidRDefault="00CF2E21" w:rsidP="00E86771">
            <w:pPr>
              <w:spacing w:after="0" w:line="360" w:lineRule="auto"/>
              <w:jc w:val="right"/>
            </w:pPr>
            <w:r w:rsidRPr="00591BFC">
              <w:t>0.003</w:t>
            </w:r>
          </w:p>
        </w:tc>
      </w:tr>
      <w:tr w:rsidR="00CF2E21" w:rsidRPr="00591BFC" w14:paraId="5966B12D" w14:textId="77777777" w:rsidTr="00DB4F65">
        <w:tc>
          <w:tcPr>
            <w:tcW w:w="1116" w:type="pct"/>
            <w:shd w:val="clear" w:color="auto" w:fill="auto"/>
          </w:tcPr>
          <w:p w14:paraId="77D78C50" w14:textId="77777777" w:rsidR="00CF2E21" w:rsidRPr="00591BFC" w:rsidRDefault="00CF2E21" w:rsidP="00E86771">
            <w:pPr>
              <w:spacing w:after="0" w:line="360" w:lineRule="auto"/>
            </w:pPr>
            <w:r w:rsidRPr="00591BFC">
              <w:t>Age X CCI</w:t>
            </w:r>
          </w:p>
        </w:tc>
        <w:tc>
          <w:tcPr>
            <w:tcW w:w="352" w:type="pct"/>
            <w:shd w:val="clear" w:color="auto" w:fill="auto"/>
          </w:tcPr>
          <w:p w14:paraId="232EC51C" w14:textId="77777777" w:rsidR="00CF2E21" w:rsidRPr="00591BFC" w:rsidRDefault="00CF2E21" w:rsidP="00E86771">
            <w:pPr>
              <w:spacing w:after="0" w:line="360" w:lineRule="auto"/>
              <w:jc w:val="center"/>
            </w:pPr>
          </w:p>
        </w:tc>
        <w:tc>
          <w:tcPr>
            <w:tcW w:w="258" w:type="pct"/>
            <w:shd w:val="clear" w:color="auto" w:fill="auto"/>
          </w:tcPr>
          <w:p w14:paraId="544C9A50" w14:textId="77777777" w:rsidR="00CF2E21" w:rsidRPr="00591BFC" w:rsidRDefault="00CF2E21" w:rsidP="00E86771">
            <w:pPr>
              <w:spacing w:after="0" w:line="360" w:lineRule="auto"/>
              <w:jc w:val="right"/>
            </w:pPr>
          </w:p>
        </w:tc>
        <w:tc>
          <w:tcPr>
            <w:tcW w:w="404" w:type="pct"/>
            <w:shd w:val="clear" w:color="auto" w:fill="auto"/>
          </w:tcPr>
          <w:p w14:paraId="19C8D26C" w14:textId="77777777" w:rsidR="00CF2E21" w:rsidRPr="00591BFC" w:rsidRDefault="00CF2E21" w:rsidP="00E86771">
            <w:pPr>
              <w:spacing w:after="0" w:line="360" w:lineRule="auto"/>
              <w:jc w:val="right"/>
            </w:pPr>
          </w:p>
        </w:tc>
        <w:tc>
          <w:tcPr>
            <w:tcW w:w="257" w:type="pct"/>
            <w:shd w:val="clear" w:color="auto" w:fill="auto"/>
          </w:tcPr>
          <w:p w14:paraId="483D272A" w14:textId="77777777" w:rsidR="00CF2E21" w:rsidRPr="00591BFC" w:rsidRDefault="00CF2E21" w:rsidP="00E86771">
            <w:pPr>
              <w:spacing w:after="0" w:line="360" w:lineRule="auto"/>
              <w:jc w:val="right"/>
            </w:pPr>
          </w:p>
        </w:tc>
        <w:tc>
          <w:tcPr>
            <w:tcW w:w="657" w:type="pct"/>
            <w:shd w:val="clear" w:color="auto" w:fill="auto"/>
          </w:tcPr>
          <w:p w14:paraId="6D145D5B" w14:textId="77777777" w:rsidR="00CF2E21" w:rsidRPr="00591BFC" w:rsidRDefault="00CF2E21" w:rsidP="00E86771">
            <w:pPr>
              <w:spacing w:after="0" w:line="360" w:lineRule="auto"/>
              <w:jc w:val="right"/>
            </w:pPr>
          </w:p>
        </w:tc>
        <w:tc>
          <w:tcPr>
            <w:tcW w:w="257" w:type="pct"/>
            <w:shd w:val="clear" w:color="auto" w:fill="auto"/>
          </w:tcPr>
          <w:p w14:paraId="414E69DD" w14:textId="77777777" w:rsidR="00CF2E21" w:rsidRPr="00591BFC" w:rsidRDefault="00CF2E21" w:rsidP="00E86771">
            <w:pPr>
              <w:spacing w:after="0" w:line="360" w:lineRule="auto"/>
              <w:jc w:val="right"/>
            </w:pPr>
          </w:p>
        </w:tc>
        <w:tc>
          <w:tcPr>
            <w:tcW w:w="657" w:type="pct"/>
            <w:shd w:val="clear" w:color="auto" w:fill="auto"/>
          </w:tcPr>
          <w:p w14:paraId="78401C39" w14:textId="77777777" w:rsidR="00CF2E21" w:rsidRPr="00591BFC" w:rsidRDefault="00CF2E21" w:rsidP="00E86771">
            <w:pPr>
              <w:spacing w:after="0" w:line="360" w:lineRule="auto"/>
              <w:jc w:val="right"/>
            </w:pPr>
          </w:p>
        </w:tc>
        <w:tc>
          <w:tcPr>
            <w:tcW w:w="257" w:type="pct"/>
            <w:shd w:val="clear" w:color="auto" w:fill="auto"/>
          </w:tcPr>
          <w:p w14:paraId="4E87A7D9" w14:textId="77777777" w:rsidR="00CF2E21" w:rsidRPr="00591BFC" w:rsidRDefault="00CF2E21" w:rsidP="00E86771">
            <w:pPr>
              <w:spacing w:after="0" w:line="360" w:lineRule="auto"/>
              <w:jc w:val="right"/>
            </w:pPr>
          </w:p>
        </w:tc>
        <w:tc>
          <w:tcPr>
            <w:tcW w:w="516" w:type="pct"/>
            <w:shd w:val="clear" w:color="auto" w:fill="auto"/>
          </w:tcPr>
          <w:p w14:paraId="453F1476" w14:textId="77777777" w:rsidR="00CF2E21" w:rsidRPr="00591BFC" w:rsidRDefault="00CF2E21" w:rsidP="00E86771">
            <w:pPr>
              <w:spacing w:after="0" w:line="360" w:lineRule="auto"/>
              <w:jc w:val="right"/>
            </w:pPr>
            <w:r w:rsidRPr="00591BFC">
              <w:t>-0.006</w:t>
            </w:r>
          </w:p>
        </w:tc>
        <w:tc>
          <w:tcPr>
            <w:tcW w:w="268" w:type="pct"/>
            <w:shd w:val="clear" w:color="auto" w:fill="auto"/>
          </w:tcPr>
          <w:p w14:paraId="2000CA89" w14:textId="77777777" w:rsidR="00CF2E21" w:rsidRPr="00591BFC" w:rsidRDefault="00CF2E21" w:rsidP="00E86771">
            <w:pPr>
              <w:spacing w:after="0" w:line="360" w:lineRule="auto"/>
              <w:jc w:val="right"/>
            </w:pPr>
            <w:r w:rsidRPr="00591BFC">
              <w:t>0.001</w:t>
            </w:r>
          </w:p>
        </w:tc>
      </w:tr>
      <w:tr w:rsidR="00CF2E21" w:rsidRPr="00591BFC" w14:paraId="77D293BE" w14:textId="77777777" w:rsidTr="00DB4F65">
        <w:tc>
          <w:tcPr>
            <w:tcW w:w="1116" w:type="pct"/>
            <w:shd w:val="clear" w:color="auto" w:fill="auto"/>
          </w:tcPr>
          <w:p w14:paraId="53A7E928" w14:textId="77777777" w:rsidR="00CF2E21" w:rsidRPr="00591BFC" w:rsidRDefault="00CF2E21" w:rsidP="00E86771">
            <w:pPr>
              <w:spacing w:after="0" w:line="360" w:lineRule="auto"/>
            </w:pPr>
          </w:p>
        </w:tc>
        <w:tc>
          <w:tcPr>
            <w:tcW w:w="352" w:type="pct"/>
            <w:shd w:val="clear" w:color="auto" w:fill="auto"/>
          </w:tcPr>
          <w:p w14:paraId="6BA88D41" w14:textId="77777777" w:rsidR="00CF2E21" w:rsidRPr="00591BFC" w:rsidRDefault="00CF2E21" w:rsidP="00E86771">
            <w:pPr>
              <w:spacing w:after="0" w:line="360" w:lineRule="auto"/>
              <w:jc w:val="center"/>
            </w:pPr>
          </w:p>
        </w:tc>
        <w:tc>
          <w:tcPr>
            <w:tcW w:w="258" w:type="pct"/>
            <w:shd w:val="clear" w:color="auto" w:fill="auto"/>
          </w:tcPr>
          <w:p w14:paraId="3C3FDBC4" w14:textId="77777777" w:rsidR="00CF2E21" w:rsidRPr="00591BFC" w:rsidRDefault="00CF2E21" w:rsidP="00E86771">
            <w:pPr>
              <w:spacing w:after="0" w:line="360" w:lineRule="auto"/>
              <w:jc w:val="right"/>
            </w:pPr>
          </w:p>
        </w:tc>
        <w:tc>
          <w:tcPr>
            <w:tcW w:w="404" w:type="pct"/>
            <w:shd w:val="clear" w:color="auto" w:fill="auto"/>
          </w:tcPr>
          <w:p w14:paraId="78DED06E" w14:textId="77777777" w:rsidR="00CF2E21" w:rsidRPr="00591BFC" w:rsidRDefault="00CF2E21" w:rsidP="00E86771">
            <w:pPr>
              <w:spacing w:after="0" w:line="360" w:lineRule="auto"/>
              <w:jc w:val="right"/>
            </w:pPr>
          </w:p>
        </w:tc>
        <w:tc>
          <w:tcPr>
            <w:tcW w:w="257" w:type="pct"/>
            <w:shd w:val="clear" w:color="auto" w:fill="auto"/>
          </w:tcPr>
          <w:p w14:paraId="16EF1130" w14:textId="77777777" w:rsidR="00CF2E21" w:rsidRPr="00591BFC" w:rsidRDefault="00CF2E21" w:rsidP="00E86771">
            <w:pPr>
              <w:spacing w:after="0" w:line="360" w:lineRule="auto"/>
              <w:jc w:val="right"/>
            </w:pPr>
          </w:p>
        </w:tc>
        <w:tc>
          <w:tcPr>
            <w:tcW w:w="657" w:type="pct"/>
            <w:shd w:val="clear" w:color="auto" w:fill="auto"/>
          </w:tcPr>
          <w:p w14:paraId="6C73106A" w14:textId="77777777" w:rsidR="00CF2E21" w:rsidRPr="00591BFC" w:rsidRDefault="00CF2E21" w:rsidP="00E86771">
            <w:pPr>
              <w:spacing w:after="0" w:line="360" w:lineRule="auto"/>
              <w:jc w:val="right"/>
            </w:pPr>
          </w:p>
        </w:tc>
        <w:tc>
          <w:tcPr>
            <w:tcW w:w="257" w:type="pct"/>
            <w:shd w:val="clear" w:color="auto" w:fill="auto"/>
          </w:tcPr>
          <w:p w14:paraId="15499245" w14:textId="77777777" w:rsidR="00CF2E21" w:rsidRPr="00591BFC" w:rsidRDefault="00CF2E21" w:rsidP="00E86771">
            <w:pPr>
              <w:spacing w:after="0" w:line="360" w:lineRule="auto"/>
              <w:jc w:val="right"/>
            </w:pPr>
          </w:p>
        </w:tc>
        <w:tc>
          <w:tcPr>
            <w:tcW w:w="657" w:type="pct"/>
            <w:shd w:val="clear" w:color="auto" w:fill="auto"/>
          </w:tcPr>
          <w:p w14:paraId="427D19F0" w14:textId="77777777" w:rsidR="00CF2E21" w:rsidRPr="00591BFC" w:rsidRDefault="00CF2E21" w:rsidP="00E86771">
            <w:pPr>
              <w:spacing w:after="0" w:line="360" w:lineRule="auto"/>
              <w:jc w:val="right"/>
            </w:pPr>
          </w:p>
        </w:tc>
        <w:tc>
          <w:tcPr>
            <w:tcW w:w="257" w:type="pct"/>
            <w:shd w:val="clear" w:color="auto" w:fill="auto"/>
          </w:tcPr>
          <w:p w14:paraId="5458E0DB" w14:textId="77777777" w:rsidR="00CF2E21" w:rsidRPr="00591BFC" w:rsidRDefault="00CF2E21" w:rsidP="00E86771">
            <w:pPr>
              <w:spacing w:after="0" w:line="360" w:lineRule="auto"/>
              <w:jc w:val="right"/>
            </w:pPr>
          </w:p>
        </w:tc>
        <w:tc>
          <w:tcPr>
            <w:tcW w:w="516" w:type="pct"/>
            <w:shd w:val="clear" w:color="auto" w:fill="auto"/>
          </w:tcPr>
          <w:p w14:paraId="70B71523" w14:textId="77777777" w:rsidR="00CF2E21" w:rsidRPr="00591BFC" w:rsidRDefault="00CF2E21" w:rsidP="00E86771">
            <w:pPr>
              <w:spacing w:after="0" w:line="360" w:lineRule="auto"/>
              <w:jc w:val="right"/>
            </w:pPr>
          </w:p>
        </w:tc>
        <w:tc>
          <w:tcPr>
            <w:tcW w:w="268" w:type="pct"/>
            <w:shd w:val="clear" w:color="auto" w:fill="auto"/>
          </w:tcPr>
          <w:p w14:paraId="3AB2C8EA" w14:textId="77777777" w:rsidR="00CF2E21" w:rsidRPr="00591BFC" w:rsidRDefault="00CF2E21" w:rsidP="00E86771">
            <w:pPr>
              <w:spacing w:after="0" w:line="360" w:lineRule="auto"/>
              <w:jc w:val="right"/>
            </w:pPr>
          </w:p>
        </w:tc>
      </w:tr>
      <w:tr w:rsidR="00CF2E21" w:rsidRPr="00591BFC" w14:paraId="2E6FF44B" w14:textId="77777777" w:rsidTr="00DB4F65">
        <w:tc>
          <w:tcPr>
            <w:tcW w:w="1116" w:type="pct"/>
            <w:shd w:val="clear" w:color="auto" w:fill="auto"/>
          </w:tcPr>
          <w:p w14:paraId="647ADEF3" w14:textId="77777777" w:rsidR="00CF2E21" w:rsidRPr="00591BFC" w:rsidRDefault="00CF2E21" w:rsidP="00E86771">
            <w:pPr>
              <w:spacing w:after="0" w:line="360" w:lineRule="auto"/>
            </w:pPr>
            <w:r w:rsidRPr="00591BFC">
              <w:t>p&gt;X</w:t>
            </w:r>
            <w:r w:rsidRPr="00591BFC">
              <w:rPr>
                <w:vertAlign w:val="superscript"/>
              </w:rPr>
              <w:t>2</w:t>
            </w:r>
          </w:p>
        </w:tc>
        <w:tc>
          <w:tcPr>
            <w:tcW w:w="352" w:type="pct"/>
            <w:shd w:val="clear" w:color="auto" w:fill="auto"/>
          </w:tcPr>
          <w:p w14:paraId="58C80517" w14:textId="77777777" w:rsidR="00CF2E21" w:rsidRPr="00591BFC" w:rsidRDefault="00CF2E21" w:rsidP="00E86771">
            <w:pPr>
              <w:spacing w:after="0" w:line="360" w:lineRule="auto"/>
              <w:jc w:val="right"/>
            </w:pPr>
            <w:r w:rsidRPr="00591BFC">
              <w:t>&lt;0.001</w:t>
            </w:r>
          </w:p>
        </w:tc>
        <w:tc>
          <w:tcPr>
            <w:tcW w:w="258" w:type="pct"/>
            <w:shd w:val="clear" w:color="auto" w:fill="auto"/>
          </w:tcPr>
          <w:p w14:paraId="0C782404" w14:textId="77777777" w:rsidR="00CF2E21" w:rsidRPr="00591BFC" w:rsidRDefault="00CF2E21" w:rsidP="00E86771">
            <w:pPr>
              <w:spacing w:after="0" w:line="360" w:lineRule="auto"/>
              <w:jc w:val="right"/>
            </w:pPr>
          </w:p>
        </w:tc>
        <w:tc>
          <w:tcPr>
            <w:tcW w:w="404" w:type="pct"/>
            <w:shd w:val="clear" w:color="auto" w:fill="auto"/>
          </w:tcPr>
          <w:p w14:paraId="780A6D10" w14:textId="77777777" w:rsidR="00CF2E21" w:rsidRPr="00591BFC" w:rsidRDefault="00CF2E21" w:rsidP="00E86771">
            <w:pPr>
              <w:spacing w:after="0" w:line="360" w:lineRule="auto"/>
              <w:jc w:val="right"/>
            </w:pPr>
            <w:r w:rsidRPr="00591BFC">
              <w:t>&lt;0.001</w:t>
            </w:r>
          </w:p>
        </w:tc>
        <w:tc>
          <w:tcPr>
            <w:tcW w:w="257" w:type="pct"/>
            <w:shd w:val="clear" w:color="auto" w:fill="auto"/>
          </w:tcPr>
          <w:p w14:paraId="4307072F" w14:textId="77777777" w:rsidR="00CF2E21" w:rsidRPr="00591BFC" w:rsidRDefault="00CF2E21" w:rsidP="00E86771">
            <w:pPr>
              <w:spacing w:after="0" w:line="360" w:lineRule="auto"/>
              <w:jc w:val="right"/>
            </w:pPr>
          </w:p>
        </w:tc>
        <w:tc>
          <w:tcPr>
            <w:tcW w:w="657" w:type="pct"/>
            <w:shd w:val="clear" w:color="auto" w:fill="auto"/>
          </w:tcPr>
          <w:p w14:paraId="7FAB6006" w14:textId="77777777" w:rsidR="00CF2E21" w:rsidRPr="00591BFC" w:rsidRDefault="00CF2E21" w:rsidP="00E86771">
            <w:pPr>
              <w:spacing w:after="0" w:line="360" w:lineRule="auto"/>
              <w:jc w:val="right"/>
            </w:pPr>
            <w:r w:rsidRPr="00591BFC">
              <w:t>&lt;0.001</w:t>
            </w:r>
          </w:p>
        </w:tc>
        <w:tc>
          <w:tcPr>
            <w:tcW w:w="257" w:type="pct"/>
            <w:shd w:val="clear" w:color="auto" w:fill="auto"/>
          </w:tcPr>
          <w:p w14:paraId="6C8FD118" w14:textId="77777777" w:rsidR="00CF2E21" w:rsidRPr="00591BFC" w:rsidRDefault="00CF2E21" w:rsidP="00E86771">
            <w:pPr>
              <w:spacing w:after="0" w:line="360" w:lineRule="auto"/>
              <w:jc w:val="right"/>
            </w:pPr>
          </w:p>
        </w:tc>
        <w:tc>
          <w:tcPr>
            <w:tcW w:w="657" w:type="pct"/>
            <w:shd w:val="clear" w:color="auto" w:fill="auto"/>
          </w:tcPr>
          <w:p w14:paraId="64557CEE" w14:textId="77777777" w:rsidR="00CF2E21" w:rsidRPr="00591BFC" w:rsidRDefault="00CF2E21" w:rsidP="00E86771">
            <w:pPr>
              <w:spacing w:after="0" w:line="360" w:lineRule="auto"/>
              <w:jc w:val="right"/>
            </w:pPr>
            <w:r w:rsidRPr="00591BFC">
              <w:t>&lt;0.001</w:t>
            </w:r>
          </w:p>
        </w:tc>
        <w:tc>
          <w:tcPr>
            <w:tcW w:w="257" w:type="pct"/>
            <w:shd w:val="clear" w:color="auto" w:fill="auto"/>
          </w:tcPr>
          <w:p w14:paraId="3EA69000" w14:textId="77777777" w:rsidR="00CF2E21" w:rsidRPr="00591BFC" w:rsidRDefault="00CF2E21" w:rsidP="00E86771">
            <w:pPr>
              <w:spacing w:after="0" w:line="360" w:lineRule="auto"/>
              <w:jc w:val="right"/>
            </w:pPr>
          </w:p>
        </w:tc>
        <w:tc>
          <w:tcPr>
            <w:tcW w:w="516" w:type="pct"/>
            <w:shd w:val="clear" w:color="auto" w:fill="auto"/>
          </w:tcPr>
          <w:p w14:paraId="16EF2C2A" w14:textId="77777777" w:rsidR="00CF2E21" w:rsidRPr="00591BFC" w:rsidRDefault="00CF2E21" w:rsidP="00E86771">
            <w:pPr>
              <w:spacing w:after="0" w:line="360" w:lineRule="auto"/>
              <w:jc w:val="right"/>
            </w:pPr>
            <w:r w:rsidRPr="00591BFC">
              <w:t>&lt;0.001</w:t>
            </w:r>
          </w:p>
        </w:tc>
        <w:tc>
          <w:tcPr>
            <w:tcW w:w="268" w:type="pct"/>
            <w:shd w:val="clear" w:color="auto" w:fill="auto"/>
          </w:tcPr>
          <w:p w14:paraId="707E0AC4" w14:textId="77777777" w:rsidR="00CF2E21" w:rsidRPr="00591BFC" w:rsidRDefault="00CF2E21" w:rsidP="00E86771">
            <w:pPr>
              <w:spacing w:after="0" w:line="360" w:lineRule="auto"/>
              <w:jc w:val="right"/>
            </w:pPr>
          </w:p>
        </w:tc>
      </w:tr>
    </w:tbl>
    <w:p w14:paraId="17FBBB16" w14:textId="77777777" w:rsidR="00CF2E21" w:rsidRPr="00591BFC" w:rsidRDefault="00CF2E21" w:rsidP="00E86771">
      <w:pPr>
        <w:spacing w:line="360" w:lineRule="auto"/>
      </w:pPr>
      <w:r w:rsidRPr="00591BFC">
        <w:t>CCI score: Charlson co-morbidity index at hospital admission for primary hip fracture (up to 3 years before); Age X care home: interaction term for age at primary hip fracture and living in a care home; Age X CCI: interaction term for age and CCI score at primary hip fracture.</w:t>
      </w:r>
    </w:p>
    <w:p w14:paraId="2F450CAA" w14:textId="77777777" w:rsidR="00CF2E21" w:rsidRPr="00591BFC" w:rsidRDefault="008A6CC5" w:rsidP="00E86771">
      <w:pPr>
        <w:spacing w:line="360" w:lineRule="auto"/>
      </w:pPr>
      <w:r>
        <w:t xml:space="preserve"> </w:t>
      </w:r>
    </w:p>
    <w:p w14:paraId="0703AF27" w14:textId="77777777" w:rsidR="00CF2E21" w:rsidRPr="00591BFC" w:rsidRDefault="00CF2E21" w:rsidP="00E86771">
      <w:pPr>
        <w:spacing w:line="360" w:lineRule="auto"/>
      </w:pPr>
    </w:p>
    <w:p w14:paraId="33631308" w14:textId="77777777" w:rsidR="00CF2E21" w:rsidRPr="00591BFC" w:rsidRDefault="00CF2E21" w:rsidP="00E86771">
      <w:pPr>
        <w:spacing w:line="360" w:lineRule="auto"/>
        <w:sectPr w:rsidR="00CF2E21" w:rsidRPr="00591BFC" w:rsidSect="00DB4F65">
          <w:pgSz w:w="11900" w:h="16840"/>
          <w:pgMar w:top="1440" w:right="1440" w:bottom="1440" w:left="1440" w:header="708" w:footer="708" w:gutter="0"/>
          <w:cols w:space="708"/>
          <w:docGrid w:linePitch="360"/>
        </w:sectPr>
      </w:pPr>
    </w:p>
    <w:p w14:paraId="7ADDE5A8" w14:textId="77777777" w:rsidR="00CF2E21" w:rsidRPr="00591BFC" w:rsidRDefault="00CF2E21" w:rsidP="00E86771">
      <w:pPr>
        <w:pStyle w:val="Heading4"/>
        <w:spacing w:line="360" w:lineRule="auto"/>
        <w:rPr>
          <w:rFonts w:ascii="Calibri" w:hAnsi="Calibri"/>
        </w:rPr>
      </w:pPr>
      <w:r w:rsidRPr="00591BFC">
        <w:rPr>
          <w:rFonts w:ascii="Calibri" w:hAnsi="Calibri"/>
        </w:rPr>
        <w:lastRenderedPageBreak/>
        <w:t>Residential and nursing home</w:t>
      </w:r>
    </w:p>
    <w:p w14:paraId="2DC05060" w14:textId="057BD7AB" w:rsidR="00CF2E21" w:rsidRPr="00591BFC" w:rsidRDefault="00CF2E21" w:rsidP="00E86771">
      <w:pPr>
        <w:spacing w:line="360" w:lineRule="auto"/>
        <w:rPr>
          <w:szCs w:val="24"/>
        </w:rPr>
      </w:pPr>
      <w:r w:rsidRPr="00591BFC">
        <w:rPr>
          <w:szCs w:val="24"/>
        </w:rPr>
        <w:t xml:space="preserve">The </w:t>
      </w:r>
      <w:r w:rsidR="008E6533" w:rsidRPr="00591BFC">
        <w:rPr>
          <w:szCs w:val="24"/>
        </w:rPr>
        <w:t>NHFD</w:t>
      </w:r>
      <w:r w:rsidRPr="00591BFC">
        <w:rPr>
          <w:szCs w:val="24"/>
        </w:rPr>
        <w:t xml:space="preserve"> reported the discharge destination from </w:t>
      </w:r>
      <w:r w:rsidR="008A6CC5">
        <w:rPr>
          <w:szCs w:val="24"/>
        </w:rPr>
        <w:t>all</w:t>
      </w:r>
      <w:r w:rsidRPr="00591BFC">
        <w:rPr>
          <w:szCs w:val="24"/>
        </w:rPr>
        <w:t xml:space="preserve"> NHS Trust </w:t>
      </w:r>
      <w:r w:rsidR="008A6CC5">
        <w:rPr>
          <w:szCs w:val="24"/>
        </w:rPr>
        <w:t xml:space="preserve">hospitals </w:t>
      </w:r>
      <w:r w:rsidRPr="00591BFC">
        <w:rPr>
          <w:szCs w:val="24"/>
        </w:rPr>
        <w:t>to be 10.8% to residential care and 10.1% to nursing care in 2013</w:t>
      </w:r>
      <w:hyperlink w:anchor="_ENREF_17" w:tooltip="Johansen, 2013 #73" w:history="1">
        <w:r w:rsidR="00B24FEE">
          <w:rPr>
            <w:szCs w:val="24"/>
          </w:rPr>
          <w:fldChar w:fldCharType="begin"/>
        </w:r>
        <w:r w:rsidR="00B24FEE">
          <w:rPr>
            <w:szCs w:val="24"/>
          </w:rPr>
          <w:instrText xml:space="preserve"> ADDIN EN.CITE &lt;EndNote&gt;&lt;Cite&gt;&lt;Author&gt;Johansen&lt;/Author&gt;&lt;Year&gt;2013&lt;/Year&gt;&lt;RecNum&gt;73&lt;/RecNum&gt;&lt;DisplayText&gt;&lt;style face="superscript"&gt;17&lt;/style&gt;&lt;/DisplayText&gt;&lt;record&gt;&lt;rec-number&gt;73&lt;/rec-number&gt;&lt;foreign-keys&gt;&lt;key app="EN" db-id="sxpszd2ti9dx04ewefrvfp5bpf5faazszr9p" timestamp="0"&gt;73&lt;/key&gt;&lt;/foreign-keys&gt;&lt;ref-type name="Report"&gt;27&lt;/ref-type&gt;&lt;contributors&gt;&lt;authors&gt;&lt;author&gt;Johansen, A.&lt;/author&gt;&lt;author&gt;Wakeman, R.&lt;/author&gt;&lt;author&gt;Boulton, C.&lt;/author&gt;&lt;author&gt;Plant, F.&lt;/author&gt;&lt;author&gt;Roberts, J.&lt;/author&gt;&lt;author&gt;Williams, A.&lt;/author&gt;&lt;/authors&gt;&lt;/contributors&gt;&lt;titles&gt;&lt;title&gt;National Hip Fracture Database. National report 2013&lt;/title&gt;&lt;/titles&gt;&lt;dates&gt;&lt;year&gt;2013&lt;/year&gt;&lt;/dates&gt;&lt;urls&gt;&lt;/urls&gt;&lt;/record&gt;&lt;/Cite&gt;&lt;/EndNote&gt;</w:instrText>
        </w:r>
        <w:r w:rsidR="00B24FEE">
          <w:rPr>
            <w:szCs w:val="24"/>
          </w:rPr>
          <w:fldChar w:fldCharType="separate"/>
        </w:r>
        <w:r w:rsidR="00B24FEE" w:rsidRPr="00B24FEE">
          <w:rPr>
            <w:noProof/>
            <w:szCs w:val="24"/>
            <w:vertAlign w:val="superscript"/>
          </w:rPr>
          <w:t>17</w:t>
        </w:r>
        <w:r w:rsidR="00B24FEE">
          <w:rPr>
            <w:szCs w:val="24"/>
          </w:rPr>
          <w:fldChar w:fldCharType="end"/>
        </w:r>
      </w:hyperlink>
      <w:r w:rsidRPr="00591BFC">
        <w:rPr>
          <w:szCs w:val="24"/>
        </w:rPr>
        <w:t xml:space="preserve">. We multiplied these proportions by the number of hip fracture admissions recorded in that year (n=61,508) and estimated the proportion of patients discharged to a nursing home out of all patients discharged to a care home (48%). We assumed this proportion to apply to all hip fracture patients simulated in the model discharged to a care home. </w:t>
      </w:r>
    </w:p>
    <w:p w14:paraId="45D82D8B" w14:textId="77777777" w:rsidR="00CF2E21" w:rsidRPr="00591BFC" w:rsidRDefault="00CF2E21" w:rsidP="00E86771">
      <w:pPr>
        <w:spacing w:line="360" w:lineRule="auto"/>
      </w:pPr>
    </w:p>
    <w:p w14:paraId="11580FF4" w14:textId="77777777" w:rsidR="00CF2E21" w:rsidRPr="00591BFC" w:rsidRDefault="00CF2E21" w:rsidP="00E86771">
      <w:pPr>
        <w:pStyle w:val="Heading4"/>
        <w:spacing w:line="360" w:lineRule="auto"/>
        <w:rPr>
          <w:rFonts w:ascii="Calibri" w:hAnsi="Calibri"/>
        </w:rPr>
      </w:pPr>
      <w:r w:rsidRPr="00591BFC">
        <w:rPr>
          <w:rFonts w:ascii="Calibri" w:hAnsi="Calibri"/>
        </w:rPr>
        <w:t>Effectiveness of models of care</w:t>
      </w:r>
    </w:p>
    <w:p w14:paraId="7A68D10A" w14:textId="77777777" w:rsidR="00CF2E21" w:rsidRPr="00591BFC" w:rsidRDefault="00CF2E21" w:rsidP="00E86771">
      <w:pPr>
        <w:spacing w:line="360" w:lineRule="auto"/>
      </w:pPr>
      <w:r w:rsidRPr="00591BFC">
        <w:t xml:space="preserve">Chapter </w:t>
      </w:r>
      <w:r w:rsidR="00615358" w:rsidRPr="00591BFC">
        <w:t>5</w:t>
      </w:r>
      <w:r w:rsidRPr="00591BFC">
        <w:t xml:space="preserve"> describes the statistical analysis to estimate the effectiveness of intr</w:t>
      </w:r>
      <w:r w:rsidR="008A6CC5">
        <w:t>oducing OG and FLN relative to usual</w:t>
      </w:r>
      <w:r w:rsidRPr="00591BFC">
        <w:t xml:space="preserve"> care in terms of:</w:t>
      </w:r>
    </w:p>
    <w:p w14:paraId="22285ED3" w14:textId="77777777" w:rsidR="00CF2E21" w:rsidRPr="00591BFC" w:rsidRDefault="00CF2E21" w:rsidP="00E86771">
      <w:pPr>
        <w:pStyle w:val="ListParagraph"/>
        <w:numPr>
          <w:ilvl w:val="0"/>
          <w:numId w:val="25"/>
        </w:numPr>
        <w:spacing w:after="160" w:line="360" w:lineRule="auto"/>
      </w:pPr>
      <w:r w:rsidRPr="00591BFC">
        <w:t>30-day mortality following primary hip fracture</w:t>
      </w:r>
    </w:p>
    <w:p w14:paraId="01CA979A" w14:textId="77777777" w:rsidR="00CF2E21" w:rsidRPr="00591BFC" w:rsidRDefault="00CF2E21" w:rsidP="00E86771">
      <w:pPr>
        <w:pStyle w:val="ListParagraph"/>
        <w:numPr>
          <w:ilvl w:val="0"/>
          <w:numId w:val="25"/>
        </w:numPr>
        <w:spacing w:after="160" w:line="360" w:lineRule="auto"/>
      </w:pPr>
      <w:r w:rsidRPr="00591BFC">
        <w:t>1-year mortality following primary hip fracture</w:t>
      </w:r>
    </w:p>
    <w:p w14:paraId="5426A558" w14:textId="77777777" w:rsidR="00CF2E21" w:rsidRPr="00591BFC" w:rsidRDefault="00CF2E21" w:rsidP="00E86771">
      <w:pPr>
        <w:pStyle w:val="ListParagraph"/>
        <w:numPr>
          <w:ilvl w:val="0"/>
          <w:numId w:val="25"/>
        </w:numPr>
        <w:spacing w:after="160" w:line="360" w:lineRule="auto"/>
      </w:pPr>
      <w:r w:rsidRPr="00591BFC">
        <w:t>2-year risk of developing second hip fracture following primary hip fracture</w:t>
      </w:r>
    </w:p>
    <w:p w14:paraId="69A1F5DD" w14:textId="77777777" w:rsidR="00CF2E21" w:rsidRPr="00591BFC" w:rsidRDefault="00CF2E21" w:rsidP="00E86771">
      <w:pPr>
        <w:spacing w:line="360" w:lineRule="auto"/>
      </w:pPr>
      <w:r w:rsidRPr="00591BFC">
        <w:t xml:space="preserve">In the base case, we assumed that the effect of the new models of care on mortality relative to </w:t>
      </w:r>
      <w:r w:rsidR="008A6CC5">
        <w:t>usual</w:t>
      </w:r>
      <w:r w:rsidRPr="00591BFC">
        <w:t xml:space="preserve"> care would not be felt beyond the first year following the primary hip fracture. We also assumed that there would be no difference between the three models of care regarding mortality after the second hip fracture. However, we assumed that the relative effect on the development of a second hip fracture would be valid only for the first two years post primary hip fracture. These assumptions were explored in sensitivity analysis. The impact of OG and FLN was modelled by converting the transition probabilities into rates (assuming exponential distribution), multiplying the rates by the respective hazard ratios and then converting the resulting rates back into probabilities. </w:t>
      </w:r>
      <w:r w:rsidR="00615358" w:rsidRPr="00591BFC">
        <w:fldChar w:fldCharType="begin"/>
      </w:r>
      <w:r w:rsidR="00615358" w:rsidRPr="00591BFC">
        <w:instrText xml:space="preserve"> REF _Ref423077129 \h </w:instrText>
      </w:r>
      <w:r w:rsidR="00E814C1" w:rsidRPr="00591BFC">
        <w:instrText xml:space="preserve"> \* MERGEFORMAT </w:instrText>
      </w:r>
      <w:r w:rsidR="00615358" w:rsidRPr="00591BFC">
        <w:fldChar w:fldCharType="separate"/>
      </w:r>
      <w:r w:rsidR="00776C05" w:rsidRPr="00591BFC">
        <w:t xml:space="preserve">Table </w:t>
      </w:r>
      <w:r w:rsidR="00776C05">
        <w:rPr>
          <w:noProof/>
        </w:rPr>
        <w:t>30</w:t>
      </w:r>
      <w:r w:rsidR="00615358" w:rsidRPr="00591BFC">
        <w:fldChar w:fldCharType="end"/>
      </w:r>
      <w:r w:rsidR="00615358" w:rsidRPr="00591BFC">
        <w:t xml:space="preserve"> </w:t>
      </w:r>
      <w:r w:rsidRPr="00591BFC">
        <w:t xml:space="preserve">reports the relative effectiveness estimates used to inform the model. Two sets of effectiveness values were explored. Base case analysis consisted of using the pooled effectiveness estimates associated with introducing an OG or a FLN relative to the </w:t>
      </w:r>
      <w:r w:rsidR="008A6CC5">
        <w:t>usual</w:t>
      </w:r>
      <w:r w:rsidRPr="00591BFC">
        <w:t xml:space="preserve"> care that was being provided before (e.g. nothing, FLN or OG). This fits with the remit of the effectiveness work presented in Chapter Y, makes use of all data available and minimises the impact of hospital outliers. In sensitivity analysis, we used effectiveness estimates concerning the comparison of OG or FLN relative to hospitals that had no previous OG or FLN.</w:t>
      </w:r>
    </w:p>
    <w:p w14:paraId="0562086A" w14:textId="77777777" w:rsidR="00615358" w:rsidRPr="00591BFC" w:rsidRDefault="00615358" w:rsidP="00E86771">
      <w:pPr>
        <w:pStyle w:val="Caption"/>
        <w:keepNext/>
        <w:spacing w:line="360" w:lineRule="auto"/>
      </w:pPr>
      <w:bookmarkStart w:id="424" w:name="_Ref423077129"/>
      <w:bookmarkStart w:id="425" w:name="_Toc308262425"/>
      <w:bookmarkStart w:id="426" w:name="_Toc311366691"/>
      <w:r w:rsidRPr="00591BFC">
        <w:t xml:space="preserve">Table </w:t>
      </w:r>
      <w:r w:rsidR="002149AD">
        <w:fldChar w:fldCharType="begin"/>
      </w:r>
      <w:r w:rsidR="002149AD">
        <w:instrText xml:space="preserve"> SEQ Table \* ARABIC </w:instrText>
      </w:r>
      <w:r w:rsidR="002149AD">
        <w:fldChar w:fldCharType="separate"/>
      </w:r>
      <w:r w:rsidR="00776C05">
        <w:rPr>
          <w:noProof/>
        </w:rPr>
        <w:t>30</w:t>
      </w:r>
      <w:r w:rsidR="002149AD">
        <w:rPr>
          <w:noProof/>
        </w:rPr>
        <w:fldChar w:fldCharType="end"/>
      </w:r>
      <w:bookmarkEnd w:id="424"/>
      <w:r w:rsidRPr="00591BFC">
        <w:t xml:space="preserve"> Relative effectiveness (hazard ratios) of introducing an orthogeriatrician (OG) or fracture liaison nurse (FLN) compared to </w:t>
      </w:r>
      <w:r w:rsidR="008A6CC5">
        <w:t>usual</w:t>
      </w:r>
      <w:r w:rsidRPr="00591BFC">
        <w:t xml:space="preserve"> care</w:t>
      </w:r>
      <w:bookmarkEnd w:id="425"/>
      <w:bookmarkEnd w:id="426"/>
    </w:p>
    <w:tbl>
      <w:tblPr>
        <w:tblW w:w="5000" w:type="pct"/>
        <w:tblLook w:val="04A0" w:firstRow="1" w:lastRow="0" w:firstColumn="1" w:lastColumn="0" w:noHBand="0" w:noVBand="1"/>
      </w:tblPr>
      <w:tblGrid>
        <w:gridCol w:w="3628"/>
        <w:gridCol w:w="1014"/>
        <w:gridCol w:w="1740"/>
        <w:gridCol w:w="292"/>
        <w:gridCol w:w="1031"/>
        <w:gridCol w:w="1531"/>
      </w:tblGrid>
      <w:tr w:rsidR="00CF2E21" w:rsidRPr="00591BFC" w14:paraId="75A1932D" w14:textId="77777777" w:rsidTr="00DB4F65">
        <w:tc>
          <w:tcPr>
            <w:tcW w:w="1964" w:type="pct"/>
            <w:shd w:val="clear" w:color="auto" w:fill="auto"/>
          </w:tcPr>
          <w:p w14:paraId="1CE977EB" w14:textId="77777777" w:rsidR="00CF2E21" w:rsidRPr="00591BFC" w:rsidRDefault="00CF2E21" w:rsidP="00E86771">
            <w:pPr>
              <w:spacing w:line="360" w:lineRule="auto"/>
            </w:pPr>
            <w:r w:rsidRPr="00591BFC">
              <w:t>Pooled estimates (Base case)</w:t>
            </w:r>
          </w:p>
        </w:tc>
        <w:tc>
          <w:tcPr>
            <w:tcW w:w="549" w:type="pct"/>
            <w:shd w:val="clear" w:color="auto" w:fill="auto"/>
          </w:tcPr>
          <w:p w14:paraId="43AA28B2" w14:textId="77777777" w:rsidR="00CF2E21" w:rsidRPr="00591BFC" w:rsidRDefault="00CF2E21" w:rsidP="00E86771">
            <w:pPr>
              <w:spacing w:line="360" w:lineRule="auto"/>
            </w:pPr>
            <w:r w:rsidRPr="00591BFC">
              <w:t xml:space="preserve">OG </w:t>
            </w:r>
          </w:p>
        </w:tc>
        <w:tc>
          <w:tcPr>
            <w:tcW w:w="942" w:type="pct"/>
            <w:shd w:val="clear" w:color="auto" w:fill="auto"/>
          </w:tcPr>
          <w:p w14:paraId="71E80296" w14:textId="77777777" w:rsidR="00CF2E21" w:rsidRPr="00591BFC" w:rsidRDefault="00CF2E21" w:rsidP="00E86771">
            <w:pPr>
              <w:spacing w:line="360" w:lineRule="auto"/>
            </w:pPr>
            <w:r w:rsidRPr="00591BFC">
              <w:t>95%CI</w:t>
            </w:r>
          </w:p>
        </w:tc>
        <w:tc>
          <w:tcPr>
            <w:tcW w:w="158" w:type="pct"/>
            <w:shd w:val="clear" w:color="auto" w:fill="auto"/>
          </w:tcPr>
          <w:p w14:paraId="6CB83118" w14:textId="77777777" w:rsidR="00CF2E21" w:rsidRPr="00591BFC" w:rsidRDefault="00CF2E21" w:rsidP="00E86771">
            <w:pPr>
              <w:spacing w:line="360" w:lineRule="auto"/>
            </w:pPr>
          </w:p>
        </w:tc>
        <w:tc>
          <w:tcPr>
            <w:tcW w:w="558" w:type="pct"/>
            <w:shd w:val="clear" w:color="auto" w:fill="auto"/>
          </w:tcPr>
          <w:p w14:paraId="7140689E" w14:textId="77777777" w:rsidR="00CF2E21" w:rsidRPr="00591BFC" w:rsidRDefault="00CF2E21" w:rsidP="00E86771">
            <w:pPr>
              <w:spacing w:line="360" w:lineRule="auto"/>
            </w:pPr>
            <w:r w:rsidRPr="00591BFC">
              <w:t>FLN</w:t>
            </w:r>
          </w:p>
        </w:tc>
        <w:tc>
          <w:tcPr>
            <w:tcW w:w="829" w:type="pct"/>
            <w:shd w:val="clear" w:color="auto" w:fill="auto"/>
          </w:tcPr>
          <w:p w14:paraId="4EFA5BD3" w14:textId="77777777" w:rsidR="00CF2E21" w:rsidRPr="00591BFC" w:rsidRDefault="00CF2E21" w:rsidP="00E86771">
            <w:pPr>
              <w:spacing w:line="360" w:lineRule="auto"/>
            </w:pPr>
            <w:r w:rsidRPr="00591BFC">
              <w:t>95%CI</w:t>
            </w:r>
          </w:p>
        </w:tc>
      </w:tr>
      <w:tr w:rsidR="00CF2E21" w:rsidRPr="00591BFC" w14:paraId="02A07C74" w14:textId="77777777" w:rsidTr="00DB4F65">
        <w:tc>
          <w:tcPr>
            <w:tcW w:w="1964" w:type="pct"/>
            <w:shd w:val="clear" w:color="auto" w:fill="auto"/>
          </w:tcPr>
          <w:p w14:paraId="52982A45" w14:textId="77777777" w:rsidR="00CF2E21" w:rsidRPr="00591BFC" w:rsidRDefault="00CF2E21" w:rsidP="00E86771">
            <w:pPr>
              <w:spacing w:line="360" w:lineRule="auto"/>
            </w:pPr>
            <w:r w:rsidRPr="00591BFC">
              <w:lastRenderedPageBreak/>
              <w:t>30-day mortality</w:t>
            </w:r>
          </w:p>
        </w:tc>
        <w:tc>
          <w:tcPr>
            <w:tcW w:w="549" w:type="pct"/>
            <w:shd w:val="clear" w:color="auto" w:fill="auto"/>
          </w:tcPr>
          <w:p w14:paraId="329A7BE6" w14:textId="77777777" w:rsidR="00CF2E21" w:rsidRPr="00591BFC" w:rsidRDefault="00CF2E21" w:rsidP="00E86771">
            <w:pPr>
              <w:spacing w:line="360" w:lineRule="auto"/>
            </w:pPr>
            <w:r w:rsidRPr="00591BFC">
              <w:t>0.73</w:t>
            </w:r>
          </w:p>
        </w:tc>
        <w:tc>
          <w:tcPr>
            <w:tcW w:w="942" w:type="pct"/>
            <w:shd w:val="clear" w:color="auto" w:fill="auto"/>
          </w:tcPr>
          <w:p w14:paraId="6B8FF06F" w14:textId="77777777" w:rsidR="00CF2E21" w:rsidRPr="00591BFC" w:rsidRDefault="00CF2E21" w:rsidP="00E86771">
            <w:pPr>
              <w:spacing w:line="360" w:lineRule="auto"/>
            </w:pPr>
            <w:r w:rsidRPr="00591BFC">
              <w:t>0.65-0.82</w:t>
            </w:r>
          </w:p>
        </w:tc>
        <w:tc>
          <w:tcPr>
            <w:tcW w:w="158" w:type="pct"/>
            <w:shd w:val="clear" w:color="auto" w:fill="auto"/>
          </w:tcPr>
          <w:p w14:paraId="0C07AFEA" w14:textId="77777777" w:rsidR="00CF2E21" w:rsidRPr="00591BFC" w:rsidRDefault="00CF2E21" w:rsidP="00E86771">
            <w:pPr>
              <w:spacing w:line="360" w:lineRule="auto"/>
            </w:pPr>
          </w:p>
        </w:tc>
        <w:tc>
          <w:tcPr>
            <w:tcW w:w="558" w:type="pct"/>
            <w:shd w:val="clear" w:color="auto" w:fill="auto"/>
          </w:tcPr>
          <w:p w14:paraId="1DF4528A" w14:textId="77777777" w:rsidR="00CF2E21" w:rsidRPr="00591BFC" w:rsidRDefault="00CF2E21" w:rsidP="00E86771">
            <w:pPr>
              <w:spacing w:line="360" w:lineRule="auto"/>
            </w:pPr>
            <w:r w:rsidRPr="00591BFC">
              <w:t>0.80</w:t>
            </w:r>
          </w:p>
        </w:tc>
        <w:tc>
          <w:tcPr>
            <w:tcW w:w="829" w:type="pct"/>
            <w:shd w:val="clear" w:color="auto" w:fill="auto"/>
          </w:tcPr>
          <w:p w14:paraId="410F4A41" w14:textId="77777777" w:rsidR="00CF2E21" w:rsidRPr="00591BFC" w:rsidRDefault="00CF2E21" w:rsidP="00E86771">
            <w:pPr>
              <w:spacing w:line="360" w:lineRule="auto"/>
            </w:pPr>
            <w:r w:rsidRPr="00591BFC">
              <w:t>0.71-0.91</w:t>
            </w:r>
          </w:p>
        </w:tc>
      </w:tr>
      <w:tr w:rsidR="00CF2E21" w:rsidRPr="00591BFC" w14:paraId="15368B55" w14:textId="77777777" w:rsidTr="00DB4F65">
        <w:tc>
          <w:tcPr>
            <w:tcW w:w="1964" w:type="pct"/>
            <w:shd w:val="clear" w:color="auto" w:fill="auto"/>
          </w:tcPr>
          <w:p w14:paraId="61D323A3" w14:textId="77777777" w:rsidR="00CF2E21" w:rsidRPr="00591BFC" w:rsidRDefault="00CF2E21" w:rsidP="00E86771">
            <w:pPr>
              <w:spacing w:line="360" w:lineRule="auto"/>
            </w:pPr>
            <w:r w:rsidRPr="00591BFC">
              <w:t>1-year mortality</w:t>
            </w:r>
          </w:p>
        </w:tc>
        <w:tc>
          <w:tcPr>
            <w:tcW w:w="549" w:type="pct"/>
            <w:shd w:val="clear" w:color="auto" w:fill="auto"/>
          </w:tcPr>
          <w:p w14:paraId="7C0B1894" w14:textId="77777777" w:rsidR="00CF2E21" w:rsidRPr="00591BFC" w:rsidRDefault="00CF2E21" w:rsidP="00E86771">
            <w:pPr>
              <w:spacing w:line="360" w:lineRule="auto"/>
            </w:pPr>
            <w:r w:rsidRPr="00591BFC">
              <w:t>0.81</w:t>
            </w:r>
          </w:p>
        </w:tc>
        <w:tc>
          <w:tcPr>
            <w:tcW w:w="942" w:type="pct"/>
            <w:shd w:val="clear" w:color="auto" w:fill="auto"/>
          </w:tcPr>
          <w:p w14:paraId="50BAD9FB" w14:textId="77777777" w:rsidR="00CF2E21" w:rsidRPr="00591BFC" w:rsidRDefault="00CF2E21" w:rsidP="00E86771">
            <w:pPr>
              <w:spacing w:line="360" w:lineRule="auto"/>
            </w:pPr>
            <w:r w:rsidRPr="00591BFC">
              <w:t>0.75-0.87</w:t>
            </w:r>
          </w:p>
        </w:tc>
        <w:tc>
          <w:tcPr>
            <w:tcW w:w="158" w:type="pct"/>
            <w:shd w:val="clear" w:color="auto" w:fill="auto"/>
          </w:tcPr>
          <w:p w14:paraId="2B494189" w14:textId="77777777" w:rsidR="00CF2E21" w:rsidRPr="00591BFC" w:rsidRDefault="00CF2E21" w:rsidP="00E86771">
            <w:pPr>
              <w:spacing w:line="360" w:lineRule="auto"/>
            </w:pPr>
          </w:p>
        </w:tc>
        <w:tc>
          <w:tcPr>
            <w:tcW w:w="558" w:type="pct"/>
            <w:shd w:val="clear" w:color="auto" w:fill="auto"/>
          </w:tcPr>
          <w:p w14:paraId="3463E5F5" w14:textId="77777777" w:rsidR="00CF2E21" w:rsidRPr="00591BFC" w:rsidRDefault="00CF2E21" w:rsidP="00E86771">
            <w:pPr>
              <w:spacing w:line="360" w:lineRule="auto"/>
            </w:pPr>
            <w:r w:rsidRPr="00591BFC">
              <w:t>0.84</w:t>
            </w:r>
          </w:p>
        </w:tc>
        <w:tc>
          <w:tcPr>
            <w:tcW w:w="829" w:type="pct"/>
            <w:shd w:val="clear" w:color="auto" w:fill="auto"/>
          </w:tcPr>
          <w:p w14:paraId="7779C2E4" w14:textId="77777777" w:rsidR="00CF2E21" w:rsidRPr="00591BFC" w:rsidRDefault="00CF2E21" w:rsidP="00E86771">
            <w:pPr>
              <w:spacing w:line="360" w:lineRule="auto"/>
            </w:pPr>
            <w:r w:rsidRPr="00591BFC">
              <w:t>0.77-0.93</w:t>
            </w:r>
          </w:p>
        </w:tc>
      </w:tr>
      <w:tr w:rsidR="00CF2E21" w:rsidRPr="00591BFC" w14:paraId="2E5B5E4F" w14:textId="77777777" w:rsidTr="00DB4F65">
        <w:tc>
          <w:tcPr>
            <w:tcW w:w="1964" w:type="pct"/>
            <w:shd w:val="clear" w:color="auto" w:fill="auto"/>
          </w:tcPr>
          <w:p w14:paraId="688C01EF" w14:textId="77777777" w:rsidR="00CF2E21" w:rsidRPr="00591BFC" w:rsidRDefault="00CF2E21" w:rsidP="00E86771">
            <w:pPr>
              <w:spacing w:line="360" w:lineRule="auto"/>
            </w:pPr>
            <w:r w:rsidRPr="00591BFC">
              <w:t>2-year second hip</w:t>
            </w:r>
          </w:p>
        </w:tc>
        <w:tc>
          <w:tcPr>
            <w:tcW w:w="549" w:type="pct"/>
            <w:shd w:val="clear" w:color="auto" w:fill="auto"/>
          </w:tcPr>
          <w:p w14:paraId="5E3327A8" w14:textId="77777777" w:rsidR="00CF2E21" w:rsidRPr="00591BFC" w:rsidRDefault="00CF2E21" w:rsidP="00E86771">
            <w:pPr>
              <w:spacing w:line="360" w:lineRule="auto"/>
            </w:pPr>
            <w:r w:rsidRPr="00591BFC">
              <w:t>0.95</w:t>
            </w:r>
          </w:p>
        </w:tc>
        <w:tc>
          <w:tcPr>
            <w:tcW w:w="942" w:type="pct"/>
            <w:shd w:val="clear" w:color="auto" w:fill="auto"/>
          </w:tcPr>
          <w:p w14:paraId="6B853F35" w14:textId="77777777" w:rsidR="00CF2E21" w:rsidRPr="00591BFC" w:rsidRDefault="00CF2E21" w:rsidP="00E86771">
            <w:pPr>
              <w:spacing w:line="360" w:lineRule="auto"/>
            </w:pPr>
            <w:r w:rsidRPr="00591BFC">
              <w:t>0.79-1.15</w:t>
            </w:r>
          </w:p>
        </w:tc>
        <w:tc>
          <w:tcPr>
            <w:tcW w:w="158" w:type="pct"/>
            <w:shd w:val="clear" w:color="auto" w:fill="auto"/>
          </w:tcPr>
          <w:p w14:paraId="71D6B2A9" w14:textId="77777777" w:rsidR="00CF2E21" w:rsidRPr="00591BFC" w:rsidRDefault="00CF2E21" w:rsidP="00E86771">
            <w:pPr>
              <w:spacing w:line="360" w:lineRule="auto"/>
            </w:pPr>
          </w:p>
        </w:tc>
        <w:tc>
          <w:tcPr>
            <w:tcW w:w="558" w:type="pct"/>
            <w:shd w:val="clear" w:color="auto" w:fill="auto"/>
          </w:tcPr>
          <w:p w14:paraId="5490F880" w14:textId="77777777" w:rsidR="00CF2E21" w:rsidRPr="00591BFC" w:rsidRDefault="00CF2E21" w:rsidP="00E86771">
            <w:pPr>
              <w:spacing w:line="360" w:lineRule="auto"/>
            </w:pPr>
            <w:r w:rsidRPr="00591BFC">
              <w:t>1.03</w:t>
            </w:r>
          </w:p>
        </w:tc>
        <w:tc>
          <w:tcPr>
            <w:tcW w:w="829" w:type="pct"/>
            <w:shd w:val="clear" w:color="auto" w:fill="auto"/>
          </w:tcPr>
          <w:p w14:paraId="589A311F" w14:textId="77777777" w:rsidR="00CF2E21" w:rsidRPr="00591BFC" w:rsidRDefault="00CF2E21" w:rsidP="00E86771">
            <w:pPr>
              <w:spacing w:line="360" w:lineRule="auto"/>
            </w:pPr>
            <w:r w:rsidRPr="00591BFC">
              <w:t>0.85-1.26</w:t>
            </w:r>
          </w:p>
        </w:tc>
      </w:tr>
      <w:tr w:rsidR="00CF2E21" w:rsidRPr="00591BFC" w14:paraId="3F4EC41A" w14:textId="77777777" w:rsidTr="00DB4F65">
        <w:tc>
          <w:tcPr>
            <w:tcW w:w="1964" w:type="pct"/>
            <w:shd w:val="clear" w:color="auto" w:fill="auto"/>
          </w:tcPr>
          <w:p w14:paraId="023DD3B2" w14:textId="77777777" w:rsidR="00CF2E21" w:rsidRPr="00591BFC" w:rsidRDefault="00CF2E21" w:rsidP="00E86771">
            <w:pPr>
              <w:spacing w:line="360" w:lineRule="auto"/>
            </w:pPr>
            <w:r w:rsidRPr="00591BFC">
              <w:t>Relative to no previous OG or FLN</w:t>
            </w:r>
          </w:p>
        </w:tc>
        <w:tc>
          <w:tcPr>
            <w:tcW w:w="549" w:type="pct"/>
            <w:shd w:val="clear" w:color="auto" w:fill="auto"/>
          </w:tcPr>
          <w:p w14:paraId="18EF02B9" w14:textId="77777777" w:rsidR="00CF2E21" w:rsidRPr="00591BFC" w:rsidRDefault="00CF2E21" w:rsidP="00E86771">
            <w:pPr>
              <w:spacing w:line="360" w:lineRule="auto"/>
            </w:pPr>
          </w:p>
        </w:tc>
        <w:tc>
          <w:tcPr>
            <w:tcW w:w="942" w:type="pct"/>
            <w:shd w:val="clear" w:color="auto" w:fill="auto"/>
          </w:tcPr>
          <w:p w14:paraId="24482962" w14:textId="77777777" w:rsidR="00CF2E21" w:rsidRPr="00591BFC" w:rsidRDefault="00CF2E21" w:rsidP="00E86771">
            <w:pPr>
              <w:spacing w:line="360" w:lineRule="auto"/>
            </w:pPr>
          </w:p>
        </w:tc>
        <w:tc>
          <w:tcPr>
            <w:tcW w:w="158" w:type="pct"/>
            <w:shd w:val="clear" w:color="auto" w:fill="auto"/>
          </w:tcPr>
          <w:p w14:paraId="7F686B97" w14:textId="77777777" w:rsidR="00CF2E21" w:rsidRPr="00591BFC" w:rsidRDefault="00CF2E21" w:rsidP="00E86771">
            <w:pPr>
              <w:spacing w:line="360" w:lineRule="auto"/>
            </w:pPr>
          </w:p>
        </w:tc>
        <w:tc>
          <w:tcPr>
            <w:tcW w:w="558" w:type="pct"/>
            <w:shd w:val="clear" w:color="auto" w:fill="auto"/>
          </w:tcPr>
          <w:p w14:paraId="63F47BA3" w14:textId="77777777" w:rsidR="00CF2E21" w:rsidRPr="00591BFC" w:rsidRDefault="00CF2E21" w:rsidP="00E86771">
            <w:pPr>
              <w:spacing w:line="360" w:lineRule="auto"/>
            </w:pPr>
          </w:p>
        </w:tc>
        <w:tc>
          <w:tcPr>
            <w:tcW w:w="829" w:type="pct"/>
            <w:shd w:val="clear" w:color="auto" w:fill="auto"/>
          </w:tcPr>
          <w:p w14:paraId="3537F8C1" w14:textId="77777777" w:rsidR="00CF2E21" w:rsidRPr="00591BFC" w:rsidRDefault="00CF2E21" w:rsidP="00E86771">
            <w:pPr>
              <w:spacing w:line="360" w:lineRule="auto"/>
            </w:pPr>
          </w:p>
        </w:tc>
      </w:tr>
      <w:tr w:rsidR="00CF2E21" w:rsidRPr="00591BFC" w14:paraId="47C6A3F3" w14:textId="77777777" w:rsidTr="00DB4F65">
        <w:tc>
          <w:tcPr>
            <w:tcW w:w="1964" w:type="pct"/>
            <w:shd w:val="clear" w:color="auto" w:fill="auto"/>
          </w:tcPr>
          <w:p w14:paraId="4BC5F7EE" w14:textId="77777777" w:rsidR="00CF2E21" w:rsidRPr="00591BFC" w:rsidRDefault="00CF2E21" w:rsidP="00E86771">
            <w:pPr>
              <w:spacing w:line="360" w:lineRule="auto"/>
            </w:pPr>
            <w:r w:rsidRPr="00591BFC">
              <w:t>30-day mortality</w:t>
            </w:r>
          </w:p>
        </w:tc>
        <w:tc>
          <w:tcPr>
            <w:tcW w:w="549" w:type="pct"/>
            <w:shd w:val="clear" w:color="auto" w:fill="auto"/>
          </w:tcPr>
          <w:p w14:paraId="04C5412D" w14:textId="77777777" w:rsidR="00CF2E21" w:rsidRPr="00591BFC" w:rsidRDefault="00CF2E21" w:rsidP="00E86771">
            <w:pPr>
              <w:spacing w:line="360" w:lineRule="auto"/>
            </w:pPr>
            <w:r w:rsidRPr="00591BFC">
              <w:t>0.79</w:t>
            </w:r>
          </w:p>
        </w:tc>
        <w:tc>
          <w:tcPr>
            <w:tcW w:w="942" w:type="pct"/>
            <w:shd w:val="clear" w:color="auto" w:fill="auto"/>
          </w:tcPr>
          <w:p w14:paraId="1E621B6A" w14:textId="77777777" w:rsidR="00CF2E21" w:rsidRPr="00591BFC" w:rsidRDefault="00CF2E21" w:rsidP="00E86771">
            <w:pPr>
              <w:spacing w:line="360" w:lineRule="auto"/>
            </w:pPr>
            <w:r w:rsidRPr="00591BFC">
              <w:t>0.63-0.99</w:t>
            </w:r>
          </w:p>
        </w:tc>
        <w:tc>
          <w:tcPr>
            <w:tcW w:w="158" w:type="pct"/>
            <w:shd w:val="clear" w:color="auto" w:fill="auto"/>
          </w:tcPr>
          <w:p w14:paraId="34C27099" w14:textId="77777777" w:rsidR="00CF2E21" w:rsidRPr="00591BFC" w:rsidRDefault="00CF2E21" w:rsidP="00E86771">
            <w:pPr>
              <w:spacing w:line="360" w:lineRule="auto"/>
            </w:pPr>
          </w:p>
        </w:tc>
        <w:tc>
          <w:tcPr>
            <w:tcW w:w="558" w:type="pct"/>
            <w:shd w:val="clear" w:color="auto" w:fill="auto"/>
          </w:tcPr>
          <w:p w14:paraId="2266752D" w14:textId="77777777" w:rsidR="00CF2E21" w:rsidRPr="00591BFC" w:rsidRDefault="00CF2E21" w:rsidP="00E86771">
            <w:pPr>
              <w:spacing w:line="360" w:lineRule="auto"/>
            </w:pPr>
            <w:r w:rsidRPr="00591BFC">
              <w:t>0.87</w:t>
            </w:r>
          </w:p>
        </w:tc>
        <w:tc>
          <w:tcPr>
            <w:tcW w:w="829" w:type="pct"/>
            <w:shd w:val="clear" w:color="auto" w:fill="auto"/>
          </w:tcPr>
          <w:p w14:paraId="4FA9FFC9" w14:textId="77777777" w:rsidR="00CF2E21" w:rsidRPr="00591BFC" w:rsidRDefault="00CF2E21" w:rsidP="00E86771">
            <w:pPr>
              <w:spacing w:line="360" w:lineRule="auto"/>
            </w:pPr>
            <w:r w:rsidRPr="00591BFC">
              <w:t>0.61-1.25</w:t>
            </w:r>
          </w:p>
        </w:tc>
      </w:tr>
      <w:tr w:rsidR="00CF2E21" w:rsidRPr="00591BFC" w14:paraId="5BF68DE4" w14:textId="77777777" w:rsidTr="00DB4F65">
        <w:tc>
          <w:tcPr>
            <w:tcW w:w="1964" w:type="pct"/>
            <w:shd w:val="clear" w:color="auto" w:fill="auto"/>
          </w:tcPr>
          <w:p w14:paraId="2A8C8AA1" w14:textId="77777777" w:rsidR="00CF2E21" w:rsidRPr="00591BFC" w:rsidRDefault="00CF2E21" w:rsidP="00E86771">
            <w:pPr>
              <w:spacing w:line="360" w:lineRule="auto"/>
            </w:pPr>
            <w:r w:rsidRPr="00591BFC">
              <w:t>1-year mortality</w:t>
            </w:r>
          </w:p>
        </w:tc>
        <w:tc>
          <w:tcPr>
            <w:tcW w:w="549" w:type="pct"/>
            <w:shd w:val="clear" w:color="auto" w:fill="auto"/>
          </w:tcPr>
          <w:p w14:paraId="6CAF04CC" w14:textId="77777777" w:rsidR="00CF2E21" w:rsidRPr="00591BFC" w:rsidRDefault="00CF2E21" w:rsidP="00E86771">
            <w:pPr>
              <w:spacing w:line="360" w:lineRule="auto"/>
            </w:pPr>
            <w:r w:rsidRPr="00591BFC">
              <w:t>0.79</w:t>
            </w:r>
          </w:p>
        </w:tc>
        <w:tc>
          <w:tcPr>
            <w:tcW w:w="942" w:type="pct"/>
            <w:shd w:val="clear" w:color="auto" w:fill="auto"/>
          </w:tcPr>
          <w:p w14:paraId="1157FCCD" w14:textId="77777777" w:rsidR="00CF2E21" w:rsidRPr="00591BFC" w:rsidRDefault="00CF2E21" w:rsidP="00E86771">
            <w:pPr>
              <w:spacing w:line="360" w:lineRule="auto"/>
            </w:pPr>
            <w:r w:rsidRPr="00591BFC">
              <w:t>0.70-0.90</w:t>
            </w:r>
          </w:p>
        </w:tc>
        <w:tc>
          <w:tcPr>
            <w:tcW w:w="158" w:type="pct"/>
            <w:shd w:val="clear" w:color="auto" w:fill="auto"/>
          </w:tcPr>
          <w:p w14:paraId="7789ED28" w14:textId="77777777" w:rsidR="00CF2E21" w:rsidRPr="00591BFC" w:rsidRDefault="00CF2E21" w:rsidP="00E86771">
            <w:pPr>
              <w:spacing w:line="360" w:lineRule="auto"/>
            </w:pPr>
          </w:p>
        </w:tc>
        <w:tc>
          <w:tcPr>
            <w:tcW w:w="558" w:type="pct"/>
            <w:shd w:val="clear" w:color="auto" w:fill="auto"/>
          </w:tcPr>
          <w:p w14:paraId="015C0994" w14:textId="77777777" w:rsidR="00CF2E21" w:rsidRPr="00591BFC" w:rsidRDefault="00CF2E21" w:rsidP="00E86771">
            <w:pPr>
              <w:spacing w:line="360" w:lineRule="auto"/>
            </w:pPr>
            <w:r w:rsidRPr="00591BFC">
              <w:t>0.74</w:t>
            </w:r>
          </w:p>
        </w:tc>
        <w:tc>
          <w:tcPr>
            <w:tcW w:w="829" w:type="pct"/>
            <w:shd w:val="clear" w:color="auto" w:fill="auto"/>
          </w:tcPr>
          <w:p w14:paraId="42E81190" w14:textId="77777777" w:rsidR="00CF2E21" w:rsidRPr="00591BFC" w:rsidRDefault="00CF2E21" w:rsidP="00E86771">
            <w:pPr>
              <w:spacing w:line="360" w:lineRule="auto"/>
            </w:pPr>
            <w:r w:rsidRPr="00591BFC">
              <w:t>0.60-0.91</w:t>
            </w:r>
          </w:p>
        </w:tc>
      </w:tr>
      <w:tr w:rsidR="00CF2E21" w:rsidRPr="00591BFC" w14:paraId="7B21F896" w14:textId="77777777" w:rsidTr="00DB4F65">
        <w:tc>
          <w:tcPr>
            <w:tcW w:w="1964" w:type="pct"/>
            <w:shd w:val="clear" w:color="auto" w:fill="auto"/>
          </w:tcPr>
          <w:p w14:paraId="1CAE3B32" w14:textId="77777777" w:rsidR="00CF2E21" w:rsidRPr="00591BFC" w:rsidRDefault="00CF2E21" w:rsidP="00E86771">
            <w:pPr>
              <w:spacing w:line="360" w:lineRule="auto"/>
            </w:pPr>
            <w:r w:rsidRPr="00591BFC">
              <w:t>2-year second hip</w:t>
            </w:r>
          </w:p>
        </w:tc>
        <w:tc>
          <w:tcPr>
            <w:tcW w:w="549" w:type="pct"/>
            <w:shd w:val="clear" w:color="auto" w:fill="auto"/>
          </w:tcPr>
          <w:p w14:paraId="6321BF0F" w14:textId="77777777" w:rsidR="00CF2E21" w:rsidRPr="00591BFC" w:rsidRDefault="00CF2E21" w:rsidP="00E86771">
            <w:pPr>
              <w:spacing w:line="360" w:lineRule="auto"/>
            </w:pPr>
            <w:r w:rsidRPr="00591BFC">
              <w:t>1.00</w:t>
            </w:r>
          </w:p>
        </w:tc>
        <w:tc>
          <w:tcPr>
            <w:tcW w:w="942" w:type="pct"/>
            <w:shd w:val="clear" w:color="auto" w:fill="auto"/>
          </w:tcPr>
          <w:p w14:paraId="20AB90BF" w14:textId="77777777" w:rsidR="00CF2E21" w:rsidRPr="00591BFC" w:rsidRDefault="00CF2E21" w:rsidP="00E86771">
            <w:pPr>
              <w:spacing w:line="360" w:lineRule="auto"/>
            </w:pPr>
            <w:r w:rsidRPr="00591BFC">
              <w:t>0.73-1.37</w:t>
            </w:r>
          </w:p>
        </w:tc>
        <w:tc>
          <w:tcPr>
            <w:tcW w:w="158" w:type="pct"/>
            <w:shd w:val="clear" w:color="auto" w:fill="auto"/>
          </w:tcPr>
          <w:p w14:paraId="70DCB13F" w14:textId="77777777" w:rsidR="00CF2E21" w:rsidRPr="00591BFC" w:rsidRDefault="00CF2E21" w:rsidP="00E86771">
            <w:pPr>
              <w:spacing w:line="360" w:lineRule="auto"/>
            </w:pPr>
          </w:p>
        </w:tc>
        <w:tc>
          <w:tcPr>
            <w:tcW w:w="558" w:type="pct"/>
            <w:shd w:val="clear" w:color="auto" w:fill="auto"/>
          </w:tcPr>
          <w:p w14:paraId="5D88B120" w14:textId="77777777" w:rsidR="00CF2E21" w:rsidRPr="00591BFC" w:rsidRDefault="00CF2E21" w:rsidP="00E86771">
            <w:pPr>
              <w:spacing w:line="360" w:lineRule="auto"/>
            </w:pPr>
            <w:r w:rsidRPr="00591BFC">
              <w:t>1.40</w:t>
            </w:r>
          </w:p>
        </w:tc>
        <w:tc>
          <w:tcPr>
            <w:tcW w:w="829" w:type="pct"/>
            <w:shd w:val="clear" w:color="auto" w:fill="auto"/>
          </w:tcPr>
          <w:p w14:paraId="6000008D" w14:textId="77777777" w:rsidR="00CF2E21" w:rsidRPr="00591BFC" w:rsidRDefault="00CF2E21" w:rsidP="00E86771">
            <w:pPr>
              <w:spacing w:line="360" w:lineRule="auto"/>
            </w:pPr>
            <w:r w:rsidRPr="00591BFC">
              <w:t>0.77-2.56</w:t>
            </w:r>
          </w:p>
        </w:tc>
      </w:tr>
    </w:tbl>
    <w:p w14:paraId="614A8AC0" w14:textId="77777777" w:rsidR="00CF2E21" w:rsidRPr="00591BFC" w:rsidRDefault="00CF2E21" w:rsidP="00E86771">
      <w:pPr>
        <w:spacing w:line="360" w:lineRule="auto"/>
      </w:pPr>
    </w:p>
    <w:p w14:paraId="03B9D620" w14:textId="77777777" w:rsidR="00CF2E21" w:rsidRPr="00591BFC" w:rsidRDefault="00CF2E21" w:rsidP="00E86771">
      <w:pPr>
        <w:pStyle w:val="Heading4"/>
        <w:spacing w:line="360" w:lineRule="auto"/>
        <w:rPr>
          <w:rFonts w:ascii="Calibri" w:hAnsi="Calibri"/>
        </w:rPr>
      </w:pPr>
      <w:r w:rsidRPr="00591BFC">
        <w:rPr>
          <w:rFonts w:ascii="Calibri" w:hAnsi="Calibri"/>
        </w:rPr>
        <w:t>Intervention costs</w:t>
      </w:r>
    </w:p>
    <w:p w14:paraId="0B582C18" w14:textId="175D718D" w:rsidR="00CF2E21" w:rsidRPr="00591BFC" w:rsidRDefault="00CF2E21" w:rsidP="00E86771">
      <w:pPr>
        <w:spacing w:line="360" w:lineRule="auto"/>
      </w:pPr>
      <w:r w:rsidRPr="00591BFC">
        <w:t xml:space="preserve">The costs of introducing an OG or a FLN were estimated using 2012-13 prices. Following clinical advice, a FLN was assumed to work with hip fracture patients at 1 </w:t>
      </w:r>
      <w:r w:rsidR="008E6533" w:rsidRPr="00591BFC">
        <w:t>WTE</w:t>
      </w:r>
      <w:r w:rsidRPr="00591BFC">
        <w:t xml:space="preserve"> whereas an OG was assumed to work at 0.75 WTE capacity (this is also similar to the average WTE reported across hospitals with an OG - see Chapter </w:t>
      </w:r>
      <w:r w:rsidR="00252220" w:rsidRPr="00591BFC">
        <w:t>2</w:t>
      </w:r>
      <w:r w:rsidRPr="00591BFC">
        <w:t>). The annual costs of an OG and a FLN per hip fracture patient were estimated by multiplying the respective WTE by the total annual costs (salary, salary oncosts, qualification costs, overheads and capital overheads) and dividing these by 450 hip fracture patients (average patients seen per year across the 11 hospitals in the HES dataset with an OG and/or FLN)</w:t>
      </w:r>
      <w:hyperlink w:anchor="_ENREF_17" w:tooltip="Johansen, 2013 #73" w:history="1">
        <w:r w:rsidR="00B24FEE">
          <w:fldChar w:fldCharType="begin"/>
        </w:r>
        <w:r w:rsidR="00B24FEE">
          <w:instrText xml:space="preserve"> ADDIN EN.CITE &lt;EndNote&gt;&lt;Cite&gt;&lt;Author&gt;Johansen&lt;/Author&gt;&lt;Year&gt;2013&lt;/Year&gt;&lt;RecNum&gt;73&lt;/RecNum&gt;&lt;DisplayText&gt;&lt;style face="superscript"&gt;17&lt;/style&gt;&lt;/DisplayText&gt;&lt;record&gt;&lt;rec-number&gt;73&lt;/rec-number&gt;&lt;foreign-keys&gt;&lt;key app="EN" db-id="sxpszd2ti9dx04ewefrvfp5bpf5faazszr9p" timestamp="0"&gt;73&lt;/key&gt;&lt;/foreign-keys&gt;&lt;ref-type name="Report"&gt;27&lt;/ref-type&gt;&lt;contributors&gt;&lt;authors&gt;&lt;author&gt;Johansen, A.&lt;/author&gt;&lt;author&gt;Wakeman, R.&lt;/author&gt;&lt;author&gt;Boulton, C.&lt;/author&gt;&lt;author&gt;Plant, F.&lt;/author&gt;&lt;author&gt;Roberts, J.&lt;/author&gt;&lt;author&gt;Williams, A.&lt;/author&gt;&lt;/authors&gt;&lt;/contributors&gt;&lt;titles&gt;&lt;title&gt;National Hip Fracture Database. National report 2013&lt;/title&gt;&lt;/titles&gt;&lt;dates&gt;&lt;year&gt;2013&lt;/year&gt;&lt;/dates&gt;&lt;urls&gt;&lt;/urls&gt;&lt;/record&gt;&lt;/Cite&gt;&lt;/EndNote&gt;</w:instrText>
        </w:r>
        <w:r w:rsidR="00B24FEE">
          <w:fldChar w:fldCharType="separate"/>
        </w:r>
        <w:r w:rsidR="00B24FEE" w:rsidRPr="00B24FEE">
          <w:rPr>
            <w:noProof/>
            <w:vertAlign w:val="superscript"/>
          </w:rPr>
          <w:t>17</w:t>
        </w:r>
        <w:r w:rsidR="00B24FEE">
          <w:fldChar w:fldCharType="end"/>
        </w:r>
      </w:hyperlink>
      <w:r w:rsidR="00252220" w:rsidRPr="00591BFC">
        <w:t xml:space="preserve">  </w:t>
      </w:r>
      <w:r w:rsidRPr="00591BFC">
        <w:t xml:space="preserve">(see </w:t>
      </w:r>
      <w:r w:rsidR="006A630F" w:rsidRPr="00591BFC">
        <w:fldChar w:fldCharType="begin"/>
      </w:r>
      <w:r w:rsidR="006A630F" w:rsidRPr="00591BFC">
        <w:instrText xml:space="preserve"> REF _Ref423077239 \h </w:instrText>
      </w:r>
      <w:r w:rsidR="00E814C1" w:rsidRPr="00591BFC">
        <w:instrText xml:space="preserve"> \* MERGEFORMAT </w:instrText>
      </w:r>
      <w:r w:rsidR="006A630F" w:rsidRPr="00591BFC">
        <w:fldChar w:fldCharType="separate"/>
      </w:r>
      <w:r w:rsidR="00776C05" w:rsidRPr="00591BFC">
        <w:t xml:space="preserve">Table </w:t>
      </w:r>
      <w:r w:rsidR="00776C05">
        <w:rPr>
          <w:noProof/>
        </w:rPr>
        <w:t>31</w:t>
      </w:r>
      <w:r w:rsidR="006A630F" w:rsidRPr="00591BFC">
        <w:fldChar w:fldCharType="end"/>
      </w:r>
      <w:r w:rsidRPr="00591BFC">
        <w:t xml:space="preserve">). The intervention of an OG and a FLN was deemed to occur only in the first year post primary hip fracture and, therefore, was not costed in the remaining years of simulation. We assumed that there would be no significant change in resources at hospital level within the primary hip fracture hospital admission due to OG or FLN beyond what was already captured in the </w:t>
      </w:r>
      <w:r w:rsidR="008E6533" w:rsidRPr="00591BFC">
        <w:t>HRGs</w:t>
      </w:r>
      <w:r w:rsidRPr="00591BFC">
        <w:t>. Hence, any difference in costs between the models of care were assumed to be due to the intervention costs and any additional hip fractures occurring and changes to patient’s longevity. We evaluated the impact of these assumptions in sensitivity analysis.</w:t>
      </w:r>
    </w:p>
    <w:p w14:paraId="50A05D79" w14:textId="77777777" w:rsidR="00615358" w:rsidRPr="00591BFC" w:rsidRDefault="00615358" w:rsidP="00E86771">
      <w:pPr>
        <w:pStyle w:val="Caption"/>
        <w:keepNext/>
        <w:spacing w:line="360" w:lineRule="auto"/>
      </w:pPr>
      <w:bookmarkStart w:id="427" w:name="_Ref423077239"/>
      <w:bookmarkStart w:id="428" w:name="_Toc308262426"/>
      <w:bookmarkStart w:id="429" w:name="_Toc311366692"/>
      <w:r w:rsidRPr="00591BFC">
        <w:t xml:space="preserve">Table </w:t>
      </w:r>
      <w:r w:rsidR="002149AD">
        <w:fldChar w:fldCharType="begin"/>
      </w:r>
      <w:r w:rsidR="002149AD">
        <w:instrText xml:space="preserve"> SEQ Table \* ARABIC </w:instrText>
      </w:r>
      <w:r w:rsidR="002149AD">
        <w:fldChar w:fldCharType="separate"/>
      </w:r>
      <w:r w:rsidR="00776C05">
        <w:rPr>
          <w:noProof/>
        </w:rPr>
        <w:t>31</w:t>
      </w:r>
      <w:r w:rsidR="002149AD">
        <w:rPr>
          <w:noProof/>
        </w:rPr>
        <w:fldChar w:fldCharType="end"/>
      </w:r>
      <w:bookmarkEnd w:id="427"/>
      <w:r w:rsidRPr="00591BFC">
        <w:t xml:space="preserve"> Costs of introducing an orthogeriatrician or a fracture liaison nurse</w:t>
      </w:r>
      <w:bookmarkEnd w:id="428"/>
      <w:bookmarkEnd w:id="429"/>
    </w:p>
    <w:tbl>
      <w:tblPr>
        <w:tblW w:w="0" w:type="auto"/>
        <w:tblBorders>
          <w:top w:val="single" w:sz="4" w:space="0" w:color="auto"/>
          <w:bottom w:val="single" w:sz="4" w:space="0" w:color="auto"/>
        </w:tblBorders>
        <w:tblLook w:val="04A0" w:firstRow="1" w:lastRow="0" w:firstColumn="1" w:lastColumn="0" w:noHBand="0" w:noVBand="1"/>
      </w:tblPr>
      <w:tblGrid>
        <w:gridCol w:w="1786"/>
        <w:gridCol w:w="1554"/>
        <w:gridCol w:w="1413"/>
        <w:gridCol w:w="1278"/>
        <w:gridCol w:w="1515"/>
        <w:gridCol w:w="1480"/>
      </w:tblGrid>
      <w:tr w:rsidR="00CF2E21" w:rsidRPr="00591BFC" w14:paraId="4DC15DAB" w14:textId="77777777" w:rsidTr="00694E86">
        <w:tc>
          <w:tcPr>
            <w:tcW w:w="1786" w:type="dxa"/>
            <w:tcBorders>
              <w:top w:val="single" w:sz="4" w:space="0" w:color="auto"/>
              <w:bottom w:val="single" w:sz="4" w:space="0" w:color="auto"/>
            </w:tcBorders>
            <w:shd w:val="clear" w:color="auto" w:fill="auto"/>
          </w:tcPr>
          <w:p w14:paraId="332ED31C" w14:textId="77777777" w:rsidR="00CF2E21" w:rsidRPr="00591BFC" w:rsidRDefault="00CF2E21" w:rsidP="00E86771">
            <w:pPr>
              <w:spacing w:line="360" w:lineRule="auto"/>
            </w:pPr>
          </w:p>
        </w:tc>
        <w:tc>
          <w:tcPr>
            <w:tcW w:w="1554" w:type="dxa"/>
            <w:tcBorders>
              <w:top w:val="single" w:sz="4" w:space="0" w:color="auto"/>
              <w:bottom w:val="single" w:sz="4" w:space="0" w:color="auto"/>
            </w:tcBorders>
            <w:shd w:val="clear" w:color="auto" w:fill="auto"/>
          </w:tcPr>
          <w:p w14:paraId="26659F15" w14:textId="77777777" w:rsidR="00CF2E21" w:rsidRPr="00591BFC" w:rsidRDefault="00CF2E21" w:rsidP="00E86771">
            <w:pPr>
              <w:spacing w:line="360" w:lineRule="auto"/>
            </w:pPr>
            <w:r w:rsidRPr="00591BFC">
              <w:t>Annual costs*</w:t>
            </w:r>
          </w:p>
        </w:tc>
        <w:tc>
          <w:tcPr>
            <w:tcW w:w="1413" w:type="dxa"/>
            <w:tcBorders>
              <w:top w:val="single" w:sz="4" w:space="0" w:color="auto"/>
              <w:bottom w:val="single" w:sz="4" w:space="0" w:color="auto"/>
            </w:tcBorders>
            <w:shd w:val="clear" w:color="auto" w:fill="auto"/>
          </w:tcPr>
          <w:p w14:paraId="2394AE2A" w14:textId="77777777" w:rsidR="00CF2E21" w:rsidRPr="00591BFC" w:rsidRDefault="00CF2E21" w:rsidP="00E86771">
            <w:pPr>
              <w:spacing w:line="360" w:lineRule="auto"/>
            </w:pPr>
            <w:r w:rsidRPr="00591BFC">
              <w:t>WTE</w:t>
            </w:r>
          </w:p>
        </w:tc>
        <w:tc>
          <w:tcPr>
            <w:tcW w:w="1278" w:type="dxa"/>
            <w:tcBorders>
              <w:top w:val="single" w:sz="4" w:space="0" w:color="auto"/>
              <w:bottom w:val="single" w:sz="4" w:space="0" w:color="auto"/>
            </w:tcBorders>
            <w:shd w:val="clear" w:color="auto" w:fill="auto"/>
          </w:tcPr>
          <w:p w14:paraId="19EA4A51" w14:textId="77777777" w:rsidR="00CF2E21" w:rsidRPr="00591BFC" w:rsidRDefault="00CF2E21" w:rsidP="00E86771">
            <w:pPr>
              <w:spacing w:line="360" w:lineRule="auto"/>
            </w:pPr>
            <w:r w:rsidRPr="00591BFC">
              <w:t>Annual costs</w:t>
            </w:r>
          </w:p>
        </w:tc>
        <w:tc>
          <w:tcPr>
            <w:tcW w:w="1515" w:type="dxa"/>
            <w:tcBorders>
              <w:top w:val="single" w:sz="4" w:space="0" w:color="auto"/>
              <w:bottom w:val="single" w:sz="4" w:space="0" w:color="auto"/>
            </w:tcBorders>
            <w:shd w:val="clear" w:color="auto" w:fill="auto"/>
          </w:tcPr>
          <w:p w14:paraId="4C31BCB9" w14:textId="77777777" w:rsidR="00CF2E21" w:rsidRPr="00591BFC" w:rsidRDefault="00CF2E21" w:rsidP="00E86771">
            <w:pPr>
              <w:spacing w:line="360" w:lineRule="auto"/>
            </w:pPr>
            <w:r w:rsidRPr="00591BFC">
              <w:t>Per hip fracture patient (450 patients)</w:t>
            </w:r>
          </w:p>
        </w:tc>
        <w:tc>
          <w:tcPr>
            <w:tcW w:w="1480" w:type="dxa"/>
            <w:tcBorders>
              <w:top w:val="single" w:sz="4" w:space="0" w:color="auto"/>
              <w:bottom w:val="single" w:sz="4" w:space="0" w:color="auto"/>
            </w:tcBorders>
            <w:shd w:val="clear" w:color="auto" w:fill="auto"/>
          </w:tcPr>
          <w:p w14:paraId="2B21E0FF" w14:textId="77777777" w:rsidR="00CF2E21" w:rsidRPr="00591BFC" w:rsidRDefault="00CF2E21" w:rsidP="00E86771">
            <w:pPr>
              <w:spacing w:line="360" w:lineRule="auto"/>
            </w:pPr>
            <w:r w:rsidRPr="00591BFC">
              <w:t>Source</w:t>
            </w:r>
          </w:p>
        </w:tc>
      </w:tr>
      <w:tr w:rsidR="00CF2E21" w:rsidRPr="00591BFC" w14:paraId="1B2581B8" w14:textId="77777777" w:rsidTr="00694E86">
        <w:tc>
          <w:tcPr>
            <w:tcW w:w="1786" w:type="dxa"/>
            <w:tcBorders>
              <w:top w:val="single" w:sz="4" w:space="0" w:color="auto"/>
            </w:tcBorders>
            <w:shd w:val="clear" w:color="auto" w:fill="auto"/>
          </w:tcPr>
          <w:p w14:paraId="0E334A75" w14:textId="77777777" w:rsidR="00CF2E21" w:rsidRPr="00591BFC" w:rsidRDefault="00CF2E21" w:rsidP="00E86771">
            <w:pPr>
              <w:spacing w:line="360" w:lineRule="auto"/>
            </w:pPr>
            <w:r w:rsidRPr="00591BFC">
              <w:lastRenderedPageBreak/>
              <w:t>Fracture liaison nurse (Grade 7)</w:t>
            </w:r>
          </w:p>
        </w:tc>
        <w:tc>
          <w:tcPr>
            <w:tcW w:w="1554" w:type="dxa"/>
            <w:tcBorders>
              <w:top w:val="single" w:sz="4" w:space="0" w:color="auto"/>
            </w:tcBorders>
            <w:shd w:val="clear" w:color="auto" w:fill="auto"/>
          </w:tcPr>
          <w:p w14:paraId="60BC1C1B" w14:textId="77777777" w:rsidR="00CF2E21" w:rsidRPr="00591BFC" w:rsidRDefault="00CF2E21" w:rsidP="00E86771">
            <w:pPr>
              <w:spacing w:line="360" w:lineRule="auto"/>
              <w:jc w:val="right"/>
            </w:pPr>
            <w:r w:rsidRPr="00591BFC">
              <w:t>£90,078</w:t>
            </w:r>
          </w:p>
        </w:tc>
        <w:tc>
          <w:tcPr>
            <w:tcW w:w="1413" w:type="dxa"/>
            <w:tcBorders>
              <w:top w:val="single" w:sz="4" w:space="0" w:color="auto"/>
            </w:tcBorders>
            <w:shd w:val="clear" w:color="auto" w:fill="auto"/>
          </w:tcPr>
          <w:p w14:paraId="2B8F1B17" w14:textId="77777777" w:rsidR="00CF2E21" w:rsidRPr="00591BFC" w:rsidRDefault="00CF2E21" w:rsidP="00E86771">
            <w:pPr>
              <w:spacing w:line="360" w:lineRule="auto"/>
            </w:pPr>
            <w:r w:rsidRPr="00591BFC">
              <w:t>1</w:t>
            </w:r>
          </w:p>
        </w:tc>
        <w:tc>
          <w:tcPr>
            <w:tcW w:w="1278" w:type="dxa"/>
            <w:tcBorders>
              <w:top w:val="single" w:sz="4" w:space="0" w:color="auto"/>
            </w:tcBorders>
            <w:shd w:val="clear" w:color="auto" w:fill="auto"/>
          </w:tcPr>
          <w:p w14:paraId="2C0F0EAF" w14:textId="77777777" w:rsidR="00CF2E21" w:rsidRPr="00591BFC" w:rsidRDefault="00CF2E21" w:rsidP="00E86771">
            <w:pPr>
              <w:spacing w:line="360" w:lineRule="auto"/>
            </w:pPr>
            <w:r w:rsidRPr="00591BFC">
              <w:t>£90,078</w:t>
            </w:r>
          </w:p>
        </w:tc>
        <w:tc>
          <w:tcPr>
            <w:tcW w:w="1515" w:type="dxa"/>
            <w:tcBorders>
              <w:top w:val="single" w:sz="4" w:space="0" w:color="auto"/>
            </w:tcBorders>
            <w:shd w:val="clear" w:color="auto" w:fill="auto"/>
          </w:tcPr>
          <w:p w14:paraId="58B3146F" w14:textId="77777777" w:rsidR="00CF2E21" w:rsidRPr="00591BFC" w:rsidRDefault="00CF2E21" w:rsidP="00E86771">
            <w:pPr>
              <w:spacing w:line="360" w:lineRule="auto"/>
            </w:pPr>
            <w:r w:rsidRPr="00591BFC">
              <w:t>£200</w:t>
            </w:r>
          </w:p>
        </w:tc>
        <w:tc>
          <w:tcPr>
            <w:tcW w:w="1480" w:type="dxa"/>
            <w:tcBorders>
              <w:top w:val="single" w:sz="4" w:space="0" w:color="auto"/>
            </w:tcBorders>
            <w:shd w:val="clear" w:color="auto" w:fill="auto"/>
          </w:tcPr>
          <w:p w14:paraId="6923BD64" w14:textId="77777777" w:rsidR="00CF2E21" w:rsidRPr="00591BFC" w:rsidRDefault="00CF2E21" w:rsidP="00E86771">
            <w:pPr>
              <w:spacing w:line="360" w:lineRule="auto"/>
            </w:pPr>
            <w:r w:rsidRPr="00591BFC">
              <w:t>PSSRU 2013</w:t>
            </w:r>
          </w:p>
        </w:tc>
      </w:tr>
      <w:tr w:rsidR="00CF2E21" w:rsidRPr="00591BFC" w14:paraId="051D4237" w14:textId="77777777" w:rsidTr="00694E86">
        <w:tc>
          <w:tcPr>
            <w:tcW w:w="1786" w:type="dxa"/>
            <w:shd w:val="clear" w:color="auto" w:fill="auto"/>
          </w:tcPr>
          <w:p w14:paraId="08EE21E6" w14:textId="77777777" w:rsidR="00CF2E21" w:rsidRPr="00591BFC" w:rsidRDefault="00CF2E21" w:rsidP="00E86771">
            <w:pPr>
              <w:spacing w:line="360" w:lineRule="auto"/>
            </w:pPr>
            <w:r w:rsidRPr="00591BFC">
              <w:t>Orthogeriatrician (Consultant)</w:t>
            </w:r>
          </w:p>
        </w:tc>
        <w:tc>
          <w:tcPr>
            <w:tcW w:w="1554" w:type="dxa"/>
            <w:shd w:val="clear" w:color="auto" w:fill="auto"/>
          </w:tcPr>
          <w:p w14:paraId="329734EB" w14:textId="77777777" w:rsidR="00CF2E21" w:rsidRPr="00591BFC" w:rsidRDefault="00CF2E21" w:rsidP="00E86771">
            <w:pPr>
              <w:spacing w:line="360" w:lineRule="auto"/>
              <w:jc w:val="right"/>
            </w:pPr>
            <w:r w:rsidRPr="00591BFC">
              <w:t>£252,003</w:t>
            </w:r>
          </w:p>
        </w:tc>
        <w:tc>
          <w:tcPr>
            <w:tcW w:w="1413" w:type="dxa"/>
            <w:shd w:val="clear" w:color="auto" w:fill="auto"/>
          </w:tcPr>
          <w:p w14:paraId="6DD5F655" w14:textId="77777777" w:rsidR="00CF2E21" w:rsidRPr="00591BFC" w:rsidRDefault="00CF2E21" w:rsidP="00E86771">
            <w:pPr>
              <w:spacing w:line="360" w:lineRule="auto"/>
            </w:pPr>
            <w:r w:rsidRPr="00591BFC">
              <w:t>0.75</w:t>
            </w:r>
          </w:p>
        </w:tc>
        <w:tc>
          <w:tcPr>
            <w:tcW w:w="1278" w:type="dxa"/>
            <w:shd w:val="clear" w:color="auto" w:fill="auto"/>
          </w:tcPr>
          <w:p w14:paraId="44580859" w14:textId="77777777" w:rsidR="00CF2E21" w:rsidRPr="00591BFC" w:rsidRDefault="00CF2E21" w:rsidP="00E86771">
            <w:pPr>
              <w:spacing w:line="360" w:lineRule="auto"/>
            </w:pPr>
            <w:r w:rsidRPr="00591BFC">
              <w:t>£189,002</w:t>
            </w:r>
          </w:p>
        </w:tc>
        <w:tc>
          <w:tcPr>
            <w:tcW w:w="1515" w:type="dxa"/>
            <w:shd w:val="clear" w:color="auto" w:fill="auto"/>
          </w:tcPr>
          <w:p w14:paraId="004526B6" w14:textId="77777777" w:rsidR="00CF2E21" w:rsidRPr="00591BFC" w:rsidRDefault="00CF2E21" w:rsidP="00E86771">
            <w:pPr>
              <w:spacing w:line="360" w:lineRule="auto"/>
            </w:pPr>
            <w:r w:rsidRPr="00591BFC">
              <w:t>£420</w:t>
            </w:r>
          </w:p>
        </w:tc>
        <w:tc>
          <w:tcPr>
            <w:tcW w:w="1480" w:type="dxa"/>
            <w:shd w:val="clear" w:color="auto" w:fill="auto"/>
          </w:tcPr>
          <w:p w14:paraId="77EAC890" w14:textId="77777777" w:rsidR="00CF2E21" w:rsidRPr="00591BFC" w:rsidRDefault="00CF2E21" w:rsidP="00E86771">
            <w:pPr>
              <w:spacing w:line="360" w:lineRule="auto"/>
            </w:pPr>
            <w:r w:rsidRPr="00591BFC">
              <w:t>PSSRU 2013</w:t>
            </w:r>
          </w:p>
        </w:tc>
      </w:tr>
    </w:tbl>
    <w:p w14:paraId="4E81EA42" w14:textId="77777777" w:rsidR="00CF2E21" w:rsidRPr="00591BFC" w:rsidRDefault="00CF2E21" w:rsidP="00E86771">
      <w:pPr>
        <w:spacing w:line="360" w:lineRule="auto"/>
      </w:pPr>
      <w:r w:rsidRPr="00591BFC">
        <w:t xml:space="preserve">* includes salary, salary oncosts, qualification costs, </w:t>
      </w:r>
      <w:r w:rsidR="008A6CC5" w:rsidRPr="008A6CC5">
        <w:t xml:space="preserve">management and non-staff </w:t>
      </w:r>
      <w:r w:rsidRPr="00591BFC">
        <w:t>overheads and capital overheads</w:t>
      </w:r>
    </w:p>
    <w:p w14:paraId="6904BB3E" w14:textId="77777777" w:rsidR="00CF2E21" w:rsidRPr="00591BFC" w:rsidRDefault="00CF2E21" w:rsidP="00E86771">
      <w:pPr>
        <w:spacing w:line="360" w:lineRule="auto"/>
      </w:pPr>
    </w:p>
    <w:p w14:paraId="75902E7C" w14:textId="77777777" w:rsidR="00CF2E21" w:rsidRPr="00591BFC" w:rsidRDefault="00CF2E21" w:rsidP="00E86771">
      <w:pPr>
        <w:pStyle w:val="Heading4"/>
        <w:spacing w:line="360" w:lineRule="auto"/>
        <w:rPr>
          <w:rFonts w:ascii="Calibri" w:hAnsi="Calibri"/>
        </w:rPr>
      </w:pPr>
      <w:r w:rsidRPr="00591BFC">
        <w:rPr>
          <w:rFonts w:ascii="Calibri" w:hAnsi="Calibri"/>
        </w:rPr>
        <w:t>Primary care costs</w:t>
      </w:r>
    </w:p>
    <w:p w14:paraId="375439A4" w14:textId="77777777" w:rsidR="00CF2E21" w:rsidRPr="00591BFC" w:rsidRDefault="00CF2E21" w:rsidP="00E86771">
      <w:pPr>
        <w:spacing w:line="360" w:lineRule="auto"/>
      </w:pPr>
      <w:r w:rsidRPr="00591BFC">
        <w:t xml:space="preserve">Information on primary care costs was obtained from the 4,433 patients with hip fracture identified in the CPRD database. The methodology used to derive the primary cost dataset is described in Chapter </w:t>
      </w:r>
      <w:r w:rsidR="006A630F" w:rsidRPr="00591BFC">
        <w:t>7</w:t>
      </w:r>
      <w:r w:rsidRPr="00591BFC">
        <w:t xml:space="preserve">. Briefly, we estimated the following cost items: </w:t>
      </w:r>
    </w:p>
    <w:p w14:paraId="35342650" w14:textId="77777777" w:rsidR="00CF2E21" w:rsidRPr="00591BFC" w:rsidRDefault="00CF2E21" w:rsidP="00E86771">
      <w:pPr>
        <w:pStyle w:val="ListParagraph"/>
        <w:numPr>
          <w:ilvl w:val="0"/>
          <w:numId w:val="25"/>
        </w:numPr>
        <w:spacing w:after="160" w:line="360" w:lineRule="auto"/>
      </w:pPr>
      <w:r w:rsidRPr="00591BFC">
        <w:t>GP consultations in clinic, GP surgery, telephone contacts, out-of-office visits;</w:t>
      </w:r>
    </w:p>
    <w:p w14:paraId="2CAEADD2" w14:textId="77777777" w:rsidR="00CF2E21" w:rsidRPr="00591BFC" w:rsidRDefault="00CF2E21" w:rsidP="00E86771">
      <w:pPr>
        <w:pStyle w:val="ListParagraph"/>
        <w:numPr>
          <w:ilvl w:val="0"/>
          <w:numId w:val="25"/>
        </w:numPr>
        <w:spacing w:after="160" w:line="360" w:lineRule="auto"/>
      </w:pPr>
      <w:r w:rsidRPr="00591BFC">
        <w:t xml:space="preserve">Nurse face to face and </w:t>
      </w:r>
      <w:r w:rsidR="006A630F" w:rsidRPr="00591BFC">
        <w:t>non-face</w:t>
      </w:r>
      <w:r w:rsidRPr="00591BFC">
        <w:t xml:space="preserve"> to face contacts;</w:t>
      </w:r>
    </w:p>
    <w:p w14:paraId="444F1433" w14:textId="77777777" w:rsidR="00CF2E21" w:rsidRPr="00591BFC" w:rsidRDefault="00CF2E21" w:rsidP="00E86771">
      <w:pPr>
        <w:pStyle w:val="ListParagraph"/>
        <w:numPr>
          <w:ilvl w:val="0"/>
          <w:numId w:val="25"/>
        </w:numPr>
        <w:spacing w:after="160" w:line="360" w:lineRule="auto"/>
      </w:pPr>
      <w:r w:rsidRPr="00591BFC">
        <w:t>Other community healthcare professionals contacts (e.g. health visitor, physiotherapist);</w:t>
      </w:r>
    </w:p>
    <w:p w14:paraId="28C6CA3C" w14:textId="77777777" w:rsidR="00CF2E21" w:rsidRPr="00591BFC" w:rsidRDefault="00CF2E21" w:rsidP="00E86771">
      <w:pPr>
        <w:pStyle w:val="ListParagraph"/>
        <w:numPr>
          <w:ilvl w:val="0"/>
          <w:numId w:val="25"/>
        </w:numPr>
        <w:spacing w:after="160" w:line="360" w:lineRule="auto"/>
      </w:pPr>
      <w:r w:rsidRPr="00591BFC">
        <w:t xml:space="preserve">Pharmaceuticals and tests. </w:t>
      </w:r>
    </w:p>
    <w:p w14:paraId="6D49343D" w14:textId="3040C7E5" w:rsidR="00CF2E21" w:rsidRPr="00591BFC" w:rsidRDefault="00CF2E21" w:rsidP="00E86771">
      <w:pPr>
        <w:pStyle w:val="EndNoteBibliography"/>
        <w:spacing w:after="0" w:line="360" w:lineRule="auto"/>
        <w:rPr>
          <w:lang w:val="en-GB"/>
        </w:rPr>
      </w:pPr>
      <w:r w:rsidRPr="00591BFC">
        <w:rPr>
          <w:lang w:val="en-GB"/>
        </w:rPr>
        <w:t xml:space="preserve">Each primary care contact and test was costed using unit costs from national cost databases (see </w:t>
      </w:r>
      <w:r w:rsidR="00323379" w:rsidRPr="00591BFC">
        <w:rPr>
          <w:lang w:val="en-GB"/>
        </w:rPr>
        <w:fldChar w:fldCharType="begin"/>
      </w:r>
      <w:r w:rsidR="00323379" w:rsidRPr="00591BFC">
        <w:rPr>
          <w:lang w:val="en-GB"/>
        </w:rPr>
        <w:instrText xml:space="preserve"> REF _Ref423075446 \h </w:instrText>
      </w:r>
      <w:r w:rsidR="00E814C1" w:rsidRPr="00591BFC">
        <w:rPr>
          <w:lang w:val="en-GB"/>
        </w:rPr>
        <w:instrText xml:space="preserve"> \* MERGEFORMAT </w:instrText>
      </w:r>
      <w:r w:rsidR="00323379" w:rsidRPr="00591BFC">
        <w:rPr>
          <w:lang w:val="en-GB"/>
        </w:rPr>
      </w:r>
      <w:r w:rsidR="00323379" w:rsidRPr="00591BFC">
        <w:rPr>
          <w:lang w:val="en-GB"/>
        </w:rPr>
        <w:fldChar w:fldCharType="separate"/>
      </w:r>
      <w:r w:rsidR="00B25D33" w:rsidRPr="00591BFC">
        <w:t xml:space="preserve">Table </w:t>
      </w:r>
      <w:r w:rsidR="00B25D33">
        <w:rPr>
          <w:noProof/>
        </w:rPr>
        <w:t>17</w:t>
      </w:r>
      <w:r w:rsidR="00323379" w:rsidRPr="00591BFC">
        <w:rPr>
          <w:lang w:val="en-GB"/>
        </w:rPr>
        <w:fldChar w:fldCharType="end"/>
      </w:r>
      <w:r w:rsidRPr="00591BFC">
        <w:rPr>
          <w:lang w:val="en-GB"/>
        </w:rPr>
        <w:t>)</w:t>
      </w:r>
      <w:hyperlink w:anchor="_ENREF_137" w:tooltip="Curtis, 2013 #1119" w:history="1">
        <w:r w:rsidR="00B24FEE">
          <w:rPr>
            <w:lang w:val="en-GB"/>
          </w:rPr>
          <w:fldChar w:fldCharType="begin"/>
        </w:r>
        <w:r w:rsidR="00B24FEE">
          <w:rPr>
            <w:lang w:val="en-GB"/>
          </w:rPr>
          <w:instrText xml:space="preserve"> ADDIN EN.CITE &lt;EndNote&gt;&lt;Cite&gt;&lt;Author&gt;Curtis&lt;/Author&gt;&lt;Year&gt;2013&lt;/Year&gt;&lt;RecNum&gt;1119&lt;/RecNum&gt;&lt;DisplayText&gt;&lt;style face="superscript"&gt;137&lt;/style&gt;&lt;/DisplayText&gt;&lt;record&gt;&lt;rec-number&gt;1119&lt;/rec-number&gt;&lt;foreign-keys&gt;&lt;key app="EN" db-id="sxpszd2ti9dx04ewefrvfp5bpf5faazszr9p" timestamp="1435659132"&gt;1119&lt;/key&gt;&lt;/foreign-keys&gt;&lt;ref-type name="Report"&gt;27&lt;/ref-type&gt;&lt;contributors&gt;&lt;authors&gt;&lt;author&gt;Curtis, L. H.&lt;/author&gt;&lt;/authors&gt;&lt;/contributors&gt;&lt;titles&gt;&lt;title&gt;Unit costs of health and social care 2013&lt;/title&gt;&lt;/titles&gt;&lt;dates&gt;&lt;year&gt;2013&lt;/year&gt;&lt;/dates&gt;&lt;publisher&gt;Personal Social Services Research Unit&lt;/publisher&gt;&lt;urls&gt;&lt;related-urls&gt;&lt;url&gt;https://wwwgovuk/government/publications/nhs-reference-costs-2012-to-2013&lt;/url&gt;&lt;/related-urls&gt;&lt;/urls&gt;&lt;/record&gt;&lt;/Cite&gt;&lt;/EndNote&gt;</w:instrText>
        </w:r>
        <w:r w:rsidR="00B24FEE">
          <w:rPr>
            <w:lang w:val="en-GB"/>
          </w:rPr>
          <w:fldChar w:fldCharType="separate"/>
        </w:r>
        <w:r w:rsidR="00B24FEE" w:rsidRPr="00B24FEE">
          <w:rPr>
            <w:noProof/>
            <w:vertAlign w:val="superscript"/>
            <w:lang w:val="en-GB"/>
          </w:rPr>
          <w:t>137</w:t>
        </w:r>
        <w:r w:rsidR="00B24FEE">
          <w:rPr>
            <w:lang w:val="en-GB"/>
          </w:rPr>
          <w:fldChar w:fldCharType="end"/>
        </w:r>
      </w:hyperlink>
      <w:r w:rsidR="009F1181" w:rsidRPr="00591BFC">
        <w:rPr>
          <w:lang w:val="en-GB"/>
        </w:rPr>
        <w:t>. Following a previous study</w:t>
      </w:r>
      <w:hyperlink w:anchor="_ENREF_136" w:tooltip="Violato, 2012 #1131" w:history="1">
        <w:r w:rsidR="00B24FEE">
          <w:rPr>
            <w:lang w:val="en-GB"/>
          </w:rPr>
          <w:fldChar w:fldCharType="begin">
            <w:fldData xml:space="preserve">PEVuZE5vdGU+PENpdGU+PEF1dGhvcj5WaW9sYXRvPC9BdXRob3I+PFllYXI+MjAxMjwvWWVhcj48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</w:fldData>
          </w:fldChar>
        </w:r>
        <w:r w:rsidR="00B24FEE">
          <w:rPr>
            <w:lang w:val="en-GB"/>
          </w:rPr>
          <w:instrText xml:space="preserve"> ADDIN EN.CITE </w:instrText>
        </w:r>
        <w:r w:rsidR="00B24FEE">
          <w:rPr>
            <w:lang w:val="en-GB"/>
          </w:rPr>
          <w:fldChar w:fldCharType="begin">
            <w:fldData xml:space="preserve">PEVuZE5vdGU+PENpdGU+PEF1dGhvcj5WaW9sYXRvPC9BdXRob3I+PFllYXI+MjAxMjwvWWVhcj48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</w:fldData>
          </w:fldChar>
        </w:r>
        <w:r w:rsidR="00B24FEE">
          <w:rPr>
            <w:lang w:val="en-GB"/>
          </w:rPr>
          <w:instrText xml:space="preserve"> ADDIN EN.CITE.DATA </w:instrText>
        </w:r>
        <w:r w:rsidR="00B24FEE">
          <w:rPr>
            <w:lang w:val="en-GB"/>
          </w:rPr>
        </w:r>
        <w:r w:rsidR="00B24FEE">
          <w:rPr>
            <w:lang w:val="en-GB"/>
          </w:rPr>
          <w:fldChar w:fldCharType="end"/>
        </w:r>
        <w:r w:rsidR="00B24FEE">
          <w:rPr>
            <w:lang w:val="en-GB"/>
          </w:rPr>
        </w:r>
        <w:r w:rsidR="00B24FEE">
          <w:rPr>
            <w:lang w:val="en-GB"/>
          </w:rPr>
          <w:fldChar w:fldCharType="separate"/>
        </w:r>
        <w:r w:rsidR="00B24FEE" w:rsidRPr="00B24FEE">
          <w:rPr>
            <w:noProof/>
            <w:vertAlign w:val="superscript"/>
            <w:lang w:val="en-GB"/>
          </w:rPr>
          <w:t>136</w:t>
        </w:r>
        <w:r w:rsidR="00B24FEE">
          <w:rPr>
            <w:lang w:val="en-GB"/>
          </w:rPr>
          <w:fldChar w:fldCharType="end"/>
        </w:r>
      </w:hyperlink>
      <w:r w:rsidR="009F1181" w:rsidRPr="00591BFC">
        <w:rPr>
          <w:lang w:val="en-GB"/>
        </w:rPr>
        <w:t xml:space="preserve">, </w:t>
      </w:r>
      <w:r w:rsidRPr="00591BFC">
        <w:rPr>
          <w:lang w:val="en-GB"/>
        </w:rPr>
        <w:t>we only counted one consultation per day. Pharmaceuticals were costed using the number of prescriptions stratified by BNF code</w:t>
      </w:r>
      <w:hyperlink w:anchor="_ENREF_138" w:tooltip="Royal Pharmaceutical Society,  #1136" w:history="1">
        <w:r w:rsidR="00B24FEE">
          <w:rPr>
            <w:lang w:val="en-GB"/>
          </w:rPr>
          <w:fldChar w:fldCharType="begin"/>
        </w:r>
        <w:r w:rsidR="00B24FEE">
          <w:rPr>
            <w:lang w:val="en-GB"/>
          </w:rPr>
          <w:instrText xml:space="preserve"> ADDIN EN.CITE &lt;EndNote&gt;&lt;Cite ExcludeAuth="1" ExcludeYear="1"&gt;&lt;Author&gt;Royal Pharmaceutical Society&lt;/Author&gt;&lt;RecNum&gt;1136&lt;/RecNum&gt;&lt;DisplayText&gt;&lt;style face="superscript"&gt;138&lt;/style&gt;&lt;/DisplayText&gt;&lt;record&gt;&lt;rec-number&gt;1136&lt;/rec-number&gt;&lt;foreign-keys&gt;&lt;key app="EN" db-id="sxpszd2ti9dx04ewefrvfp5bpf5faazszr9p" timestamp="1435664118"&gt;1136&lt;/key&gt;&lt;/foreign-keys&gt;&lt;ref-type name="Web Page"&gt;12&lt;/ref-type&gt;&lt;contributors&gt;&lt;authors&gt;&lt;author&gt;Royal Pharmaceutical Society,&lt;/author&gt;&lt;/authors&gt;&lt;/contributors&gt;&lt;titles&gt;&lt;title&gt;British National Formulary BNF Categories&lt;/title&gt;&lt;/titles&gt;&lt;number&gt;3rd October 2015&lt;/number&gt;&lt;dates&gt;&lt;/dates&gt;&lt;publisher&gt;BMJ Publishing Group Ltd&lt;/publisher&gt;&lt;urls&gt;&lt;related-urls&gt;&lt;url&gt;http://www.bnf.org/bnf/org_450080.htm&lt;/url&gt;&lt;/related-urls&gt;&lt;/urls&gt;&lt;/record&gt;&lt;/Cite&gt;&lt;/EndNote&gt;</w:instrText>
        </w:r>
        <w:r w:rsidR="00B24FEE">
          <w:rPr>
            <w:lang w:val="en-GB"/>
          </w:rPr>
          <w:fldChar w:fldCharType="separate"/>
        </w:r>
        <w:r w:rsidR="00B24FEE" w:rsidRPr="00B24FEE">
          <w:rPr>
            <w:noProof/>
            <w:vertAlign w:val="superscript"/>
            <w:lang w:val="en-GB"/>
          </w:rPr>
          <w:t>138</w:t>
        </w:r>
        <w:r w:rsidR="00B24FEE">
          <w:rPr>
            <w:lang w:val="en-GB"/>
          </w:rPr>
          <w:fldChar w:fldCharType="end"/>
        </w:r>
      </w:hyperlink>
      <w:r w:rsidRPr="00591BFC">
        <w:rPr>
          <w:lang w:val="en-GB"/>
        </w:rPr>
        <w:t xml:space="preserve"> per patient. The unit costs for each BNF code concerned the net ingredient cost per item prescribed reported in</w:t>
      </w:r>
      <w:r w:rsidR="00AB57EE" w:rsidRPr="00591BFC">
        <w:rPr>
          <w:lang w:val="en-GB"/>
        </w:rPr>
        <w:t xml:space="preserve"> the Health and Social Care Information Centre</w:t>
      </w:r>
      <w:r w:rsidRPr="00591BFC">
        <w:rPr>
          <w:lang w:val="en-GB"/>
        </w:rPr>
        <w:t xml:space="preserve"> Prescription Cost Analysis</w:t>
      </w:r>
      <w:hyperlink w:anchor="_ENREF_139" w:tooltip=", 2013 #1120" w:history="1">
        <w:r w:rsidR="00B24FEE">
          <w:rPr>
            <w:lang w:val="en-GB"/>
          </w:rPr>
          <w:fldChar w:fldCharType="begin"/>
        </w:r>
        <w:r w:rsidR="00B24FEE">
          <w:rPr>
            <w:lang w:val="en-GB"/>
          </w:rPr>
          <w:instrText xml:space="preserve"> ADDIN EN.CITE &lt;EndNote&gt;&lt;Cite ExcludeAuth="1"&gt;&lt;Year&gt;2013&lt;/Year&gt;&lt;RecNum&gt;1120&lt;/RecNum&gt;&lt;DisplayText&gt;&lt;style face="superscript"&gt;139&lt;/style&gt;&lt;/DisplayText&gt;&lt;record&gt;&lt;rec-number&gt;1120&lt;/rec-number&gt;&lt;foreign-keys&gt;&lt;key app="EN" db-id="sxpszd2ti9dx04ewefrvfp5bpf5faazszr9p" timestamp="1435660170"&gt;1120&lt;/key&gt;&lt;/foreign-keys&gt;&lt;ref-type name="Report"&gt;27&lt;/ref-type&gt;&lt;contributors&gt;&lt;/contributors&gt;&lt;titles&gt;&lt;title&gt;Health and Social Care Information Centre. Prescription Cost Analysis, England&lt;/title&gt;&lt;/titles&gt;&lt;dates&gt;&lt;year&gt;2013&lt;/year&gt;&lt;/dates&gt;&lt;urls&gt;&lt;related-urls&gt;&lt;url&gt;http://www.hscic.gov.uk/catalogue/PUB13887&lt;/url&gt;&lt;/related-urls&gt;&lt;/urls&gt;&lt;/record&gt;&lt;/Cite&gt;&lt;/EndNote&gt;</w:instrText>
        </w:r>
        <w:r w:rsidR="00B24FEE">
          <w:rPr>
            <w:lang w:val="en-GB"/>
          </w:rPr>
          <w:fldChar w:fldCharType="separate"/>
        </w:r>
        <w:r w:rsidR="00B24FEE" w:rsidRPr="00B24FEE">
          <w:rPr>
            <w:noProof/>
            <w:vertAlign w:val="superscript"/>
            <w:lang w:val="en-GB"/>
          </w:rPr>
          <w:t>139</w:t>
        </w:r>
        <w:r w:rsidR="00B24FEE">
          <w:rPr>
            <w:lang w:val="en-GB"/>
          </w:rPr>
          <w:fldChar w:fldCharType="end"/>
        </w:r>
      </w:hyperlink>
      <w:r w:rsidR="00AB57EE" w:rsidRPr="00591BFC">
        <w:rPr>
          <w:lang w:val="en-GB"/>
        </w:rPr>
        <w:t>.</w:t>
      </w:r>
      <w:r w:rsidRPr="00591BFC">
        <w:rPr>
          <w:lang w:val="en-GB"/>
        </w:rPr>
        <w:t xml:space="preserve"> </w:t>
      </w:r>
    </w:p>
    <w:p w14:paraId="2C65FD33" w14:textId="77777777" w:rsidR="00CF2E21" w:rsidRPr="00591BFC" w:rsidRDefault="00CF2E21" w:rsidP="00E86771">
      <w:pPr>
        <w:spacing w:line="360" w:lineRule="auto"/>
      </w:pPr>
    </w:p>
    <w:p w14:paraId="5FAF5CE0" w14:textId="77777777" w:rsidR="000C3295" w:rsidRPr="00591BFC" w:rsidRDefault="000C3295" w:rsidP="00E86771">
      <w:pPr>
        <w:pStyle w:val="Caption"/>
        <w:keepNext/>
        <w:spacing w:line="360" w:lineRule="auto"/>
      </w:pPr>
      <w:bookmarkStart w:id="430" w:name="_Ref423077987"/>
      <w:bookmarkStart w:id="431" w:name="_Toc308262427"/>
      <w:bookmarkStart w:id="432" w:name="_Toc311366693"/>
      <w:r w:rsidRPr="00591BFC">
        <w:t xml:space="preserve">Table </w:t>
      </w:r>
      <w:r w:rsidR="002149AD">
        <w:fldChar w:fldCharType="begin"/>
      </w:r>
      <w:r w:rsidR="002149AD">
        <w:instrText xml:space="preserve"> SEQ Table \* ARABIC </w:instrText>
      </w:r>
      <w:r w:rsidR="002149AD">
        <w:fldChar w:fldCharType="separate"/>
      </w:r>
      <w:r w:rsidR="00776C05">
        <w:rPr>
          <w:noProof/>
        </w:rPr>
        <w:t>32</w:t>
      </w:r>
      <w:r w:rsidR="002149AD">
        <w:rPr>
          <w:noProof/>
        </w:rPr>
        <w:fldChar w:fldCharType="end"/>
      </w:r>
      <w:bookmarkEnd w:id="430"/>
      <w:r w:rsidRPr="00591BFC">
        <w:t xml:space="preserve"> Primary care cost equations</w:t>
      </w:r>
      <w:bookmarkEnd w:id="431"/>
      <w:bookmarkEnd w:id="432"/>
    </w:p>
    <w:tbl>
      <w:tblPr>
        <w:tblW w:w="0" w:type="auto"/>
        <w:tblBorders>
          <w:top w:val="single" w:sz="4" w:space="0" w:color="auto"/>
          <w:bottom w:val="single" w:sz="4" w:space="0" w:color="auto"/>
        </w:tblBorders>
        <w:tblLook w:val="04A0" w:firstRow="1" w:lastRow="0" w:firstColumn="1" w:lastColumn="0" w:noHBand="0" w:noVBand="1"/>
      </w:tblPr>
      <w:tblGrid>
        <w:gridCol w:w="2977"/>
        <w:gridCol w:w="2552"/>
        <w:gridCol w:w="708"/>
        <w:gridCol w:w="1985"/>
        <w:gridCol w:w="794"/>
      </w:tblGrid>
      <w:tr w:rsidR="008A6CC5" w:rsidRPr="002E63B3" w14:paraId="546D6ACD" w14:textId="77777777" w:rsidTr="0065714E">
        <w:tc>
          <w:tcPr>
            <w:tcW w:w="2977" w:type="dxa"/>
            <w:shd w:val="clear" w:color="auto" w:fill="auto"/>
          </w:tcPr>
          <w:p w14:paraId="658AE4ED" w14:textId="77777777" w:rsidR="008A6CC5" w:rsidRPr="002E63B3" w:rsidRDefault="008A6CC5" w:rsidP="00E86771">
            <w:pPr>
              <w:spacing w:line="360" w:lineRule="auto"/>
            </w:pPr>
          </w:p>
        </w:tc>
        <w:tc>
          <w:tcPr>
            <w:tcW w:w="2552" w:type="dxa"/>
            <w:shd w:val="clear" w:color="auto" w:fill="auto"/>
          </w:tcPr>
          <w:p w14:paraId="1C7D32FD" w14:textId="77777777" w:rsidR="008A6CC5" w:rsidRPr="002E63B3" w:rsidRDefault="008A6CC5" w:rsidP="00E86771">
            <w:pPr>
              <w:spacing w:line="360" w:lineRule="auto"/>
              <w:jc w:val="right"/>
            </w:pPr>
            <w:r w:rsidRPr="002E63B3">
              <w:t>Year of 1</w:t>
            </w:r>
            <w:r w:rsidRPr="002E63B3">
              <w:rPr>
                <w:vertAlign w:val="superscript"/>
              </w:rPr>
              <w:t>st</w:t>
            </w:r>
            <w:r w:rsidRPr="002E63B3">
              <w:t xml:space="preserve"> hip fracture</w:t>
            </w:r>
          </w:p>
        </w:tc>
        <w:tc>
          <w:tcPr>
            <w:tcW w:w="708" w:type="dxa"/>
            <w:shd w:val="clear" w:color="auto" w:fill="auto"/>
          </w:tcPr>
          <w:p w14:paraId="0A19D40D" w14:textId="77777777" w:rsidR="008A6CC5" w:rsidRPr="002E63B3" w:rsidRDefault="008A6CC5" w:rsidP="00E86771">
            <w:pPr>
              <w:spacing w:line="360" w:lineRule="auto"/>
              <w:jc w:val="right"/>
            </w:pPr>
          </w:p>
        </w:tc>
        <w:tc>
          <w:tcPr>
            <w:tcW w:w="1985" w:type="dxa"/>
            <w:shd w:val="clear" w:color="auto" w:fill="auto"/>
          </w:tcPr>
          <w:p w14:paraId="1BE8BCC8" w14:textId="77777777" w:rsidR="008A6CC5" w:rsidRPr="002E63B3" w:rsidRDefault="008A6CC5" w:rsidP="00E86771">
            <w:pPr>
              <w:spacing w:line="360" w:lineRule="auto"/>
              <w:jc w:val="right"/>
            </w:pPr>
            <w:r w:rsidRPr="002E63B3">
              <w:t>Subsequent years</w:t>
            </w:r>
          </w:p>
        </w:tc>
        <w:tc>
          <w:tcPr>
            <w:tcW w:w="794" w:type="dxa"/>
            <w:shd w:val="clear" w:color="auto" w:fill="auto"/>
          </w:tcPr>
          <w:p w14:paraId="4A9F1820" w14:textId="77777777" w:rsidR="008A6CC5" w:rsidRPr="002E63B3" w:rsidRDefault="008A6CC5" w:rsidP="00E86771">
            <w:pPr>
              <w:spacing w:line="360" w:lineRule="auto"/>
            </w:pPr>
          </w:p>
        </w:tc>
      </w:tr>
      <w:tr w:rsidR="008A6CC5" w:rsidRPr="002E63B3" w14:paraId="3DB2745C" w14:textId="77777777" w:rsidTr="0065714E">
        <w:tc>
          <w:tcPr>
            <w:tcW w:w="2977" w:type="dxa"/>
            <w:shd w:val="clear" w:color="auto" w:fill="auto"/>
          </w:tcPr>
          <w:p w14:paraId="04A718E3" w14:textId="77777777" w:rsidR="008A6CC5" w:rsidRPr="002E63B3" w:rsidRDefault="008A6CC5" w:rsidP="00E86771">
            <w:pPr>
              <w:spacing w:line="360" w:lineRule="auto"/>
            </w:pPr>
            <w:r w:rsidRPr="002E63B3">
              <w:t>Patient-years</w:t>
            </w:r>
          </w:p>
        </w:tc>
        <w:tc>
          <w:tcPr>
            <w:tcW w:w="2552" w:type="dxa"/>
            <w:shd w:val="clear" w:color="auto" w:fill="auto"/>
          </w:tcPr>
          <w:p w14:paraId="19726AD9" w14:textId="77777777" w:rsidR="008A6CC5" w:rsidRPr="002E63B3" w:rsidRDefault="008A6CC5" w:rsidP="00E86771">
            <w:pPr>
              <w:spacing w:line="360" w:lineRule="auto"/>
              <w:jc w:val="right"/>
            </w:pPr>
            <w:r w:rsidRPr="002E63B3">
              <w:t>3,910</w:t>
            </w:r>
          </w:p>
        </w:tc>
        <w:tc>
          <w:tcPr>
            <w:tcW w:w="708" w:type="dxa"/>
            <w:shd w:val="clear" w:color="auto" w:fill="auto"/>
          </w:tcPr>
          <w:p w14:paraId="5579CB04" w14:textId="77777777" w:rsidR="008A6CC5" w:rsidRPr="002E63B3" w:rsidRDefault="008A6CC5" w:rsidP="00E86771">
            <w:pPr>
              <w:spacing w:line="360" w:lineRule="auto"/>
              <w:jc w:val="right"/>
            </w:pPr>
          </w:p>
        </w:tc>
        <w:tc>
          <w:tcPr>
            <w:tcW w:w="1985" w:type="dxa"/>
            <w:shd w:val="clear" w:color="auto" w:fill="auto"/>
          </w:tcPr>
          <w:p w14:paraId="3C6E3D88" w14:textId="77777777" w:rsidR="008A6CC5" w:rsidRPr="002E63B3" w:rsidRDefault="008A6CC5" w:rsidP="00E86771">
            <w:pPr>
              <w:spacing w:line="360" w:lineRule="auto"/>
              <w:jc w:val="right"/>
            </w:pPr>
            <w:r w:rsidRPr="002E63B3">
              <w:t>7,373</w:t>
            </w:r>
          </w:p>
        </w:tc>
        <w:tc>
          <w:tcPr>
            <w:tcW w:w="794" w:type="dxa"/>
            <w:shd w:val="clear" w:color="auto" w:fill="auto"/>
          </w:tcPr>
          <w:p w14:paraId="6C3B6584" w14:textId="77777777" w:rsidR="008A6CC5" w:rsidRPr="002E63B3" w:rsidRDefault="008A6CC5" w:rsidP="00E86771">
            <w:pPr>
              <w:spacing w:line="360" w:lineRule="auto"/>
            </w:pPr>
          </w:p>
        </w:tc>
      </w:tr>
      <w:tr w:rsidR="008A6CC5" w:rsidRPr="002E63B3" w14:paraId="4820929B" w14:textId="77777777" w:rsidTr="0065714E">
        <w:tc>
          <w:tcPr>
            <w:tcW w:w="2977" w:type="dxa"/>
            <w:shd w:val="clear" w:color="auto" w:fill="auto"/>
          </w:tcPr>
          <w:p w14:paraId="0226CD8F" w14:textId="77777777" w:rsidR="008A6CC5" w:rsidRPr="002E63B3" w:rsidRDefault="008A6CC5" w:rsidP="00E86771">
            <w:pPr>
              <w:spacing w:line="360" w:lineRule="auto"/>
            </w:pPr>
            <w:r w:rsidRPr="002E63B3">
              <w:t>No. of patients</w:t>
            </w:r>
          </w:p>
        </w:tc>
        <w:tc>
          <w:tcPr>
            <w:tcW w:w="2552" w:type="dxa"/>
            <w:shd w:val="clear" w:color="auto" w:fill="auto"/>
          </w:tcPr>
          <w:p w14:paraId="25A89C26" w14:textId="77777777" w:rsidR="008A6CC5" w:rsidRPr="002E63B3" w:rsidRDefault="008A6CC5" w:rsidP="00E86771">
            <w:pPr>
              <w:spacing w:line="360" w:lineRule="auto"/>
              <w:jc w:val="right"/>
            </w:pPr>
            <w:r w:rsidRPr="002E63B3">
              <w:t>3,910</w:t>
            </w:r>
          </w:p>
        </w:tc>
        <w:tc>
          <w:tcPr>
            <w:tcW w:w="708" w:type="dxa"/>
            <w:shd w:val="clear" w:color="auto" w:fill="auto"/>
          </w:tcPr>
          <w:p w14:paraId="507B364C" w14:textId="77777777" w:rsidR="008A6CC5" w:rsidRPr="002E63B3" w:rsidRDefault="008A6CC5" w:rsidP="00E86771">
            <w:pPr>
              <w:spacing w:line="360" w:lineRule="auto"/>
              <w:jc w:val="right"/>
            </w:pPr>
          </w:p>
        </w:tc>
        <w:tc>
          <w:tcPr>
            <w:tcW w:w="1985" w:type="dxa"/>
            <w:shd w:val="clear" w:color="auto" w:fill="auto"/>
          </w:tcPr>
          <w:p w14:paraId="21DEDFF2" w14:textId="77777777" w:rsidR="008A6CC5" w:rsidRPr="002E63B3" w:rsidRDefault="008A6CC5" w:rsidP="00E86771">
            <w:pPr>
              <w:spacing w:line="360" w:lineRule="auto"/>
              <w:jc w:val="right"/>
            </w:pPr>
            <w:r w:rsidRPr="002E63B3">
              <w:t>2,568</w:t>
            </w:r>
          </w:p>
        </w:tc>
        <w:tc>
          <w:tcPr>
            <w:tcW w:w="794" w:type="dxa"/>
            <w:shd w:val="clear" w:color="auto" w:fill="auto"/>
          </w:tcPr>
          <w:p w14:paraId="7E4214B0" w14:textId="77777777" w:rsidR="008A6CC5" w:rsidRPr="002E63B3" w:rsidRDefault="008A6CC5" w:rsidP="00E86771">
            <w:pPr>
              <w:spacing w:line="360" w:lineRule="auto"/>
            </w:pPr>
          </w:p>
        </w:tc>
      </w:tr>
      <w:tr w:rsidR="008A6CC5" w:rsidRPr="002E63B3" w14:paraId="68C9586A" w14:textId="77777777" w:rsidTr="0065714E">
        <w:tc>
          <w:tcPr>
            <w:tcW w:w="2977" w:type="dxa"/>
            <w:shd w:val="clear" w:color="auto" w:fill="auto"/>
          </w:tcPr>
          <w:p w14:paraId="24A52917" w14:textId="77777777" w:rsidR="008A6CC5" w:rsidRPr="002E63B3" w:rsidRDefault="008A6CC5" w:rsidP="00E86771">
            <w:pPr>
              <w:spacing w:line="360" w:lineRule="auto"/>
            </w:pPr>
            <w:r w:rsidRPr="002E63B3">
              <w:t>Distributional form</w:t>
            </w:r>
          </w:p>
        </w:tc>
        <w:tc>
          <w:tcPr>
            <w:tcW w:w="2552" w:type="dxa"/>
            <w:shd w:val="clear" w:color="auto" w:fill="auto"/>
          </w:tcPr>
          <w:p w14:paraId="6F261698" w14:textId="77777777" w:rsidR="008A6CC5" w:rsidRPr="002E63B3" w:rsidRDefault="008A6CC5" w:rsidP="00E86771">
            <w:pPr>
              <w:spacing w:line="360" w:lineRule="auto"/>
              <w:jc w:val="right"/>
            </w:pPr>
            <w:r w:rsidRPr="002E63B3">
              <w:t>Gamma</w:t>
            </w:r>
          </w:p>
        </w:tc>
        <w:tc>
          <w:tcPr>
            <w:tcW w:w="708" w:type="dxa"/>
            <w:shd w:val="clear" w:color="auto" w:fill="auto"/>
          </w:tcPr>
          <w:p w14:paraId="233DAAC0" w14:textId="77777777" w:rsidR="008A6CC5" w:rsidRPr="002E63B3" w:rsidRDefault="008A6CC5" w:rsidP="00E86771">
            <w:pPr>
              <w:spacing w:line="360" w:lineRule="auto"/>
              <w:jc w:val="right"/>
            </w:pPr>
          </w:p>
        </w:tc>
        <w:tc>
          <w:tcPr>
            <w:tcW w:w="1985" w:type="dxa"/>
            <w:shd w:val="clear" w:color="auto" w:fill="auto"/>
          </w:tcPr>
          <w:p w14:paraId="0FCC4006" w14:textId="77777777" w:rsidR="008A6CC5" w:rsidRPr="002E63B3" w:rsidRDefault="008A6CC5" w:rsidP="00E86771">
            <w:pPr>
              <w:spacing w:line="360" w:lineRule="auto"/>
              <w:jc w:val="right"/>
            </w:pPr>
            <w:r w:rsidRPr="002E63B3">
              <w:t>Gamma</w:t>
            </w:r>
          </w:p>
        </w:tc>
        <w:tc>
          <w:tcPr>
            <w:tcW w:w="794" w:type="dxa"/>
            <w:shd w:val="clear" w:color="auto" w:fill="auto"/>
          </w:tcPr>
          <w:p w14:paraId="29C0E978" w14:textId="77777777" w:rsidR="008A6CC5" w:rsidRPr="002E63B3" w:rsidRDefault="008A6CC5" w:rsidP="00E86771">
            <w:pPr>
              <w:spacing w:line="360" w:lineRule="auto"/>
            </w:pPr>
          </w:p>
        </w:tc>
      </w:tr>
      <w:tr w:rsidR="008A6CC5" w:rsidRPr="002E63B3" w14:paraId="63D866F6" w14:textId="77777777" w:rsidTr="0065714E">
        <w:tc>
          <w:tcPr>
            <w:tcW w:w="2977" w:type="dxa"/>
            <w:tcBorders>
              <w:bottom w:val="single" w:sz="4" w:space="0" w:color="auto"/>
            </w:tcBorders>
            <w:shd w:val="clear" w:color="auto" w:fill="auto"/>
          </w:tcPr>
          <w:p w14:paraId="0F51C0B7" w14:textId="77777777" w:rsidR="008A6CC5" w:rsidRPr="002E63B3" w:rsidRDefault="008A6CC5" w:rsidP="00E86771">
            <w:pPr>
              <w:spacing w:line="360" w:lineRule="auto"/>
            </w:pPr>
            <w:r w:rsidRPr="002E63B3">
              <w:t>Link function</w:t>
            </w:r>
          </w:p>
        </w:tc>
        <w:tc>
          <w:tcPr>
            <w:tcW w:w="2552" w:type="dxa"/>
            <w:tcBorders>
              <w:bottom w:val="single" w:sz="4" w:space="0" w:color="auto"/>
            </w:tcBorders>
            <w:shd w:val="clear" w:color="auto" w:fill="auto"/>
          </w:tcPr>
          <w:p w14:paraId="4E5AD6AA" w14:textId="77777777" w:rsidR="008A6CC5" w:rsidRPr="002E63B3" w:rsidRDefault="008A6CC5" w:rsidP="00E86771">
            <w:pPr>
              <w:spacing w:line="360" w:lineRule="auto"/>
              <w:jc w:val="right"/>
            </w:pPr>
            <w:r w:rsidRPr="002E63B3">
              <w:t>Identity</w:t>
            </w:r>
          </w:p>
        </w:tc>
        <w:tc>
          <w:tcPr>
            <w:tcW w:w="708" w:type="dxa"/>
            <w:tcBorders>
              <w:bottom w:val="single" w:sz="4" w:space="0" w:color="auto"/>
            </w:tcBorders>
            <w:shd w:val="clear" w:color="auto" w:fill="auto"/>
          </w:tcPr>
          <w:p w14:paraId="0DEA1BB7" w14:textId="77777777" w:rsidR="008A6CC5" w:rsidRPr="002E63B3" w:rsidRDefault="008A6CC5" w:rsidP="00E86771">
            <w:pPr>
              <w:spacing w:line="360" w:lineRule="auto"/>
              <w:jc w:val="right"/>
            </w:pPr>
          </w:p>
        </w:tc>
        <w:tc>
          <w:tcPr>
            <w:tcW w:w="1985" w:type="dxa"/>
            <w:tcBorders>
              <w:bottom w:val="single" w:sz="4" w:space="0" w:color="auto"/>
            </w:tcBorders>
            <w:shd w:val="clear" w:color="auto" w:fill="auto"/>
          </w:tcPr>
          <w:p w14:paraId="6935FACB" w14:textId="77777777" w:rsidR="008A6CC5" w:rsidRPr="002E63B3" w:rsidRDefault="008A6CC5" w:rsidP="00E86771">
            <w:pPr>
              <w:spacing w:line="360" w:lineRule="auto"/>
              <w:jc w:val="right"/>
            </w:pPr>
            <w:r w:rsidRPr="002E63B3">
              <w:t>Identity</w:t>
            </w:r>
          </w:p>
        </w:tc>
        <w:tc>
          <w:tcPr>
            <w:tcW w:w="794" w:type="dxa"/>
            <w:tcBorders>
              <w:bottom w:val="single" w:sz="4" w:space="0" w:color="auto"/>
            </w:tcBorders>
            <w:shd w:val="clear" w:color="auto" w:fill="auto"/>
          </w:tcPr>
          <w:p w14:paraId="56E32A3E" w14:textId="77777777" w:rsidR="008A6CC5" w:rsidRPr="002E63B3" w:rsidRDefault="008A6CC5" w:rsidP="00E86771">
            <w:pPr>
              <w:spacing w:line="360" w:lineRule="auto"/>
            </w:pPr>
          </w:p>
        </w:tc>
      </w:tr>
      <w:tr w:rsidR="008A6CC5" w:rsidRPr="002E63B3" w14:paraId="6563E8C4" w14:textId="77777777" w:rsidTr="0065714E">
        <w:tc>
          <w:tcPr>
            <w:tcW w:w="2977" w:type="dxa"/>
            <w:tcBorders>
              <w:top w:val="single" w:sz="4" w:space="0" w:color="auto"/>
              <w:bottom w:val="single" w:sz="4" w:space="0" w:color="auto"/>
            </w:tcBorders>
            <w:shd w:val="clear" w:color="auto" w:fill="auto"/>
          </w:tcPr>
          <w:p w14:paraId="7FF2CE6B" w14:textId="77777777" w:rsidR="008A6CC5" w:rsidRPr="002E63B3" w:rsidRDefault="008A6CC5" w:rsidP="00E86771">
            <w:pPr>
              <w:spacing w:line="360" w:lineRule="auto"/>
            </w:pPr>
            <w:r w:rsidRPr="002E63B3">
              <w:lastRenderedPageBreak/>
              <w:t>Parameters</w:t>
            </w:r>
          </w:p>
        </w:tc>
        <w:tc>
          <w:tcPr>
            <w:tcW w:w="2552" w:type="dxa"/>
            <w:tcBorders>
              <w:top w:val="single" w:sz="4" w:space="0" w:color="auto"/>
              <w:bottom w:val="single" w:sz="4" w:space="0" w:color="auto"/>
            </w:tcBorders>
            <w:shd w:val="clear" w:color="auto" w:fill="auto"/>
          </w:tcPr>
          <w:p w14:paraId="20E5E405" w14:textId="77777777" w:rsidR="008A6CC5" w:rsidRPr="002E63B3" w:rsidRDefault="008A6CC5" w:rsidP="00E86771">
            <w:pPr>
              <w:spacing w:line="360" w:lineRule="auto"/>
              <w:jc w:val="right"/>
            </w:pPr>
            <w:r w:rsidRPr="002E63B3">
              <w:t>Mean</w:t>
            </w:r>
          </w:p>
        </w:tc>
        <w:tc>
          <w:tcPr>
            <w:tcW w:w="708" w:type="dxa"/>
            <w:tcBorders>
              <w:top w:val="single" w:sz="4" w:space="0" w:color="auto"/>
              <w:bottom w:val="single" w:sz="4" w:space="0" w:color="auto"/>
            </w:tcBorders>
            <w:shd w:val="clear" w:color="auto" w:fill="auto"/>
          </w:tcPr>
          <w:p w14:paraId="2E69651D" w14:textId="77777777" w:rsidR="008A6CC5" w:rsidRPr="002E63B3" w:rsidRDefault="008A6CC5" w:rsidP="00E86771">
            <w:pPr>
              <w:spacing w:line="360" w:lineRule="auto"/>
              <w:jc w:val="right"/>
            </w:pPr>
            <w:r w:rsidRPr="002E63B3">
              <w:t>SE</w:t>
            </w:r>
          </w:p>
        </w:tc>
        <w:tc>
          <w:tcPr>
            <w:tcW w:w="1985" w:type="dxa"/>
            <w:tcBorders>
              <w:top w:val="single" w:sz="4" w:space="0" w:color="auto"/>
              <w:bottom w:val="single" w:sz="4" w:space="0" w:color="auto"/>
            </w:tcBorders>
            <w:shd w:val="clear" w:color="auto" w:fill="auto"/>
          </w:tcPr>
          <w:p w14:paraId="1C58E673" w14:textId="77777777" w:rsidR="008A6CC5" w:rsidRPr="002E63B3" w:rsidRDefault="008A6CC5" w:rsidP="00E86771">
            <w:pPr>
              <w:spacing w:line="360" w:lineRule="auto"/>
              <w:jc w:val="right"/>
            </w:pPr>
            <w:r w:rsidRPr="002E63B3">
              <w:t>Mean</w:t>
            </w:r>
          </w:p>
        </w:tc>
        <w:tc>
          <w:tcPr>
            <w:tcW w:w="794" w:type="dxa"/>
            <w:tcBorders>
              <w:top w:val="single" w:sz="4" w:space="0" w:color="auto"/>
              <w:bottom w:val="single" w:sz="4" w:space="0" w:color="auto"/>
            </w:tcBorders>
            <w:shd w:val="clear" w:color="auto" w:fill="auto"/>
          </w:tcPr>
          <w:p w14:paraId="198D863F" w14:textId="77777777" w:rsidR="008A6CC5" w:rsidRPr="002E63B3" w:rsidRDefault="008A6CC5" w:rsidP="00E86771">
            <w:pPr>
              <w:spacing w:line="360" w:lineRule="auto"/>
              <w:jc w:val="right"/>
            </w:pPr>
            <w:r w:rsidRPr="002E63B3">
              <w:t>SE</w:t>
            </w:r>
          </w:p>
        </w:tc>
      </w:tr>
      <w:tr w:rsidR="008A6CC5" w:rsidRPr="002E63B3" w14:paraId="550B9183" w14:textId="77777777" w:rsidTr="0065714E">
        <w:tc>
          <w:tcPr>
            <w:tcW w:w="2977" w:type="dxa"/>
            <w:tcBorders>
              <w:top w:val="single" w:sz="4" w:space="0" w:color="auto"/>
            </w:tcBorders>
            <w:shd w:val="clear" w:color="auto" w:fill="auto"/>
          </w:tcPr>
          <w:p w14:paraId="44E584CA" w14:textId="77777777" w:rsidR="008A6CC5" w:rsidRPr="002E63B3" w:rsidRDefault="008A6CC5" w:rsidP="00E86771">
            <w:pPr>
              <w:spacing w:line="360" w:lineRule="auto"/>
            </w:pPr>
            <w:r w:rsidRPr="002E63B3">
              <w:t>Constant</w:t>
            </w:r>
          </w:p>
        </w:tc>
        <w:tc>
          <w:tcPr>
            <w:tcW w:w="2552" w:type="dxa"/>
            <w:tcBorders>
              <w:top w:val="single" w:sz="4" w:space="0" w:color="auto"/>
            </w:tcBorders>
            <w:shd w:val="clear" w:color="auto" w:fill="auto"/>
            <w:vAlign w:val="bottom"/>
          </w:tcPr>
          <w:p w14:paraId="34240E34" w14:textId="77777777" w:rsidR="008A6CC5" w:rsidRPr="002E63B3" w:rsidRDefault="008A6CC5" w:rsidP="00E86771">
            <w:pPr>
              <w:spacing w:line="360" w:lineRule="auto"/>
              <w:jc w:val="right"/>
            </w:pPr>
            <w:r>
              <w:rPr>
                <w:color w:val="000000"/>
              </w:rPr>
              <w:t>1251</w:t>
            </w:r>
          </w:p>
        </w:tc>
        <w:tc>
          <w:tcPr>
            <w:tcW w:w="708" w:type="dxa"/>
            <w:tcBorders>
              <w:top w:val="single" w:sz="4" w:space="0" w:color="auto"/>
            </w:tcBorders>
            <w:shd w:val="clear" w:color="auto" w:fill="auto"/>
            <w:vAlign w:val="bottom"/>
          </w:tcPr>
          <w:p w14:paraId="6641AC0B" w14:textId="77777777" w:rsidR="008A6CC5" w:rsidRPr="002E63B3" w:rsidRDefault="008A6CC5" w:rsidP="00E86771">
            <w:pPr>
              <w:spacing w:line="360" w:lineRule="auto"/>
              <w:jc w:val="right"/>
            </w:pPr>
            <w:r>
              <w:rPr>
                <w:color w:val="000000"/>
              </w:rPr>
              <w:t>39</w:t>
            </w:r>
          </w:p>
        </w:tc>
        <w:tc>
          <w:tcPr>
            <w:tcW w:w="1985" w:type="dxa"/>
            <w:tcBorders>
              <w:top w:val="single" w:sz="4" w:space="0" w:color="auto"/>
            </w:tcBorders>
            <w:shd w:val="clear" w:color="auto" w:fill="auto"/>
            <w:vAlign w:val="bottom"/>
          </w:tcPr>
          <w:p w14:paraId="007202F5" w14:textId="77777777" w:rsidR="008A6CC5" w:rsidRPr="002E63B3" w:rsidRDefault="008A6CC5" w:rsidP="00E86771">
            <w:pPr>
              <w:spacing w:line="360" w:lineRule="auto"/>
              <w:jc w:val="right"/>
            </w:pPr>
            <w:r>
              <w:rPr>
                <w:color w:val="000000"/>
              </w:rPr>
              <w:t>1161</w:t>
            </w:r>
          </w:p>
        </w:tc>
        <w:tc>
          <w:tcPr>
            <w:tcW w:w="794" w:type="dxa"/>
            <w:tcBorders>
              <w:top w:val="single" w:sz="4" w:space="0" w:color="auto"/>
            </w:tcBorders>
            <w:shd w:val="clear" w:color="auto" w:fill="auto"/>
            <w:vAlign w:val="bottom"/>
          </w:tcPr>
          <w:p w14:paraId="30E82621" w14:textId="77777777" w:rsidR="008A6CC5" w:rsidRPr="002E63B3" w:rsidRDefault="008A6CC5" w:rsidP="00E86771">
            <w:pPr>
              <w:spacing w:line="360" w:lineRule="auto"/>
              <w:jc w:val="right"/>
            </w:pPr>
            <w:r>
              <w:rPr>
                <w:color w:val="000000"/>
              </w:rPr>
              <w:t>40</w:t>
            </w:r>
          </w:p>
        </w:tc>
      </w:tr>
      <w:tr w:rsidR="008A6CC5" w:rsidRPr="002E63B3" w14:paraId="50B786A0" w14:textId="77777777" w:rsidTr="0065714E">
        <w:tc>
          <w:tcPr>
            <w:tcW w:w="2977" w:type="dxa"/>
            <w:shd w:val="clear" w:color="auto" w:fill="auto"/>
          </w:tcPr>
          <w:p w14:paraId="37DA258C" w14:textId="77777777" w:rsidR="008A6CC5" w:rsidRPr="002E63B3" w:rsidRDefault="008A6CC5" w:rsidP="00E86771">
            <w:pPr>
              <w:spacing w:line="360" w:lineRule="auto"/>
            </w:pPr>
            <w:r w:rsidRPr="002E63B3">
              <w:t>Death within 30 days</w:t>
            </w:r>
          </w:p>
        </w:tc>
        <w:tc>
          <w:tcPr>
            <w:tcW w:w="2552" w:type="dxa"/>
            <w:shd w:val="clear" w:color="auto" w:fill="auto"/>
            <w:vAlign w:val="bottom"/>
          </w:tcPr>
          <w:p w14:paraId="46DF2AA6" w14:textId="77777777" w:rsidR="008A6CC5" w:rsidRPr="002E63B3" w:rsidRDefault="008A6CC5" w:rsidP="00E86771">
            <w:pPr>
              <w:spacing w:line="360" w:lineRule="auto"/>
              <w:jc w:val="right"/>
            </w:pPr>
            <w:r>
              <w:rPr>
                <w:color w:val="000000"/>
              </w:rPr>
              <w:t>-1197</w:t>
            </w:r>
          </w:p>
        </w:tc>
        <w:tc>
          <w:tcPr>
            <w:tcW w:w="708" w:type="dxa"/>
            <w:shd w:val="clear" w:color="auto" w:fill="auto"/>
            <w:vAlign w:val="bottom"/>
          </w:tcPr>
          <w:p w14:paraId="7A740462" w14:textId="77777777" w:rsidR="008A6CC5" w:rsidRPr="002E63B3" w:rsidRDefault="008A6CC5" w:rsidP="00E86771">
            <w:pPr>
              <w:spacing w:line="360" w:lineRule="auto"/>
              <w:jc w:val="right"/>
            </w:pPr>
            <w:r>
              <w:rPr>
                <w:color w:val="000000"/>
              </w:rPr>
              <w:t>52</w:t>
            </w:r>
          </w:p>
        </w:tc>
        <w:tc>
          <w:tcPr>
            <w:tcW w:w="1985" w:type="dxa"/>
            <w:shd w:val="clear" w:color="auto" w:fill="auto"/>
          </w:tcPr>
          <w:p w14:paraId="4FD91AE3" w14:textId="77777777" w:rsidR="008A6CC5" w:rsidRPr="002E63B3" w:rsidRDefault="008A6CC5" w:rsidP="00E86771">
            <w:pPr>
              <w:spacing w:line="360" w:lineRule="auto"/>
              <w:jc w:val="right"/>
            </w:pPr>
          </w:p>
        </w:tc>
        <w:tc>
          <w:tcPr>
            <w:tcW w:w="794" w:type="dxa"/>
            <w:shd w:val="clear" w:color="auto" w:fill="auto"/>
          </w:tcPr>
          <w:p w14:paraId="56E956E5" w14:textId="77777777" w:rsidR="008A6CC5" w:rsidRPr="002E63B3" w:rsidRDefault="008A6CC5" w:rsidP="00E86771">
            <w:pPr>
              <w:spacing w:line="360" w:lineRule="auto"/>
              <w:jc w:val="right"/>
            </w:pPr>
          </w:p>
        </w:tc>
      </w:tr>
      <w:tr w:rsidR="008A6CC5" w:rsidRPr="002E63B3" w14:paraId="6D3F471C" w14:textId="77777777" w:rsidTr="0065714E">
        <w:tc>
          <w:tcPr>
            <w:tcW w:w="2977" w:type="dxa"/>
            <w:shd w:val="clear" w:color="auto" w:fill="auto"/>
          </w:tcPr>
          <w:p w14:paraId="2BB4967F" w14:textId="77777777" w:rsidR="008A6CC5" w:rsidRPr="002E63B3" w:rsidRDefault="008A6CC5" w:rsidP="00E86771">
            <w:pPr>
              <w:spacing w:line="360" w:lineRule="auto"/>
            </w:pPr>
            <w:r w:rsidRPr="002E63B3">
              <w:t>Death within year</w:t>
            </w:r>
          </w:p>
        </w:tc>
        <w:tc>
          <w:tcPr>
            <w:tcW w:w="2552" w:type="dxa"/>
            <w:shd w:val="clear" w:color="auto" w:fill="auto"/>
            <w:vAlign w:val="bottom"/>
          </w:tcPr>
          <w:p w14:paraId="49FE4EF7" w14:textId="77777777" w:rsidR="008A6CC5" w:rsidRPr="002E63B3" w:rsidRDefault="008A6CC5" w:rsidP="00E86771">
            <w:pPr>
              <w:spacing w:line="360" w:lineRule="auto"/>
              <w:jc w:val="right"/>
            </w:pPr>
            <w:r>
              <w:rPr>
                <w:color w:val="000000"/>
              </w:rPr>
              <w:t>-689</w:t>
            </w:r>
          </w:p>
        </w:tc>
        <w:tc>
          <w:tcPr>
            <w:tcW w:w="708" w:type="dxa"/>
            <w:shd w:val="clear" w:color="auto" w:fill="auto"/>
            <w:vAlign w:val="bottom"/>
          </w:tcPr>
          <w:p w14:paraId="3C2848DA" w14:textId="77777777" w:rsidR="008A6CC5" w:rsidRPr="002E63B3" w:rsidRDefault="008A6CC5" w:rsidP="00E86771">
            <w:pPr>
              <w:spacing w:line="360" w:lineRule="auto"/>
              <w:jc w:val="right"/>
            </w:pPr>
            <w:r>
              <w:rPr>
                <w:color w:val="000000"/>
              </w:rPr>
              <w:t>36</w:t>
            </w:r>
          </w:p>
        </w:tc>
        <w:tc>
          <w:tcPr>
            <w:tcW w:w="1985" w:type="dxa"/>
            <w:shd w:val="clear" w:color="auto" w:fill="auto"/>
            <w:vAlign w:val="bottom"/>
          </w:tcPr>
          <w:p w14:paraId="707F94FB" w14:textId="77777777" w:rsidR="008A6CC5" w:rsidRPr="002E63B3" w:rsidRDefault="008A6CC5" w:rsidP="00E86771">
            <w:pPr>
              <w:spacing w:line="360" w:lineRule="auto"/>
              <w:jc w:val="right"/>
            </w:pPr>
            <w:r>
              <w:rPr>
                <w:color w:val="000000"/>
              </w:rPr>
              <w:t>-437</w:t>
            </w:r>
          </w:p>
        </w:tc>
        <w:tc>
          <w:tcPr>
            <w:tcW w:w="794" w:type="dxa"/>
            <w:shd w:val="clear" w:color="auto" w:fill="auto"/>
            <w:vAlign w:val="bottom"/>
          </w:tcPr>
          <w:p w14:paraId="69834D74" w14:textId="77777777" w:rsidR="008A6CC5" w:rsidRPr="002E63B3" w:rsidRDefault="008A6CC5" w:rsidP="00E86771">
            <w:pPr>
              <w:spacing w:line="360" w:lineRule="auto"/>
              <w:jc w:val="right"/>
            </w:pPr>
            <w:r>
              <w:rPr>
                <w:color w:val="000000"/>
              </w:rPr>
              <w:t>52</w:t>
            </w:r>
          </w:p>
        </w:tc>
      </w:tr>
      <w:tr w:rsidR="008A6CC5" w:rsidRPr="002E63B3" w14:paraId="729C9DEA" w14:textId="77777777" w:rsidTr="0065714E">
        <w:tc>
          <w:tcPr>
            <w:tcW w:w="2977" w:type="dxa"/>
            <w:shd w:val="clear" w:color="auto" w:fill="auto"/>
          </w:tcPr>
          <w:p w14:paraId="2F97F38F" w14:textId="77777777" w:rsidR="008A6CC5" w:rsidRPr="002E63B3" w:rsidRDefault="008A6CC5" w:rsidP="00E86771">
            <w:pPr>
              <w:spacing w:line="360" w:lineRule="auto"/>
            </w:pPr>
            <w:r w:rsidRPr="002E63B3">
              <w:t>Living in care home</w:t>
            </w:r>
          </w:p>
        </w:tc>
        <w:tc>
          <w:tcPr>
            <w:tcW w:w="2552" w:type="dxa"/>
            <w:shd w:val="clear" w:color="auto" w:fill="auto"/>
            <w:vAlign w:val="bottom"/>
          </w:tcPr>
          <w:p w14:paraId="73678E7C" w14:textId="77777777" w:rsidR="008A6CC5" w:rsidRPr="002E63B3" w:rsidRDefault="008A6CC5" w:rsidP="00E86771">
            <w:pPr>
              <w:spacing w:line="360" w:lineRule="auto"/>
              <w:jc w:val="right"/>
            </w:pPr>
            <w:r>
              <w:rPr>
                <w:color w:val="000000"/>
              </w:rPr>
              <w:t>126</w:t>
            </w:r>
          </w:p>
        </w:tc>
        <w:tc>
          <w:tcPr>
            <w:tcW w:w="708" w:type="dxa"/>
            <w:shd w:val="clear" w:color="auto" w:fill="auto"/>
            <w:vAlign w:val="bottom"/>
          </w:tcPr>
          <w:p w14:paraId="66D22D92" w14:textId="77777777" w:rsidR="008A6CC5" w:rsidRPr="002E63B3" w:rsidRDefault="008A6CC5" w:rsidP="00E86771">
            <w:pPr>
              <w:spacing w:line="360" w:lineRule="auto"/>
              <w:jc w:val="right"/>
            </w:pPr>
            <w:r>
              <w:rPr>
                <w:color w:val="000000"/>
              </w:rPr>
              <w:t>39</w:t>
            </w:r>
          </w:p>
        </w:tc>
        <w:tc>
          <w:tcPr>
            <w:tcW w:w="1985" w:type="dxa"/>
            <w:shd w:val="clear" w:color="auto" w:fill="auto"/>
          </w:tcPr>
          <w:p w14:paraId="282B2410" w14:textId="77777777" w:rsidR="008A6CC5" w:rsidRPr="002E63B3" w:rsidRDefault="008A6CC5" w:rsidP="00E86771">
            <w:pPr>
              <w:spacing w:line="360" w:lineRule="auto"/>
              <w:jc w:val="right"/>
            </w:pPr>
          </w:p>
        </w:tc>
        <w:tc>
          <w:tcPr>
            <w:tcW w:w="794" w:type="dxa"/>
            <w:shd w:val="clear" w:color="auto" w:fill="auto"/>
          </w:tcPr>
          <w:p w14:paraId="1A13547A" w14:textId="77777777" w:rsidR="008A6CC5" w:rsidRPr="002E63B3" w:rsidRDefault="008A6CC5" w:rsidP="00E86771">
            <w:pPr>
              <w:spacing w:line="360" w:lineRule="auto"/>
              <w:jc w:val="right"/>
            </w:pPr>
          </w:p>
        </w:tc>
      </w:tr>
      <w:tr w:rsidR="008A6CC5" w:rsidRPr="002E63B3" w14:paraId="43CF5176" w14:textId="77777777" w:rsidTr="0065714E">
        <w:tc>
          <w:tcPr>
            <w:tcW w:w="2977" w:type="dxa"/>
            <w:shd w:val="clear" w:color="auto" w:fill="auto"/>
          </w:tcPr>
          <w:p w14:paraId="7D6312CA" w14:textId="77777777" w:rsidR="008A6CC5" w:rsidRPr="002E63B3" w:rsidRDefault="008A6CC5" w:rsidP="00E86771">
            <w:pPr>
              <w:spacing w:line="360" w:lineRule="auto"/>
            </w:pPr>
            <w:r w:rsidRPr="002E63B3">
              <w:t>Major non-hip fracture</w:t>
            </w:r>
          </w:p>
        </w:tc>
        <w:tc>
          <w:tcPr>
            <w:tcW w:w="2552" w:type="dxa"/>
            <w:shd w:val="clear" w:color="auto" w:fill="auto"/>
          </w:tcPr>
          <w:p w14:paraId="5CD4C817" w14:textId="77777777" w:rsidR="008A6CC5" w:rsidRPr="002E63B3" w:rsidRDefault="008A6CC5" w:rsidP="00E86771">
            <w:pPr>
              <w:spacing w:line="360" w:lineRule="auto"/>
              <w:jc w:val="right"/>
            </w:pPr>
          </w:p>
        </w:tc>
        <w:tc>
          <w:tcPr>
            <w:tcW w:w="708" w:type="dxa"/>
            <w:shd w:val="clear" w:color="auto" w:fill="auto"/>
          </w:tcPr>
          <w:p w14:paraId="6A0D0C2B" w14:textId="77777777" w:rsidR="008A6CC5" w:rsidRPr="002E63B3" w:rsidRDefault="008A6CC5" w:rsidP="00E86771">
            <w:pPr>
              <w:spacing w:line="360" w:lineRule="auto"/>
              <w:jc w:val="right"/>
            </w:pPr>
          </w:p>
        </w:tc>
        <w:tc>
          <w:tcPr>
            <w:tcW w:w="1985" w:type="dxa"/>
            <w:shd w:val="clear" w:color="auto" w:fill="auto"/>
            <w:vAlign w:val="bottom"/>
          </w:tcPr>
          <w:p w14:paraId="1198CA74" w14:textId="77777777" w:rsidR="008A6CC5" w:rsidRPr="002E63B3" w:rsidRDefault="008A6CC5" w:rsidP="00E86771">
            <w:pPr>
              <w:spacing w:line="360" w:lineRule="auto"/>
              <w:jc w:val="right"/>
            </w:pPr>
            <w:r>
              <w:rPr>
                <w:color w:val="000000"/>
              </w:rPr>
              <w:t>502</w:t>
            </w:r>
          </w:p>
        </w:tc>
        <w:tc>
          <w:tcPr>
            <w:tcW w:w="794" w:type="dxa"/>
            <w:shd w:val="clear" w:color="auto" w:fill="auto"/>
            <w:vAlign w:val="bottom"/>
          </w:tcPr>
          <w:p w14:paraId="2D9B8F25" w14:textId="77777777" w:rsidR="008A6CC5" w:rsidRPr="002E63B3" w:rsidRDefault="008A6CC5" w:rsidP="00E86771">
            <w:pPr>
              <w:spacing w:line="360" w:lineRule="auto"/>
              <w:jc w:val="right"/>
            </w:pPr>
            <w:r>
              <w:rPr>
                <w:color w:val="000000"/>
              </w:rPr>
              <w:t>264</w:t>
            </w:r>
          </w:p>
        </w:tc>
      </w:tr>
    </w:tbl>
    <w:p w14:paraId="0374FF9A" w14:textId="77777777" w:rsidR="00CF2E21" w:rsidRPr="00591BFC" w:rsidRDefault="00CF2E21" w:rsidP="00E86771">
      <w:pPr>
        <w:spacing w:line="360" w:lineRule="auto"/>
      </w:pPr>
    </w:p>
    <w:p w14:paraId="3A7E615B" w14:textId="77777777" w:rsidR="00CF2E21" w:rsidRPr="00591BFC" w:rsidRDefault="00CF2E21" w:rsidP="00E86771">
      <w:pPr>
        <w:pStyle w:val="Heading4"/>
        <w:spacing w:line="360" w:lineRule="auto"/>
        <w:rPr>
          <w:rFonts w:ascii="Calibri" w:hAnsi="Calibri"/>
        </w:rPr>
      </w:pPr>
      <w:r w:rsidRPr="00591BFC">
        <w:rPr>
          <w:rFonts w:ascii="Calibri" w:hAnsi="Calibri"/>
        </w:rPr>
        <w:t>Hospital costs</w:t>
      </w:r>
    </w:p>
    <w:p w14:paraId="1D69B28F" w14:textId="5FC83334" w:rsidR="00CF2E21" w:rsidRPr="00591BFC" w:rsidRDefault="00CF2E21" w:rsidP="00E86771">
      <w:pPr>
        <w:spacing w:line="360" w:lineRule="auto"/>
      </w:pPr>
      <w:r w:rsidRPr="00591BFC">
        <w:t xml:space="preserve">Information on hospital costs was obtained from 33,152 patients with hip fracture identified in the HES dataset. HES provided details of all admissions and contacts in English hospitals funded by the National Health Service (NHS). We used the same methodology in Chapter </w:t>
      </w:r>
      <w:r w:rsidR="000C3295" w:rsidRPr="00591BFC">
        <w:t xml:space="preserve">7 </w:t>
      </w:r>
      <w:r w:rsidRPr="00591BFC">
        <w:t xml:space="preserve">to estimate the annual hospitalisation costs for each health state of the model. Briefly, each hospital contact was valued using the 2012/13 HRG English tariff and the annual costs were estimated using a </w:t>
      </w:r>
      <w:r w:rsidR="008E6533" w:rsidRPr="00591BFC">
        <w:t>GLM</w:t>
      </w:r>
      <w:r w:rsidRPr="00591BFC">
        <w:t xml:space="preserve"> with a gamma distribution, for the relationship between the variance and conditional mean, and a link function. The choice of the GLM model family and link functions was informed by the modified Park test and the Box-Cox test, respectively.  Model fit was assessed using Pregibon’s Link test and different family and link functions were compared using Akaike’s information criterion.  To assess the annual hospital care costs by health state, we included the following predictors: sex; current age; age at hip fracture (first and second); living in a care home (nursing or residential); 30-day mortality following hip fracture; 1-year mortality following hip fracture; second hip fracture; major non-hip fracture requiring hospitalisation; history of second hip fracture; history of major non-hip fracture. </w:t>
      </w:r>
      <w:r w:rsidR="000C3295" w:rsidRPr="00591BFC">
        <w:fldChar w:fldCharType="begin"/>
      </w:r>
      <w:r w:rsidR="000C3295" w:rsidRPr="00591BFC">
        <w:instrText xml:space="preserve"> REF _Ref423078107 \h </w:instrText>
      </w:r>
      <w:r w:rsidR="00E814C1" w:rsidRPr="00591BFC">
        <w:instrText xml:space="preserve"> \* MERGEFORMAT </w:instrText>
      </w:r>
      <w:r w:rsidR="000C3295" w:rsidRPr="00591BFC">
        <w:fldChar w:fldCharType="separate"/>
      </w:r>
      <w:r w:rsidR="00776C05" w:rsidRPr="00591BFC">
        <w:t xml:space="preserve">Table </w:t>
      </w:r>
      <w:r w:rsidR="00776C05">
        <w:rPr>
          <w:noProof/>
        </w:rPr>
        <w:t>33</w:t>
      </w:r>
      <w:r w:rsidR="000C3295" w:rsidRPr="00591BFC">
        <w:fldChar w:fldCharType="end"/>
      </w:r>
      <w:r w:rsidR="000C3295" w:rsidRPr="00591BFC">
        <w:t xml:space="preserve">and </w:t>
      </w:r>
      <w:r w:rsidR="000C3295" w:rsidRPr="00591BFC">
        <w:fldChar w:fldCharType="begin"/>
      </w:r>
      <w:r w:rsidR="000C3295" w:rsidRPr="00591BFC">
        <w:instrText xml:space="preserve"> REF _Ref423078114 \h </w:instrText>
      </w:r>
      <w:r w:rsidR="00E814C1" w:rsidRPr="00591BFC">
        <w:instrText xml:space="preserve"> \* MERGEFORMAT </w:instrText>
      </w:r>
      <w:r w:rsidR="000C3295" w:rsidRPr="00591BFC">
        <w:fldChar w:fldCharType="separate"/>
      </w:r>
      <w:r w:rsidR="007B18C0" w:rsidRPr="00591BFC">
        <w:t xml:space="preserve">Table </w:t>
      </w:r>
      <w:r w:rsidR="008A2F17">
        <w:rPr>
          <w:noProof/>
        </w:rPr>
        <w:t>34</w:t>
      </w:r>
      <w:r w:rsidR="000C3295" w:rsidRPr="00591BFC">
        <w:fldChar w:fldCharType="end"/>
      </w:r>
      <w:r w:rsidRPr="00591BFC">
        <w:t xml:space="preserve"> report the cost equations.</w:t>
      </w:r>
    </w:p>
    <w:p w14:paraId="7AF3CAE6" w14:textId="77777777" w:rsidR="00CF2E21" w:rsidRPr="00591BFC" w:rsidRDefault="00CF2E21" w:rsidP="00E86771">
      <w:pPr>
        <w:spacing w:line="360" w:lineRule="auto"/>
      </w:pPr>
    </w:p>
    <w:p w14:paraId="75BBC72C" w14:textId="77777777" w:rsidR="00CF2E21" w:rsidRPr="00591BFC" w:rsidRDefault="00CF2E21" w:rsidP="00E86771">
      <w:pPr>
        <w:spacing w:line="360" w:lineRule="auto"/>
        <w:sectPr w:rsidR="00CF2E21" w:rsidRPr="00591BFC" w:rsidSect="00B25D33">
          <w:pgSz w:w="11900" w:h="16840"/>
          <w:pgMar w:top="1440" w:right="1440" w:bottom="1440" w:left="1440" w:header="708" w:footer="708" w:gutter="0"/>
          <w:cols w:space="708"/>
          <w:docGrid w:linePitch="360"/>
        </w:sectPr>
      </w:pPr>
    </w:p>
    <w:p w14:paraId="3FD4D94C" w14:textId="77777777" w:rsidR="000C3295" w:rsidRPr="00591BFC" w:rsidRDefault="000C3295" w:rsidP="00E86771">
      <w:pPr>
        <w:pStyle w:val="Caption"/>
        <w:keepNext/>
        <w:spacing w:line="360" w:lineRule="auto"/>
      </w:pPr>
      <w:bookmarkStart w:id="433" w:name="_Ref423078107"/>
      <w:bookmarkStart w:id="434" w:name="_Toc308262428"/>
      <w:bookmarkStart w:id="435" w:name="_Toc311366694"/>
      <w:r w:rsidRPr="00591BFC">
        <w:lastRenderedPageBreak/>
        <w:t xml:space="preserve">Table </w:t>
      </w:r>
      <w:r w:rsidR="002149AD">
        <w:fldChar w:fldCharType="begin"/>
      </w:r>
      <w:r w:rsidR="002149AD">
        <w:instrText xml:space="preserve"> SEQ Table \* ARABIC </w:instrText>
      </w:r>
      <w:r w:rsidR="002149AD">
        <w:fldChar w:fldCharType="separate"/>
      </w:r>
      <w:r w:rsidR="00776C05">
        <w:rPr>
          <w:noProof/>
        </w:rPr>
        <w:t>33</w:t>
      </w:r>
      <w:r w:rsidR="002149AD">
        <w:rPr>
          <w:noProof/>
        </w:rPr>
        <w:fldChar w:fldCharType="end"/>
      </w:r>
      <w:bookmarkEnd w:id="433"/>
      <w:r w:rsidRPr="00591BFC">
        <w:t xml:space="preserve"> Hospital care cost equations</w:t>
      </w:r>
      <w:bookmarkEnd w:id="434"/>
      <w:bookmarkEnd w:id="435"/>
    </w:p>
    <w:tbl>
      <w:tblPr>
        <w:tblW w:w="5000" w:type="pct"/>
        <w:tblLayout w:type="fixed"/>
        <w:tblLook w:val="04A0" w:firstRow="1" w:lastRow="0" w:firstColumn="1" w:lastColumn="0" w:noHBand="0" w:noVBand="1"/>
      </w:tblPr>
      <w:tblGrid>
        <w:gridCol w:w="2345"/>
        <w:gridCol w:w="1311"/>
        <w:gridCol w:w="469"/>
        <w:gridCol w:w="1033"/>
        <w:gridCol w:w="562"/>
        <w:gridCol w:w="1221"/>
        <w:gridCol w:w="458"/>
        <w:gridCol w:w="1323"/>
        <w:gridCol w:w="514"/>
      </w:tblGrid>
      <w:tr w:rsidR="00CF2E21" w:rsidRPr="00591BFC" w14:paraId="23AA9C57" w14:textId="77777777" w:rsidTr="00DB4F65">
        <w:tc>
          <w:tcPr>
            <w:tcW w:w="1270" w:type="pct"/>
            <w:shd w:val="clear" w:color="auto" w:fill="auto"/>
          </w:tcPr>
          <w:p w14:paraId="63A10B41" w14:textId="77777777" w:rsidR="00CF2E21" w:rsidRPr="00591BFC" w:rsidRDefault="00CF2E21" w:rsidP="00E86771">
            <w:pPr>
              <w:spacing w:after="0" w:line="360" w:lineRule="auto"/>
            </w:pPr>
          </w:p>
        </w:tc>
        <w:tc>
          <w:tcPr>
            <w:tcW w:w="710" w:type="pct"/>
            <w:shd w:val="clear" w:color="auto" w:fill="auto"/>
          </w:tcPr>
          <w:p w14:paraId="3439A3DE" w14:textId="77777777" w:rsidR="00CF2E21" w:rsidRPr="00591BFC" w:rsidRDefault="00CF2E21" w:rsidP="00E86771">
            <w:pPr>
              <w:spacing w:after="0" w:line="360" w:lineRule="auto"/>
            </w:pPr>
            <w:r w:rsidRPr="00591BFC">
              <w:t>Hospitalisation costs in year of 1</w:t>
            </w:r>
            <w:r w:rsidRPr="00591BFC">
              <w:rPr>
                <w:vertAlign w:val="superscript"/>
              </w:rPr>
              <w:t>st</w:t>
            </w:r>
            <w:r w:rsidRPr="00591BFC">
              <w:t xml:space="preserve"> hip fracture</w:t>
            </w:r>
          </w:p>
        </w:tc>
        <w:tc>
          <w:tcPr>
            <w:tcW w:w="254" w:type="pct"/>
            <w:shd w:val="clear" w:color="auto" w:fill="auto"/>
          </w:tcPr>
          <w:p w14:paraId="22503AAA" w14:textId="77777777" w:rsidR="00CF2E21" w:rsidRPr="00591BFC" w:rsidRDefault="00CF2E21" w:rsidP="00E86771">
            <w:pPr>
              <w:spacing w:after="0" w:line="360" w:lineRule="auto"/>
            </w:pPr>
          </w:p>
        </w:tc>
        <w:tc>
          <w:tcPr>
            <w:tcW w:w="559" w:type="pct"/>
            <w:shd w:val="clear" w:color="auto" w:fill="auto"/>
          </w:tcPr>
          <w:p w14:paraId="7AE75C61" w14:textId="77777777" w:rsidR="00CF2E21" w:rsidRPr="00591BFC" w:rsidRDefault="00CF2E21" w:rsidP="00E86771">
            <w:pPr>
              <w:spacing w:after="0" w:line="360" w:lineRule="auto"/>
            </w:pPr>
            <w:r w:rsidRPr="00591BFC">
              <w:t>Probability of hospitalisation in the years post 1</w:t>
            </w:r>
            <w:r w:rsidRPr="00591BFC">
              <w:rPr>
                <w:vertAlign w:val="superscript"/>
              </w:rPr>
              <w:t>st</w:t>
            </w:r>
            <w:r w:rsidRPr="00591BFC">
              <w:t xml:space="preserve"> hip fracture</w:t>
            </w:r>
          </w:p>
        </w:tc>
        <w:tc>
          <w:tcPr>
            <w:tcW w:w="304" w:type="pct"/>
            <w:shd w:val="clear" w:color="auto" w:fill="auto"/>
          </w:tcPr>
          <w:p w14:paraId="18CFE02A" w14:textId="77777777" w:rsidR="00CF2E21" w:rsidRPr="00591BFC" w:rsidRDefault="00CF2E21" w:rsidP="00E86771">
            <w:pPr>
              <w:spacing w:after="0" w:line="360" w:lineRule="auto"/>
            </w:pPr>
          </w:p>
        </w:tc>
        <w:tc>
          <w:tcPr>
            <w:tcW w:w="661" w:type="pct"/>
            <w:shd w:val="clear" w:color="auto" w:fill="auto"/>
          </w:tcPr>
          <w:p w14:paraId="79D76686" w14:textId="77777777" w:rsidR="00CF2E21" w:rsidRPr="00591BFC" w:rsidRDefault="00CF2E21" w:rsidP="00E86771">
            <w:pPr>
              <w:spacing w:after="0" w:line="360" w:lineRule="auto"/>
            </w:pPr>
            <w:r w:rsidRPr="00591BFC">
              <w:t>Hospitalisation costs in subsequent years (conditional on hospitalisation)</w:t>
            </w:r>
          </w:p>
        </w:tc>
        <w:tc>
          <w:tcPr>
            <w:tcW w:w="248" w:type="pct"/>
            <w:shd w:val="clear" w:color="auto" w:fill="auto"/>
          </w:tcPr>
          <w:p w14:paraId="57851685" w14:textId="77777777" w:rsidR="00CF2E21" w:rsidRPr="00591BFC" w:rsidRDefault="00CF2E21" w:rsidP="00E86771">
            <w:pPr>
              <w:spacing w:after="0" w:line="360" w:lineRule="auto"/>
            </w:pPr>
          </w:p>
        </w:tc>
        <w:tc>
          <w:tcPr>
            <w:tcW w:w="716" w:type="pct"/>
            <w:shd w:val="clear" w:color="auto" w:fill="auto"/>
          </w:tcPr>
          <w:p w14:paraId="27BDBF44" w14:textId="77777777" w:rsidR="00CF2E21" w:rsidRPr="00591BFC" w:rsidRDefault="00CF2E21" w:rsidP="00E86771">
            <w:pPr>
              <w:spacing w:after="0" w:line="360" w:lineRule="auto"/>
            </w:pPr>
            <w:r w:rsidRPr="00591BFC">
              <w:t>Hospitalisation costs in year of second hip fracture (subsequent years to 1</w:t>
            </w:r>
            <w:r w:rsidRPr="00591BFC">
              <w:rPr>
                <w:vertAlign w:val="superscript"/>
              </w:rPr>
              <w:t>st</w:t>
            </w:r>
            <w:r w:rsidRPr="00591BFC">
              <w:t xml:space="preserve"> hip fracture)</w:t>
            </w:r>
          </w:p>
        </w:tc>
        <w:tc>
          <w:tcPr>
            <w:tcW w:w="278" w:type="pct"/>
            <w:shd w:val="clear" w:color="auto" w:fill="auto"/>
          </w:tcPr>
          <w:p w14:paraId="355F4A1A" w14:textId="77777777" w:rsidR="00CF2E21" w:rsidRPr="00591BFC" w:rsidRDefault="00CF2E21" w:rsidP="00E86771">
            <w:pPr>
              <w:spacing w:after="0" w:line="360" w:lineRule="auto"/>
            </w:pPr>
          </w:p>
        </w:tc>
      </w:tr>
      <w:tr w:rsidR="00CF2E21" w:rsidRPr="00591BFC" w14:paraId="4BD2CA5F" w14:textId="77777777" w:rsidTr="00DB4F65">
        <w:tc>
          <w:tcPr>
            <w:tcW w:w="1270" w:type="pct"/>
            <w:shd w:val="clear" w:color="auto" w:fill="auto"/>
          </w:tcPr>
          <w:p w14:paraId="633C87BA" w14:textId="77777777" w:rsidR="00CF2E21" w:rsidRPr="00591BFC" w:rsidRDefault="00CF2E21" w:rsidP="00E86771">
            <w:pPr>
              <w:spacing w:after="0" w:line="360" w:lineRule="auto"/>
            </w:pPr>
            <w:r w:rsidRPr="00591BFC">
              <w:t>Patient-years</w:t>
            </w:r>
          </w:p>
        </w:tc>
        <w:tc>
          <w:tcPr>
            <w:tcW w:w="710" w:type="pct"/>
            <w:shd w:val="clear" w:color="auto" w:fill="auto"/>
          </w:tcPr>
          <w:p w14:paraId="242FC769" w14:textId="77777777" w:rsidR="00CF2E21" w:rsidRPr="00591BFC" w:rsidRDefault="00CF2E21" w:rsidP="00E86771">
            <w:pPr>
              <w:spacing w:after="0" w:line="360" w:lineRule="auto"/>
              <w:jc w:val="right"/>
            </w:pPr>
            <w:r w:rsidRPr="00591BFC">
              <w:t>30,430</w:t>
            </w:r>
          </w:p>
        </w:tc>
        <w:tc>
          <w:tcPr>
            <w:tcW w:w="254" w:type="pct"/>
            <w:shd w:val="clear" w:color="auto" w:fill="auto"/>
          </w:tcPr>
          <w:p w14:paraId="5801BCA4" w14:textId="77777777" w:rsidR="00CF2E21" w:rsidRPr="00591BFC" w:rsidRDefault="00CF2E21" w:rsidP="00E86771">
            <w:pPr>
              <w:spacing w:after="0" w:line="360" w:lineRule="auto"/>
              <w:jc w:val="right"/>
            </w:pPr>
          </w:p>
        </w:tc>
        <w:tc>
          <w:tcPr>
            <w:tcW w:w="559" w:type="pct"/>
            <w:shd w:val="clear" w:color="auto" w:fill="auto"/>
          </w:tcPr>
          <w:p w14:paraId="55AED3F1" w14:textId="77777777" w:rsidR="00CF2E21" w:rsidRPr="00591BFC" w:rsidRDefault="00CF2E21" w:rsidP="00E86771">
            <w:pPr>
              <w:spacing w:after="0" w:line="360" w:lineRule="auto"/>
              <w:jc w:val="right"/>
            </w:pPr>
            <w:r w:rsidRPr="00591BFC">
              <w:t>29,133</w:t>
            </w:r>
          </w:p>
        </w:tc>
        <w:tc>
          <w:tcPr>
            <w:tcW w:w="304" w:type="pct"/>
            <w:shd w:val="clear" w:color="auto" w:fill="auto"/>
          </w:tcPr>
          <w:p w14:paraId="2F05A1C3" w14:textId="77777777" w:rsidR="00CF2E21" w:rsidRPr="00591BFC" w:rsidRDefault="00CF2E21" w:rsidP="00E86771">
            <w:pPr>
              <w:spacing w:after="0" w:line="360" w:lineRule="auto"/>
              <w:jc w:val="right"/>
            </w:pPr>
          </w:p>
        </w:tc>
        <w:tc>
          <w:tcPr>
            <w:tcW w:w="661" w:type="pct"/>
            <w:shd w:val="clear" w:color="auto" w:fill="auto"/>
          </w:tcPr>
          <w:p w14:paraId="061B8E2F" w14:textId="77777777" w:rsidR="00CF2E21" w:rsidRPr="00591BFC" w:rsidRDefault="00CF2E21" w:rsidP="00E86771">
            <w:pPr>
              <w:spacing w:after="0" w:line="360" w:lineRule="auto"/>
              <w:jc w:val="right"/>
            </w:pPr>
            <w:r w:rsidRPr="00591BFC">
              <w:t>10,243</w:t>
            </w:r>
          </w:p>
        </w:tc>
        <w:tc>
          <w:tcPr>
            <w:tcW w:w="248" w:type="pct"/>
            <w:shd w:val="clear" w:color="auto" w:fill="auto"/>
          </w:tcPr>
          <w:p w14:paraId="6A2A5A78" w14:textId="77777777" w:rsidR="00CF2E21" w:rsidRPr="00591BFC" w:rsidRDefault="00CF2E21" w:rsidP="00E86771">
            <w:pPr>
              <w:spacing w:after="0" w:line="360" w:lineRule="auto"/>
              <w:jc w:val="right"/>
            </w:pPr>
          </w:p>
        </w:tc>
        <w:tc>
          <w:tcPr>
            <w:tcW w:w="716" w:type="pct"/>
            <w:shd w:val="clear" w:color="auto" w:fill="auto"/>
          </w:tcPr>
          <w:p w14:paraId="75DD8CAD" w14:textId="77777777" w:rsidR="00CF2E21" w:rsidRPr="00591BFC" w:rsidRDefault="00CF2E21" w:rsidP="00E86771">
            <w:pPr>
              <w:spacing w:after="0" w:line="360" w:lineRule="auto"/>
              <w:jc w:val="right"/>
            </w:pPr>
            <w:r w:rsidRPr="00591BFC">
              <w:t>1,166</w:t>
            </w:r>
          </w:p>
        </w:tc>
        <w:tc>
          <w:tcPr>
            <w:tcW w:w="278" w:type="pct"/>
            <w:shd w:val="clear" w:color="auto" w:fill="auto"/>
          </w:tcPr>
          <w:p w14:paraId="4F6AB5F1" w14:textId="77777777" w:rsidR="00CF2E21" w:rsidRPr="00591BFC" w:rsidRDefault="00CF2E21" w:rsidP="00E86771">
            <w:pPr>
              <w:spacing w:after="0" w:line="360" w:lineRule="auto"/>
              <w:jc w:val="right"/>
            </w:pPr>
          </w:p>
        </w:tc>
      </w:tr>
      <w:tr w:rsidR="00CF2E21" w:rsidRPr="00591BFC" w14:paraId="7DAAF63F" w14:textId="77777777" w:rsidTr="00DB4F65">
        <w:tc>
          <w:tcPr>
            <w:tcW w:w="1270" w:type="pct"/>
            <w:shd w:val="clear" w:color="auto" w:fill="auto"/>
          </w:tcPr>
          <w:p w14:paraId="70AA86F6" w14:textId="77777777" w:rsidR="00CF2E21" w:rsidRPr="00591BFC" w:rsidRDefault="00CF2E21" w:rsidP="00E86771">
            <w:pPr>
              <w:spacing w:after="0" w:line="360" w:lineRule="auto"/>
            </w:pPr>
            <w:r w:rsidRPr="00591BFC">
              <w:t>No. of patients</w:t>
            </w:r>
          </w:p>
        </w:tc>
        <w:tc>
          <w:tcPr>
            <w:tcW w:w="710" w:type="pct"/>
            <w:shd w:val="clear" w:color="auto" w:fill="auto"/>
          </w:tcPr>
          <w:p w14:paraId="59086D26" w14:textId="77777777" w:rsidR="00CF2E21" w:rsidRPr="00591BFC" w:rsidRDefault="00CF2E21" w:rsidP="00E86771">
            <w:pPr>
              <w:spacing w:after="0" w:line="360" w:lineRule="auto"/>
              <w:jc w:val="right"/>
            </w:pPr>
            <w:r w:rsidRPr="00591BFC">
              <w:t>30,430</w:t>
            </w:r>
          </w:p>
        </w:tc>
        <w:tc>
          <w:tcPr>
            <w:tcW w:w="254" w:type="pct"/>
            <w:shd w:val="clear" w:color="auto" w:fill="auto"/>
          </w:tcPr>
          <w:p w14:paraId="3350264B" w14:textId="77777777" w:rsidR="00CF2E21" w:rsidRPr="00591BFC" w:rsidRDefault="00CF2E21" w:rsidP="00E86771">
            <w:pPr>
              <w:spacing w:after="0" w:line="360" w:lineRule="auto"/>
              <w:jc w:val="right"/>
            </w:pPr>
          </w:p>
        </w:tc>
        <w:tc>
          <w:tcPr>
            <w:tcW w:w="559" w:type="pct"/>
            <w:shd w:val="clear" w:color="auto" w:fill="auto"/>
          </w:tcPr>
          <w:p w14:paraId="24D9DCC5" w14:textId="77777777" w:rsidR="00CF2E21" w:rsidRPr="00591BFC" w:rsidRDefault="00CF2E21" w:rsidP="00E86771">
            <w:pPr>
              <w:spacing w:after="0" w:line="360" w:lineRule="auto"/>
              <w:jc w:val="right"/>
            </w:pPr>
            <w:r w:rsidRPr="00591BFC">
              <w:t>18,213</w:t>
            </w:r>
          </w:p>
        </w:tc>
        <w:tc>
          <w:tcPr>
            <w:tcW w:w="304" w:type="pct"/>
            <w:shd w:val="clear" w:color="auto" w:fill="auto"/>
          </w:tcPr>
          <w:p w14:paraId="54F73D05" w14:textId="77777777" w:rsidR="00CF2E21" w:rsidRPr="00591BFC" w:rsidRDefault="00CF2E21" w:rsidP="00E86771">
            <w:pPr>
              <w:spacing w:after="0" w:line="360" w:lineRule="auto"/>
              <w:jc w:val="right"/>
            </w:pPr>
          </w:p>
        </w:tc>
        <w:tc>
          <w:tcPr>
            <w:tcW w:w="661" w:type="pct"/>
            <w:shd w:val="clear" w:color="auto" w:fill="auto"/>
          </w:tcPr>
          <w:p w14:paraId="2BECBF49" w14:textId="77777777" w:rsidR="00CF2E21" w:rsidRPr="00591BFC" w:rsidRDefault="00CF2E21" w:rsidP="00E86771">
            <w:pPr>
              <w:spacing w:after="0" w:line="360" w:lineRule="auto"/>
              <w:jc w:val="right"/>
            </w:pPr>
            <w:r w:rsidRPr="00591BFC">
              <w:t>8,604</w:t>
            </w:r>
          </w:p>
        </w:tc>
        <w:tc>
          <w:tcPr>
            <w:tcW w:w="248" w:type="pct"/>
            <w:shd w:val="clear" w:color="auto" w:fill="auto"/>
          </w:tcPr>
          <w:p w14:paraId="34731E86" w14:textId="77777777" w:rsidR="00CF2E21" w:rsidRPr="00591BFC" w:rsidRDefault="00CF2E21" w:rsidP="00E86771">
            <w:pPr>
              <w:spacing w:after="0" w:line="360" w:lineRule="auto"/>
              <w:jc w:val="right"/>
            </w:pPr>
          </w:p>
        </w:tc>
        <w:tc>
          <w:tcPr>
            <w:tcW w:w="716" w:type="pct"/>
            <w:shd w:val="clear" w:color="auto" w:fill="auto"/>
          </w:tcPr>
          <w:p w14:paraId="3F66CDB3" w14:textId="77777777" w:rsidR="00CF2E21" w:rsidRPr="00591BFC" w:rsidRDefault="00CF2E21" w:rsidP="00E86771">
            <w:pPr>
              <w:spacing w:after="0" w:line="360" w:lineRule="auto"/>
              <w:jc w:val="right"/>
            </w:pPr>
            <w:r w:rsidRPr="00591BFC">
              <w:t>1,166</w:t>
            </w:r>
          </w:p>
        </w:tc>
        <w:tc>
          <w:tcPr>
            <w:tcW w:w="278" w:type="pct"/>
            <w:shd w:val="clear" w:color="auto" w:fill="auto"/>
          </w:tcPr>
          <w:p w14:paraId="65EE2FC1" w14:textId="77777777" w:rsidR="00CF2E21" w:rsidRPr="00591BFC" w:rsidRDefault="00CF2E21" w:rsidP="00E86771">
            <w:pPr>
              <w:spacing w:after="0" w:line="360" w:lineRule="auto"/>
              <w:jc w:val="right"/>
            </w:pPr>
          </w:p>
        </w:tc>
      </w:tr>
      <w:tr w:rsidR="00CF2E21" w:rsidRPr="00591BFC" w14:paraId="321E3CA2" w14:textId="77777777" w:rsidTr="00DB4F65">
        <w:tc>
          <w:tcPr>
            <w:tcW w:w="1270" w:type="pct"/>
            <w:shd w:val="clear" w:color="auto" w:fill="auto"/>
          </w:tcPr>
          <w:p w14:paraId="22B5C7C0" w14:textId="77777777" w:rsidR="00CF2E21" w:rsidRPr="00591BFC" w:rsidRDefault="00CF2E21" w:rsidP="00E86771">
            <w:pPr>
              <w:spacing w:after="0" w:line="360" w:lineRule="auto"/>
            </w:pPr>
            <w:r w:rsidRPr="00591BFC">
              <w:t>Distributional form</w:t>
            </w:r>
          </w:p>
        </w:tc>
        <w:tc>
          <w:tcPr>
            <w:tcW w:w="710" w:type="pct"/>
            <w:shd w:val="clear" w:color="auto" w:fill="auto"/>
          </w:tcPr>
          <w:p w14:paraId="32BCC3C7" w14:textId="77777777" w:rsidR="00CF2E21" w:rsidRPr="00591BFC" w:rsidRDefault="00CF2E21" w:rsidP="00E86771">
            <w:pPr>
              <w:spacing w:after="0" w:line="360" w:lineRule="auto"/>
              <w:jc w:val="right"/>
            </w:pPr>
            <w:r w:rsidRPr="00591BFC">
              <w:t>Gamma</w:t>
            </w:r>
          </w:p>
        </w:tc>
        <w:tc>
          <w:tcPr>
            <w:tcW w:w="254" w:type="pct"/>
            <w:shd w:val="clear" w:color="auto" w:fill="auto"/>
          </w:tcPr>
          <w:p w14:paraId="0EAF7785" w14:textId="77777777" w:rsidR="00CF2E21" w:rsidRPr="00591BFC" w:rsidRDefault="00CF2E21" w:rsidP="00E86771">
            <w:pPr>
              <w:spacing w:after="0" w:line="360" w:lineRule="auto"/>
              <w:jc w:val="right"/>
            </w:pPr>
          </w:p>
        </w:tc>
        <w:tc>
          <w:tcPr>
            <w:tcW w:w="559" w:type="pct"/>
            <w:shd w:val="clear" w:color="auto" w:fill="auto"/>
          </w:tcPr>
          <w:p w14:paraId="7C88F511" w14:textId="77777777" w:rsidR="00CF2E21" w:rsidRPr="00591BFC" w:rsidRDefault="00CF2E21" w:rsidP="00E86771">
            <w:pPr>
              <w:spacing w:after="0" w:line="360" w:lineRule="auto"/>
              <w:jc w:val="right"/>
            </w:pPr>
            <w:r w:rsidRPr="00591BFC">
              <w:t>Logistic</w:t>
            </w:r>
          </w:p>
        </w:tc>
        <w:tc>
          <w:tcPr>
            <w:tcW w:w="304" w:type="pct"/>
            <w:shd w:val="clear" w:color="auto" w:fill="auto"/>
          </w:tcPr>
          <w:p w14:paraId="2D2E7F85" w14:textId="77777777" w:rsidR="00CF2E21" w:rsidRPr="00591BFC" w:rsidRDefault="00CF2E21" w:rsidP="00E86771">
            <w:pPr>
              <w:spacing w:after="0" w:line="360" w:lineRule="auto"/>
              <w:jc w:val="right"/>
            </w:pPr>
          </w:p>
        </w:tc>
        <w:tc>
          <w:tcPr>
            <w:tcW w:w="661" w:type="pct"/>
            <w:shd w:val="clear" w:color="auto" w:fill="auto"/>
          </w:tcPr>
          <w:p w14:paraId="6BDECBFC" w14:textId="77777777" w:rsidR="00CF2E21" w:rsidRPr="00591BFC" w:rsidRDefault="00CF2E21" w:rsidP="00E86771">
            <w:pPr>
              <w:spacing w:after="0" w:line="360" w:lineRule="auto"/>
              <w:jc w:val="right"/>
            </w:pPr>
            <w:r w:rsidRPr="00591BFC">
              <w:t>Gamma</w:t>
            </w:r>
          </w:p>
        </w:tc>
        <w:tc>
          <w:tcPr>
            <w:tcW w:w="248" w:type="pct"/>
            <w:shd w:val="clear" w:color="auto" w:fill="auto"/>
          </w:tcPr>
          <w:p w14:paraId="5D446500" w14:textId="77777777" w:rsidR="00CF2E21" w:rsidRPr="00591BFC" w:rsidRDefault="00CF2E21" w:rsidP="00E86771">
            <w:pPr>
              <w:spacing w:after="0" w:line="360" w:lineRule="auto"/>
              <w:jc w:val="right"/>
            </w:pPr>
          </w:p>
        </w:tc>
        <w:tc>
          <w:tcPr>
            <w:tcW w:w="716" w:type="pct"/>
            <w:shd w:val="clear" w:color="auto" w:fill="auto"/>
          </w:tcPr>
          <w:p w14:paraId="23E3A4EB" w14:textId="77777777" w:rsidR="00CF2E21" w:rsidRPr="00591BFC" w:rsidRDefault="00CF2E21" w:rsidP="00E86771">
            <w:pPr>
              <w:spacing w:after="0" w:line="360" w:lineRule="auto"/>
              <w:jc w:val="right"/>
            </w:pPr>
            <w:r w:rsidRPr="00591BFC">
              <w:t>Gamma</w:t>
            </w:r>
          </w:p>
        </w:tc>
        <w:tc>
          <w:tcPr>
            <w:tcW w:w="278" w:type="pct"/>
            <w:shd w:val="clear" w:color="auto" w:fill="auto"/>
          </w:tcPr>
          <w:p w14:paraId="6F3A7EC5" w14:textId="77777777" w:rsidR="00CF2E21" w:rsidRPr="00591BFC" w:rsidRDefault="00CF2E21" w:rsidP="00E86771">
            <w:pPr>
              <w:spacing w:after="0" w:line="360" w:lineRule="auto"/>
              <w:jc w:val="right"/>
            </w:pPr>
          </w:p>
        </w:tc>
      </w:tr>
      <w:tr w:rsidR="00CF2E21" w:rsidRPr="00591BFC" w14:paraId="7C655214" w14:textId="77777777" w:rsidTr="00DB4F65">
        <w:tc>
          <w:tcPr>
            <w:tcW w:w="1270" w:type="pct"/>
            <w:shd w:val="clear" w:color="auto" w:fill="auto"/>
          </w:tcPr>
          <w:p w14:paraId="4D08F070" w14:textId="77777777" w:rsidR="00CF2E21" w:rsidRPr="00591BFC" w:rsidRDefault="00CF2E21" w:rsidP="00E86771">
            <w:pPr>
              <w:spacing w:after="0" w:line="360" w:lineRule="auto"/>
            </w:pPr>
            <w:r w:rsidRPr="00591BFC">
              <w:t>Link function</w:t>
            </w:r>
          </w:p>
        </w:tc>
        <w:tc>
          <w:tcPr>
            <w:tcW w:w="710" w:type="pct"/>
            <w:shd w:val="clear" w:color="auto" w:fill="auto"/>
          </w:tcPr>
          <w:p w14:paraId="6AFCCD81" w14:textId="77777777" w:rsidR="00CF2E21" w:rsidRPr="00591BFC" w:rsidRDefault="00CF2E21" w:rsidP="00E86771">
            <w:pPr>
              <w:spacing w:after="0" w:line="360" w:lineRule="auto"/>
              <w:jc w:val="right"/>
            </w:pPr>
            <w:r w:rsidRPr="00591BFC">
              <w:t>Identity</w:t>
            </w:r>
          </w:p>
        </w:tc>
        <w:tc>
          <w:tcPr>
            <w:tcW w:w="254" w:type="pct"/>
            <w:shd w:val="clear" w:color="auto" w:fill="auto"/>
          </w:tcPr>
          <w:p w14:paraId="7F64BF60" w14:textId="77777777" w:rsidR="00CF2E21" w:rsidRPr="00591BFC" w:rsidRDefault="00CF2E21" w:rsidP="00E86771">
            <w:pPr>
              <w:spacing w:after="0" w:line="360" w:lineRule="auto"/>
              <w:jc w:val="right"/>
            </w:pPr>
          </w:p>
        </w:tc>
        <w:tc>
          <w:tcPr>
            <w:tcW w:w="559" w:type="pct"/>
            <w:shd w:val="clear" w:color="auto" w:fill="auto"/>
          </w:tcPr>
          <w:p w14:paraId="570ECD45" w14:textId="77777777" w:rsidR="00CF2E21" w:rsidRPr="00591BFC" w:rsidRDefault="00CF2E21" w:rsidP="00E86771">
            <w:pPr>
              <w:spacing w:after="0" w:line="360" w:lineRule="auto"/>
              <w:jc w:val="right"/>
            </w:pPr>
          </w:p>
        </w:tc>
        <w:tc>
          <w:tcPr>
            <w:tcW w:w="304" w:type="pct"/>
            <w:shd w:val="clear" w:color="auto" w:fill="auto"/>
          </w:tcPr>
          <w:p w14:paraId="6DE5B298" w14:textId="77777777" w:rsidR="00CF2E21" w:rsidRPr="00591BFC" w:rsidRDefault="00CF2E21" w:rsidP="00E86771">
            <w:pPr>
              <w:spacing w:after="0" w:line="360" w:lineRule="auto"/>
              <w:jc w:val="right"/>
            </w:pPr>
          </w:p>
        </w:tc>
        <w:tc>
          <w:tcPr>
            <w:tcW w:w="661" w:type="pct"/>
            <w:shd w:val="clear" w:color="auto" w:fill="auto"/>
          </w:tcPr>
          <w:p w14:paraId="20016BF4" w14:textId="77777777" w:rsidR="00CF2E21" w:rsidRPr="00591BFC" w:rsidRDefault="00CF2E21" w:rsidP="00E86771">
            <w:pPr>
              <w:spacing w:after="0" w:line="360" w:lineRule="auto"/>
              <w:jc w:val="right"/>
            </w:pPr>
            <w:r w:rsidRPr="00591BFC">
              <w:t>Identity</w:t>
            </w:r>
          </w:p>
        </w:tc>
        <w:tc>
          <w:tcPr>
            <w:tcW w:w="248" w:type="pct"/>
            <w:shd w:val="clear" w:color="auto" w:fill="auto"/>
          </w:tcPr>
          <w:p w14:paraId="7197377F" w14:textId="77777777" w:rsidR="00CF2E21" w:rsidRPr="00591BFC" w:rsidRDefault="00CF2E21" w:rsidP="00E86771">
            <w:pPr>
              <w:spacing w:after="0" w:line="360" w:lineRule="auto"/>
              <w:jc w:val="right"/>
            </w:pPr>
          </w:p>
        </w:tc>
        <w:tc>
          <w:tcPr>
            <w:tcW w:w="716" w:type="pct"/>
            <w:shd w:val="clear" w:color="auto" w:fill="auto"/>
          </w:tcPr>
          <w:p w14:paraId="5138E465" w14:textId="77777777" w:rsidR="00CF2E21" w:rsidRPr="00591BFC" w:rsidRDefault="00CF2E21" w:rsidP="00E86771">
            <w:pPr>
              <w:spacing w:after="0" w:line="360" w:lineRule="auto"/>
              <w:jc w:val="right"/>
            </w:pPr>
            <w:r w:rsidRPr="00591BFC">
              <w:t>Identity</w:t>
            </w:r>
          </w:p>
        </w:tc>
        <w:tc>
          <w:tcPr>
            <w:tcW w:w="278" w:type="pct"/>
            <w:shd w:val="clear" w:color="auto" w:fill="auto"/>
          </w:tcPr>
          <w:p w14:paraId="0E9EC7D8" w14:textId="77777777" w:rsidR="00CF2E21" w:rsidRPr="00591BFC" w:rsidRDefault="00CF2E21" w:rsidP="00E86771">
            <w:pPr>
              <w:spacing w:after="0" w:line="360" w:lineRule="auto"/>
              <w:jc w:val="right"/>
            </w:pPr>
          </w:p>
        </w:tc>
      </w:tr>
      <w:tr w:rsidR="00CF2E21" w:rsidRPr="00591BFC" w14:paraId="38A94ABE" w14:textId="77777777" w:rsidTr="00DB4F65">
        <w:tc>
          <w:tcPr>
            <w:tcW w:w="1270" w:type="pct"/>
            <w:shd w:val="clear" w:color="auto" w:fill="auto"/>
          </w:tcPr>
          <w:p w14:paraId="560AB456" w14:textId="77777777" w:rsidR="00CF2E21" w:rsidRPr="00591BFC" w:rsidRDefault="00CF2E21" w:rsidP="00E86771">
            <w:pPr>
              <w:spacing w:after="0" w:line="360" w:lineRule="auto"/>
            </w:pPr>
            <w:r w:rsidRPr="00591BFC">
              <w:t>Parameters</w:t>
            </w:r>
          </w:p>
        </w:tc>
        <w:tc>
          <w:tcPr>
            <w:tcW w:w="710" w:type="pct"/>
            <w:shd w:val="clear" w:color="auto" w:fill="auto"/>
          </w:tcPr>
          <w:p w14:paraId="73B536CF" w14:textId="77777777" w:rsidR="00CF2E21" w:rsidRPr="00591BFC" w:rsidRDefault="00CF2E21" w:rsidP="00E86771">
            <w:pPr>
              <w:spacing w:after="0" w:line="360" w:lineRule="auto"/>
              <w:jc w:val="right"/>
            </w:pPr>
            <w:r w:rsidRPr="00591BFC">
              <w:t>Mean</w:t>
            </w:r>
          </w:p>
        </w:tc>
        <w:tc>
          <w:tcPr>
            <w:tcW w:w="254" w:type="pct"/>
            <w:shd w:val="clear" w:color="auto" w:fill="auto"/>
          </w:tcPr>
          <w:p w14:paraId="0A048ECD" w14:textId="77777777" w:rsidR="00CF2E21" w:rsidRPr="00591BFC" w:rsidRDefault="00CF2E21" w:rsidP="00E86771">
            <w:pPr>
              <w:spacing w:after="0" w:line="360" w:lineRule="auto"/>
              <w:jc w:val="right"/>
            </w:pPr>
            <w:r w:rsidRPr="00591BFC">
              <w:t>SE</w:t>
            </w:r>
          </w:p>
        </w:tc>
        <w:tc>
          <w:tcPr>
            <w:tcW w:w="559" w:type="pct"/>
            <w:shd w:val="clear" w:color="auto" w:fill="auto"/>
          </w:tcPr>
          <w:p w14:paraId="6BE6FBA7" w14:textId="77777777" w:rsidR="00CF2E21" w:rsidRPr="00591BFC" w:rsidRDefault="00CF2E21" w:rsidP="00E86771">
            <w:pPr>
              <w:spacing w:after="0" w:line="360" w:lineRule="auto"/>
              <w:jc w:val="right"/>
            </w:pPr>
            <w:r w:rsidRPr="00591BFC">
              <w:t>Mean</w:t>
            </w:r>
          </w:p>
        </w:tc>
        <w:tc>
          <w:tcPr>
            <w:tcW w:w="304" w:type="pct"/>
            <w:shd w:val="clear" w:color="auto" w:fill="auto"/>
          </w:tcPr>
          <w:p w14:paraId="175123D1" w14:textId="77777777" w:rsidR="00CF2E21" w:rsidRPr="00591BFC" w:rsidRDefault="00CF2E21" w:rsidP="00E86771">
            <w:pPr>
              <w:spacing w:after="0" w:line="360" w:lineRule="auto"/>
              <w:jc w:val="right"/>
            </w:pPr>
            <w:r w:rsidRPr="00591BFC">
              <w:t>SE</w:t>
            </w:r>
          </w:p>
        </w:tc>
        <w:tc>
          <w:tcPr>
            <w:tcW w:w="661" w:type="pct"/>
            <w:shd w:val="clear" w:color="auto" w:fill="auto"/>
          </w:tcPr>
          <w:p w14:paraId="1ED7BD01" w14:textId="77777777" w:rsidR="00CF2E21" w:rsidRPr="00591BFC" w:rsidRDefault="00CF2E21" w:rsidP="00E86771">
            <w:pPr>
              <w:spacing w:after="0" w:line="360" w:lineRule="auto"/>
              <w:jc w:val="right"/>
            </w:pPr>
            <w:r w:rsidRPr="00591BFC">
              <w:t>Mean</w:t>
            </w:r>
          </w:p>
        </w:tc>
        <w:tc>
          <w:tcPr>
            <w:tcW w:w="248" w:type="pct"/>
            <w:shd w:val="clear" w:color="auto" w:fill="auto"/>
          </w:tcPr>
          <w:p w14:paraId="557A8C0E" w14:textId="77777777" w:rsidR="00CF2E21" w:rsidRPr="00591BFC" w:rsidRDefault="00CF2E21" w:rsidP="00E86771">
            <w:pPr>
              <w:spacing w:after="0" w:line="360" w:lineRule="auto"/>
              <w:jc w:val="right"/>
            </w:pPr>
            <w:r w:rsidRPr="00591BFC">
              <w:t>SE</w:t>
            </w:r>
          </w:p>
        </w:tc>
        <w:tc>
          <w:tcPr>
            <w:tcW w:w="716" w:type="pct"/>
            <w:shd w:val="clear" w:color="auto" w:fill="auto"/>
          </w:tcPr>
          <w:p w14:paraId="595BD3DE" w14:textId="77777777" w:rsidR="00CF2E21" w:rsidRPr="00591BFC" w:rsidRDefault="00CF2E21" w:rsidP="00E86771">
            <w:pPr>
              <w:spacing w:after="0" w:line="360" w:lineRule="auto"/>
              <w:jc w:val="right"/>
            </w:pPr>
            <w:r w:rsidRPr="00591BFC">
              <w:t>Mean</w:t>
            </w:r>
          </w:p>
        </w:tc>
        <w:tc>
          <w:tcPr>
            <w:tcW w:w="278" w:type="pct"/>
            <w:shd w:val="clear" w:color="auto" w:fill="auto"/>
          </w:tcPr>
          <w:p w14:paraId="32DBE33C" w14:textId="77777777" w:rsidR="00CF2E21" w:rsidRPr="00591BFC" w:rsidRDefault="00CF2E21" w:rsidP="00E86771">
            <w:pPr>
              <w:spacing w:after="0" w:line="360" w:lineRule="auto"/>
              <w:jc w:val="right"/>
            </w:pPr>
            <w:r w:rsidRPr="00591BFC">
              <w:t>SE</w:t>
            </w:r>
          </w:p>
        </w:tc>
      </w:tr>
      <w:tr w:rsidR="00CF2E21" w:rsidRPr="00591BFC" w14:paraId="5AEBEB93" w14:textId="77777777" w:rsidTr="00DB4F65">
        <w:tc>
          <w:tcPr>
            <w:tcW w:w="1270" w:type="pct"/>
            <w:shd w:val="clear" w:color="auto" w:fill="auto"/>
          </w:tcPr>
          <w:p w14:paraId="51A51B9C" w14:textId="77777777" w:rsidR="00CF2E21" w:rsidRPr="00591BFC" w:rsidRDefault="00CF2E21" w:rsidP="00E86771">
            <w:pPr>
              <w:spacing w:after="0" w:line="360" w:lineRule="auto"/>
            </w:pPr>
            <w:r w:rsidRPr="00591BFC">
              <w:t>Constant</w:t>
            </w:r>
          </w:p>
        </w:tc>
        <w:tc>
          <w:tcPr>
            <w:tcW w:w="710" w:type="pct"/>
            <w:shd w:val="clear" w:color="auto" w:fill="auto"/>
          </w:tcPr>
          <w:p w14:paraId="46211F8A" w14:textId="77777777" w:rsidR="00CF2E21" w:rsidRPr="00591BFC" w:rsidRDefault="00CF2E21" w:rsidP="00E86771">
            <w:pPr>
              <w:spacing w:after="0" w:line="360" w:lineRule="auto"/>
              <w:jc w:val="right"/>
            </w:pPr>
            <w:r w:rsidRPr="00591BFC">
              <w:rPr>
                <w:color w:val="000000"/>
              </w:rPr>
              <w:t>11462</w:t>
            </w:r>
          </w:p>
        </w:tc>
        <w:tc>
          <w:tcPr>
            <w:tcW w:w="254" w:type="pct"/>
            <w:shd w:val="clear" w:color="auto" w:fill="auto"/>
          </w:tcPr>
          <w:p w14:paraId="7FC3D23C" w14:textId="77777777" w:rsidR="00CF2E21" w:rsidRPr="00591BFC" w:rsidRDefault="00CF2E21" w:rsidP="00E86771">
            <w:pPr>
              <w:spacing w:after="0" w:line="360" w:lineRule="auto"/>
              <w:jc w:val="right"/>
            </w:pPr>
            <w:r w:rsidRPr="00591BFC">
              <w:rPr>
                <w:color w:val="000000"/>
              </w:rPr>
              <w:t>559</w:t>
            </w:r>
          </w:p>
        </w:tc>
        <w:tc>
          <w:tcPr>
            <w:tcW w:w="559" w:type="pct"/>
            <w:shd w:val="clear" w:color="auto" w:fill="auto"/>
          </w:tcPr>
          <w:p w14:paraId="16655796" w14:textId="77777777" w:rsidR="00CF2E21" w:rsidRPr="00591BFC" w:rsidRDefault="00CF2E21" w:rsidP="00E86771">
            <w:pPr>
              <w:spacing w:after="0" w:line="360" w:lineRule="auto"/>
              <w:jc w:val="right"/>
            </w:pPr>
            <w:r w:rsidRPr="00591BFC">
              <w:rPr>
                <w:color w:val="000000"/>
              </w:rPr>
              <w:t>-0.449</w:t>
            </w:r>
          </w:p>
        </w:tc>
        <w:tc>
          <w:tcPr>
            <w:tcW w:w="304" w:type="pct"/>
            <w:shd w:val="clear" w:color="auto" w:fill="auto"/>
          </w:tcPr>
          <w:p w14:paraId="48DDDED9" w14:textId="77777777" w:rsidR="00CF2E21" w:rsidRPr="00591BFC" w:rsidRDefault="00CF2E21" w:rsidP="00E86771">
            <w:pPr>
              <w:spacing w:after="0" w:line="360" w:lineRule="auto"/>
              <w:jc w:val="right"/>
            </w:pPr>
            <w:r w:rsidRPr="00591BFC">
              <w:rPr>
                <w:color w:val="000000"/>
              </w:rPr>
              <w:t>0.029</w:t>
            </w:r>
          </w:p>
        </w:tc>
        <w:tc>
          <w:tcPr>
            <w:tcW w:w="661" w:type="pct"/>
            <w:shd w:val="clear" w:color="auto" w:fill="auto"/>
          </w:tcPr>
          <w:p w14:paraId="02BAFE02" w14:textId="77777777" w:rsidR="00CF2E21" w:rsidRPr="00591BFC" w:rsidRDefault="00CF2E21" w:rsidP="00E86771">
            <w:pPr>
              <w:spacing w:after="0" w:line="360" w:lineRule="auto"/>
              <w:jc w:val="right"/>
            </w:pPr>
            <w:r w:rsidRPr="00591BFC">
              <w:rPr>
                <w:color w:val="000000"/>
              </w:rPr>
              <w:t>10795</w:t>
            </w:r>
          </w:p>
        </w:tc>
        <w:tc>
          <w:tcPr>
            <w:tcW w:w="248" w:type="pct"/>
            <w:shd w:val="clear" w:color="auto" w:fill="auto"/>
          </w:tcPr>
          <w:p w14:paraId="5AAF37AA" w14:textId="77777777" w:rsidR="00CF2E21" w:rsidRPr="00591BFC" w:rsidRDefault="00CF2E21" w:rsidP="00E86771">
            <w:pPr>
              <w:spacing w:after="0" w:line="360" w:lineRule="auto"/>
              <w:jc w:val="right"/>
            </w:pPr>
            <w:r w:rsidRPr="00591BFC">
              <w:rPr>
                <w:color w:val="000000"/>
              </w:rPr>
              <w:t>1133</w:t>
            </w:r>
          </w:p>
        </w:tc>
        <w:tc>
          <w:tcPr>
            <w:tcW w:w="716" w:type="pct"/>
            <w:shd w:val="clear" w:color="auto" w:fill="auto"/>
          </w:tcPr>
          <w:p w14:paraId="0EF763A8" w14:textId="77777777" w:rsidR="00CF2E21" w:rsidRPr="00591BFC" w:rsidRDefault="00CF2E21" w:rsidP="00E86771">
            <w:pPr>
              <w:spacing w:after="0" w:line="360" w:lineRule="auto"/>
              <w:jc w:val="right"/>
            </w:pPr>
            <w:r w:rsidRPr="00591BFC">
              <w:rPr>
                <w:color w:val="000000"/>
              </w:rPr>
              <w:t>23206</w:t>
            </w:r>
          </w:p>
        </w:tc>
        <w:tc>
          <w:tcPr>
            <w:tcW w:w="278" w:type="pct"/>
            <w:shd w:val="clear" w:color="auto" w:fill="auto"/>
          </w:tcPr>
          <w:p w14:paraId="43B6E7EB" w14:textId="77777777" w:rsidR="00CF2E21" w:rsidRPr="00591BFC" w:rsidRDefault="00CF2E21" w:rsidP="00E86771">
            <w:pPr>
              <w:spacing w:after="0" w:line="360" w:lineRule="auto"/>
              <w:jc w:val="right"/>
            </w:pPr>
            <w:r w:rsidRPr="00591BFC">
              <w:rPr>
                <w:color w:val="000000"/>
              </w:rPr>
              <w:t>3166</w:t>
            </w:r>
          </w:p>
        </w:tc>
      </w:tr>
      <w:tr w:rsidR="00CF2E21" w:rsidRPr="00591BFC" w14:paraId="035DCFA0" w14:textId="77777777" w:rsidTr="00DB4F65">
        <w:tc>
          <w:tcPr>
            <w:tcW w:w="1270" w:type="pct"/>
            <w:shd w:val="clear" w:color="auto" w:fill="auto"/>
          </w:tcPr>
          <w:p w14:paraId="27B95200" w14:textId="77777777" w:rsidR="00CF2E21" w:rsidRPr="00591BFC" w:rsidRDefault="00CF2E21" w:rsidP="00E86771">
            <w:pPr>
              <w:spacing w:after="0" w:line="360" w:lineRule="auto"/>
            </w:pPr>
            <w:r w:rsidRPr="00591BFC">
              <w:t>Death within 30 days of hip fracture</w:t>
            </w:r>
          </w:p>
        </w:tc>
        <w:tc>
          <w:tcPr>
            <w:tcW w:w="710" w:type="pct"/>
            <w:shd w:val="clear" w:color="auto" w:fill="auto"/>
          </w:tcPr>
          <w:p w14:paraId="0B8B9D8C" w14:textId="77777777" w:rsidR="00CF2E21" w:rsidRPr="00591BFC" w:rsidRDefault="00CF2E21" w:rsidP="00E86771">
            <w:pPr>
              <w:spacing w:after="0" w:line="360" w:lineRule="auto"/>
              <w:jc w:val="right"/>
            </w:pPr>
            <w:r w:rsidRPr="00591BFC">
              <w:rPr>
                <w:color w:val="000000"/>
              </w:rPr>
              <w:t>-5110</w:t>
            </w:r>
          </w:p>
        </w:tc>
        <w:tc>
          <w:tcPr>
            <w:tcW w:w="254" w:type="pct"/>
            <w:shd w:val="clear" w:color="auto" w:fill="auto"/>
          </w:tcPr>
          <w:p w14:paraId="0627CBA5" w14:textId="77777777" w:rsidR="00CF2E21" w:rsidRPr="00591BFC" w:rsidRDefault="00CF2E21" w:rsidP="00E86771">
            <w:pPr>
              <w:spacing w:after="0" w:line="360" w:lineRule="auto"/>
              <w:jc w:val="right"/>
            </w:pPr>
            <w:r w:rsidRPr="00591BFC">
              <w:rPr>
                <w:color w:val="000000"/>
              </w:rPr>
              <w:t>129</w:t>
            </w:r>
          </w:p>
        </w:tc>
        <w:tc>
          <w:tcPr>
            <w:tcW w:w="559" w:type="pct"/>
            <w:shd w:val="clear" w:color="auto" w:fill="auto"/>
          </w:tcPr>
          <w:p w14:paraId="3FBC2CDE" w14:textId="77777777" w:rsidR="00CF2E21" w:rsidRPr="00591BFC" w:rsidRDefault="00CF2E21" w:rsidP="00E86771">
            <w:pPr>
              <w:spacing w:after="0" w:line="360" w:lineRule="auto"/>
              <w:jc w:val="right"/>
            </w:pPr>
          </w:p>
        </w:tc>
        <w:tc>
          <w:tcPr>
            <w:tcW w:w="304" w:type="pct"/>
            <w:shd w:val="clear" w:color="auto" w:fill="auto"/>
          </w:tcPr>
          <w:p w14:paraId="311215C5" w14:textId="77777777" w:rsidR="00CF2E21" w:rsidRPr="00591BFC" w:rsidRDefault="00CF2E21" w:rsidP="00E86771">
            <w:pPr>
              <w:spacing w:after="0" w:line="360" w:lineRule="auto"/>
              <w:jc w:val="right"/>
            </w:pPr>
          </w:p>
        </w:tc>
        <w:tc>
          <w:tcPr>
            <w:tcW w:w="661" w:type="pct"/>
            <w:shd w:val="clear" w:color="auto" w:fill="auto"/>
          </w:tcPr>
          <w:p w14:paraId="1DD9E73B" w14:textId="77777777" w:rsidR="00CF2E21" w:rsidRPr="00591BFC" w:rsidRDefault="00CF2E21" w:rsidP="00E86771">
            <w:pPr>
              <w:spacing w:after="0" w:line="360" w:lineRule="auto"/>
              <w:jc w:val="right"/>
            </w:pPr>
          </w:p>
        </w:tc>
        <w:tc>
          <w:tcPr>
            <w:tcW w:w="248" w:type="pct"/>
            <w:shd w:val="clear" w:color="auto" w:fill="auto"/>
          </w:tcPr>
          <w:p w14:paraId="4B8892E8" w14:textId="77777777" w:rsidR="00CF2E21" w:rsidRPr="00591BFC" w:rsidRDefault="00CF2E21" w:rsidP="00E86771">
            <w:pPr>
              <w:spacing w:after="0" w:line="360" w:lineRule="auto"/>
              <w:jc w:val="right"/>
            </w:pPr>
          </w:p>
        </w:tc>
        <w:tc>
          <w:tcPr>
            <w:tcW w:w="716" w:type="pct"/>
            <w:shd w:val="clear" w:color="auto" w:fill="auto"/>
          </w:tcPr>
          <w:p w14:paraId="5178AB44" w14:textId="77777777" w:rsidR="00CF2E21" w:rsidRPr="00591BFC" w:rsidRDefault="00CF2E21" w:rsidP="00E86771">
            <w:pPr>
              <w:spacing w:after="0" w:line="360" w:lineRule="auto"/>
              <w:jc w:val="right"/>
            </w:pPr>
            <w:r w:rsidRPr="00591BFC">
              <w:rPr>
                <w:color w:val="000000"/>
              </w:rPr>
              <w:t>-3560</w:t>
            </w:r>
          </w:p>
        </w:tc>
        <w:tc>
          <w:tcPr>
            <w:tcW w:w="278" w:type="pct"/>
            <w:shd w:val="clear" w:color="auto" w:fill="auto"/>
          </w:tcPr>
          <w:p w14:paraId="1D4F3981" w14:textId="77777777" w:rsidR="00CF2E21" w:rsidRPr="00591BFC" w:rsidRDefault="00CF2E21" w:rsidP="00E86771">
            <w:pPr>
              <w:spacing w:after="0" w:line="360" w:lineRule="auto"/>
              <w:jc w:val="right"/>
            </w:pPr>
            <w:r w:rsidRPr="00591BFC">
              <w:rPr>
                <w:color w:val="000000"/>
              </w:rPr>
              <w:t>589</w:t>
            </w:r>
          </w:p>
        </w:tc>
      </w:tr>
      <w:tr w:rsidR="00CF2E21" w:rsidRPr="00591BFC" w14:paraId="32685E05" w14:textId="77777777" w:rsidTr="00DB4F65">
        <w:tc>
          <w:tcPr>
            <w:tcW w:w="1270" w:type="pct"/>
            <w:shd w:val="clear" w:color="auto" w:fill="auto"/>
          </w:tcPr>
          <w:p w14:paraId="40F2E4B9" w14:textId="77777777" w:rsidR="00CF2E21" w:rsidRPr="00591BFC" w:rsidRDefault="00CF2E21" w:rsidP="00E86771">
            <w:pPr>
              <w:spacing w:after="0" w:line="360" w:lineRule="auto"/>
            </w:pPr>
            <w:r w:rsidRPr="00591BFC">
              <w:t>Death within year of hip fracture</w:t>
            </w:r>
          </w:p>
        </w:tc>
        <w:tc>
          <w:tcPr>
            <w:tcW w:w="710" w:type="pct"/>
            <w:shd w:val="clear" w:color="auto" w:fill="auto"/>
          </w:tcPr>
          <w:p w14:paraId="413D5E81" w14:textId="77777777" w:rsidR="00CF2E21" w:rsidRPr="00591BFC" w:rsidRDefault="00CF2E21" w:rsidP="00E86771">
            <w:pPr>
              <w:spacing w:after="0" w:line="360" w:lineRule="auto"/>
              <w:jc w:val="right"/>
            </w:pPr>
            <w:r w:rsidRPr="00591BFC">
              <w:rPr>
                <w:color w:val="000000"/>
              </w:rPr>
              <w:t>2979</w:t>
            </w:r>
          </w:p>
        </w:tc>
        <w:tc>
          <w:tcPr>
            <w:tcW w:w="254" w:type="pct"/>
            <w:shd w:val="clear" w:color="auto" w:fill="auto"/>
          </w:tcPr>
          <w:p w14:paraId="6A5F57C6" w14:textId="77777777" w:rsidR="00CF2E21" w:rsidRPr="00591BFC" w:rsidRDefault="00CF2E21" w:rsidP="00E86771">
            <w:pPr>
              <w:spacing w:after="0" w:line="360" w:lineRule="auto"/>
              <w:jc w:val="right"/>
            </w:pPr>
            <w:r w:rsidRPr="00591BFC">
              <w:rPr>
                <w:color w:val="000000"/>
              </w:rPr>
              <w:t>169</w:t>
            </w:r>
          </w:p>
        </w:tc>
        <w:tc>
          <w:tcPr>
            <w:tcW w:w="559" w:type="pct"/>
            <w:shd w:val="clear" w:color="auto" w:fill="auto"/>
          </w:tcPr>
          <w:p w14:paraId="66B729C2" w14:textId="77777777" w:rsidR="00CF2E21" w:rsidRPr="00591BFC" w:rsidRDefault="00CF2E21" w:rsidP="00E86771">
            <w:pPr>
              <w:spacing w:after="0" w:line="360" w:lineRule="auto"/>
              <w:jc w:val="right"/>
            </w:pPr>
          </w:p>
        </w:tc>
        <w:tc>
          <w:tcPr>
            <w:tcW w:w="304" w:type="pct"/>
            <w:shd w:val="clear" w:color="auto" w:fill="auto"/>
          </w:tcPr>
          <w:p w14:paraId="1BC9E7B9" w14:textId="77777777" w:rsidR="00CF2E21" w:rsidRPr="00591BFC" w:rsidRDefault="00CF2E21" w:rsidP="00E86771">
            <w:pPr>
              <w:spacing w:after="0" w:line="360" w:lineRule="auto"/>
              <w:jc w:val="right"/>
            </w:pPr>
          </w:p>
        </w:tc>
        <w:tc>
          <w:tcPr>
            <w:tcW w:w="661" w:type="pct"/>
            <w:shd w:val="clear" w:color="auto" w:fill="auto"/>
          </w:tcPr>
          <w:p w14:paraId="2BCB5B6E" w14:textId="77777777" w:rsidR="00CF2E21" w:rsidRPr="00591BFC" w:rsidRDefault="00CF2E21" w:rsidP="00E86771">
            <w:pPr>
              <w:spacing w:after="0" w:line="360" w:lineRule="auto"/>
              <w:jc w:val="right"/>
            </w:pPr>
          </w:p>
        </w:tc>
        <w:tc>
          <w:tcPr>
            <w:tcW w:w="248" w:type="pct"/>
            <w:shd w:val="clear" w:color="auto" w:fill="auto"/>
          </w:tcPr>
          <w:p w14:paraId="337F5FC8" w14:textId="77777777" w:rsidR="00CF2E21" w:rsidRPr="00591BFC" w:rsidRDefault="00CF2E21" w:rsidP="00E86771">
            <w:pPr>
              <w:spacing w:after="0" w:line="360" w:lineRule="auto"/>
              <w:jc w:val="right"/>
            </w:pPr>
          </w:p>
        </w:tc>
        <w:tc>
          <w:tcPr>
            <w:tcW w:w="716" w:type="pct"/>
            <w:shd w:val="clear" w:color="auto" w:fill="auto"/>
          </w:tcPr>
          <w:p w14:paraId="388A46CF" w14:textId="77777777" w:rsidR="00CF2E21" w:rsidRPr="00591BFC" w:rsidRDefault="00CF2E21" w:rsidP="00E86771">
            <w:pPr>
              <w:spacing w:after="0" w:line="360" w:lineRule="auto"/>
              <w:jc w:val="right"/>
            </w:pPr>
            <w:r w:rsidRPr="00591BFC">
              <w:rPr>
                <w:color w:val="000000"/>
              </w:rPr>
              <w:t>5391</w:t>
            </w:r>
          </w:p>
        </w:tc>
        <w:tc>
          <w:tcPr>
            <w:tcW w:w="278" w:type="pct"/>
            <w:shd w:val="clear" w:color="auto" w:fill="auto"/>
          </w:tcPr>
          <w:p w14:paraId="2BCB5428" w14:textId="77777777" w:rsidR="00CF2E21" w:rsidRPr="00591BFC" w:rsidRDefault="00CF2E21" w:rsidP="00E86771">
            <w:pPr>
              <w:spacing w:after="0" w:line="360" w:lineRule="auto"/>
              <w:jc w:val="right"/>
            </w:pPr>
            <w:r w:rsidRPr="00591BFC">
              <w:rPr>
                <w:color w:val="000000"/>
              </w:rPr>
              <w:t>1091</w:t>
            </w:r>
          </w:p>
        </w:tc>
      </w:tr>
      <w:tr w:rsidR="00CF2E21" w:rsidRPr="00591BFC" w14:paraId="38F100F0" w14:textId="77777777" w:rsidTr="00DB4F65">
        <w:tc>
          <w:tcPr>
            <w:tcW w:w="1270" w:type="pct"/>
            <w:shd w:val="clear" w:color="auto" w:fill="auto"/>
          </w:tcPr>
          <w:p w14:paraId="68EBB756" w14:textId="77777777" w:rsidR="00CF2E21" w:rsidRPr="00591BFC" w:rsidRDefault="00CF2E21" w:rsidP="00E86771">
            <w:pPr>
              <w:spacing w:after="0" w:line="360" w:lineRule="auto"/>
            </w:pPr>
            <w:r w:rsidRPr="00591BFC">
              <w:t>Living in care home</w:t>
            </w:r>
          </w:p>
        </w:tc>
        <w:tc>
          <w:tcPr>
            <w:tcW w:w="710" w:type="pct"/>
            <w:shd w:val="clear" w:color="auto" w:fill="auto"/>
          </w:tcPr>
          <w:p w14:paraId="35E5500F" w14:textId="77777777" w:rsidR="00CF2E21" w:rsidRPr="00591BFC" w:rsidRDefault="00CF2E21" w:rsidP="00E86771">
            <w:pPr>
              <w:spacing w:after="0" w:line="360" w:lineRule="auto"/>
              <w:jc w:val="right"/>
            </w:pPr>
            <w:r w:rsidRPr="00591BFC">
              <w:rPr>
                <w:color w:val="000000"/>
              </w:rPr>
              <w:t>3168</w:t>
            </w:r>
          </w:p>
        </w:tc>
        <w:tc>
          <w:tcPr>
            <w:tcW w:w="254" w:type="pct"/>
            <w:shd w:val="clear" w:color="auto" w:fill="auto"/>
          </w:tcPr>
          <w:p w14:paraId="393D25EB" w14:textId="77777777" w:rsidR="00CF2E21" w:rsidRPr="00591BFC" w:rsidRDefault="00CF2E21" w:rsidP="00E86771">
            <w:pPr>
              <w:spacing w:after="0" w:line="360" w:lineRule="auto"/>
              <w:jc w:val="right"/>
            </w:pPr>
            <w:r w:rsidRPr="00591BFC">
              <w:rPr>
                <w:color w:val="000000"/>
              </w:rPr>
              <w:t>149</w:t>
            </w:r>
          </w:p>
        </w:tc>
        <w:tc>
          <w:tcPr>
            <w:tcW w:w="559" w:type="pct"/>
            <w:shd w:val="clear" w:color="auto" w:fill="auto"/>
          </w:tcPr>
          <w:p w14:paraId="79E4735F" w14:textId="77777777" w:rsidR="00CF2E21" w:rsidRPr="00591BFC" w:rsidRDefault="00CF2E21" w:rsidP="00E86771">
            <w:pPr>
              <w:spacing w:after="0" w:line="360" w:lineRule="auto"/>
              <w:jc w:val="right"/>
            </w:pPr>
            <w:r w:rsidRPr="00591BFC">
              <w:rPr>
                <w:color w:val="000000"/>
              </w:rPr>
              <w:t>0.273</w:t>
            </w:r>
          </w:p>
        </w:tc>
        <w:tc>
          <w:tcPr>
            <w:tcW w:w="304" w:type="pct"/>
            <w:shd w:val="clear" w:color="auto" w:fill="auto"/>
          </w:tcPr>
          <w:p w14:paraId="4C2AFCE5" w14:textId="77777777" w:rsidR="00CF2E21" w:rsidRPr="00591BFC" w:rsidRDefault="00CF2E21" w:rsidP="00E86771">
            <w:pPr>
              <w:spacing w:after="0" w:line="360" w:lineRule="auto"/>
              <w:jc w:val="right"/>
            </w:pPr>
            <w:r w:rsidRPr="00591BFC">
              <w:rPr>
                <w:color w:val="000000"/>
              </w:rPr>
              <w:t>0.030</w:t>
            </w:r>
          </w:p>
        </w:tc>
        <w:tc>
          <w:tcPr>
            <w:tcW w:w="661" w:type="pct"/>
            <w:shd w:val="clear" w:color="auto" w:fill="auto"/>
          </w:tcPr>
          <w:p w14:paraId="2834C0EC" w14:textId="77777777" w:rsidR="00CF2E21" w:rsidRPr="00591BFC" w:rsidRDefault="00CF2E21" w:rsidP="00E86771">
            <w:pPr>
              <w:spacing w:after="0" w:line="360" w:lineRule="auto"/>
              <w:jc w:val="right"/>
            </w:pPr>
            <w:r w:rsidRPr="00591BFC">
              <w:rPr>
                <w:color w:val="000000"/>
              </w:rPr>
              <w:t>2676</w:t>
            </w:r>
          </w:p>
        </w:tc>
        <w:tc>
          <w:tcPr>
            <w:tcW w:w="248" w:type="pct"/>
            <w:shd w:val="clear" w:color="auto" w:fill="auto"/>
          </w:tcPr>
          <w:p w14:paraId="0AD9EE83" w14:textId="77777777" w:rsidR="00CF2E21" w:rsidRPr="00591BFC" w:rsidRDefault="00CF2E21" w:rsidP="00E86771">
            <w:pPr>
              <w:spacing w:after="0" w:line="360" w:lineRule="auto"/>
              <w:jc w:val="right"/>
            </w:pPr>
            <w:r w:rsidRPr="00591BFC">
              <w:rPr>
                <w:color w:val="000000"/>
              </w:rPr>
              <w:t>259</w:t>
            </w:r>
          </w:p>
        </w:tc>
        <w:tc>
          <w:tcPr>
            <w:tcW w:w="716" w:type="pct"/>
            <w:shd w:val="clear" w:color="auto" w:fill="auto"/>
          </w:tcPr>
          <w:p w14:paraId="659FC3B8" w14:textId="77777777" w:rsidR="00CF2E21" w:rsidRPr="00591BFC" w:rsidRDefault="00CF2E21" w:rsidP="00E86771">
            <w:pPr>
              <w:spacing w:after="0" w:line="360" w:lineRule="auto"/>
              <w:jc w:val="right"/>
            </w:pPr>
            <w:r w:rsidRPr="00591BFC">
              <w:rPr>
                <w:color w:val="000000"/>
              </w:rPr>
              <w:t>1053</w:t>
            </w:r>
          </w:p>
        </w:tc>
        <w:tc>
          <w:tcPr>
            <w:tcW w:w="278" w:type="pct"/>
            <w:shd w:val="clear" w:color="auto" w:fill="auto"/>
          </w:tcPr>
          <w:p w14:paraId="3D246986" w14:textId="77777777" w:rsidR="00CF2E21" w:rsidRPr="00591BFC" w:rsidRDefault="00CF2E21" w:rsidP="00E86771">
            <w:pPr>
              <w:spacing w:after="0" w:line="360" w:lineRule="auto"/>
              <w:jc w:val="right"/>
            </w:pPr>
            <w:r w:rsidRPr="00591BFC">
              <w:rPr>
                <w:color w:val="000000"/>
              </w:rPr>
              <w:t>520</w:t>
            </w:r>
          </w:p>
        </w:tc>
      </w:tr>
      <w:tr w:rsidR="00CF2E21" w:rsidRPr="00591BFC" w14:paraId="73F1FEA9" w14:textId="77777777" w:rsidTr="00DB4F65">
        <w:tc>
          <w:tcPr>
            <w:tcW w:w="1270" w:type="pct"/>
            <w:shd w:val="clear" w:color="auto" w:fill="auto"/>
          </w:tcPr>
          <w:p w14:paraId="10BDC710" w14:textId="77777777" w:rsidR="00CF2E21" w:rsidRPr="00591BFC" w:rsidRDefault="00CF2E21" w:rsidP="00E86771">
            <w:pPr>
              <w:spacing w:after="0" w:line="360" w:lineRule="auto"/>
            </w:pPr>
            <w:r w:rsidRPr="00591BFC">
              <w:t>Age at hip fracture</w:t>
            </w:r>
          </w:p>
        </w:tc>
        <w:tc>
          <w:tcPr>
            <w:tcW w:w="710" w:type="pct"/>
            <w:shd w:val="clear" w:color="auto" w:fill="auto"/>
          </w:tcPr>
          <w:p w14:paraId="5B8A7C6A" w14:textId="77777777" w:rsidR="00CF2E21" w:rsidRPr="00591BFC" w:rsidRDefault="00CF2E21" w:rsidP="00E86771">
            <w:pPr>
              <w:spacing w:after="0" w:line="360" w:lineRule="auto"/>
              <w:jc w:val="right"/>
            </w:pPr>
            <w:r w:rsidRPr="00591BFC">
              <w:rPr>
                <w:color w:val="000000"/>
              </w:rPr>
              <w:t>24</w:t>
            </w:r>
          </w:p>
        </w:tc>
        <w:tc>
          <w:tcPr>
            <w:tcW w:w="254" w:type="pct"/>
            <w:shd w:val="clear" w:color="auto" w:fill="auto"/>
          </w:tcPr>
          <w:p w14:paraId="6AD3D2E9" w14:textId="77777777" w:rsidR="00CF2E21" w:rsidRPr="00591BFC" w:rsidRDefault="00CF2E21" w:rsidP="00E86771">
            <w:pPr>
              <w:spacing w:after="0" w:line="360" w:lineRule="auto"/>
              <w:jc w:val="right"/>
            </w:pPr>
            <w:r w:rsidRPr="00591BFC">
              <w:rPr>
                <w:color w:val="000000"/>
              </w:rPr>
              <w:t>7</w:t>
            </w:r>
          </w:p>
        </w:tc>
        <w:tc>
          <w:tcPr>
            <w:tcW w:w="559" w:type="pct"/>
            <w:shd w:val="clear" w:color="auto" w:fill="auto"/>
          </w:tcPr>
          <w:p w14:paraId="5B4F1DC5" w14:textId="77777777" w:rsidR="00CF2E21" w:rsidRPr="00591BFC" w:rsidRDefault="00CF2E21" w:rsidP="00E86771">
            <w:pPr>
              <w:spacing w:after="0" w:line="360" w:lineRule="auto"/>
              <w:jc w:val="right"/>
            </w:pPr>
          </w:p>
        </w:tc>
        <w:tc>
          <w:tcPr>
            <w:tcW w:w="304" w:type="pct"/>
            <w:shd w:val="clear" w:color="auto" w:fill="auto"/>
          </w:tcPr>
          <w:p w14:paraId="0535E26A" w14:textId="77777777" w:rsidR="00CF2E21" w:rsidRPr="00591BFC" w:rsidRDefault="00CF2E21" w:rsidP="00E86771">
            <w:pPr>
              <w:spacing w:after="0" w:line="360" w:lineRule="auto"/>
              <w:jc w:val="right"/>
            </w:pPr>
          </w:p>
        </w:tc>
        <w:tc>
          <w:tcPr>
            <w:tcW w:w="661" w:type="pct"/>
            <w:shd w:val="clear" w:color="auto" w:fill="auto"/>
          </w:tcPr>
          <w:p w14:paraId="7F3BB9CC" w14:textId="77777777" w:rsidR="00CF2E21" w:rsidRPr="00591BFC" w:rsidRDefault="00CF2E21" w:rsidP="00E86771">
            <w:pPr>
              <w:spacing w:after="0" w:line="360" w:lineRule="auto"/>
              <w:jc w:val="right"/>
            </w:pPr>
          </w:p>
        </w:tc>
        <w:tc>
          <w:tcPr>
            <w:tcW w:w="248" w:type="pct"/>
            <w:shd w:val="clear" w:color="auto" w:fill="auto"/>
          </w:tcPr>
          <w:p w14:paraId="3153B747" w14:textId="77777777" w:rsidR="00CF2E21" w:rsidRPr="00591BFC" w:rsidRDefault="00CF2E21" w:rsidP="00E86771">
            <w:pPr>
              <w:spacing w:after="0" w:line="360" w:lineRule="auto"/>
              <w:jc w:val="right"/>
            </w:pPr>
          </w:p>
        </w:tc>
        <w:tc>
          <w:tcPr>
            <w:tcW w:w="716" w:type="pct"/>
            <w:shd w:val="clear" w:color="auto" w:fill="auto"/>
          </w:tcPr>
          <w:p w14:paraId="73AAF57B" w14:textId="77777777" w:rsidR="00CF2E21" w:rsidRPr="00591BFC" w:rsidRDefault="00CF2E21" w:rsidP="00E86771">
            <w:pPr>
              <w:spacing w:after="0" w:line="360" w:lineRule="auto"/>
              <w:jc w:val="right"/>
            </w:pPr>
            <w:r w:rsidRPr="00591BFC">
              <w:rPr>
                <w:color w:val="000000"/>
              </w:rPr>
              <w:t>-108</w:t>
            </w:r>
          </w:p>
        </w:tc>
        <w:tc>
          <w:tcPr>
            <w:tcW w:w="278" w:type="pct"/>
            <w:shd w:val="clear" w:color="auto" w:fill="auto"/>
          </w:tcPr>
          <w:p w14:paraId="009875F6" w14:textId="77777777" w:rsidR="00CF2E21" w:rsidRPr="00591BFC" w:rsidRDefault="00CF2E21" w:rsidP="00E86771">
            <w:pPr>
              <w:spacing w:after="0" w:line="360" w:lineRule="auto"/>
              <w:jc w:val="right"/>
            </w:pPr>
            <w:r w:rsidRPr="00591BFC">
              <w:rPr>
                <w:color w:val="000000"/>
              </w:rPr>
              <w:t>36</w:t>
            </w:r>
          </w:p>
        </w:tc>
      </w:tr>
      <w:tr w:rsidR="00CF2E21" w:rsidRPr="00591BFC" w14:paraId="0332B382" w14:textId="77777777" w:rsidTr="00DB4F65">
        <w:tc>
          <w:tcPr>
            <w:tcW w:w="1270" w:type="pct"/>
            <w:shd w:val="clear" w:color="auto" w:fill="auto"/>
          </w:tcPr>
          <w:p w14:paraId="25C37E40" w14:textId="77777777" w:rsidR="00CF2E21" w:rsidRPr="00591BFC" w:rsidRDefault="00CF2E21" w:rsidP="00E86771">
            <w:pPr>
              <w:spacing w:after="0" w:line="360" w:lineRule="auto"/>
            </w:pPr>
            <w:r w:rsidRPr="00591BFC">
              <w:t>Current age</w:t>
            </w:r>
          </w:p>
        </w:tc>
        <w:tc>
          <w:tcPr>
            <w:tcW w:w="710" w:type="pct"/>
            <w:shd w:val="clear" w:color="auto" w:fill="auto"/>
          </w:tcPr>
          <w:p w14:paraId="57CF2EFF" w14:textId="77777777" w:rsidR="00CF2E21" w:rsidRPr="00591BFC" w:rsidRDefault="00CF2E21" w:rsidP="00E86771">
            <w:pPr>
              <w:spacing w:after="0" w:line="360" w:lineRule="auto"/>
              <w:jc w:val="right"/>
            </w:pPr>
          </w:p>
        </w:tc>
        <w:tc>
          <w:tcPr>
            <w:tcW w:w="254" w:type="pct"/>
            <w:shd w:val="clear" w:color="auto" w:fill="auto"/>
          </w:tcPr>
          <w:p w14:paraId="424ACCFF" w14:textId="77777777" w:rsidR="00CF2E21" w:rsidRPr="00591BFC" w:rsidRDefault="00CF2E21" w:rsidP="00E86771">
            <w:pPr>
              <w:spacing w:after="0" w:line="360" w:lineRule="auto"/>
              <w:jc w:val="right"/>
            </w:pPr>
          </w:p>
        </w:tc>
        <w:tc>
          <w:tcPr>
            <w:tcW w:w="559" w:type="pct"/>
            <w:shd w:val="clear" w:color="auto" w:fill="auto"/>
          </w:tcPr>
          <w:p w14:paraId="4AA71CBE" w14:textId="77777777" w:rsidR="00CF2E21" w:rsidRPr="00591BFC" w:rsidRDefault="00CF2E21" w:rsidP="00E86771">
            <w:pPr>
              <w:spacing w:after="0" w:line="360" w:lineRule="auto"/>
              <w:jc w:val="right"/>
            </w:pPr>
          </w:p>
        </w:tc>
        <w:tc>
          <w:tcPr>
            <w:tcW w:w="304" w:type="pct"/>
            <w:shd w:val="clear" w:color="auto" w:fill="auto"/>
          </w:tcPr>
          <w:p w14:paraId="08067128" w14:textId="77777777" w:rsidR="00CF2E21" w:rsidRPr="00591BFC" w:rsidRDefault="00CF2E21" w:rsidP="00E86771">
            <w:pPr>
              <w:spacing w:after="0" w:line="360" w:lineRule="auto"/>
              <w:jc w:val="right"/>
            </w:pPr>
          </w:p>
        </w:tc>
        <w:tc>
          <w:tcPr>
            <w:tcW w:w="661" w:type="pct"/>
            <w:shd w:val="clear" w:color="auto" w:fill="auto"/>
          </w:tcPr>
          <w:p w14:paraId="7A2FAD9F" w14:textId="77777777" w:rsidR="00CF2E21" w:rsidRPr="00591BFC" w:rsidRDefault="00CF2E21" w:rsidP="00E86771">
            <w:pPr>
              <w:spacing w:after="0" w:line="360" w:lineRule="auto"/>
              <w:jc w:val="right"/>
            </w:pPr>
            <w:r w:rsidRPr="00591BFC">
              <w:rPr>
                <w:color w:val="000000"/>
              </w:rPr>
              <w:t>-55</w:t>
            </w:r>
          </w:p>
        </w:tc>
        <w:tc>
          <w:tcPr>
            <w:tcW w:w="248" w:type="pct"/>
            <w:shd w:val="clear" w:color="auto" w:fill="auto"/>
          </w:tcPr>
          <w:p w14:paraId="12249F68" w14:textId="77777777" w:rsidR="00CF2E21" w:rsidRPr="00591BFC" w:rsidRDefault="00CF2E21" w:rsidP="00E86771">
            <w:pPr>
              <w:spacing w:after="0" w:line="360" w:lineRule="auto"/>
              <w:jc w:val="right"/>
            </w:pPr>
            <w:r w:rsidRPr="00591BFC">
              <w:rPr>
                <w:color w:val="000000"/>
              </w:rPr>
              <w:t>13</w:t>
            </w:r>
          </w:p>
        </w:tc>
        <w:tc>
          <w:tcPr>
            <w:tcW w:w="716" w:type="pct"/>
            <w:shd w:val="clear" w:color="auto" w:fill="auto"/>
          </w:tcPr>
          <w:p w14:paraId="220408F6" w14:textId="77777777" w:rsidR="00CF2E21" w:rsidRPr="00591BFC" w:rsidRDefault="00CF2E21" w:rsidP="00E86771">
            <w:pPr>
              <w:spacing w:after="0" w:line="360" w:lineRule="auto"/>
              <w:jc w:val="right"/>
            </w:pPr>
          </w:p>
        </w:tc>
        <w:tc>
          <w:tcPr>
            <w:tcW w:w="278" w:type="pct"/>
            <w:shd w:val="clear" w:color="auto" w:fill="auto"/>
          </w:tcPr>
          <w:p w14:paraId="0FD89758" w14:textId="77777777" w:rsidR="00CF2E21" w:rsidRPr="00591BFC" w:rsidRDefault="00CF2E21" w:rsidP="00E86771">
            <w:pPr>
              <w:spacing w:after="0" w:line="360" w:lineRule="auto"/>
              <w:jc w:val="right"/>
            </w:pPr>
          </w:p>
        </w:tc>
      </w:tr>
      <w:tr w:rsidR="00CF2E21" w:rsidRPr="00591BFC" w14:paraId="1805DA80" w14:textId="77777777" w:rsidTr="00DB4F65">
        <w:tc>
          <w:tcPr>
            <w:tcW w:w="1270" w:type="pct"/>
            <w:shd w:val="clear" w:color="auto" w:fill="auto"/>
          </w:tcPr>
          <w:p w14:paraId="4B1D3FF8" w14:textId="77777777" w:rsidR="00CF2E21" w:rsidRPr="00591BFC" w:rsidRDefault="00CF2E21" w:rsidP="00E86771">
            <w:pPr>
              <w:spacing w:after="0" w:line="360" w:lineRule="auto"/>
            </w:pPr>
            <w:r w:rsidRPr="00591BFC">
              <w:t>Female</w:t>
            </w:r>
          </w:p>
        </w:tc>
        <w:tc>
          <w:tcPr>
            <w:tcW w:w="710" w:type="pct"/>
            <w:shd w:val="clear" w:color="auto" w:fill="auto"/>
          </w:tcPr>
          <w:p w14:paraId="3C2BDA59" w14:textId="77777777" w:rsidR="00CF2E21" w:rsidRPr="00591BFC" w:rsidRDefault="00CF2E21" w:rsidP="00E86771">
            <w:pPr>
              <w:spacing w:after="0" w:line="360" w:lineRule="auto"/>
              <w:jc w:val="right"/>
            </w:pPr>
            <w:r w:rsidRPr="00591BFC">
              <w:rPr>
                <w:color w:val="000000"/>
              </w:rPr>
              <w:t>-1265</w:t>
            </w:r>
          </w:p>
        </w:tc>
        <w:tc>
          <w:tcPr>
            <w:tcW w:w="254" w:type="pct"/>
            <w:shd w:val="clear" w:color="auto" w:fill="auto"/>
          </w:tcPr>
          <w:p w14:paraId="79645D39" w14:textId="77777777" w:rsidR="00CF2E21" w:rsidRPr="00591BFC" w:rsidRDefault="00CF2E21" w:rsidP="00E86771">
            <w:pPr>
              <w:spacing w:after="0" w:line="360" w:lineRule="auto"/>
              <w:jc w:val="right"/>
            </w:pPr>
            <w:r w:rsidRPr="00591BFC">
              <w:rPr>
                <w:color w:val="000000"/>
              </w:rPr>
              <w:t>129</w:t>
            </w:r>
          </w:p>
        </w:tc>
        <w:tc>
          <w:tcPr>
            <w:tcW w:w="559" w:type="pct"/>
            <w:shd w:val="clear" w:color="auto" w:fill="auto"/>
          </w:tcPr>
          <w:p w14:paraId="1A594C32" w14:textId="77777777" w:rsidR="00CF2E21" w:rsidRPr="00591BFC" w:rsidRDefault="00CF2E21" w:rsidP="00E86771">
            <w:pPr>
              <w:spacing w:after="0" w:line="360" w:lineRule="auto"/>
              <w:jc w:val="right"/>
            </w:pPr>
            <w:r w:rsidRPr="00591BFC">
              <w:rPr>
                <w:color w:val="000000"/>
              </w:rPr>
              <w:t>-0.328</w:t>
            </w:r>
          </w:p>
        </w:tc>
        <w:tc>
          <w:tcPr>
            <w:tcW w:w="304" w:type="pct"/>
            <w:shd w:val="clear" w:color="auto" w:fill="auto"/>
          </w:tcPr>
          <w:p w14:paraId="6ECCD0A2" w14:textId="77777777" w:rsidR="00CF2E21" w:rsidRPr="00591BFC" w:rsidRDefault="00CF2E21" w:rsidP="00E86771">
            <w:pPr>
              <w:spacing w:after="0" w:line="360" w:lineRule="auto"/>
              <w:jc w:val="right"/>
            </w:pPr>
            <w:r w:rsidRPr="00591BFC">
              <w:rPr>
                <w:color w:val="000000"/>
              </w:rPr>
              <w:t>0.032</w:t>
            </w:r>
          </w:p>
        </w:tc>
        <w:tc>
          <w:tcPr>
            <w:tcW w:w="661" w:type="pct"/>
            <w:shd w:val="clear" w:color="auto" w:fill="auto"/>
          </w:tcPr>
          <w:p w14:paraId="426CD914" w14:textId="77777777" w:rsidR="00CF2E21" w:rsidRPr="00591BFC" w:rsidRDefault="00CF2E21" w:rsidP="00E86771">
            <w:pPr>
              <w:spacing w:after="0" w:line="360" w:lineRule="auto"/>
              <w:jc w:val="right"/>
            </w:pPr>
            <w:r w:rsidRPr="00591BFC">
              <w:rPr>
                <w:color w:val="000000"/>
              </w:rPr>
              <w:t>-1039</w:t>
            </w:r>
          </w:p>
        </w:tc>
        <w:tc>
          <w:tcPr>
            <w:tcW w:w="248" w:type="pct"/>
            <w:shd w:val="clear" w:color="auto" w:fill="auto"/>
          </w:tcPr>
          <w:p w14:paraId="64D0A26A" w14:textId="77777777" w:rsidR="00CF2E21" w:rsidRPr="00591BFC" w:rsidRDefault="00CF2E21" w:rsidP="00E86771">
            <w:pPr>
              <w:spacing w:after="0" w:line="360" w:lineRule="auto"/>
              <w:jc w:val="right"/>
            </w:pPr>
            <w:r w:rsidRPr="00591BFC">
              <w:rPr>
                <w:color w:val="000000"/>
              </w:rPr>
              <w:t>268</w:t>
            </w:r>
          </w:p>
        </w:tc>
        <w:tc>
          <w:tcPr>
            <w:tcW w:w="716" w:type="pct"/>
            <w:shd w:val="clear" w:color="auto" w:fill="auto"/>
          </w:tcPr>
          <w:p w14:paraId="32F3A7A8" w14:textId="77777777" w:rsidR="00CF2E21" w:rsidRPr="00591BFC" w:rsidRDefault="00CF2E21" w:rsidP="00E86771">
            <w:pPr>
              <w:spacing w:after="0" w:line="360" w:lineRule="auto"/>
              <w:jc w:val="right"/>
            </w:pPr>
            <w:r w:rsidRPr="00591BFC">
              <w:rPr>
                <w:color w:val="000000"/>
              </w:rPr>
              <w:t>-1908</w:t>
            </w:r>
          </w:p>
        </w:tc>
        <w:tc>
          <w:tcPr>
            <w:tcW w:w="278" w:type="pct"/>
            <w:shd w:val="clear" w:color="auto" w:fill="auto"/>
          </w:tcPr>
          <w:p w14:paraId="4873A821" w14:textId="77777777" w:rsidR="00CF2E21" w:rsidRPr="00591BFC" w:rsidRDefault="00CF2E21" w:rsidP="00E86771">
            <w:pPr>
              <w:spacing w:after="0" w:line="360" w:lineRule="auto"/>
              <w:jc w:val="right"/>
            </w:pPr>
            <w:r w:rsidRPr="00591BFC">
              <w:rPr>
                <w:color w:val="000000"/>
              </w:rPr>
              <w:t>762</w:t>
            </w:r>
          </w:p>
        </w:tc>
      </w:tr>
      <w:tr w:rsidR="00CF2E21" w:rsidRPr="00591BFC" w14:paraId="31D35A56" w14:textId="77777777" w:rsidTr="00DB4F65">
        <w:tc>
          <w:tcPr>
            <w:tcW w:w="1270" w:type="pct"/>
            <w:shd w:val="clear" w:color="auto" w:fill="auto"/>
          </w:tcPr>
          <w:p w14:paraId="339C122E" w14:textId="77777777" w:rsidR="00CF2E21" w:rsidRPr="00591BFC" w:rsidRDefault="00CF2E21" w:rsidP="00E86771">
            <w:pPr>
              <w:spacing w:after="0" w:line="360" w:lineRule="auto"/>
            </w:pPr>
            <w:r w:rsidRPr="00591BFC">
              <w:t>Major non hip fracture</w:t>
            </w:r>
          </w:p>
        </w:tc>
        <w:tc>
          <w:tcPr>
            <w:tcW w:w="710" w:type="pct"/>
            <w:shd w:val="clear" w:color="auto" w:fill="auto"/>
          </w:tcPr>
          <w:p w14:paraId="0572329A" w14:textId="77777777" w:rsidR="00CF2E21" w:rsidRPr="00591BFC" w:rsidRDefault="00CF2E21" w:rsidP="00E86771">
            <w:pPr>
              <w:spacing w:after="0" w:line="360" w:lineRule="auto"/>
              <w:jc w:val="right"/>
            </w:pPr>
            <w:r w:rsidRPr="00591BFC">
              <w:rPr>
                <w:color w:val="000000"/>
              </w:rPr>
              <w:t>5964</w:t>
            </w:r>
          </w:p>
        </w:tc>
        <w:tc>
          <w:tcPr>
            <w:tcW w:w="254" w:type="pct"/>
            <w:shd w:val="clear" w:color="auto" w:fill="auto"/>
          </w:tcPr>
          <w:p w14:paraId="090BE0CA" w14:textId="77777777" w:rsidR="00CF2E21" w:rsidRPr="00591BFC" w:rsidRDefault="00CF2E21" w:rsidP="00E86771">
            <w:pPr>
              <w:spacing w:after="0" w:line="360" w:lineRule="auto"/>
              <w:jc w:val="right"/>
            </w:pPr>
            <w:r w:rsidRPr="00591BFC">
              <w:rPr>
                <w:color w:val="000000"/>
              </w:rPr>
              <w:t>707</w:t>
            </w:r>
          </w:p>
        </w:tc>
        <w:tc>
          <w:tcPr>
            <w:tcW w:w="559" w:type="pct"/>
            <w:shd w:val="clear" w:color="auto" w:fill="auto"/>
          </w:tcPr>
          <w:p w14:paraId="27BB6A9E" w14:textId="77777777" w:rsidR="00CF2E21" w:rsidRPr="00591BFC" w:rsidRDefault="00CF2E21" w:rsidP="00E86771">
            <w:pPr>
              <w:spacing w:after="0" w:line="360" w:lineRule="auto"/>
              <w:jc w:val="right"/>
            </w:pPr>
          </w:p>
        </w:tc>
        <w:tc>
          <w:tcPr>
            <w:tcW w:w="304" w:type="pct"/>
            <w:shd w:val="clear" w:color="auto" w:fill="auto"/>
          </w:tcPr>
          <w:p w14:paraId="5BF602F1" w14:textId="77777777" w:rsidR="00CF2E21" w:rsidRPr="00591BFC" w:rsidRDefault="00CF2E21" w:rsidP="00E86771">
            <w:pPr>
              <w:spacing w:after="0" w:line="360" w:lineRule="auto"/>
              <w:jc w:val="right"/>
            </w:pPr>
          </w:p>
        </w:tc>
        <w:tc>
          <w:tcPr>
            <w:tcW w:w="661" w:type="pct"/>
            <w:shd w:val="clear" w:color="auto" w:fill="auto"/>
          </w:tcPr>
          <w:p w14:paraId="07DBC5B3" w14:textId="77777777" w:rsidR="00CF2E21" w:rsidRPr="00591BFC" w:rsidRDefault="00CF2E21" w:rsidP="00E86771">
            <w:pPr>
              <w:spacing w:after="0" w:line="360" w:lineRule="auto"/>
              <w:jc w:val="right"/>
            </w:pPr>
          </w:p>
        </w:tc>
        <w:tc>
          <w:tcPr>
            <w:tcW w:w="248" w:type="pct"/>
            <w:shd w:val="clear" w:color="auto" w:fill="auto"/>
          </w:tcPr>
          <w:p w14:paraId="153C17F5" w14:textId="77777777" w:rsidR="00CF2E21" w:rsidRPr="00591BFC" w:rsidRDefault="00CF2E21" w:rsidP="00E86771">
            <w:pPr>
              <w:spacing w:after="0" w:line="360" w:lineRule="auto"/>
              <w:jc w:val="right"/>
            </w:pPr>
          </w:p>
        </w:tc>
        <w:tc>
          <w:tcPr>
            <w:tcW w:w="716" w:type="pct"/>
            <w:shd w:val="clear" w:color="auto" w:fill="auto"/>
          </w:tcPr>
          <w:p w14:paraId="3D6FC0C2" w14:textId="77777777" w:rsidR="00CF2E21" w:rsidRPr="00591BFC" w:rsidRDefault="00CF2E21" w:rsidP="00E86771">
            <w:pPr>
              <w:spacing w:after="0" w:line="360" w:lineRule="auto"/>
              <w:jc w:val="right"/>
            </w:pPr>
          </w:p>
        </w:tc>
        <w:tc>
          <w:tcPr>
            <w:tcW w:w="278" w:type="pct"/>
            <w:shd w:val="clear" w:color="auto" w:fill="auto"/>
          </w:tcPr>
          <w:p w14:paraId="0342B982" w14:textId="77777777" w:rsidR="00CF2E21" w:rsidRPr="00591BFC" w:rsidRDefault="00CF2E21" w:rsidP="00E86771">
            <w:pPr>
              <w:spacing w:after="0" w:line="360" w:lineRule="auto"/>
              <w:jc w:val="right"/>
            </w:pPr>
          </w:p>
        </w:tc>
      </w:tr>
      <w:tr w:rsidR="00CF2E21" w:rsidRPr="00591BFC" w14:paraId="2E9C2C7B" w14:textId="77777777" w:rsidTr="00DB4F65">
        <w:tc>
          <w:tcPr>
            <w:tcW w:w="1270" w:type="pct"/>
            <w:shd w:val="clear" w:color="auto" w:fill="auto"/>
          </w:tcPr>
          <w:p w14:paraId="143D723C" w14:textId="77777777" w:rsidR="00CF2E21" w:rsidRPr="00591BFC" w:rsidRDefault="00CF2E21" w:rsidP="00E86771">
            <w:pPr>
              <w:spacing w:after="0" w:line="360" w:lineRule="auto"/>
            </w:pPr>
            <w:r w:rsidRPr="00591BFC">
              <w:t>Second hip fracture</w:t>
            </w:r>
          </w:p>
        </w:tc>
        <w:tc>
          <w:tcPr>
            <w:tcW w:w="710" w:type="pct"/>
            <w:shd w:val="clear" w:color="auto" w:fill="auto"/>
          </w:tcPr>
          <w:p w14:paraId="14541BE0" w14:textId="77777777" w:rsidR="00CF2E21" w:rsidRPr="00591BFC" w:rsidRDefault="00CF2E21" w:rsidP="00E86771">
            <w:pPr>
              <w:spacing w:after="0" w:line="360" w:lineRule="auto"/>
              <w:jc w:val="right"/>
            </w:pPr>
            <w:r w:rsidRPr="00591BFC">
              <w:rPr>
                <w:color w:val="000000"/>
              </w:rPr>
              <w:t>10017</w:t>
            </w:r>
          </w:p>
        </w:tc>
        <w:tc>
          <w:tcPr>
            <w:tcW w:w="254" w:type="pct"/>
            <w:shd w:val="clear" w:color="auto" w:fill="auto"/>
          </w:tcPr>
          <w:p w14:paraId="79BE1D10" w14:textId="77777777" w:rsidR="00CF2E21" w:rsidRPr="00591BFC" w:rsidRDefault="00CF2E21" w:rsidP="00E86771">
            <w:pPr>
              <w:spacing w:after="0" w:line="360" w:lineRule="auto"/>
              <w:jc w:val="right"/>
            </w:pPr>
            <w:r w:rsidRPr="00591BFC">
              <w:rPr>
                <w:color w:val="000000"/>
              </w:rPr>
              <w:t>635</w:t>
            </w:r>
          </w:p>
        </w:tc>
        <w:tc>
          <w:tcPr>
            <w:tcW w:w="559" w:type="pct"/>
            <w:shd w:val="clear" w:color="auto" w:fill="auto"/>
          </w:tcPr>
          <w:p w14:paraId="0D6DF3F7" w14:textId="77777777" w:rsidR="00CF2E21" w:rsidRPr="00591BFC" w:rsidRDefault="00CF2E21" w:rsidP="00E86771">
            <w:pPr>
              <w:spacing w:after="0" w:line="360" w:lineRule="auto"/>
              <w:jc w:val="right"/>
            </w:pPr>
          </w:p>
        </w:tc>
        <w:tc>
          <w:tcPr>
            <w:tcW w:w="304" w:type="pct"/>
            <w:shd w:val="clear" w:color="auto" w:fill="auto"/>
          </w:tcPr>
          <w:p w14:paraId="4E34F5AA" w14:textId="77777777" w:rsidR="00CF2E21" w:rsidRPr="00591BFC" w:rsidRDefault="00CF2E21" w:rsidP="00E86771">
            <w:pPr>
              <w:spacing w:after="0" w:line="360" w:lineRule="auto"/>
              <w:jc w:val="right"/>
            </w:pPr>
          </w:p>
        </w:tc>
        <w:tc>
          <w:tcPr>
            <w:tcW w:w="661" w:type="pct"/>
            <w:shd w:val="clear" w:color="auto" w:fill="auto"/>
          </w:tcPr>
          <w:p w14:paraId="60C157AB" w14:textId="77777777" w:rsidR="00CF2E21" w:rsidRPr="00591BFC" w:rsidRDefault="00CF2E21" w:rsidP="00E86771">
            <w:pPr>
              <w:spacing w:after="0" w:line="360" w:lineRule="auto"/>
              <w:jc w:val="right"/>
            </w:pPr>
          </w:p>
        </w:tc>
        <w:tc>
          <w:tcPr>
            <w:tcW w:w="248" w:type="pct"/>
            <w:shd w:val="clear" w:color="auto" w:fill="auto"/>
          </w:tcPr>
          <w:p w14:paraId="744D1DF3" w14:textId="77777777" w:rsidR="00CF2E21" w:rsidRPr="00591BFC" w:rsidRDefault="00CF2E21" w:rsidP="00E86771">
            <w:pPr>
              <w:spacing w:after="0" w:line="360" w:lineRule="auto"/>
              <w:jc w:val="right"/>
            </w:pPr>
          </w:p>
        </w:tc>
        <w:tc>
          <w:tcPr>
            <w:tcW w:w="716" w:type="pct"/>
            <w:shd w:val="clear" w:color="auto" w:fill="auto"/>
          </w:tcPr>
          <w:p w14:paraId="4D82E385" w14:textId="77777777" w:rsidR="00CF2E21" w:rsidRPr="00591BFC" w:rsidRDefault="00CF2E21" w:rsidP="00E86771">
            <w:pPr>
              <w:spacing w:after="0" w:line="360" w:lineRule="auto"/>
              <w:jc w:val="right"/>
            </w:pPr>
          </w:p>
        </w:tc>
        <w:tc>
          <w:tcPr>
            <w:tcW w:w="278" w:type="pct"/>
            <w:shd w:val="clear" w:color="auto" w:fill="auto"/>
          </w:tcPr>
          <w:p w14:paraId="315F430E" w14:textId="77777777" w:rsidR="00CF2E21" w:rsidRPr="00591BFC" w:rsidRDefault="00CF2E21" w:rsidP="00E86771">
            <w:pPr>
              <w:spacing w:after="0" w:line="360" w:lineRule="auto"/>
              <w:jc w:val="right"/>
            </w:pPr>
          </w:p>
        </w:tc>
      </w:tr>
      <w:tr w:rsidR="00CF2E21" w:rsidRPr="00591BFC" w14:paraId="76CDF0A0" w14:textId="77777777" w:rsidTr="00DB4F65">
        <w:tc>
          <w:tcPr>
            <w:tcW w:w="1270" w:type="pct"/>
            <w:shd w:val="clear" w:color="auto" w:fill="auto"/>
          </w:tcPr>
          <w:p w14:paraId="38632D98" w14:textId="77777777" w:rsidR="00CF2E21" w:rsidRPr="00591BFC" w:rsidRDefault="00CF2E21" w:rsidP="00E86771">
            <w:pPr>
              <w:spacing w:after="0" w:line="360" w:lineRule="auto"/>
            </w:pPr>
            <w:r w:rsidRPr="00591BFC">
              <w:t>History of major non hip fracture</w:t>
            </w:r>
          </w:p>
        </w:tc>
        <w:tc>
          <w:tcPr>
            <w:tcW w:w="710" w:type="pct"/>
            <w:shd w:val="clear" w:color="auto" w:fill="auto"/>
          </w:tcPr>
          <w:p w14:paraId="4FD901ED" w14:textId="77777777" w:rsidR="00CF2E21" w:rsidRPr="00591BFC" w:rsidRDefault="00CF2E21" w:rsidP="00E86771">
            <w:pPr>
              <w:spacing w:after="0" w:line="360" w:lineRule="auto"/>
              <w:jc w:val="right"/>
            </w:pPr>
          </w:p>
        </w:tc>
        <w:tc>
          <w:tcPr>
            <w:tcW w:w="254" w:type="pct"/>
            <w:shd w:val="clear" w:color="auto" w:fill="auto"/>
          </w:tcPr>
          <w:p w14:paraId="532BB58A" w14:textId="77777777" w:rsidR="00CF2E21" w:rsidRPr="00591BFC" w:rsidRDefault="00CF2E21" w:rsidP="00E86771">
            <w:pPr>
              <w:spacing w:after="0" w:line="360" w:lineRule="auto"/>
              <w:jc w:val="right"/>
            </w:pPr>
          </w:p>
        </w:tc>
        <w:tc>
          <w:tcPr>
            <w:tcW w:w="559" w:type="pct"/>
            <w:shd w:val="clear" w:color="auto" w:fill="auto"/>
          </w:tcPr>
          <w:p w14:paraId="4EE0642C" w14:textId="77777777" w:rsidR="00CF2E21" w:rsidRPr="00591BFC" w:rsidRDefault="00CF2E21" w:rsidP="00E86771">
            <w:pPr>
              <w:spacing w:after="0" w:line="360" w:lineRule="auto"/>
              <w:jc w:val="right"/>
            </w:pPr>
            <w:r w:rsidRPr="00591BFC">
              <w:rPr>
                <w:color w:val="000000"/>
              </w:rPr>
              <w:t>0.364</w:t>
            </w:r>
          </w:p>
        </w:tc>
        <w:tc>
          <w:tcPr>
            <w:tcW w:w="304" w:type="pct"/>
            <w:shd w:val="clear" w:color="auto" w:fill="auto"/>
          </w:tcPr>
          <w:p w14:paraId="116FBB30" w14:textId="77777777" w:rsidR="00CF2E21" w:rsidRPr="00591BFC" w:rsidRDefault="00CF2E21" w:rsidP="00E86771">
            <w:pPr>
              <w:spacing w:after="0" w:line="360" w:lineRule="auto"/>
              <w:jc w:val="right"/>
            </w:pPr>
            <w:r w:rsidRPr="00591BFC">
              <w:rPr>
                <w:color w:val="000000"/>
              </w:rPr>
              <w:t>0.087</w:t>
            </w:r>
          </w:p>
        </w:tc>
        <w:tc>
          <w:tcPr>
            <w:tcW w:w="661" w:type="pct"/>
            <w:shd w:val="clear" w:color="auto" w:fill="auto"/>
          </w:tcPr>
          <w:p w14:paraId="066CD3B1" w14:textId="77777777" w:rsidR="00CF2E21" w:rsidRPr="00591BFC" w:rsidRDefault="00CF2E21" w:rsidP="00E86771">
            <w:pPr>
              <w:spacing w:after="0" w:line="360" w:lineRule="auto"/>
              <w:jc w:val="right"/>
            </w:pPr>
          </w:p>
        </w:tc>
        <w:tc>
          <w:tcPr>
            <w:tcW w:w="248" w:type="pct"/>
            <w:shd w:val="clear" w:color="auto" w:fill="auto"/>
          </w:tcPr>
          <w:p w14:paraId="1801EA12" w14:textId="77777777" w:rsidR="00CF2E21" w:rsidRPr="00591BFC" w:rsidRDefault="00CF2E21" w:rsidP="00E86771">
            <w:pPr>
              <w:spacing w:after="0" w:line="360" w:lineRule="auto"/>
              <w:jc w:val="right"/>
            </w:pPr>
          </w:p>
        </w:tc>
        <w:tc>
          <w:tcPr>
            <w:tcW w:w="716" w:type="pct"/>
            <w:shd w:val="clear" w:color="auto" w:fill="auto"/>
          </w:tcPr>
          <w:p w14:paraId="1C7D73EE" w14:textId="77777777" w:rsidR="00CF2E21" w:rsidRPr="00591BFC" w:rsidRDefault="00CF2E21" w:rsidP="00E86771">
            <w:pPr>
              <w:spacing w:after="0" w:line="360" w:lineRule="auto"/>
              <w:jc w:val="right"/>
            </w:pPr>
          </w:p>
        </w:tc>
        <w:tc>
          <w:tcPr>
            <w:tcW w:w="278" w:type="pct"/>
            <w:shd w:val="clear" w:color="auto" w:fill="auto"/>
          </w:tcPr>
          <w:p w14:paraId="13D53E91" w14:textId="77777777" w:rsidR="00CF2E21" w:rsidRPr="00591BFC" w:rsidRDefault="00CF2E21" w:rsidP="00E86771">
            <w:pPr>
              <w:spacing w:after="0" w:line="360" w:lineRule="auto"/>
              <w:jc w:val="right"/>
            </w:pPr>
          </w:p>
        </w:tc>
      </w:tr>
      <w:tr w:rsidR="00CF2E21" w:rsidRPr="00591BFC" w14:paraId="3084B5FF" w14:textId="77777777" w:rsidTr="00DB4F65">
        <w:tc>
          <w:tcPr>
            <w:tcW w:w="1270" w:type="pct"/>
            <w:shd w:val="clear" w:color="auto" w:fill="auto"/>
          </w:tcPr>
          <w:p w14:paraId="559533EB" w14:textId="77777777" w:rsidR="00CF2E21" w:rsidRPr="00591BFC" w:rsidRDefault="00CF2E21" w:rsidP="00E86771">
            <w:pPr>
              <w:spacing w:after="0" w:line="360" w:lineRule="auto"/>
            </w:pPr>
            <w:r w:rsidRPr="00591BFC">
              <w:t xml:space="preserve">History of second hip </w:t>
            </w:r>
            <w:r w:rsidRPr="00591BFC">
              <w:lastRenderedPageBreak/>
              <w:t>fracture</w:t>
            </w:r>
          </w:p>
        </w:tc>
        <w:tc>
          <w:tcPr>
            <w:tcW w:w="710" w:type="pct"/>
            <w:shd w:val="clear" w:color="auto" w:fill="auto"/>
          </w:tcPr>
          <w:p w14:paraId="57F599B5" w14:textId="77777777" w:rsidR="00CF2E21" w:rsidRPr="00591BFC" w:rsidRDefault="00CF2E21" w:rsidP="00E86771">
            <w:pPr>
              <w:spacing w:after="0" w:line="360" w:lineRule="auto"/>
              <w:jc w:val="right"/>
            </w:pPr>
          </w:p>
        </w:tc>
        <w:tc>
          <w:tcPr>
            <w:tcW w:w="254" w:type="pct"/>
            <w:shd w:val="clear" w:color="auto" w:fill="auto"/>
          </w:tcPr>
          <w:p w14:paraId="04169EB5" w14:textId="77777777" w:rsidR="00CF2E21" w:rsidRPr="00591BFC" w:rsidRDefault="00CF2E21" w:rsidP="00E86771">
            <w:pPr>
              <w:spacing w:after="0" w:line="360" w:lineRule="auto"/>
              <w:jc w:val="right"/>
            </w:pPr>
          </w:p>
        </w:tc>
        <w:tc>
          <w:tcPr>
            <w:tcW w:w="559" w:type="pct"/>
            <w:shd w:val="clear" w:color="auto" w:fill="auto"/>
          </w:tcPr>
          <w:p w14:paraId="72D33315" w14:textId="77777777" w:rsidR="00CF2E21" w:rsidRPr="00591BFC" w:rsidRDefault="00CF2E21" w:rsidP="00E86771">
            <w:pPr>
              <w:spacing w:after="0" w:line="360" w:lineRule="auto"/>
              <w:jc w:val="right"/>
            </w:pPr>
            <w:r w:rsidRPr="00591BFC">
              <w:rPr>
                <w:color w:val="000000"/>
              </w:rPr>
              <w:t>0.383</w:t>
            </w:r>
          </w:p>
        </w:tc>
        <w:tc>
          <w:tcPr>
            <w:tcW w:w="304" w:type="pct"/>
            <w:shd w:val="clear" w:color="auto" w:fill="auto"/>
          </w:tcPr>
          <w:p w14:paraId="2B5BA8B6" w14:textId="77777777" w:rsidR="00CF2E21" w:rsidRPr="00591BFC" w:rsidRDefault="00CF2E21" w:rsidP="00E86771">
            <w:pPr>
              <w:spacing w:after="0" w:line="360" w:lineRule="auto"/>
              <w:jc w:val="right"/>
            </w:pPr>
            <w:r w:rsidRPr="00591BFC">
              <w:rPr>
                <w:color w:val="000000"/>
              </w:rPr>
              <w:t>0.0</w:t>
            </w:r>
            <w:r w:rsidRPr="00591BFC">
              <w:rPr>
                <w:color w:val="000000"/>
              </w:rPr>
              <w:lastRenderedPageBreak/>
              <w:t>69</w:t>
            </w:r>
          </w:p>
        </w:tc>
        <w:tc>
          <w:tcPr>
            <w:tcW w:w="661" w:type="pct"/>
            <w:shd w:val="clear" w:color="auto" w:fill="auto"/>
          </w:tcPr>
          <w:p w14:paraId="76642029" w14:textId="77777777" w:rsidR="00CF2E21" w:rsidRPr="00591BFC" w:rsidRDefault="00CF2E21" w:rsidP="00E86771">
            <w:pPr>
              <w:spacing w:after="0" w:line="360" w:lineRule="auto"/>
              <w:jc w:val="right"/>
            </w:pPr>
            <w:r w:rsidRPr="00591BFC">
              <w:rPr>
                <w:color w:val="000000"/>
              </w:rPr>
              <w:lastRenderedPageBreak/>
              <w:t>993</w:t>
            </w:r>
          </w:p>
        </w:tc>
        <w:tc>
          <w:tcPr>
            <w:tcW w:w="248" w:type="pct"/>
            <w:shd w:val="clear" w:color="auto" w:fill="auto"/>
          </w:tcPr>
          <w:p w14:paraId="7A32C11F" w14:textId="77777777" w:rsidR="00CF2E21" w:rsidRPr="00591BFC" w:rsidRDefault="00CF2E21" w:rsidP="00E86771">
            <w:pPr>
              <w:spacing w:after="0" w:line="360" w:lineRule="auto"/>
              <w:jc w:val="right"/>
            </w:pPr>
            <w:r w:rsidRPr="00591BFC">
              <w:rPr>
                <w:color w:val="000000"/>
              </w:rPr>
              <w:t>47</w:t>
            </w:r>
            <w:r w:rsidRPr="00591BFC">
              <w:rPr>
                <w:color w:val="000000"/>
              </w:rPr>
              <w:lastRenderedPageBreak/>
              <w:t>2</w:t>
            </w:r>
          </w:p>
        </w:tc>
        <w:tc>
          <w:tcPr>
            <w:tcW w:w="716" w:type="pct"/>
            <w:shd w:val="clear" w:color="auto" w:fill="auto"/>
          </w:tcPr>
          <w:p w14:paraId="0827C8C3" w14:textId="77777777" w:rsidR="00CF2E21" w:rsidRPr="00591BFC" w:rsidRDefault="00CF2E21" w:rsidP="00E86771">
            <w:pPr>
              <w:spacing w:after="0" w:line="360" w:lineRule="auto"/>
              <w:jc w:val="right"/>
            </w:pPr>
          </w:p>
        </w:tc>
        <w:tc>
          <w:tcPr>
            <w:tcW w:w="278" w:type="pct"/>
            <w:shd w:val="clear" w:color="auto" w:fill="auto"/>
          </w:tcPr>
          <w:p w14:paraId="794D961C" w14:textId="77777777" w:rsidR="00CF2E21" w:rsidRPr="00591BFC" w:rsidRDefault="00CF2E21" w:rsidP="00E86771">
            <w:pPr>
              <w:spacing w:after="0" w:line="360" w:lineRule="auto"/>
              <w:jc w:val="right"/>
            </w:pPr>
          </w:p>
        </w:tc>
      </w:tr>
    </w:tbl>
    <w:p w14:paraId="6E46BAFF" w14:textId="77777777" w:rsidR="00CF2E21" w:rsidRPr="00591BFC" w:rsidRDefault="00CF2E21" w:rsidP="00E86771">
      <w:pPr>
        <w:spacing w:line="360" w:lineRule="auto"/>
      </w:pPr>
    </w:p>
    <w:p w14:paraId="2A80ADCB" w14:textId="77777777" w:rsidR="00CF2E21" w:rsidRPr="00591BFC" w:rsidRDefault="00CF2E21" w:rsidP="00E86771">
      <w:pPr>
        <w:spacing w:line="360" w:lineRule="auto"/>
      </w:pPr>
      <w:r w:rsidRPr="00591BFC">
        <w:br w:type="page"/>
      </w:r>
    </w:p>
    <w:p w14:paraId="2598009E" w14:textId="77777777" w:rsidR="000C3295" w:rsidRPr="00591BFC" w:rsidRDefault="000C3295" w:rsidP="00E86771">
      <w:pPr>
        <w:pStyle w:val="Caption"/>
        <w:keepNext/>
        <w:spacing w:line="360" w:lineRule="auto"/>
      </w:pPr>
      <w:bookmarkStart w:id="436" w:name="_Ref423078114"/>
      <w:bookmarkStart w:id="437" w:name="_Toc308262429"/>
      <w:bookmarkStart w:id="438" w:name="_Toc311366695"/>
      <w:r w:rsidRPr="00591BFC">
        <w:t xml:space="preserve">Table </w:t>
      </w:r>
      <w:r w:rsidR="002149AD">
        <w:fldChar w:fldCharType="begin"/>
      </w:r>
      <w:r w:rsidR="002149AD">
        <w:instrText xml:space="preserve"> SEQ Table \* ARABIC </w:instrText>
      </w:r>
      <w:r w:rsidR="002149AD">
        <w:fldChar w:fldCharType="separate"/>
      </w:r>
      <w:r w:rsidR="00776C05">
        <w:rPr>
          <w:noProof/>
        </w:rPr>
        <w:t>34</w:t>
      </w:r>
      <w:r w:rsidR="002149AD">
        <w:rPr>
          <w:noProof/>
        </w:rPr>
        <w:fldChar w:fldCharType="end"/>
      </w:r>
      <w:bookmarkEnd w:id="436"/>
      <w:r w:rsidRPr="00591BFC">
        <w:t xml:space="preserve"> Hospital care cost equations (2)</w:t>
      </w:r>
      <w:bookmarkEnd w:id="437"/>
      <w:bookmarkEnd w:id="438"/>
    </w:p>
    <w:tbl>
      <w:tblPr>
        <w:tblW w:w="5000" w:type="pct"/>
        <w:tblLook w:val="04A0" w:firstRow="1" w:lastRow="0" w:firstColumn="1" w:lastColumn="0" w:noHBand="0" w:noVBand="1"/>
      </w:tblPr>
      <w:tblGrid>
        <w:gridCol w:w="2522"/>
        <w:gridCol w:w="1549"/>
        <w:gridCol w:w="663"/>
        <w:gridCol w:w="1527"/>
        <w:gridCol w:w="718"/>
        <w:gridCol w:w="1594"/>
        <w:gridCol w:w="663"/>
      </w:tblGrid>
      <w:tr w:rsidR="00CF2E21" w:rsidRPr="00591BFC" w14:paraId="0F98CAE7" w14:textId="77777777" w:rsidTr="00DB4F65">
        <w:tc>
          <w:tcPr>
            <w:tcW w:w="1585" w:type="pct"/>
            <w:shd w:val="clear" w:color="auto" w:fill="auto"/>
          </w:tcPr>
          <w:p w14:paraId="535C65E5" w14:textId="77777777" w:rsidR="00CF2E21" w:rsidRPr="00591BFC" w:rsidRDefault="00CF2E21" w:rsidP="00E86771">
            <w:pPr>
              <w:spacing w:line="360" w:lineRule="auto"/>
            </w:pPr>
          </w:p>
        </w:tc>
        <w:tc>
          <w:tcPr>
            <w:tcW w:w="887" w:type="pct"/>
            <w:shd w:val="clear" w:color="auto" w:fill="auto"/>
          </w:tcPr>
          <w:p w14:paraId="1ABDDA62" w14:textId="77777777" w:rsidR="00CF2E21" w:rsidRPr="00591BFC" w:rsidRDefault="00CF2E21" w:rsidP="00E86771">
            <w:pPr>
              <w:spacing w:line="360" w:lineRule="auto"/>
            </w:pPr>
            <w:r w:rsidRPr="00591BFC">
              <w:t>Hospitalisation costs if major fracture occurs (subsequent years to 1</w:t>
            </w:r>
            <w:r w:rsidRPr="00591BFC">
              <w:rPr>
                <w:vertAlign w:val="superscript"/>
              </w:rPr>
              <w:t>st</w:t>
            </w:r>
            <w:r w:rsidRPr="00591BFC">
              <w:t xml:space="preserve"> hip fracture)</w:t>
            </w:r>
          </w:p>
        </w:tc>
        <w:tc>
          <w:tcPr>
            <w:tcW w:w="317" w:type="pct"/>
            <w:shd w:val="clear" w:color="auto" w:fill="auto"/>
          </w:tcPr>
          <w:p w14:paraId="006FB36D" w14:textId="77777777" w:rsidR="00CF2E21" w:rsidRPr="00591BFC" w:rsidRDefault="00CF2E21" w:rsidP="00E86771">
            <w:pPr>
              <w:spacing w:line="360" w:lineRule="auto"/>
            </w:pPr>
          </w:p>
        </w:tc>
        <w:tc>
          <w:tcPr>
            <w:tcW w:w="634" w:type="pct"/>
            <w:shd w:val="clear" w:color="auto" w:fill="auto"/>
          </w:tcPr>
          <w:p w14:paraId="58431D8F" w14:textId="77777777" w:rsidR="00CF2E21" w:rsidRPr="00591BFC" w:rsidRDefault="00CF2E21" w:rsidP="00E86771">
            <w:pPr>
              <w:spacing w:line="360" w:lineRule="auto"/>
            </w:pPr>
            <w:r w:rsidRPr="00591BFC">
              <w:t>Probability of hospitalisation given death</w:t>
            </w:r>
          </w:p>
        </w:tc>
        <w:tc>
          <w:tcPr>
            <w:tcW w:w="334" w:type="pct"/>
            <w:shd w:val="clear" w:color="auto" w:fill="auto"/>
          </w:tcPr>
          <w:p w14:paraId="21D1E34D" w14:textId="77777777" w:rsidR="00CF2E21" w:rsidRPr="00591BFC" w:rsidRDefault="00CF2E21" w:rsidP="00E86771">
            <w:pPr>
              <w:spacing w:line="360" w:lineRule="auto"/>
            </w:pPr>
          </w:p>
        </w:tc>
        <w:tc>
          <w:tcPr>
            <w:tcW w:w="934" w:type="pct"/>
            <w:shd w:val="clear" w:color="auto" w:fill="auto"/>
          </w:tcPr>
          <w:p w14:paraId="0C09B294" w14:textId="77777777" w:rsidR="00CF2E21" w:rsidRPr="00591BFC" w:rsidRDefault="00CF2E21" w:rsidP="00E86771">
            <w:pPr>
              <w:spacing w:line="360" w:lineRule="auto"/>
            </w:pPr>
            <w:r w:rsidRPr="00591BFC">
              <w:t>Hospitalisation costs if death occurs (conditional on hospitalisation)</w:t>
            </w:r>
          </w:p>
        </w:tc>
        <w:tc>
          <w:tcPr>
            <w:tcW w:w="309" w:type="pct"/>
            <w:shd w:val="clear" w:color="auto" w:fill="auto"/>
          </w:tcPr>
          <w:p w14:paraId="6B1494AE" w14:textId="77777777" w:rsidR="00CF2E21" w:rsidRPr="00591BFC" w:rsidRDefault="00CF2E21" w:rsidP="00E86771">
            <w:pPr>
              <w:spacing w:line="360" w:lineRule="auto"/>
            </w:pPr>
          </w:p>
        </w:tc>
      </w:tr>
      <w:tr w:rsidR="00CF2E21" w:rsidRPr="00591BFC" w14:paraId="18F862AB" w14:textId="77777777" w:rsidTr="00DB4F65">
        <w:tc>
          <w:tcPr>
            <w:tcW w:w="1585" w:type="pct"/>
            <w:shd w:val="clear" w:color="auto" w:fill="auto"/>
          </w:tcPr>
          <w:p w14:paraId="73ACC4C6" w14:textId="77777777" w:rsidR="00CF2E21" w:rsidRPr="00591BFC" w:rsidRDefault="00CF2E21" w:rsidP="00E86771">
            <w:pPr>
              <w:spacing w:line="360" w:lineRule="auto"/>
            </w:pPr>
            <w:r w:rsidRPr="00591BFC">
              <w:t>Patient-years</w:t>
            </w:r>
          </w:p>
        </w:tc>
        <w:tc>
          <w:tcPr>
            <w:tcW w:w="887" w:type="pct"/>
            <w:shd w:val="clear" w:color="auto" w:fill="auto"/>
          </w:tcPr>
          <w:p w14:paraId="4605DD5C" w14:textId="77777777" w:rsidR="00CF2E21" w:rsidRPr="00591BFC" w:rsidRDefault="00CF2E21" w:rsidP="00E86771">
            <w:pPr>
              <w:spacing w:line="360" w:lineRule="auto"/>
              <w:jc w:val="right"/>
            </w:pPr>
            <w:r w:rsidRPr="00591BFC">
              <w:t>968</w:t>
            </w:r>
          </w:p>
        </w:tc>
        <w:tc>
          <w:tcPr>
            <w:tcW w:w="317" w:type="pct"/>
            <w:shd w:val="clear" w:color="auto" w:fill="auto"/>
          </w:tcPr>
          <w:p w14:paraId="6A09EEF5" w14:textId="77777777" w:rsidR="00CF2E21" w:rsidRPr="00591BFC" w:rsidRDefault="00CF2E21" w:rsidP="00E86771">
            <w:pPr>
              <w:spacing w:line="360" w:lineRule="auto"/>
              <w:jc w:val="right"/>
            </w:pPr>
          </w:p>
        </w:tc>
        <w:tc>
          <w:tcPr>
            <w:tcW w:w="634" w:type="pct"/>
            <w:shd w:val="clear" w:color="auto" w:fill="auto"/>
          </w:tcPr>
          <w:p w14:paraId="1A21135C" w14:textId="77777777" w:rsidR="00CF2E21" w:rsidRPr="00591BFC" w:rsidRDefault="00CF2E21" w:rsidP="00E86771">
            <w:pPr>
              <w:spacing w:line="360" w:lineRule="auto"/>
              <w:jc w:val="right"/>
            </w:pPr>
            <w:r w:rsidRPr="00591BFC">
              <w:t>9,282</w:t>
            </w:r>
          </w:p>
        </w:tc>
        <w:tc>
          <w:tcPr>
            <w:tcW w:w="334" w:type="pct"/>
            <w:shd w:val="clear" w:color="auto" w:fill="auto"/>
          </w:tcPr>
          <w:p w14:paraId="01F0688C" w14:textId="77777777" w:rsidR="00CF2E21" w:rsidRPr="00591BFC" w:rsidRDefault="00CF2E21" w:rsidP="00E86771">
            <w:pPr>
              <w:spacing w:line="360" w:lineRule="auto"/>
              <w:jc w:val="right"/>
            </w:pPr>
          </w:p>
        </w:tc>
        <w:tc>
          <w:tcPr>
            <w:tcW w:w="934" w:type="pct"/>
            <w:shd w:val="clear" w:color="auto" w:fill="auto"/>
          </w:tcPr>
          <w:p w14:paraId="7EE77834" w14:textId="77777777" w:rsidR="00CF2E21" w:rsidRPr="00591BFC" w:rsidRDefault="00CF2E21" w:rsidP="00E86771">
            <w:pPr>
              <w:spacing w:line="360" w:lineRule="auto"/>
              <w:jc w:val="right"/>
            </w:pPr>
            <w:r w:rsidRPr="00591BFC">
              <w:t>5,404</w:t>
            </w:r>
          </w:p>
        </w:tc>
        <w:tc>
          <w:tcPr>
            <w:tcW w:w="309" w:type="pct"/>
            <w:shd w:val="clear" w:color="auto" w:fill="auto"/>
          </w:tcPr>
          <w:p w14:paraId="10FB6FB0" w14:textId="77777777" w:rsidR="00CF2E21" w:rsidRPr="00591BFC" w:rsidRDefault="00CF2E21" w:rsidP="00E86771">
            <w:pPr>
              <w:spacing w:line="360" w:lineRule="auto"/>
              <w:jc w:val="right"/>
            </w:pPr>
          </w:p>
        </w:tc>
      </w:tr>
      <w:tr w:rsidR="00CF2E21" w:rsidRPr="00591BFC" w14:paraId="6761BB32" w14:textId="77777777" w:rsidTr="00DB4F65">
        <w:tc>
          <w:tcPr>
            <w:tcW w:w="1585" w:type="pct"/>
            <w:shd w:val="clear" w:color="auto" w:fill="auto"/>
          </w:tcPr>
          <w:p w14:paraId="0BEE08A6" w14:textId="77777777" w:rsidR="00CF2E21" w:rsidRPr="00591BFC" w:rsidRDefault="00CF2E21" w:rsidP="00E86771">
            <w:pPr>
              <w:spacing w:line="360" w:lineRule="auto"/>
            </w:pPr>
            <w:r w:rsidRPr="00591BFC">
              <w:t>No. of patients</w:t>
            </w:r>
          </w:p>
        </w:tc>
        <w:tc>
          <w:tcPr>
            <w:tcW w:w="887" w:type="pct"/>
            <w:shd w:val="clear" w:color="auto" w:fill="auto"/>
          </w:tcPr>
          <w:p w14:paraId="45CE8991" w14:textId="77777777" w:rsidR="00CF2E21" w:rsidRPr="00591BFC" w:rsidRDefault="00CF2E21" w:rsidP="00E86771">
            <w:pPr>
              <w:spacing w:line="360" w:lineRule="auto"/>
              <w:jc w:val="right"/>
            </w:pPr>
            <w:r w:rsidRPr="00591BFC">
              <w:t>899</w:t>
            </w:r>
          </w:p>
        </w:tc>
        <w:tc>
          <w:tcPr>
            <w:tcW w:w="317" w:type="pct"/>
            <w:shd w:val="clear" w:color="auto" w:fill="auto"/>
          </w:tcPr>
          <w:p w14:paraId="1F806189" w14:textId="77777777" w:rsidR="00CF2E21" w:rsidRPr="00591BFC" w:rsidRDefault="00CF2E21" w:rsidP="00E86771">
            <w:pPr>
              <w:spacing w:line="360" w:lineRule="auto"/>
              <w:jc w:val="right"/>
            </w:pPr>
          </w:p>
        </w:tc>
        <w:tc>
          <w:tcPr>
            <w:tcW w:w="634" w:type="pct"/>
            <w:shd w:val="clear" w:color="auto" w:fill="auto"/>
          </w:tcPr>
          <w:p w14:paraId="1B2A80CA" w14:textId="77777777" w:rsidR="00CF2E21" w:rsidRPr="00591BFC" w:rsidRDefault="00CF2E21" w:rsidP="00E86771">
            <w:pPr>
              <w:spacing w:line="360" w:lineRule="auto"/>
              <w:jc w:val="right"/>
            </w:pPr>
            <w:r w:rsidRPr="00591BFC">
              <w:t>9,282</w:t>
            </w:r>
          </w:p>
        </w:tc>
        <w:tc>
          <w:tcPr>
            <w:tcW w:w="334" w:type="pct"/>
            <w:shd w:val="clear" w:color="auto" w:fill="auto"/>
          </w:tcPr>
          <w:p w14:paraId="489B8BD1" w14:textId="77777777" w:rsidR="00CF2E21" w:rsidRPr="00591BFC" w:rsidRDefault="00CF2E21" w:rsidP="00E86771">
            <w:pPr>
              <w:spacing w:line="360" w:lineRule="auto"/>
              <w:jc w:val="right"/>
            </w:pPr>
          </w:p>
        </w:tc>
        <w:tc>
          <w:tcPr>
            <w:tcW w:w="934" w:type="pct"/>
            <w:shd w:val="clear" w:color="auto" w:fill="auto"/>
          </w:tcPr>
          <w:p w14:paraId="124FA0E1" w14:textId="77777777" w:rsidR="00CF2E21" w:rsidRPr="00591BFC" w:rsidRDefault="00CF2E21" w:rsidP="00E86771">
            <w:pPr>
              <w:spacing w:line="360" w:lineRule="auto"/>
              <w:jc w:val="right"/>
            </w:pPr>
            <w:r w:rsidRPr="00591BFC">
              <w:t>5,404</w:t>
            </w:r>
          </w:p>
        </w:tc>
        <w:tc>
          <w:tcPr>
            <w:tcW w:w="309" w:type="pct"/>
            <w:shd w:val="clear" w:color="auto" w:fill="auto"/>
          </w:tcPr>
          <w:p w14:paraId="13DB83F3" w14:textId="77777777" w:rsidR="00CF2E21" w:rsidRPr="00591BFC" w:rsidRDefault="00CF2E21" w:rsidP="00E86771">
            <w:pPr>
              <w:spacing w:line="360" w:lineRule="auto"/>
              <w:jc w:val="right"/>
            </w:pPr>
          </w:p>
        </w:tc>
      </w:tr>
      <w:tr w:rsidR="00CF2E21" w:rsidRPr="00591BFC" w14:paraId="484E936B" w14:textId="77777777" w:rsidTr="00DB4F65">
        <w:tc>
          <w:tcPr>
            <w:tcW w:w="1585" w:type="pct"/>
            <w:shd w:val="clear" w:color="auto" w:fill="auto"/>
          </w:tcPr>
          <w:p w14:paraId="2B5756AA" w14:textId="77777777" w:rsidR="00CF2E21" w:rsidRPr="00591BFC" w:rsidRDefault="00CF2E21" w:rsidP="00E86771">
            <w:pPr>
              <w:spacing w:line="360" w:lineRule="auto"/>
            </w:pPr>
            <w:r w:rsidRPr="00591BFC">
              <w:t>Distributional form</w:t>
            </w:r>
          </w:p>
        </w:tc>
        <w:tc>
          <w:tcPr>
            <w:tcW w:w="887" w:type="pct"/>
            <w:shd w:val="clear" w:color="auto" w:fill="auto"/>
          </w:tcPr>
          <w:p w14:paraId="50A48801" w14:textId="77777777" w:rsidR="00CF2E21" w:rsidRPr="00591BFC" w:rsidRDefault="00CF2E21" w:rsidP="00E86771">
            <w:pPr>
              <w:spacing w:line="360" w:lineRule="auto"/>
              <w:jc w:val="right"/>
            </w:pPr>
            <w:r w:rsidRPr="00591BFC">
              <w:t>Gamma</w:t>
            </w:r>
          </w:p>
        </w:tc>
        <w:tc>
          <w:tcPr>
            <w:tcW w:w="317" w:type="pct"/>
            <w:shd w:val="clear" w:color="auto" w:fill="auto"/>
          </w:tcPr>
          <w:p w14:paraId="53027CCF" w14:textId="77777777" w:rsidR="00CF2E21" w:rsidRPr="00591BFC" w:rsidRDefault="00CF2E21" w:rsidP="00E86771">
            <w:pPr>
              <w:spacing w:line="360" w:lineRule="auto"/>
              <w:jc w:val="right"/>
            </w:pPr>
          </w:p>
        </w:tc>
        <w:tc>
          <w:tcPr>
            <w:tcW w:w="634" w:type="pct"/>
            <w:shd w:val="clear" w:color="auto" w:fill="auto"/>
          </w:tcPr>
          <w:p w14:paraId="217AE100" w14:textId="77777777" w:rsidR="00CF2E21" w:rsidRPr="00591BFC" w:rsidRDefault="00CF2E21" w:rsidP="00E86771">
            <w:pPr>
              <w:spacing w:line="360" w:lineRule="auto"/>
              <w:jc w:val="right"/>
            </w:pPr>
            <w:r w:rsidRPr="00591BFC">
              <w:t>Logistic</w:t>
            </w:r>
          </w:p>
        </w:tc>
        <w:tc>
          <w:tcPr>
            <w:tcW w:w="334" w:type="pct"/>
            <w:shd w:val="clear" w:color="auto" w:fill="auto"/>
          </w:tcPr>
          <w:p w14:paraId="021681A3" w14:textId="77777777" w:rsidR="00CF2E21" w:rsidRPr="00591BFC" w:rsidRDefault="00CF2E21" w:rsidP="00E86771">
            <w:pPr>
              <w:spacing w:line="360" w:lineRule="auto"/>
              <w:jc w:val="right"/>
            </w:pPr>
          </w:p>
        </w:tc>
        <w:tc>
          <w:tcPr>
            <w:tcW w:w="934" w:type="pct"/>
            <w:shd w:val="clear" w:color="auto" w:fill="auto"/>
          </w:tcPr>
          <w:p w14:paraId="34780C61" w14:textId="77777777" w:rsidR="00CF2E21" w:rsidRPr="00591BFC" w:rsidRDefault="00CF2E21" w:rsidP="00E86771">
            <w:pPr>
              <w:spacing w:line="360" w:lineRule="auto"/>
              <w:jc w:val="right"/>
            </w:pPr>
            <w:r w:rsidRPr="00591BFC">
              <w:t>Gamma</w:t>
            </w:r>
          </w:p>
        </w:tc>
        <w:tc>
          <w:tcPr>
            <w:tcW w:w="309" w:type="pct"/>
            <w:shd w:val="clear" w:color="auto" w:fill="auto"/>
          </w:tcPr>
          <w:p w14:paraId="7C7FA7A0" w14:textId="77777777" w:rsidR="00CF2E21" w:rsidRPr="00591BFC" w:rsidRDefault="00CF2E21" w:rsidP="00E86771">
            <w:pPr>
              <w:spacing w:line="360" w:lineRule="auto"/>
              <w:jc w:val="right"/>
            </w:pPr>
          </w:p>
        </w:tc>
      </w:tr>
      <w:tr w:rsidR="00CF2E21" w:rsidRPr="00591BFC" w14:paraId="2A791493" w14:textId="77777777" w:rsidTr="00DB4F65">
        <w:tc>
          <w:tcPr>
            <w:tcW w:w="1585" w:type="pct"/>
            <w:shd w:val="clear" w:color="auto" w:fill="auto"/>
          </w:tcPr>
          <w:p w14:paraId="097A581A" w14:textId="77777777" w:rsidR="00CF2E21" w:rsidRPr="00591BFC" w:rsidRDefault="00CF2E21" w:rsidP="00E86771">
            <w:pPr>
              <w:spacing w:line="360" w:lineRule="auto"/>
            </w:pPr>
            <w:r w:rsidRPr="00591BFC">
              <w:t>Link function</w:t>
            </w:r>
          </w:p>
        </w:tc>
        <w:tc>
          <w:tcPr>
            <w:tcW w:w="887" w:type="pct"/>
            <w:shd w:val="clear" w:color="auto" w:fill="auto"/>
          </w:tcPr>
          <w:p w14:paraId="359283F6" w14:textId="77777777" w:rsidR="00CF2E21" w:rsidRPr="00591BFC" w:rsidRDefault="00CF2E21" w:rsidP="00E86771">
            <w:pPr>
              <w:spacing w:line="360" w:lineRule="auto"/>
              <w:jc w:val="right"/>
            </w:pPr>
            <w:r w:rsidRPr="00591BFC">
              <w:t>Identity</w:t>
            </w:r>
          </w:p>
        </w:tc>
        <w:tc>
          <w:tcPr>
            <w:tcW w:w="317" w:type="pct"/>
            <w:shd w:val="clear" w:color="auto" w:fill="auto"/>
          </w:tcPr>
          <w:p w14:paraId="50DD35C7" w14:textId="77777777" w:rsidR="00CF2E21" w:rsidRPr="00591BFC" w:rsidRDefault="00CF2E21" w:rsidP="00E86771">
            <w:pPr>
              <w:spacing w:line="360" w:lineRule="auto"/>
              <w:jc w:val="right"/>
            </w:pPr>
          </w:p>
        </w:tc>
        <w:tc>
          <w:tcPr>
            <w:tcW w:w="634" w:type="pct"/>
            <w:shd w:val="clear" w:color="auto" w:fill="auto"/>
          </w:tcPr>
          <w:p w14:paraId="51650316" w14:textId="77777777" w:rsidR="00CF2E21" w:rsidRPr="00591BFC" w:rsidRDefault="00CF2E21" w:rsidP="00E86771">
            <w:pPr>
              <w:spacing w:line="360" w:lineRule="auto"/>
              <w:jc w:val="right"/>
            </w:pPr>
          </w:p>
        </w:tc>
        <w:tc>
          <w:tcPr>
            <w:tcW w:w="334" w:type="pct"/>
            <w:shd w:val="clear" w:color="auto" w:fill="auto"/>
          </w:tcPr>
          <w:p w14:paraId="2B343D22" w14:textId="77777777" w:rsidR="00CF2E21" w:rsidRPr="00591BFC" w:rsidRDefault="00CF2E21" w:rsidP="00E86771">
            <w:pPr>
              <w:spacing w:line="360" w:lineRule="auto"/>
              <w:jc w:val="right"/>
            </w:pPr>
          </w:p>
        </w:tc>
        <w:tc>
          <w:tcPr>
            <w:tcW w:w="934" w:type="pct"/>
            <w:shd w:val="clear" w:color="auto" w:fill="auto"/>
          </w:tcPr>
          <w:p w14:paraId="0E1A0889" w14:textId="77777777" w:rsidR="00CF2E21" w:rsidRPr="00591BFC" w:rsidRDefault="00CF2E21" w:rsidP="00E86771">
            <w:pPr>
              <w:spacing w:line="360" w:lineRule="auto"/>
              <w:jc w:val="right"/>
            </w:pPr>
            <w:r w:rsidRPr="00591BFC">
              <w:t>Identity</w:t>
            </w:r>
          </w:p>
        </w:tc>
        <w:tc>
          <w:tcPr>
            <w:tcW w:w="309" w:type="pct"/>
            <w:shd w:val="clear" w:color="auto" w:fill="auto"/>
          </w:tcPr>
          <w:p w14:paraId="17C638AD" w14:textId="77777777" w:rsidR="00CF2E21" w:rsidRPr="00591BFC" w:rsidRDefault="00CF2E21" w:rsidP="00E86771">
            <w:pPr>
              <w:spacing w:line="360" w:lineRule="auto"/>
              <w:jc w:val="right"/>
            </w:pPr>
          </w:p>
        </w:tc>
      </w:tr>
      <w:tr w:rsidR="00CF2E21" w:rsidRPr="00591BFC" w14:paraId="6B30BFB0" w14:textId="77777777" w:rsidTr="00DB4F65">
        <w:tc>
          <w:tcPr>
            <w:tcW w:w="1585" w:type="pct"/>
            <w:shd w:val="clear" w:color="auto" w:fill="auto"/>
          </w:tcPr>
          <w:p w14:paraId="02170913" w14:textId="77777777" w:rsidR="00CF2E21" w:rsidRPr="00591BFC" w:rsidRDefault="00CF2E21" w:rsidP="00E86771">
            <w:pPr>
              <w:spacing w:line="360" w:lineRule="auto"/>
            </w:pPr>
            <w:r w:rsidRPr="00591BFC">
              <w:t>Parameters</w:t>
            </w:r>
          </w:p>
        </w:tc>
        <w:tc>
          <w:tcPr>
            <w:tcW w:w="887" w:type="pct"/>
            <w:shd w:val="clear" w:color="auto" w:fill="auto"/>
          </w:tcPr>
          <w:p w14:paraId="48C3BDD2" w14:textId="77777777" w:rsidR="00CF2E21" w:rsidRPr="00591BFC" w:rsidRDefault="00CF2E21" w:rsidP="00E86771">
            <w:pPr>
              <w:spacing w:line="360" w:lineRule="auto"/>
              <w:jc w:val="right"/>
            </w:pPr>
            <w:r w:rsidRPr="00591BFC">
              <w:t>Mean</w:t>
            </w:r>
          </w:p>
        </w:tc>
        <w:tc>
          <w:tcPr>
            <w:tcW w:w="317" w:type="pct"/>
            <w:shd w:val="clear" w:color="auto" w:fill="auto"/>
          </w:tcPr>
          <w:p w14:paraId="185609AB" w14:textId="77777777" w:rsidR="00CF2E21" w:rsidRPr="00591BFC" w:rsidRDefault="00CF2E21" w:rsidP="00E86771">
            <w:pPr>
              <w:spacing w:line="360" w:lineRule="auto"/>
              <w:jc w:val="right"/>
            </w:pPr>
            <w:r w:rsidRPr="00591BFC">
              <w:t>SE</w:t>
            </w:r>
          </w:p>
        </w:tc>
        <w:tc>
          <w:tcPr>
            <w:tcW w:w="634" w:type="pct"/>
            <w:shd w:val="clear" w:color="auto" w:fill="auto"/>
          </w:tcPr>
          <w:p w14:paraId="37BDB093" w14:textId="77777777" w:rsidR="00CF2E21" w:rsidRPr="00591BFC" w:rsidRDefault="00CF2E21" w:rsidP="00E86771">
            <w:pPr>
              <w:spacing w:line="360" w:lineRule="auto"/>
              <w:jc w:val="right"/>
            </w:pPr>
            <w:r w:rsidRPr="00591BFC">
              <w:t>Mean</w:t>
            </w:r>
          </w:p>
        </w:tc>
        <w:tc>
          <w:tcPr>
            <w:tcW w:w="334" w:type="pct"/>
            <w:shd w:val="clear" w:color="auto" w:fill="auto"/>
          </w:tcPr>
          <w:p w14:paraId="032BCDE0" w14:textId="77777777" w:rsidR="00CF2E21" w:rsidRPr="00591BFC" w:rsidRDefault="00CF2E21" w:rsidP="00E86771">
            <w:pPr>
              <w:spacing w:line="360" w:lineRule="auto"/>
              <w:jc w:val="right"/>
            </w:pPr>
            <w:r w:rsidRPr="00591BFC">
              <w:t>SE</w:t>
            </w:r>
          </w:p>
        </w:tc>
        <w:tc>
          <w:tcPr>
            <w:tcW w:w="934" w:type="pct"/>
            <w:shd w:val="clear" w:color="auto" w:fill="auto"/>
          </w:tcPr>
          <w:p w14:paraId="4285AF04" w14:textId="77777777" w:rsidR="00CF2E21" w:rsidRPr="00591BFC" w:rsidRDefault="00CF2E21" w:rsidP="00E86771">
            <w:pPr>
              <w:spacing w:line="360" w:lineRule="auto"/>
              <w:jc w:val="right"/>
            </w:pPr>
            <w:r w:rsidRPr="00591BFC">
              <w:t>Mean</w:t>
            </w:r>
          </w:p>
        </w:tc>
        <w:tc>
          <w:tcPr>
            <w:tcW w:w="309" w:type="pct"/>
            <w:shd w:val="clear" w:color="auto" w:fill="auto"/>
          </w:tcPr>
          <w:p w14:paraId="1D97FF7A" w14:textId="77777777" w:rsidR="00CF2E21" w:rsidRPr="00591BFC" w:rsidRDefault="00CF2E21" w:rsidP="00E86771">
            <w:pPr>
              <w:spacing w:line="360" w:lineRule="auto"/>
              <w:jc w:val="right"/>
            </w:pPr>
            <w:r w:rsidRPr="00591BFC">
              <w:t>SE</w:t>
            </w:r>
          </w:p>
        </w:tc>
      </w:tr>
      <w:tr w:rsidR="00CF2E21" w:rsidRPr="00591BFC" w14:paraId="08E99420" w14:textId="77777777" w:rsidTr="00DB4F65">
        <w:tc>
          <w:tcPr>
            <w:tcW w:w="1585" w:type="pct"/>
            <w:shd w:val="clear" w:color="auto" w:fill="auto"/>
          </w:tcPr>
          <w:p w14:paraId="4836B102" w14:textId="77777777" w:rsidR="00CF2E21" w:rsidRPr="00591BFC" w:rsidRDefault="00CF2E21" w:rsidP="00E86771">
            <w:pPr>
              <w:spacing w:line="360" w:lineRule="auto"/>
            </w:pPr>
            <w:r w:rsidRPr="00591BFC">
              <w:t>Constant</w:t>
            </w:r>
          </w:p>
        </w:tc>
        <w:tc>
          <w:tcPr>
            <w:tcW w:w="887" w:type="pct"/>
            <w:shd w:val="clear" w:color="auto" w:fill="auto"/>
          </w:tcPr>
          <w:p w14:paraId="75316D1E" w14:textId="77777777" w:rsidR="00CF2E21" w:rsidRPr="00591BFC" w:rsidRDefault="00CF2E21" w:rsidP="00E86771">
            <w:pPr>
              <w:spacing w:line="360" w:lineRule="auto"/>
              <w:jc w:val="right"/>
            </w:pPr>
            <w:r w:rsidRPr="00591BFC">
              <w:rPr>
                <w:color w:val="000000"/>
              </w:rPr>
              <w:t>11582</w:t>
            </w:r>
          </w:p>
        </w:tc>
        <w:tc>
          <w:tcPr>
            <w:tcW w:w="317" w:type="pct"/>
            <w:shd w:val="clear" w:color="auto" w:fill="auto"/>
          </w:tcPr>
          <w:p w14:paraId="04341E79" w14:textId="77777777" w:rsidR="00CF2E21" w:rsidRPr="00591BFC" w:rsidRDefault="00CF2E21" w:rsidP="00E86771">
            <w:pPr>
              <w:spacing w:line="360" w:lineRule="auto"/>
              <w:jc w:val="right"/>
            </w:pPr>
            <w:r w:rsidRPr="00591BFC">
              <w:rPr>
                <w:color w:val="000000"/>
              </w:rPr>
              <w:t>1057</w:t>
            </w:r>
          </w:p>
        </w:tc>
        <w:tc>
          <w:tcPr>
            <w:tcW w:w="634" w:type="pct"/>
            <w:shd w:val="clear" w:color="auto" w:fill="auto"/>
          </w:tcPr>
          <w:p w14:paraId="5E81C41F" w14:textId="77777777" w:rsidR="00CF2E21" w:rsidRPr="00591BFC" w:rsidRDefault="00CF2E21" w:rsidP="00E86771">
            <w:pPr>
              <w:spacing w:line="360" w:lineRule="auto"/>
              <w:jc w:val="right"/>
            </w:pPr>
            <w:r w:rsidRPr="00591BFC">
              <w:rPr>
                <w:color w:val="000000"/>
              </w:rPr>
              <w:t>3.970</w:t>
            </w:r>
          </w:p>
        </w:tc>
        <w:tc>
          <w:tcPr>
            <w:tcW w:w="334" w:type="pct"/>
            <w:shd w:val="clear" w:color="auto" w:fill="auto"/>
          </w:tcPr>
          <w:p w14:paraId="334DD3FF" w14:textId="77777777" w:rsidR="00CF2E21" w:rsidRPr="00591BFC" w:rsidRDefault="00CF2E21" w:rsidP="00E86771">
            <w:pPr>
              <w:spacing w:line="360" w:lineRule="auto"/>
              <w:jc w:val="right"/>
            </w:pPr>
            <w:r w:rsidRPr="00591BFC">
              <w:rPr>
                <w:color w:val="000000"/>
              </w:rPr>
              <w:t>0.269</w:t>
            </w:r>
          </w:p>
        </w:tc>
        <w:tc>
          <w:tcPr>
            <w:tcW w:w="934" w:type="pct"/>
            <w:shd w:val="clear" w:color="auto" w:fill="auto"/>
          </w:tcPr>
          <w:p w14:paraId="4BCAA558" w14:textId="77777777" w:rsidR="00CF2E21" w:rsidRPr="00591BFC" w:rsidRDefault="00CF2E21" w:rsidP="00E86771">
            <w:pPr>
              <w:spacing w:line="360" w:lineRule="auto"/>
              <w:jc w:val="right"/>
            </w:pPr>
            <w:r w:rsidRPr="00591BFC">
              <w:rPr>
                <w:color w:val="000000"/>
              </w:rPr>
              <w:t>19401</w:t>
            </w:r>
          </w:p>
        </w:tc>
        <w:tc>
          <w:tcPr>
            <w:tcW w:w="309" w:type="pct"/>
            <w:shd w:val="clear" w:color="auto" w:fill="auto"/>
          </w:tcPr>
          <w:p w14:paraId="3835F44A" w14:textId="77777777" w:rsidR="00CF2E21" w:rsidRPr="00591BFC" w:rsidRDefault="00CF2E21" w:rsidP="00E86771">
            <w:pPr>
              <w:spacing w:line="360" w:lineRule="auto"/>
              <w:jc w:val="right"/>
            </w:pPr>
            <w:r w:rsidRPr="00591BFC">
              <w:rPr>
                <w:color w:val="000000"/>
              </w:rPr>
              <w:t>1489</w:t>
            </w:r>
          </w:p>
        </w:tc>
      </w:tr>
      <w:tr w:rsidR="00CF2E21" w:rsidRPr="00591BFC" w14:paraId="5366EA0A" w14:textId="77777777" w:rsidTr="00DB4F65">
        <w:tc>
          <w:tcPr>
            <w:tcW w:w="1585" w:type="pct"/>
            <w:shd w:val="clear" w:color="auto" w:fill="auto"/>
          </w:tcPr>
          <w:p w14:paraId="03E44FEB" w14:textId="77777777" w:rsidR="00CF2E21" w:rsidRPr="00591BFC" w:rsidRDefault="00CF2E21" w:rsidP="00E86771">
            <w:pPr>
              <w:spacing w:line="360" w:lineRule="auto"/>
            </w:pPr>
            <w:r w:rsidRPr="00591BFC">
              <w:t>Living in care home</w:t>
            </w:r>
          </w:p>
        </w:tc>
        <w:tc>
          <w:tcPr>
            <w:tcW w:w="887" w:type="pct"/>
            <w:shd w:val="clear" w:color="auto" w:fill="auto"/>
          </w:tcPr>
          <w:p w14:paraId="68DA9800" w14:textId="77777777" w:rsidR="00CF2E21" w:rsidRPr="00591BFC" w:rsidRDefault="00CF2E21" w:rsidP="00E86771">
            <w:pPr>
              <w:spacing w:line="360" w:lineRule="auto"/>
              <w:jc w:val="right"/>
            </w:pPr>
            <w:r w:rsidRPr="00591BFC">
              <w:rPr>
                <w:color w:val="000000"/>
              </w:rPr>
              <w:t>2001</w:t>
            </w:r>
          </w:p>
        </w:tc>
        <w:tc>
          <w:tcPr>
            <w:tcW w:w="317" w:type="pct"/>
            <w:shd w:val="clear" w:color="auto" w:fill="auto"/>
          </w:tcPr>
          <w:p w14:paraId="25062998" w14:textId="77777777" w:rsidR="00CF2E21" w:rsidRPr="00591BFC" w:rsidRDefault="00CF2E21" w:rsidP="00E86771">
            <w:pPr>
              <w:spacing w:line="360" w:lineRule="auto"/>
              <w:jc w:val="right"/>
            </w:pPr>
            <w:r w:rsidRPr="00591BFC">
              <w:rPr>
                <w:color w:val="000000"/>
              </w:rPr>
              <w:t>606</w:t>
            </w:r>
          </w:p>
        </w:tc>
        <w:tc>
          <w:tcPr>
            <w:tcW w:w="634" w:type="pct"/>
            <w:shd w:val="clear" w:color="auto" w:fill="auto"/>
          </w:tcPr>
          <w:p w14:paraId="78766DC7" w14:textId="77777777" w:rsidR="00CF2E21" w:rsidRPr="00591BFC" w:rsidRDefault="00CF2E21" w:rsidP="00E86771">
            <w:pPr>
              <w:spacing w:line="360" w:lineRule="auto"/>
              <w:jc w:val="right"/>
            </w:pPr>
            <w:r w:rsidRPr="00591BFC">
              <w:rPr>
                <w:color w:val="000000"/>
              </w:rPr>
              <w:t>-0.209</w:t>
            </w:r>
          </w:p>
        </w:tc>
        <w:tc>
          <w:tcPr>
            <w:tcW w:w="334" w:type="pct"/>
            <w:shd w:val="clear" w:color="auto" w:fill="auto"/>
          </w:tcPr>
          <w:p w14:paraId="725E6905" w14:textId="77777777" w:rsidR="00CF2E21" w:rsidRPr="00591BFC" w:rsidRDefault="00CF2E21" w:rsidP="00E86771">
            <w:pPr>
              <w:spacing w:line="360" w:lineRule="auto"/>
              <w:jc w:val="right"/>
            </w:pPr>
            <w:r w:rsidRPr="00591BFC">
              <w:rPr>
                <w:color w:val="000000"/>
              </w:rPr>
              <w:t>0.043</w:t>
            </w:r>
          </w:p>
        </w:tc>
        <w:tc>
          <w:tcPr>
            <w:tcW w:w="934" w:type="pct"/>
            <w:shd w:val="clear" w:color="auto" w:fill="auto"/>
          </w:tcPr>
          <w:p w14:paraId="2AEFDD3A" w14:textId="77777777" w:rsidR="00CF2E21" w:rsidRPr="00591BFC" w:rsidRDefault="00CF2E21" w:rsidP="00E86771">
            <w:pPr>
              <w:spacing w:line="360" w:lineRule="auto"/>
              <w:jc w:val="right"/>
            </w:pPr>
            <w:r w:rsidRPr="00591BFC">
              <w:rPr>
                <w:color w:val="000000"/>
              </w:rPr>
              <w:t>896</w:t>
            </w:r>
          </w:p>
        </w:tc>
        <w:tc>
          <w:tcPr>
            <w:tcW w:w="309" w:type="pct"/>
            <w:shd w:val="clear" w:color="auto" w:fill="auto"/>
          </w:tcPr>
          <w:p w14:paraId="4F06D003" w14:textId="77777777" w:rsidR="00CF2E21" w:rsidRPr="00591BFC" w:rsidRDefault="00CF2E21" w:rsidP="00E86771">
            <w:pPr>
              <w:spacing w:line="360" w:lineRule="auto"/>
              <w:jc w:val="right"/>
            </w:pPr>
            <w:r w:rsidRPr="00591BFC">
              <w:rPr>
                <w:color w:val="000000"/>
              </w:rPr>
              <w:t>235</w:t>
            </w:r>
          </w:p>
        </w:tc>
      </w:tr>
      <w:tr w:rsidR="00CF2E21" w:rsidRPr="00591BFC" w14:paraId="74639CCC" w14:textId="77777777" w:rsidTr="00DB4F65">
        <w:tc>
          <w:tcPr>
            <w:tcW w:w="1585" w:type="pct"/>
            <w:shd w:val="clear" w:color="auto" w:fill="auto"/>
          </w:tcPr>
          <w:p w14:paraId="2E2D7181" w14:textId="77777777" w:rsidR="00CF2E21" w:rsidRPr="00591BFC" w:rsidRDefault="00CF2E21" w:rsidP="00E86771">
            <w:pPr>
              <w:spacing w:line="360" w:lineRule="auto"/>
            </w:pPr>
            <w:r w:rsidRPr="00591BFC">
              <w:t>Current age</w:t>
            </w:r>
          </w:p>
        </w:tc>
        <w:tc>
          <w:tcPr>
            <w:tcW w:w="887" w:type="pct"/>
            <w:shd w:val="clear" w:color="auto" w:fill="auto"/>
          </w:tcPr>
          <w:p w14:paraId="20681C9C" w14:textId="77777777" w:rsidR="00CF2E21" w:rsidRPr="00591BFC" w:rsidRDefault="00CF2E21" w:rsidP="00E86771">
            <w:pPr>
              <w:spacing w:line="360" w:lineRule="auto"/>
              <w:jc w:val="right"/>
            </w:pPr>
          </w:p>
        </w:tc>
        <w:tc>
          <w:tcPr>
            <w:tcW w:w="317" w:type="pct"/>
            <w:shd w:val="clear" w:color="auto" w:fill="auto"/>
          </w:tcPr>
          <w:p w14:paraId="551E4FBB" w14:textId="77777777" w:rsidR="00CF2E21" w:rsidRPr="00591BFC" w:rsidRDefault="00CF2E21" w:rsidP="00E86771">
            <w:pPr>
              <w:spacing w:line="360" w:lineRule="auto"/>
              <w:jc w:val="right"/>
            </w:pPr>
          </w:p>
        </w:tc>
        <w:tc>
          <w:tcPr>
            <w:tcW w:w="634" w:type="pct"/>
            <w:shd w:val="clear" w:color="auto" w:fill="auto"/>
          </w:tcPr>
          <w:p w14:paraId="06E5A895" w14:textId="77777777" w:rsidR="00CF2E21" w:rsidRPr="00591BFC" w:rsidRDefault="00CF2E21" w:rsidP="00E86771">
            <w:pPr>
              <w:spacing w:line="360" w:lineRule="auto"/>
              <w:jc w:val="right"/>
            </w:pPr>
            <w:r w:rsidRPr="00591BFC">
              <w:rPr>
                <w:color w:val="000000"/>
              </w:rPr>
              <w:t>-0.038</w:t>
            </w:r>
          </w:p>
        </w:tc>
        <w:tc>
          <w:tcPr>
            <w:tcW w:w="334" w:type="pct"/>
            <w:shd w:val="clear" w:color="auto" w:fill="auto"/>
          </w:tcPr>
          <w:p w14:paraId="338101F8" w14:textId="77777777" w:rsidR="00CF2E21" w:rsidRPr="00591BFC" w:rsidRDefault="00CF2E21" w:rsidP="00E86771">
            <w:pPr>
              <w:spacing w:line="360" w:lineRule="auto"/>
              <w:jc w:val="right"/>
            </w:pPr>
            <w:r w:rsidRPr="00591BFC">
              <w:rPr>
                <w:color w:val="000000"/>
              </w:rPr>
              <w:t>0.003</w:t>
            </w:r>
          </w:p>
        </w:tc>
        <w:tc>
          <w:tcPr>
            <w:tcW w:w="934" w:type="pct"/>
            <w:shd w:val="clear" w:color="auto" w:fill="auto"/>
          </w:tcPr>
          <w:p w14:paraId="77355684" w14:textId="77777777" w:rsidR="00CF2E21" w:rsidRPr="00591BFC" w:rsidRDefault="00CF2E21" w:rsidP="00E86771">
            <w:pPr>
              <w:spacing w:line="360" w:lineRule="auto"/>
              <w:jc w:val="right"/>
            </w:pPr>
            <w:r w:rsidRPr="00591BFC">
              <w:rPr>
                <w:color w:val="000000"/>
              </w:rPr>
              <w:t>-144</w:t>
            </w:r>
          </w:p>
        </w:tc>
        <w:tc>
          <w:tcPr>
            <w:tcW w:w="309" w:type="pct"/>
            <w:shd w:val="clear" w:color="auto" w:fill="auto"/>
          </w:tcPr>
          <w:p w14:paraId="5444F479" w14:textId="77777777" w:rsidR="00CF2E21" w:rsidRPr="00591BFC" w:rsidRDefault="00CF2E21" w:rsidP="00E86771">
            <w:pPr>
              <w:spacing w:line="360" w:lineRule="auto"/>
              <w:jc w:val="right"/>
            </w:pPr>
            <w:r w:rsidRPr="00591BFC">
              <w:rPr>
                <w:color w:val="000000"/>
              </w:rPr>
              <w:t>17</w:t>
            </w:r>
          </w:p>
        </w:tc>
      </w:tr>
      <w:tr w:rsidR="00CF2E21" w:rsidRPr="00591BFC" w14:paraId="1917FC1F" w14:textId="77777777" w:rsidTr="00DB4F65">
        <w:tc>
          <w:tcPr>
            <w:tcW w:w="1585" w:type="pct"/>
            <w:shd w:val="clear" w:color="auto" w:fill="auto"/>
          </w:tcPr>
          <w:p w14:paraId="2C832BF5" w14:textId="77777777" w:rsidR="00CF2E21" w:rsidRPr="00591BFC" w:rsidRDefault="00CF2E21" w:rsidP="00E86771">
            <w:pPr>
              <w:spacing w:line="360" w:lineRule="auto"/>
            </w:pPr>
            <w:r w:rsidRPr="00591BFC">
              <w:t>Female</w:t>
            </w:r>
          </w:p>
        </w:tc>
        <w:tc>
          <w:tcPr>
            <w:tcW w:w="887" w:type="pct"/>
            <w:shd w:val="clear" w:color="auto" w:fill="auto"/>
          </w:tcPr>
          <w:p w14:paraId="3F3A1492" w14:textId="77777777" w:rsidR="00CF2E21" w:rsidRPr="00591BFC" w:rsidRDefault="00CF2E21" w:rsidP="00E86771">
            <w:pPr>
              <w:spacing w:line="360" w:lineRule="auto"/>
              <w:jc w:val="right"/>
            </w:pPr>
            <w:r w:rsidRPr="00591BFC">
              <w:rPr>
                <w:color w:val="000000"/>
              </w:rPr>
              <w:t>-2953</w:t>
            </w:r>
          </w:p>
        </w:tc>
        <w:tc>
          <w:tcPr>
            <w:tcW w:w="317" w:type="pct"/>
            <w:shd w:val="clear" w:color="auto" w:fill="auto"/>
          </w:tcPr>
          <w:p w14:paraId="3233F237" w14:textId="77777777" w:rsidR="00CF2E21" w:rsidRPr="00591BFC" w:rsidRDefault="00CF2E21" w:rsidP="00E86771">
            <w:pPr>
              <w:spacing w:line="360" w:lineRule="auto"/>
              <w:jc w:val="right"/>
            </w:pPr>
            <w:r w:rsidRPr="00591BFC">
              <w:rPr>
                <w:color w:val="000000"/>
              </w:rPr>
              <w:t>1096</w:t>
            </w:r>
          </w:p>
        </w:tc>
        <w:tc>
          <w:tcPr>
            <w:tcW w:w="634" w:type="pct"/>
            <w:shd w:val="clear" w:color="auto" w:fill="auto"/>
          </w:tcPr>
          <w:p w14:paraId="0DE00545" w14:textId="77777777" w:rsidR="00CF2E21" w:rsidRPr="00591BFC" w:rsidRDefault="00CF2E21" w:rsidP="00E86771">
            <w:pPr>
              <w:spacing w:line="360" w:lineRule="auto"/>
              <w:jc w:val="right"/>
            </w:pPr>
            <w:r w:rsidRPr="00591BFC">
              <w:rPr>
                <w:color w:val="000000"/>
              </w:rPr>
              <w:t>-0.251</w:t>
            </w:r>
          </w:p>
        </w:tc>
        <w:tc>
          <w:tcPr>
            <w:tcW w:w="334" w:type="pct"/>
            <w:shd w:val="clear" w:color="auto" w:fill="auto"/>
          </w:tcPr>
          <w:p w14:paraId="6636E103" w14:textId="77777777" w:rsidR="00CF2E21" w:rsidRPr="00591BFC" w:rsidRDefault="00CF2E21" w:rsidP="00E86771">
            <w:pPr>
              <w:spacing w:line="360" w:lineRule="auto"/>
              <w:jc w:val="right"/>
            </w:pPr>
            <w:r w:rsidRPr="00591BFC">
              <w:rPr>
                <w:color w:val="000000"/>
              </w:rPr>
              <w:t>0.053</w:t>
            </w:r>
          </w:p>
        </w:tc>
        <w:tc>
          <w:tcPr>
            <w:tcW w:w="934" w:type="pct"/>
            <w:shd w:val="clear" w:color="auto" w:fill="auto"/>
          </w:tcPr>
          <w:p w14:paraId="62630BBA" w14:textId="77777777" w:rsidR="00CF2E21" w:rsidRPr="00591BFC" w:rsidRDefault="00CF2E21" w:rsidP="00E86771">
            <w:pPr>
              <w:spacing w:line="360" w:lineRule="auto"/>
              <w:jc w:val="right"/>
            </w:pPr>
          </w:p>
        </w:tc>
        <w:tc>
          <w:tcPr>
            <w:tcW w:w="309" w:type="pct"/>
            <w:shd w:val="clear" w:color="auto" w:fill="auto"/>
          </w:tcPr>
          <w:p w14:paraId="0CC5BE08" w14:textId="77777777" w:rsidR="00CF2E21" w:rsidRPr="00591BFC" w:rsidRDefault="00CF2E21" w:rsidP="00E86771">
            <w:pPr>
              <w:spacing w:line="360" w:lineRule="auto"/>
              <w:jc w:val="right"/>
            </w:pPr>
          </w:p>
        </w:tc>
      </w:tr>
    </w:tbl>
    <w:p w14:paraId="482FE21D" w14:textId="77777777" w:rsidR="00CF2E21" w:rsidRPr="00591BFC" w:rsidRDefault="00CF2E21" w:rsidP="00E86771">
      <w:pPr>
        <w:spacing w:line="360" w:lineRule="auto"/>
      </w:pPr>
    </w:p>
    <w:p w14:paraId="70025CDB" w14:textId="77777777" w:rsidR="00CF2E21" w:rsidRPr="00591BFC" w:rsidRDefault="00CF2E21" w:rsidP="00E86771">
      <w:pPr>
        <w:spacing w:line="360" w:lineRule="auto"/>
      </w:pPr>
    </w:p>
    <w:p w14:paraId="25B13419" w14:textId="77777777" w:rsidR="00CF2E21" w:rsidRPr="00591BFC" w:rsidRDefault="00CF2E21" w:rsidP="00E86771">
      <w:pPr>
        <w:spacing w:line="360" w:lineRule="auto"/>
      </w:pPr>
    </w:p>
    <w:p w14:paraId="1A286459" w14:textId="77777777" w:rsidR="00CF2E21" w:rsidRPr="00591BFC" w:rsidRDefault="00CF2E21" w:rsidP="00E86771">
      <w:pPr>
        <w:spacing w:line="360" w:lineRule="auto"/>
        <w:sectPr w:rsidR="00CF2E21" w:rsidRPr="00591BFC" w:rsidSect="00DB4F65">
          <w:pgSz w:w="11900" w:h="16840"/>
          <w:pgMar w:top="1440" w:right="1440" w:bottom="1440" w:left="1440" w:header="708" w:footer="708" w:gutter="0"/>
          <w:cols w:space="708"/>
          <w:docGrid w:linePitch="360"/>
        </w:sectPr>
      </w:pPr>
    </w:p>
    <w:p w14:paraId="1A9E65D4" w14:textId="77777777" w:rsidR="00CF2E21" w:rsidRPr="00591BFC" w:rsidRDefault="00CF2E21" w:rsidP="00E86771">
      <w:pPr>
        <w:spacing w:line="360" w:lineRule="auto"/>
      </w:pPr>
    </w:p>
    <w:p w14:paraId="49B53208" w14:textId="77777777" w:rsidR="00CF2E21" w:rsidRPr="00591BFC" w:rsidRDefault="00CF2E21" w:rsidP="00E86771">
      <w:pPr>
        <w:pStyle w:val="Heading4"/>
        <w:spacing w:line="360" w:lineRule="auto"/>
        <w:rPr>
          <w:rFonts w:ascii="Calibri" w:hAnsi="Calibri"/>
        </w:rPr>
      </w:pPr>
      <w:r w:rsidRPr="00591BFC">
        <w:rPr>
          <w:rFonts w:ascii="Calibri" w:hAnsi="Calibri"/>
        </w:rPr>
        <w:t>Care home costs</w:t>
      </w:r>
    </w:p>
    <w:p w14:paraId="474D49B4" w14:textId="7CEC92D0" w:rsidR="00CF2E21" w:rsidRPr="00591BFC" w:rsidRDefault="00CF2E21" w:rsidP="00E86771">
      <w:pPr>
        <w:spacing w:line="360" w:lineRule="auto"/>
      </w:pPr>
      <w:r w:rsidRPr="00591BFC">
        <w:t>The annual costs of institutionalisation in a nursing and residential home were obtained from data published by the Personal Social Services Research Unit</w:t>
      </w:r>
      <w:hyperlink w:anchor="_ENREF_137" w:tooltip="Curtis, 2013 #1119" w:history="1">
        <w:r w:rsidR="00B24FEE">
          <w:fldChar w:fldCharType="begin"/>
        </w:r>
        <w:r w:rsidR="00B24FEE">
          <w:instrText xml:space="preserve"> ADDIN EN.CITE &lt;EndNote&gt;&lt;Cite&gt;&lt;Author&gt;Curtis&lt;/Author&gt;&lt;Year&gt;2013&lt;/Year&gt;&lt;RecNum&gt;1119&lt;/RecNum&gt;&lt;DisplayText&gt;&lt;style face="superscript"&gt;137&lt;/style&gt;&lt;/DisplayText&gt;&lt;record&gt;&lt;rec-number&gt;1119&lt;/rec-number&gt;&lt;foreign-keys&gt;&lt;key app="EN" db-id="sxpszd2ti9dx04ewefrvfp5bpf5faazszr9p" timestamp="1435659132"&gt;1119&lt;/key&gt;&lt;/foreign-keys&gt;&lt;ref-type name="Report"&gt;27&lt;/ref-type&gt;&lt;contributors&gt;&lt;authors&gt;&lt;author&gt;Curtis, L. H.&lt;/author&gt;&lt;/authors&gt;&lt;/contributors&gt;&lt;titles&gt;&lt;title&gt;Unit costs of health and social care 2013&lt;/title&gt;&lt;/titles&gt;&lt;dates&gt;&lt;year&gt;2013&lt;/year&gt;&lt;/dates&gt;&lt;publisher&gt;Personal Social Services Research Unit&lt;/publisher&gt;&lt;urls&gt;&lt;related-urls&gt;&lt;url&gt;https://wwwgovuk/government/publications/nhs-reference-costs-2012-to-2013&lt;/url&gt;&lt;/related-urls&gt;&lt;/urls&gt;&lt;/record&gt;&lt;/Cite&gt;&lt;/EndNote&gt;</w:instrText>
        </w:r>
        <w:r w:rsidR="00B24FEE">
          <w:fldChar w:fldCharType="separate"/>
        </w:r>
        <w:r w:rsidR="00B24FEE" w:rsidRPr="00B24FEE">
          <w:rPr>
            <w:noProof/>
            <w:vertAlign w:val="superscript"/>
          </w:rPr>
          <w:t>137</w:t>
        </w:r>
        <w:r w:rsidR="00B24FEE">
          <w:fldChar w:fldCharType="end"/>
        </w:r>
      </w:hyperlink>
      <w:r w:rsidRPr="00591BFC">
        <w:t>, and estimated at £39,000 per year (£750 per week times 52 weeks) and £27,664 per year (£532 per week times 52 weeks), respectively.</w:t>
      </w:r>
    </w:p>
    <w:p w14:paraId="7B114E56" w14:textId="77777777" w:rsidR="00CF2E21" w:rsidRPr="00591BFC" w:rsidRDefault="00CF2E21" w:rsidP="00E86771">
      <w:pPr>
        <w:spacing w:line="360" w:lineRule="auto"/>
      </w:pPr>
    </w:p>
    <w:p w14:paraId="61F7322D" w14:textId="77777777" w:rsidR="00CF2E21" w:rsidRPr="00591BFC" w:rsidRDefault="00CF2E21" w:rsidP="00E86771">
      <w:pPr>
        <w:pStyle w:val="Heading4"/>
        <w:spacing w:line="360" w:lineRule="auto"/>
        <w:rPr>
          <w:rFonts w:ascii="Calibri" w:hAnsi="Calibri"/>
        </w:rPr>
      </w:pPr>
      <w:r w:rsidRPr="00591BFC">
        <w:rPr>
          <w:rFonts w:ascii="Calibri" w:hAnsi="Calibri"/>
        </w:rPr>
        <w:t>Quality of life in patients with hip fracture</w:t>
      </w:r>
    </w:p>
    <w:p w14:paraId="634CC8C7" w14:textId="77777777" w:rsidR="00CF2E21" w:rsidRPr="00591BFC" w:rsidRDefault="00CF2E21" w:rsidP="00E86771">
      <w:pPr>
        <w:spacing w:line="360" w:lineRule="auto"/>
      </w:pPr>
      <w:r w:rsidRPr="00591BFC">
        <w:t xml:space="preserve">A literature search was conducted to identify studies reporting preference-based quality of life for patients with hip fracture (e.g. EQ-5D, EQVAS, HUI2, HUI3, SF6D, standard gamble, time tradeoff, etc.). The following databases were searched for studies published between 1 Jan 1990 and 1 April 2014: Econlit, Embase, Global Health, Medline, NHS EED HTA, and Web of Science. Literature reviews and reference lists of the papers found in the literature review were also searched for additional studies. Data were extracted from each study using a pro-forma. </w:t>
      </w:r>
    </w:p>
    <w:p w14:paraId="13BF71BB" w14:textId="1BF5453F" w:rsidR="00CF2E21" w:rsidRPr="00591BFC" w:rsidRDefault="00CF2E21" w:rsidP="00E86771">
      <w:pPr>
        <w:spacing w:line="360" w:lineRule="auto"/>
      </w:pPr>
      <w:r w:rsidRPr="00591BFC">
        <w:t xml:space="preserve">We identified 64 studies reporting preference-based quality of life data in populations with hip fracture (see </w:t>
      </w:r>
      <w:r w:rsidR="000C3295" w:rsidRPr="00591BFC">
        <w:fldChar w:fldCharType="begin"/>
      </w:r>
      <w:r w:rsidR="000C3295" w:rsidRPr="00591BFC">
        <w:instrText xml:space="preserve"> REF _Ref423078221 \h </w:instrText>
      </w:r>
      <w:r w:rsidR="00E814C1" w:rsidRPr="00591BFC">
        <w:instrText xml:space="preserve"> \* MERGEFORMAT </w:instrText>
      </w:r>
      <w:r w:rsidR="000C3295" w:rsidRPr="00591BFC">
        <w:fldChar w:fldCharType="separate"/>
      </w:r>
      <w:r w:rsidR="003B70E3" w:rsidRPr="00591BFC">
        <w:t xml:space="preserve">Figure </w:t>
      </w:r>
      <w:r w:rsidR="003B70E3">
        <w:rPr>
          <w:noProof/>
        </w:rPr>
        <w:t>30</w:t>
      </w:r>
      <w:r w:rsidR="000C3295" w:rsidRPr="00591BFC">
        <w:fldChar w:fldCharType="end"/>
      </w:r>
      <w:r w:rsidRPr="00591BFC">
        <w:t xml:space="preserve">). We synthesised data from studies reporting absolute utility values at different follow up times using a meta-regression approach. These corresponded to 32 populations of hip fracture patients, 187 observations and 21,085 hip fracture patients. Each observation was weighted by the respective sample size divided by the variance of the mean utility value and synthesised using a linear mixed-effects model. The following predictors were examined: follow up time (months), follow up time to the power of 2, and the use of the EQ-5D instrument to elicit the utilities. The resulting model was used to predict the EQ-5D utility values of hip fracture patients at the following time points: onset of the fracture (0.44 at 0 months), 6 months (0.52) and 18 months (0.65) (see </w:t>
      </w:r>
      <w:r w:rsidR="000C3295" w:rsidRPr="00591BFC">
        <w:fldChar w:fldCharType="begin"/>
      </w:r>
      <w:r w:rsidR="000C3295" w:rsidRPr="00591BFC">
        <w:instrText xml:space="preserve"> REF _Ref423078160 \h </w:instrText>
      </w:r>
      <w:r w:rsidR="00E814C1" w:rsidRPr="00591BFC">
        <w:instrText xml:space="preserve"> \* MERGEFORMAT </w:instrText>
      </w:r>
      <w:r w:rsidR="000C3295" w:rsidRPr="00591BFC">
        <w:fldChar w:fldCharType="separate"/>
      </w:r>
      <w:r w:rsidR="003B70E3" w:rsidRPr="00591BFC">
        <w:t xml:space="preserve">Table </w:t>
      </w:r>
      <w:r w:rsidR="003B70E3">
        <w:rPr>
          <w:noProof/>
        </w:rPr>
        <w:t>35</w:t>
      </w:r>
      <w:r w:rsidR="000C3295" w:rsidRPr="00591BFC">
        <w:fldChar w:fldCharType="end"/>
      </w:r>
      <w:r w:rsidRPr="00591BFC">
        <w:t xml:space="preserve">). We assumed changes in the mean utility values between onset of hip fracture and 1 year and 1 year and 2 years post hip fracture to be straight line transitions and, hence, used the predict utility values at the midpoint time periods. We assumed the utility value for the hip fracture population to remain constant after the first year post hip fracture (i.e. 0.65). Finally, we assumed second hip fracture and major non-hip fractures requiring hospitalisation to be associated with the same utility values in the year of the event as those at the onset of hip fracture (0.44). The most common non-hip fractures requiring hospitalisation were pelvic fractures. </w:t>
      </w:r>
    </w:p>
    <w:p w14:paraId="327ADAF1" w14:textId="77777777" w:rsidR="00CF2E21" w:rsidRPr="00591BFC" w:rsidRDefault="00CF2E21" w:rsidP="00E86771">
      <w:pPr>
        <w:spacing w:line="360" w:lineRule="auto"/>
      </w:pPr>
    </w:p>
    <w:p w14:paraId="2E2E1862" w14:textId="77777777" w:rsidR="00CF2E21" w:rsidRPr="00591BFC" w:rsidRDefault="00CF2E21" w:rsidP="00E86771">
      <w:pPr>
        <w:spacing w:line="360" w:lineRule="auto"/>
      </w:pPr>
    </w:p>
    <w:p w14:paraId="396A305C" w14:textId="77777777" w:rsidR="00CF2E21" w:rsidRPr="00591BFC" w:rsidRDefault="00CF2E21" w:rsidP="00E86771">
      <w:pPr>
        <w:spacing w:line="360" w:lineRule="auto"/>
        <w:rPr>
          <w:b/>
        </w:rPr>
      </w:pPr>
      <w:r w:rsidRPr="00591BFC">
        <w:rPr>
          <w:b/>
        </w:rPr>
        <w:br w:type="page"/>
      </w:r>
    </w:p>
    <w:p w14:paraId="39CDFB36" w14:textId="77777777" w:rsidR="000C3295" w:rsidRPr="00591BFC" w:rsidRDefault="000C3295" w:rsidP="00E86771">
      <w:pPr>
        <w:pStyle w:val="Caption"/>
        <w:keepNext/>
        <w:spacing w:line="360" w:lineRule="auto"/>
      </w:pPr>
      <w:bookmarkStart w:id="439" w:name="_Ref423078160"/>
      <w:bookmarkStart w:id="440" w:name="_Toc308262430"/>
      <w:bookmarkStart w:id="441" w:name="_Toc311366696"/>
      <w:r w:rsidRPr="00591BFC">
        <w:t xml:space="preserve">Table </w:t>
      </w:r>
      <w:r w:rsidR="002149AD">
        <w:fldChar w:fldCharType="begin"/>
      </w:r>
      <w:r w:rsidR="002149AD">
        <w:instrText xml:space="preserve"> SEQ Table \* ARABIC </w:instrText>
      </w:r>
      <w:r w:rsidR="002149AD">
        <w:fldChar w:fldCharType="separate"/>
      </w:r>
      <w:r w:rsidR="00776C05">
        <w:rPr>
          <w:noProof/>
        </w:rPr>
        <w:t>35</w:t>
      </w:r>
      <w:r w:rsidR="002149AD">
        <w:rPr>
          <w:noProof/>
        </w:rPr>
        <w:fldChar w:fldCharType="end"/>
      </w:r>
      <w:bookmarkEnd w:id="439"/>
      <w:r w:rsidRPr="00591BFC">
        <w:t xml:space="preserve"> Utility values for hip fracture patients</w:t>
      </w:r>
      <w:bookmarkEnd w:id="440"/>
      <w:bookmarkEnd w:id="441"/>
    </w:p>
    <w:tbl>
      <w:tblPr>
        <w:tblW w:w="5000" w:type="pct"/>
        <w:tblLook w:val="04A0" w:firstRow="1" w:lastRow="0" w:firstColumn="1" w:lastColumn="0" w:noHBand="0" w:noVBand="1"/>
      </w:tblPr>
      <w:tblGrid>
        <w:gridCol w:w="4321"/>
        <w:gridCol w:w="3694"/>
        <w:gridCol w:w="1221"/>
      </w:tblGrid>
      <w:tr w:rsidR="00CF2E21" w:rsidRPr="00591BFC" w14:paraId="3D83EFF3" w14:textId="77777777" w:rsidTr="00DB4F65">
        <w:tc>
          <w:tcPr>
            <w:tcW w:w="2339" w:type="pct"/>
            <w:shd w:val="clear" w:color="auto" w:fill="auto"/>
          </w:tcPr>
          <w:p w14:paraId="2E2B0C87" w14:textId="77777777" w:rsidR="00CF2E21" w:rsidRPr="00591BFC" w:rsidRDefault="00CF2E21" w:rsidP="00E86771">
            <w:pPr>
              <w:spacing w:line="360" w:lineRule="auto"/>
            </w:pPr>
            <w:r w:rsidRPr="00591BFC">
              <w:t>Linear mixed-effects model</w:t>
            </w:r>
          </w:p>
        </w:tc>
        <w:tc>
          <w:tcPr>
            <w:tcW w:w="2000" w:type="pct"/>
            <w:shd w:val="clear" w:color="auto" w:fill="auto"/>
          </w:tcPr>
          <w:p w14:paraId="448C5C94" w14:textId="77777777" w:rsidR="00CF2E21" w:rsidRPr="00591BFC" w:rsidRDefault="00CF2E21" w:rsidP="00E86771">
            <w:pPr>
              <w:spacing w:line="360" w:lineRule="auto"/>
              <w:jc w:val="right"/>
            </w:pPr>
          </w:p>
        </w:tc>
        <w:tc>
          <w:tcPr>
            <w:tcW w:w="661" w:type="pct"/>
            <w:shd w:val="clear" w:color="auto" w:fill="auto"/>
          </w:tcPr>
          <w:p w14:paraId="57C862D2" w14:textId="77777777" w:rsidR="00CF2E21" w:rsidRPr="00591BFC" w:rsidRDefault="00CF2E21" w:rsidP="00E86771">
            <w:pPr>
              <w:spacing w:line="360" w:lineRule="auto"/>
              <w:jc w:val="right"/>
            </w:pPr>
          </w:p>
        </w:tc>
      </w:tr>
      <w:tr w:rsidR="00CF2E21" w:rsidRPr="00591BFC" w14:paraId="6BB44475" w14:textId="77777777" w:rsidTr="00DB4F65">
        <w:tc>
          <w:tcPr>
            <w:tcW w:w="2339" w:type="pct"/>
            <w:shd w:val="clear" w:color="auto" w:fill="auto"/>
          </w:tcPr>
          <w:p w14:paraId="09991911" w14:textId="77777777" w:rsidR="00CF2E21" w:rsidRPr="00591BFC" w:rsidRDefault="00CF2E21" w:rsidP="00E86771">
            <w:pPr>
              <w:spacing w:line="360" w:lineRule="auto"/>
            </w:pPr>
            <w:r w:rsidRPr="00591BFC">
              <w:t>Number of observations</w:t>
            </w:r>
          </w:p>
        </w:tc>
        <w:tc>
          <w:tcPr>
            <w:tcW w:w="2000" w:type="pct"/>
            <w:shd w:val="clear" w:color="auto" w:fill="auto"/>
          </w:tcPr>
          <w:p w14:paraId="51636835" w14:textId="77777777" w:rsidR="00CF2E21" w:rsidRPr="00591BFC" w:rsidRDefault="00CF2E21" w:rsidP="00E86771">
            <w:pPr>
              <w:spacing w:line="360" w:lineRule="auto"/>
              <w:jc w:val="right"/>
            </w:pPr>
            <w:r w:rsidRPr="00591BFC">
              <w:t>187</w:t>
            </w:r>
          </w:p>
        </w:tc>
        <w:tc>
          <w:tcPr>
            <w:tcW w:w="661" w:type="pct"/>
            <w:shd w:val="clear" w:color="auto" w:fill="auto"/>
          </w:tcPr>
          <w:p w14:paraId="6DA19A95" w14:textId="77777777" w:rsidR="00CF2E21" w:rsidRPr="00591BFC" w:rsidRDefault="00CF2E21" w:rsidP="00E86771">
            <w:pPr>
              <w:spacing w:line="360" w:lineRule="auto"/>
              <w:jc w:val="right"/>
            </w:pPr>
          </w:p>
        </w:tc>
      </w:tr>
      <w:tr w:rsidR="00CF2E21" w:rsidRPr="00591BFC" w14:paraId="531ACF09" w14:textId="77777777" w:rsidTr="00DB4F65">
        <w:tc>
          <w:tcPr>
            <w:tcW w:w="2339" w:type="pct"/>
            <w:shd w:val="clear" w:color="auto" w:fill="auto"/>
          </w:tcPr>
          <w:p w14:paraId="7DB31FEE" w14:textId="77777777" w:rsidR="00CF2E21" w:rsidRPr="00591BFC" w:rsidRDefault="00CF2E21" w:rsidP="00E86771">
            <w:pPr>
              <w:spacing w:line="360" w:lineRule="auto"/>
            </w:pPr>
            <w:r w:rsidRPr="00591BFC">
              <w:t>Number of groups</w:t>
            </w:r>
          </w:p>
        </w:tc>
        <w:tc>
          <w:tcPr>
            <w:tcW w:w="2000" w:type="pct"/>
            <w:shd w:val="clear" w:color="auto" w:fill="auto"/>
          </w:tcPr>
          <w:p w14:paraId="5BDCEF29" w14:textId="77777777" w:rsidR="00CF2E21" w:rsidRPr="00591BFC" w:rsidRDefault="00CF2E21" w:rsidP="00E86771">
            <w:pPr>
              <w:spacing w:line="360" w:lineRule="auto"/>
              <w:jc w:val="right"/>
            </w:pPr>
            <w:r w:rsidRPr="00591BFC">
              <w:t>32</w:t>
            </w:r>
          </w:p>
        </w:tc>
        <w:tc>
          <w:tcPr>
            <w:tcW w:w="661" w:type="pct"/>
            <w:shd w:val="clear" w:color="auto" w:fill="auto"/>
          </w:tcPr>
          <w:p w14:paraId="45CFE1EB" w14:textId="77777777" w:rsidR="00CF2E21" w:rsidRPr="00591BFC" w:rsidRDefault="00CF2E21" w:rsidP="00E86771">
            <w:pPr>
              <w:spacing w:line="360" w:lineRule="auto"/>
              <w:jc w:val="right"/>
            </w:pPr>
          </w:p>
        </w:tc>
      </w:tr>
      <w:tr w:rsidR="00CF2E21" w:rsidRPr="00591BFC" w14:paraId="7CD7A3D7" w14:textId="77777777" w:rsidTr="00DB4F65">
        <w:tc>
          <w:tcPr>
            <w:tcW w:w="2339" w:type="pct"/>
            <w:shd w:val="clear" w:color="auto" w:fill="auto"/>
          </w:tcPr>
          <w:p w14:paraId="46855DDE" w14:textId="77777777" w:rsidR="00CF2E21" w:rsidRPr="00591BFC" w:rsidRDefault="00CF2E21" w:rsidP="00E86771">
            <w:pPr>
              <w:spacing w:line="360" w:lineRule="auto"/>
            </w:pPr>
            <w:r w:rsidRPr="00591BFC">
              <w:t>Parameters</w:t>
            </w:r>
          </w:p>
        </w:tc>
        <w:tc>
          <w:tcPr>
            <w:tcW w:w="2000" w:type="pct"/>
            <w:shd w:val="clear" w:color="auto" w:fill="auto"/>
          </w:tcPr>
          <w:p w14:paraId="056EE013" w14:textId="77777777" w:rsidR="00CF2E21" w:rsidRPr="00591BFC" w:rsidRDefault="00CF2E21" w:rsidP="00E86771">
            <w:pPr>
              <w:spacing w:line="360" w:lineRule="auto"/>
              <w:jc w:val="right"/>
            </w:pPr>
            <w:r w:rsidRPr="00591BFC">
              <w:t>Mean</w:t>
            </w:r>
          </w:p>
        </w:tc>
        <w:tc>
          <w:tcPr>
            <w:tcW w:w="661" w:type="pct"/>
            <w:shd w:val="clear" w:color="auto" w:fill="auto"/>
          </w:tcPr>
          <w:p w14:paraId="0996E4E4" w14:textId="77777777" w:rsidR="00CF2E21" w:rsidRPr="00591BFC" w:rsidRDefault="00CF2E21" w:rsidP="00E86771">
            <w:pPr>
              <w:spacing w:line="360" w:lineRule="auto"/>
              <w:jc w:val="right"/>
            </w:pPr>
            <w:r w:rsidRPr="00591BFC">
              <w:t>SE</w:t>
            </w:r>
          </w:p>
        </w:tc>
      </w:tr>
      <w:tr w:rsidR="00CF2E21" w:rsidRPr="00591BFC" w14:paraId="04F12DED" w14:textId="77777777" w:rsidTr="00DB4F65">
        <w:tc>
          <w:tcPr>
            <w:tcW w:w="2339" w:type="pct"/>
            <w:shd w:val="clear" w:color="auto" w:fill="auto"/>
          </w:tcPr>
          <w:p w14:paraId="77B564F7" w14:textId="77777777" w:rsidR="00CF2E21" w:rsidRPr="00591BFC" w:rsidRDefault="00CF2E21" w:rsidP="00E86771">
            <w:pPr>
              <w:spacing w:line="360" w:lineRule="auto"/>
            </w:pPr>
            <w:r w:rsidRPr="00591BFC">
              <w:t>Follow up time (months)</w:t>
            </w:r>
          </w:p>
        </w:tc>
        <w:tc>
          <w:tcPr>
            <w:tcW w:w="2000" w:type="pct"/>
            <w:shd w:val="clear" w:color="auto" w:fill="auto"/>
          </w:tcPr>
          <w:p w14:paraId="04EF4D4C" w14:textId="77777777" w:rsidR="00CF2E21" w:rsidRPr="00591BFC" w:rsidRDefault="00CF2E21" w:rsidP="00E86771">
            <w:pPr>
              <w:spacing w:line="360" w:lineRule="auto"/>
              <w:jc w:val="right"/>
            </w:pPr>
            <w:r w:rsidRPr="00591BFC">
              <w:t>0.0180</w:t>
            </w:r>
          </w:p>
        </w:tc>
        <w:tc>
          <w:tcPr>
            <w:tcW w:w="661" w:type="pct"/>
            <w:shd w:val="clear" w:color="auto" w:fill="auto"/>
          </w:tcPr>
          <w:p w14:paraId="6B750FEF" w14:textId="77777777" w:rsidR="00CF2E21" w:rsidRPr="00591BFC" w:rsidRDefault="00CF2E21" w:rsidP="00E86771">
            <w:pPr>
              <w:spacing w:line="360" w:lineRule="auto"/>
              <w:jc w:val="right"/>
            </w:pPr>
            <w:r w:rsidRPr="00591BFC">
              <w:t>0.0021</w:t>
            </w:r>
          </w:p>
        </w:tc>
      </w:tr>
      <w:tr w:rsidR="00CF2E21" w:rsidRPr="00591BFC" w14:paraId="44B37B8F" w14:textId="77777777" w:rsidTr="00DB4F65">
        <w:tc>
          <w:tcPr>
            <w:tcW w:w="2339" w:type="pct"/>
            <w:shd w:val="clear" w:color="auto" w:fill="auto"/>
          </w:tcPr>
          <w:p w14:paraId="337B985E" w14:textId="77777777" w:rsidR="00CF2E21" w:rsidRPr="00591BFC" w:rsidRDefault="00CF2E21" w:rsidP="00E86771">
            <w:pPr>
              <w:spacing w:line="360" w:lineRule="auto"/>
            </w:pPr>
            <w:r w:rsidRPr="00591BFC">
              <w:t>Follow up time (months^2)</w:t>
            </w:r>
          </w:p>
        </w:tc>
        <w:tc>
          <w:tcPr>
            <w:tcW w:w="2000" w:type="pct"/>
            <w:shd w:val="clear" w:color="auto" w:fill="auto"/>
          </w:tcPr>
          <w:p w14:paraId="27911BA0" w14:textId="77777777" w:rsidR="00CF2E21" w:rsidRPr="00591BFC" w:rsidRDefault="00CF2E21" w:rsidP="00E86771">
            <w:pPr>
              <w:spacing w:line="360" w:lineRule="auto"/>
              <w:jc w:val="right"/>
            </w:pPr>
            <w:r w:rsidRPr="00591BFC">
              <w:t>-0.0003</w:t>
            </w:r>
          </w:p>
        </w:tc>
        <w:tc>
          <w:tcPr>
            <w:tcW w:w="661" w:type="pct"/>
            <w:shd w:val="clear" w:color="auto" w:fill="auto"/>
          </w:tcPr>
          <w:p w14:paraId="04DD9BED" w14:textId="77777777" w:rsidR="00CF2E21" w:rsidRPr="00591BFC" w:rsidRDefault="00CF2E21" w:rsidP="00E86771">
            <w:pPr>
              <w:spacing w:line="360" w:lineRule="auto"/>
              <w:jc w:val="right"/>
            </w:pPr>
            <w:r w:rsidRPr="00591BFC">
              <w:t>0.00006</w:t>
            </w:r>
          </w:p>
        </w:tc>
      </w:tr>
      <w:tr w:rsidR="00CF2E21" w:rsidRPr="00591BFC" w14:paraId="078EA679" w14:textId="77777777" w:rsidTr="00DB4F65">
        <w:tc>
          <w:tcPr>
            <w:tcW w:w="2339" w:type="pct"/>
            <w:shd w:val="clear" w:color="auto" w:fill="auto"/>
          </w:tcPr>
          <w:p w14:paraId="3497FA16" w14:textId="77777777" w:rsidR="00CF2E21" w:rsidRPr="00591BFC" w:rsidRDefault="00CF2E21" w:rsidP="00E86771">
            <w:pPr>
              <w:spacing w:line="360" w:lineRule="auto"/>
            </w:pPr>
            <w:r w:rsidRPr="00591BFC">
              <w:t>EQ-5D</w:t>
            </w:r>
          </w:p>
        </w:tc>
        <w:tc>
          <w:tcPr>
            <w:tcW w:w="2000" w:type="pct"/>
            <w:shd w:val="clear" w:color="auto" w:fill="auto"/>
          </w:tcPr>
          <w:p w14:paraId="4561EF5D" w14:textId="77777777" w:rsidR="00CF2E21" w:rsidRPr="00591BFC" w:rsidRDefault="00CF2E21" w:rsidP="00E86771">
            <w:pPr>
              <w:spacing w:line="360" w:lineRule="auto"/>
              <w:jc w:val="right"/>
            </w:pPr>
            <w:r w:rsidRPr="00591BFC">
              <w:t>-0.1912</w:t>
            </w:r>
          </w:p>
        </w:tc>
        <w:tc>
          <w:tcPr>
            <w:tcW w:w="661" w:type="pct"/>
            <w:shd w:val="clear" w:color="auto" w:fill="auto"/>
          </w:tcPr>
          <w:p w14:paraId="5928A6AA" w14:textId="77777777" w:rsidR="00CF2E21" w:rsidRPr="00591BFC" w:rsidRDefault="00CF2E21" w:rsidP="00E86771">
            <w:pPr>
              <w:spacing w:line="360" w:lineRule="auto"/>
              <w:jc w:val="right"/>
            </w:pPr>
            <w:r w:rsidRPr="00591BFC">
              <w:t>0.0881</w:t>
            </w:r>
          </w:p>
        </w:tc>
      </w:tr>
      <w:tr w:rsidR="00CF2E21" w:rsidRPr="00591BFC" w14:paraId="35417A98" w14:textId="77777777" w:rsidTr="00DB4F65">
        <w:tc>
          <w:tcPr>
            <w:tcW w:w="2339" w:type="pct"/>
            <w:shd w:val="clear" w:color="auto" w:fill="auto"/>
          </w:tcPr>
          <w:p w14:paraId="069513DA" w14:textId="77777777" w:rsidR="00CF2E21" w:rsidRPr="00591BFC" w:rsidRDefault="00CF2E21" w:rsidP="00E86771">
            <w:pPr>
              <w:spacing w:line="360" w:lineRule="auto"/>
            </w:pPr>
            <w:r w:rsidRPr="00591BFC">
              <w:t>Constant</w:t>
            </w:r>
          </w:p>
        </w:tc>
        <w:tc>
          <w:tcPr>
            <w:tcW w:w="2000" w:type="pct"/>
            <w:shd w:val="clear" w:color="auto" w:fill="auto"/>
          </w:tcPr>
          <w:p w14:paraId="202745E6" w14:textId="77777777" w:rsidR="00CF2E21" w:rsidRPr="00591BFC" w:rsidRDefault="00CF2E21" w:rsidP="00E86771">
            <w:pPr>
              <w:spacing w:line="360" w:lineRule="auto"/>
              <w:jc w:val="right"/>
            </w:pPr>
            <w:r w:rsidRPr="00591BFC">
              <w:t>0.6187</w:t>
            </w:r>
          </w:p>
        </w:tc>
        <w:tc>
          <w:tcPr>
            <w:tcW w:w="661" w:type="pct"/>
            <w:shd w:val="clear" w:color="auto" w:fill="auto"/>
          </w:tcPr>
          <w:p w14:paraId="1DB148C5" w14:textId="77777777" w:rsidR="00CF2E21" w:rsidRPr="00591BFC" w:rsidRDefault="00CF2E21" w:rsidP="00E86771">
            <w:pPr>
              <w:spacing w:line="360" w:lineRule="auto"/>
              <w:jc w:val="right"/>
            </w:pPr>
            <w:r w:rsidRPr="00591BFC">
              <w:t>0.0776</w:t>
            </w:r>
          </w:p>
        </w:tc>
      </w:tr>
      <w:tr w:rsidR="00CF2E21" w:rsidRPr="00591BFC" w14:paraId="6BDED694" w14:textId="77777777" w:rsidTr="00DB4F65">
        <w:tc>
          <w:tcPr>
            <w:tcW w:w="2339" w:type="pct"/>
            <w:shd w:val="clear" w:color="auto" w:fill="auto"/>
          </w:tcPr>
          <w:p w14:paraId="2C08E892" w14:textId="77777777" w:rsidR="00CF2E21" w:rsidRPr="00591BFC" w:rsidRDefault="00CF2E21" w:rsidP="00E86771">
            <w:pPr>
              <w:spacing w:line="360" w:lineRule="auto"/>
            </w:pPr>
            <w:r w:rsidRPr="00591BFC">
              <w:t>Random effects (SD)</w:t>
            </w:r>
          </w:p>
        </w:tc>
        <w:tc>
          <w:tcPr>
            <w:tcW w:w="2000" w:type="pct"/>
            <w:shd w:val="clear" w:color="auto" w:fill="auto"/>
          </w:tcPr>
          <w:p w14:paraId="6CCEEA39" w14:textId="77777777" w:rsidR="00CF2E21" w:rsidRPr="00591BFC" w:rsidRDefault="00CF2E21" w:rsidP="00E86771">
            <w:pPr>
              <w:spacing w:line="360" w:lineRule="auto"/>
              <w:jc w:val="right"/>
            </w:pPr>
            <w:r w:rsidRPr="00591BFC">
              <w:t>0.0000</w:t>
            </w:r>
          </w:p>
        </w:tc>
        <w:tc>
          <w:tcPr>
            <w:tcW w:w="661" w:type="pct"/>
            <w:shd w:val="clear" w:color="auto" w:fill="auto"/>
          </w:tcPr>
          <w:p w14:paraId="58FC8DF5" w14:textId="77777777" w:rsidR="00CF2E21" w:rsidRPr="00591BFC" w:rsidRDefault="00CF2E21" w:rsidP="00E86771">
            <w:pPr>
              <w:spacing w:line="360" w:lineRule="auto"/>
              <w:jc w:val="right"/>
            </w:pPr>
          </w:p>
        </w:tc>
      </w:tr>
      <w:tr w:rsidR="00CF2E21" w:rsidRPr="00591BFC" w14:paraId="223C04C6" w14:textId="77777777" w:rsidTr="00DB4F65">
        <w:tc>
          <w:tcPr>
            <w:tcW w:w="2339" w:type="pct"/>
            <w:shd w:val="clear" w:color="auto" w:fill="auto"/>
          </w:tcPr>
          <w:p w14:paraId="5EDADF27" w14:textId="77777777" w:rsidR="00CF2E21" w:rsidRPr="00591BFC" w:rsidRDefault="00CF2E21" w:rsidP="00E86771">
            <w:pPr>
              <w:spacing w:line="360" w:lineRule="auto"/>
            </w:pPr>
            <w:r w:rsidRPr="00591BFC">
              <w:t>Prob&gt;X</w:t>
            </w:r>
            <w:r w:rsidRPr="00591BFC">
              <w:rPr>
                <w:sz w:val="20"/>
                <w:vertAlign w:val="superscript"/>
              </w:rPr>
              <w:t>2</w:t>
            </w:r>
          </w:p>
        </w:tc>
        <w:tc>
          <w:tcPr>
            <w:tcW w:w="2000" w:type="pct"/>
            <w:shd w:val="clear" w:color="auto" w:fill="auto"/>
          </w:tcPr>
          <w:p w14:paraId="0DAFD0E2" w14:textId="77777777" w:rsidR="00CF2E21" w:rsidRPr="00591BFC" w:rsidRDefault="00CF2E21" w:rsidP="00E86771">
            <w:pPr>
              <w:spacing w:line="360" w:lineRule="auto"/>
              <w:jc w:val="right"/>
            </w:pPr>
            <w:r w:rsidRPr="00591BFC">
              <w:t>0.0000</w:t>
            </w:r>
          </w:p>
        </w:tc>
        <w:tc>
          <w:tcPr>
            <w:tcW w:w="661" w:type="pct"/>
            <w:shd w:val="clear" w:color="auto" w:fill="auto"/>
          </w:tcPr>
          <w:p w14:paraId="2CED2F4A" w14:textId="77777777" w:rsidR="00CF2E21" w:rsidRPr="00591BFC" w:rsidRDefault="00CF2E21" w:rsidP="00E86771">
            <w:pPr>
              <w:spacing w:line="360" w:lineRule="auto"/>
              <w:jc w:val="right"/>
            </w:pPr>
          </w:p>
        </w:tc>
      </w:tr>
      <w:tr w:rsidR="00CF2E21" w:rsidRPr="00591BFC" w14:paraId="41416ED8" w14:textId="77777777" w:rsidTr="00DB4F65">
        <w:tc>
          <w:tcPr>
            <w:tcW w:w="2339" w:type="pct"/>
            <w:shd w:val="clear" w:color="auto" w:fill="auto"/>
          </w:tcPr>
          <w:p w14:paraId="738FE011" w14:textId="77777777" w:rsidR="00CF2E21" w:rsidRPr="00591BFC" w:rsidRDefault="00CF2E21" w:rsidP="00E86771">
            <w:pPr>
              <w:spacing w:line="360" w:lineRule="auto"/>
            </w:pPr>
            <w:r w:rsidRPr="00591BFC">
              <w:t>Utility predictions</w:t>
            </w:r>
          </w:p>
        </w:tc>
        <w:tc>
          <w:tcPr>
            <w:tcW w:w="2000" w:type="pct"/>
            <w:shd w:val="clear" w:color="auto" w:fill="auto"/>
          </w:tcPr>
          <w:p w14:paraId="7193D898" w14:textId="77777777" w:rsidR="00CF2E21" w:rsidRPr="00591BFC" w:rsidRDefault="00CF2E21" w:rsidP="00E86771">
            <w:pPr>
              <w:spacing w:line="360" w:lineRule="auto"/>
            </w:pPr>
            <w:r w:rsidRPr="00591BFC">
              <w:t>Mean</w:t>
            </w:r>
          </w:p>
        </w:tc>
        <w:tc>
          <w:tcPr>
            <w:tcW w:w="661" w:type="pct"/>
            <w:shd w:val="clear" w:color="auto" w:fill="auto"/>
          </w:tcPr>
          <w:p w14:paraId="4FE93920" w14:textId="77777777" w:rsidR="00CF2E21" w:rsidRPr="00591BFC" w:rsidRDefault="00CF2E21" w:rsidP="00E86771">
            <w:pPr>
              <w:spacing w:line="360" w:lineRule="auto"/>
            </w:pPr>
            <w:r w:rsidRPr="00591BFC">
              <w:t>95%CI</w:t>
            </w:r>
          </w:p>
        </w:tc>
      </w:tr>
      <w:tr w:rsidR="00CF2E21" w:rsidRPr="00591BFC" w14:paraId="6F59DF37" w14:textId="77777777" w:rsidTr="00DB4F65">
        <w:tc>
          <w:tcPr>
            <w:tcW w:w="2339" w:type="pct"/>
            <w:shd w:val="clear" w:color="auto" w:fill="auto"/>
          </w:tcPr>
          <w:p w14:paraId="064635BB" w14:textId="77777777" w:rsidR="00CF2E21" w:rsidRPr="00591BFC" w:rsidRDefault="00CF2E21" w:rsidP="00E86771">
            <w:pPr>
              <w:spacing w:line="360" w:lineRule="auto"/>
            </w:pPr>
            <w:r w:rsidRPr="00591BFC">
              <w:t>Utility at onset of hip fracture</w:t>
            </w:r>
          </w:p>
        </w:tc>
        <w:tc>
          <w:tcPr>
            <w:tcW w:w="2000" w:type="pct"/>
            <w:shd w:val="clear" w:color="auto" w:fill="auto"/>
          </w:tcPr>
          <w:p w14:paraId="4E87F191" w14:textId="77777777" w:rsidR="00CF2E21" w:rsidRPr="00591BFC" w:rsidRDefault="00CF2E21" w:rsidP="00E86771">
            <w:pPr>
              <w:spacing w:line="360" w:lineRule="auto"/>
              <w:jc w:val="right"/>
            </w:pPr>
            <w:r w:rsidRPr="00591BFC">
              <w:t>0.44</w:t>
            </w:r>
          </w:p>
        </w:tc>
        <w:tc>
          <w:tcPr>
            <w:tcW w:w="661" w:type="pct"/>
            <w:shd w:val="clear" w:color="auto" w:fill="auto"/>
          </w:tcPr>
          <w:p w14:paraId="504B2F13" w14:textId="77777777" w:rsidR="00CF2E21" w:rsidRPr="00591BFC" w:rsidRDefault="00CF2E21" w:rsidP="00E86771">
            <w:pPr>
              <w:spacing w:line="360" w:lineRule="auto"/>
              <w:jc w:val="right"/>
            </w:pPr>
            <w:r w:rsidRPr="00591BFC">
              <w:rPr>
                <w:color w:val="000000"/>
              </w:rPr>
              <w:t>0.22-0.66</w:t>
            </w:r>
          </w:p>
        </w:tc>
      </w:tr>
      <w:tr w:rsidR="00CF2E21" w:rsidRPr="00591BFC" w14:paraId="38190E0E" w14:textId="77777777" w:rsidTr="00DB4F65">
        <w:tc>
          <w:tcPr>
            <w:tcW w:w="2339" w:type="pct"/>
            <w:shd w:val="clear" w:color="auto" w:fill="auto"/>
          </w:tcPr>
          <w:p w14:paraId="65D52FB9" w14:textId="77777777" w:rsidR="00CF2E21" w:rsidRPr="00591BFC" w:rsidRDefault="00CF2E21" w:rsidP="00E86771">
            <w:pPr>
              <w:spacing w:line="360" w:lineRule="auto"/>
            </w:pPr>
            <w:r w:rsidRPr="00591BFC">
              <w:t>Utility at 6 months</w:t>
            </w:r>
          </w:p>
        </w:tc>
        <w:tc>
          <w:tcPr>
            <w:tcW w:w="2000" w:type="pct"/>
            <w:shd w:val="clear" w:color="auto" w:fill="auto"/>
          </w:tcPr>
          <w:p w14:paraId="3E94B807" w14:textId="77777777" w:rsidR="00CF2E21" w:rsidRPr="00591BFC" w:rsidRDefault="00CF2E21" w:rsidP="00E86771">
            <w:pPr>
              <w:spacing w:line="360" w:lineRule="auto"/>
              <w:jc w:val="right"/>
            </w:pPr>
            <w:r w:rsidRPr="00591BFC">
              <w:t>0.52</w:t>
            </w:r>
          </w:p>
        </w:tc>
        <w:tc>
          <w:tcPr>
            <w:tcW w:w="661" w:type="pct"/>
            <w:shd w:val="clear" w:color="auto" w:fill="auto"/>
          </w:tcPr>
          <w:p w14:paraId="6A64CCFE" w14:textId="77777777" w:rsidR="00CF2E21" w:rsidRPr="00591BFC" w:rsidRDefault="00CF2E21" w:rsidP="00E86771">
            <w:pPr>
              <w:spacing w:line="360" w:lineRule="auto"/>
              <w:jc w:val="right"/>
            </w:pPr>
            <w:r w:rsidRPr="00591BFC">
              <w:rPr>
                <w:color w:val="000000"/>
              </w:rPr>
              <w:t>0.30-0.74</w:t>
            </w:r>
          </w:p>
        </w:tc>
      </w:tr>
      <w:tr w:rsidR="00CF2E21" w:rsidRPr="00591BFC" w14:paraId="46F1247D" w14:textId="77777777" w:rsidTr="00DB4F65">
        <w:tc>
          <w:tcPr>
            <w:tcW w:w="2339" w:type="pct"/>
            <w:shd w:val="clear" w:color="auto" w:fill="auto"/>
          </w:tcPr>
          <w:p w14:paraId="343D0A80" w14:textId="77777777" w:rsidR="00CF2E21" w:rsidRPr="00591BFC" w:rsidRDefault="00CF2E21" w:rsidP="00E86771">
            <w:pPr>
              <w:spacing w:line="360" w:lineRule="auto"/>
            </w:pPr>
            <w:r w:rsidRPr="00591BFC">
              <w:t>Utility at 18 months</w:t>
            </w:r>
          </w:p>
        </w:tc>
        <w:tc>
          <w:tcPr>
            <w:tcW w:w="2000" w:type="pct"/>
            <w:shd w:val="clear" w:color="auto" w:fill="auto"/>
          </w:tcPr>
          <w:p w14:paraId="24C89B0E" w14:textId="77777777" w:rsidR="00CF2E21" w:rsidRPr="00591BFC" w:rsidRDefault="00CF2E21" w:rsidP="00E86771">
            <w:pPr>
              <w:spacing w:line="360" w:lineRule="auto"/>
              <w:jc w:val="right"/>
            </w:pPr>
            <w:r w:rsidRPr="00591BFC">
              <w:t>0.65</w:t>
            </w:r>
          </w:p>
        </w:tc>
        <w:tc>
          <w:tcPr>
            <w:tcW w:w="661" w:type="pct"/>
            <w:shd w:val="clear" w:color="auto" w:fill="auto"/>
          </w:tcPr>
          <w:p w14:paraId="3EF137A9" w14:textId="77777777" w:rsidR="00CF2E21" w:rsidRPr="00591BFC" w:rsidRDefault="00CF2E21" w:rsidP="00E86771">
            <w:pPr>
              <w:spacing w:line="360" w:lineRule="auto"/>
              <w:jc w:val="right"/>
            </w:pPr>
            <w:r w:rsidRPr="00591BFC">
              <w:rPr>
                <w:color w:val="000000"/>
              </w:rPr>
              <w:t>0.40-0.89</w:t>
            </w:r>
          </w:p>
        </w:tc>
      </w:tr>
    </w:tbl>
    <w:p w14:paraId="2C119DF0" w14:textId="77777777" w:rsidR="000C3295" w:rsidRPr="00591BFC" w:rsidRDefault="002149AD" w:rsidP="00E86771">
      <w:pPr>
        <w:keepNext/>
        <w:spacing w:line="360" w:lineRule="auto"/>
      </w:pPr>
      <w:r>
        <w:rPr>
          <w:noProof/>
          <w:lang w:eastAsia="en-GB"/>
        </w:rPr>
        <w:lastRenderedPageBreak/>
        <w:pict w14:anchorId="33003C55">
          <v:shape id="Picture 8" o:spid="_x0000_i1056" type="#_x0000_t75" style="width:359.5pt;height:269.25pt;visibility:visible">
            <v:imagedata r:id="rId46" o:title=""/>
          </v:shape>
        </w:pict>
      </w:r>
    </w:p>
    <w:p w14:paraId="3AE4C173" w14:textId="77777777" w:rsidR="00CF2E21" w:rsidRPr="00591BFC" w:rsidRDefault="000C3295" w:rsidP="00E86771">
      <w:pPr>
        <w:pStyle w:val="Caption"/>
        <w:spacing w:line="360" w:lineRule="auto"/>
      </w:pPr>
      <w:bookmarkStart w:id="442" w:name="_Ref423078221"/>
      <w:bookmarkStart w:id="443" w:name="_Toc424650341"/>
      <w:bookmarkStart w:id="444" w:name="_Toc311366726"/>
      <w:r w:rsidRPr="00591BFC">
        <w:t xml:space="preserve">Figure </w:t>
      </w:r>
      <w:r w:rsidR="002149AD">
        <w:fldChar w:fldCharType="begin"/>
      </w:r>
      <w:r w:rsidR="002149AD">
        <w:instrText xml:space="preserve"> SEQ Figure \* ARABIC </w:instrText>
      </w:r>
      <w:r w:rsidR="002149AD">
        <w:fldChar w:fldCharType="separate"/>
      </w:r>
      <w:r w:rsidR="003B70E3">
        <w:rPr>
          <w:noProof/>
        </w:rPr>
        <w:t>30</w:t>
      </w:r>
      <w:r w:rsidR="002149AD">
        <w:rPr>
          <w:noProof/>
        </w:rPr>
        <w:fldChar w:fldCharType="end"/>
      </w:r>
      <w:bookmarkEnd w:id="442"/>
      <w:r w:rsidRPr="00591BFC">
        <w:t xml:space="preserve"> PRISMA diagram for literature review of preference-based quality of life studies in hip fracture populations</w:t>
      </w:r>
      <w:bookmarkEnd w:id="443"/>
      <w:bookmarkEnd w:id="444"/>
    </w:p>
    <w:p w14:paraId="74DE3AA1" w14:textId="77777777" w:rsidR="00CF2E21" w:rsidRPr="00591BFC" w:rsidRDefault="00CF2E21" w:rsidP="00E86771">
      <w:pPr>
        <w:pStyle w:val="Heading3"/>
        <w:spacing w:line="360" w:lineRule="auto"/>
        <w:rPr>
          <w:rFonts w:ascii="Calibri" w:hAnsi="Calibri"/>
          <w:lang w:val="en-GB"/>
        </w:rPr>
      </w:pPr>
      <w:bookmarkStart w:id="445" w:name="_Toc308300813"/>
      <w:bookmarkStart w:id="446" w:name="_Toc311366620"/>
      <w:r w:rsidRPr="00591BFC">
        <w:rPr>
          <w:rFonts w:ascii="Calibri" w:hAnsi="Calibri"/>
          <w:lang w:val="en-GB"/>
        </w:rPr>
        <w:t>Analysis</w:t>
      </w:r>
      <w:bookmarkEnd w:id="445"/>
      <w:bookmarkEnd w:id="446"/>
    </w:p>
    <w:p w14:paraId="0C7C3B3C" w14:textId="443ED75D" w:rsidR="00CF2E21" w:rsidRPr="00591BFC" w:rsidRDefault="00CF2E21" w:rsidP="00E86771">
      <w:pPr>
        <w:spacing w:line="360" w:lineRule="auto"/>
      </w:pPr>
      <w:r w:rsidRPr="00591BFC">
        <w:t>A model of care was deemed to be cost-effective if the incremental cost-effectiveness ratio (ICER) was below £30,000 per QALY gained. The ICER was estimated by dividing the difference in mean costs (ΔC) by the difference in mean effects (ΔE) (life years and QALYs) for a given model of care compared to its next best alternative. As more than two models of care were compared, to facilitate the identification of the most cost-effective option we used the net benefit framework</w:t>
      </w:r>
      <w:hyperlink w:anchor="_ENREF_153" w:tooltip="Claxton, 1996 #1138" w:history="1">
        <w:r w:rsidR="00B24FEE">
          <w:fldChar w:fldCharType="begin"/>
        </w:r>
        <w:r w:rsidR="00B24FEE">
          <w:instrText xml:space="preserve"> ADDIN EN.CITE &lt;EndNote&gt;&lt;Cite&gt;&lt;Author&gt;Claxton&lt;/Author&gt;&lt;Year&gt;1996&lt;/Year&gt;&lt;RecNum&gt;1138&lt;/RecNum&gt;&lt;DisplayText&gt;&lt;style face="superscript"&gt;153&lt;/style&gt;&lt;/DisplayText&gt;&lt;record&gt;&lt;rec-number&gt;1138&lt;/rec-number&gt;&lt;foreign-keys&gt;&lt;key app="EN" db-id="sxpszd2ti9dx04ewefrvfp5bpf5faazszr9p" timestamp="1435664553"&gt;1138&lt;/key&gt;&lt;/foreign-keys&gt;&lt;ref-type name="Journal Article"&gt;17&lt;/ref-type&gt;&lt;contributors&gt;&lt;authors&gt;&lt;author&gt;Claxton, K.&lt;/author&gt;&lt;author&gt;Posnett, J.&lt;/author&gt;&lt;/authors&gt;&lt;/contributors&gt;&lt;auth-address&gt;Department of Economics and Related Studies, University of York, UK.&lt;/auth-address&gt;&lt;titles&gt;&lt;title&gt;An economic approach to clinical trial design and research priority-setting&lt;/title&gt;&lt;secondary-title&gt;Health Econ&lt;/secondary-title&gt;&lt;/titles&gt;&lt;periodical&gt;&lt;full-title&gt;Health Econ&lt;/full-title&gt;&lt;/periodical&gt;&lt;pages&gt;513-24&lt;/pages&gt;&lt;volume&gt;5&lt;/volume&gt;&lt;number&gt;6&lt;/number&gt;&lt;edition&gt;1996/11/01&lt;/edition&gt;&lt;keywords&gt;&lt;keyword&gt;Bayes Theorem&lt;/keyword&gt;&lt;keyword&gt;Bias (Epidemiology)&lt;/keyword&gt;&lt;keyword&gt;Budgets&lt;/keyword&gt;&lt;keyword&gt;*Clinical Trials as Topic&lt;/keyword&gt;&lt;keyword&gt;Cost-Benefit Analysis/methods&lt;/keyword&gt;&lt;keyword&gt;*Decision Trees&lt;/keyword&gt;&lt;keyword&gt;*Health Priorities&lt;/keyword&gt;&lt;keyword&gt;Health Services Research/economics/*methods&lt;/keyword&gt;&lt;keyword&gt;Humans&lt;/keyword&gt;&lt;keyword&gt;*Models, Econometric&lt;/keyword&gt;&lt;keyword&gt;*Research Design&lt;/keyword&gt;&lt;/keywords&gt;&lt;dates&gt;&lt;year&gt;1996&lt;/year&gt;&lt;pub-dates&gt;&lt;date&gt;Nov-Dec&lt;/date&gt;&lt;/pub-dates&gt;&lt;/dates&gt;&lt;isbn&gt;1057-9230 (Print)&amp;#xD;1057-9230 (Linking)&lt;/isbn&gt;&lt;accession-num&gt;9003938&lt;/accession-num&gt;&lt;urls&gt;&lt;related-urls&gt;&lt;url&gt;http://www.ncbi.nlm.nih.gov/pubmed/9003938&lt;/url&gt;&lt;/related-urls&gt;&lt;/urls&gt;&lt;electronic-resource-num&gt;10.1002/(SICI)1099-1050(199611)5:6&amp;lt;513::AID-HEC237&amp;gt;3.0.CO;2-9 [pii]&amp;#xD;10.1002/(SICI)1099-1050(199611)5:6&amp;lt;513::AID-HEC237&amp;gt;3.0.CO;2-9&lt;/electronic-resource-num&gt;&lt;language&gt;eng&lt;/language&gt;&lt;/record&gt;&lt;/Cite&gt;&lt;/EndNote&gt;</w:instrText>
        </w:r>
        <w:r w:rsidR="00B24FEE">
          <w:fldChar w:fldCharType="separate"/>
        </w:r>
        <w:r w:rsidR="00B24FEE" w:rsidRPr="00B24FEE">
          <w:rPr>
            <w:noProof/>
            <w:vertAlign w:val="superscript"/>
          </w:rPr>
          <w:t>153</w:t>
        </w:r>
        <w:r w:rsidR="00B24FEE">
          <w:fldChar w:fldCharType="end"/>
        </w:r>
      </w:hyperlink>
      <w:r w:rsidRPr="00591BFC">
        <w:t>. T</w:t>
      </w:r>
      <w:r w:rsidR="00C9637E" w:rsidRPr="00591BFC">
        <w:t>his consists of estimating the Net Monetary B</w:t>
      </w:r>
      <w:r w:rsidRPr="00591BFC">
        <w:t>enefit (NMB) of each model of care:</w:t>
      </w:r>
    </w:p>
    <w:p w14:paraId="14F9334F" w14:textId="77777777" w:rsidR="00CF2E21" w:rsidRPr="00591BFC" w:rsidRDefault="00CF2E21" w:rsidP="00E86771">
      <w:pPr>
        <w:spacing w:line="360" w:lineRule="auto"/>
        <w:jc w:val="center"/>
      </w:pPr>
      <w:r w:rsidRPr="00591BFC">
        <w:t>NMB=E x λ – C</w:t>
      </w:r>
    </w:p>
    <w:p w14:paraId="37320E41" w14:textId="77777777" w:rsidR="00CF2E21" w:rsidRPr="00591BFC" w:rsidRDefault="00CF2E21" w:rsidP="00E86771">
      <w:pPr>
        <w:spacing w:line="360" w:lineRule="auto"/>
      </w:pPr>
      <w:r w:rsidRPr="00591BFC">
        <w:t xml:space="preserve">Where E and C represent the mean effects (QALYs and LYs) and costs, respectively, for a given model of care and λ represents the maximum willingness to pay per unit of effect (i.e. £30,000 per QALY gained). The most cost-effective model of care is identified as being the one with the highest NMB. Finally, the internal validity of the model was checked using sensitivity analysis (extreme values) and by comparing the model outputs with the data used to build the model. </w:t>
      </w:r>
    </w:p>
    <w:p w14:paraId="1659A211" w14:textId="77777777" w:rsidR="00CF2E21" w:rsidRPr="00591BFC" w:rsidRDefault="00CF2E21" w:rsidP="00E86771">
      <w:pPr>
        <w:pStyle w:val="Heading3"/>
        <w:spacing w:line="360" w:lineRule="auto"/>
        <w:rPr>
          <w:rFonts w:ascii="Calibri" w:hAnsi="Calibri"/>
          <w:lang w:val="en-GB"/>
        </w:rPr>
      </w:pPr>
      <w:bookmarkStart w:id="447" w:name="_Toc308300814"/>
      <w:bookmarkStart w:id="448" w:name="_Toc311366621"/>
      <w:r w:rsidRPr="00591BFC">
        <w:rPr>
          <w:rFonts w:ascii="Calibri" w:hAnsi="Calibri"/>
          <w:lang w:val="en-GB"/>
        </w:rPr>
        <w:t>Sensitivity and uncertainty analysis</w:t>
      </w:r>
      <w:bookmarkEnd w:id="447"/>
      <w:bookmarkEnd w:id="448"/>
    </w:p>
    <w:p w14:paraId="07AB2079" w14:textId="3F7CD362" w:rsidR="00CF2E21" w:rsidRPr="00591BFC" w:rsidRDefault="00CF2E21" w:rsidP="00E86771">
      <w:pPr>
        <w:spacing w:line="360" w:lineRule="auto"/>
      </w:pPr>
      <w:r w:rsidRPr="00591BFC">
        <w:t xml:space="preserve">Model parameters and structural assumptions were evaluated in one-way and probabilistic sensitivity analysis. The key uncertainties in the model structure were identified during the discussions for the conceptual framework. The distributions for the regression coefficients informing the several models described above were obtained by bootstrapping the sample and re-estimating </w:t>
      </w:r>
      <w:r w:rsidRPr="00591BFC">
        <w:lastRenderedPageBreak/>
        <w:t>the regression models. This ensured the correlation between coefficients to be fully captured. The choice of distributions used for the remaining parameters was made according to recommended practice</w:t>
      </w:r>
      <w:hyperlink w:anchor="_ENREF_154" w:tooltip="Briggs, 2006 #1139" w:history="1">
        <w:r w:rsidR="00B24FEE">
          <w:fldChar w:fldCharType="begin"/>
        </w:r>
        <w:r w:rsidR="00B24FEE">
          <w:instrText xml:space="preserve"> ADDIN EN.CITE &lt;EndNote&gt;&lt;Cite&gt;&lt;Author&gt;Briggs&lt;/Author&gt;&lt;Year&gt;2006&lt;/Year&gt;&lt;RecNum&gt;1139&lt;/RecNum&gt;&lt;DisplayText&gt;&lt;style face="superscript"&gt;154&lt;/style&gt;&lt;/DisplayText&gt;&lt;record&gt;&lt;rec-number&gt;1139&lt;/rec-number&gt;&lt;foreign-keys&gt;&lt;key app="EN" db-id="sxpszd2ti9dx04ewefrvfp5bpf5faazszr9p" timestamp="1435664678"&gt;1139&lt;/key&gt;&lt;/foreign-keys&gt;&lt;ref-type name="Book"&gt;6&lt;/ref-type&gt;&lt;contributors&gt;&lt;authors&gt;&lt;author&gt;Briggs, A. Sculpher, M. Claxton, K.&lt;/author&gt;&lt;/authors&gt;&lt;/contributors&gt;&lt;titles&gt;&lt;title&gt;Decision Modelling for Health Economic Evaluation&lt;/title&gt;&lt;/titles&gt;&lt;dates&gt;&lt;year&gt;2006&lt;/year&gt;&lt;/dates&gt;&lt;publisher&gt;Oxford University Press&lt;/publisher&gt;&lt;urls&gt;&lt;/urls&gt;&lt;/record&gt;&lt;/Cite&gt;&lt;/EndNote&gt;</w:instrText>
        </w:r>
        <w:r w:rsidR="00B24FEE">
          <w:fldChar w:fldCharType="separate"/>
        </w:r>
        <w:r w:rsidR="00B24FEE" w:rsidRPr="00B24FEE">
          <w:rPr>
            <w:noProof/>
            <w:vertAlign w:val="superscript"/>
          </w:rPr>
          <w:t>154</w:t>
        </w:r>
        <w:r w:rsidR="00B24FEE">
          <w:fldChar w:fldCharType="end"/>
        </w:r>
      </w:hyperlink>
      <w:r w:rsidRPr="00591BFC">
        <w:t xml:space="preserve">. Relative effectiveness measures (i.e. hazard ratios) were modelled using a lognormal distribution. Parameters concerning proportions/probabilities were modelled using beta distributions. </w:t>
      </w:r>
    </w:p>
    <w:p w14:paraId="4B098192" w14:textId="77777777" w:rsidR="00CF2E21" w:rsidRPr="00591BFC" w:rsidRDefault="00CF2E21" w:rsidP="00E86771">
      <w:pPr>
        <w:spacing w:line="360" w:lineRule="auto"/>
      </w:pPr>
    </w:p>
    <w:p w14:paraId="46BCA00C" w14:textId="13F1C1A2" w:rsidR="00CF2E21" w:rsidRPr="00591BFC" w:rsidRDefault="00C9637E" w:rsidP="00E86771">
      <w:pPr>
        <w:spacing w:line="360" w:lineRule="auto"/>
      </w:pPr>
      <w:r w:rsidRPr="00591BFC">
        <w:t>A C</w:t>
      </w:r>
      <w:r w:rsidR="00CF2E21" w:rsidRPr="00591BFC">
        <w:t>ost-</w:t>
      </w:r>
      <w:r w:rsidRPr="00591BFC">
        <w:t>Effectiveness Acceptability C</w:t>
      </w:r>
      <w:r w:rsidR="00CF2E21" w:rsidRPr="00591BFC">
        <w:t>urve (CEAC) was constructed</w:t>
      </w:r>
      <w:hyperlink w:anchor="_ENREF_155" w:tooltip="Fenwick, 2001 #1214" w:history="1">
        <w:r w:rsidR="00B24FEE">
          <w:fldChar w:fldCharType="begin"/>
        </w:r>
        <w:r w:rsidR="00B24FEE">
          <w:instrText xml:space="preserve"> ADDIN EN.CITE &lt;EndNote&gt;&lt;Cite&gt;&lt;Author&gt;Fenwick&lt;/Author&gt;&lt;Year&gt;2001&lt;/Year&gt;&lt;RecNum&gt;1214&lt;/RecNum&gt;&lt;DisplayText&gt;&lt;style face="superscript"&gt;155&lt;/style&gt;&lt;/DisplayText&gt;&lt;record&gt;&lt;rec-number&gt;1214&lt;/rec-number&gt;&lt;foreign-keys&gt;&lt;key app="EN" db-id="sxpszd2ti9dx04ewefrvfp5bpf5faazszr9p" timestamp="1435753904"&gt;1214&lt;/key&gt;&lt;/foreign-keys&gt;&lt;ref-type name="Journal Article"&gt;17&lt;/ref-type&gt;&lt;contributors&gt;&lt;authors&gt;&lt;author&gt;Fenwick, E. Claxton, K. Sculpher, M. &lt;/author&gt;&lt;/authors&gt;&lt;/contributors&gt;&lt;titles&gt;&lt;title&gt;Representing uncertainty: the role of cost-effectiveness acceptability curves&lt;/title&gt;&lt;secondary-title&gt;Health Economics&lt;/secondary-title&gt;&lt;/titles&gt;&lt;periodical&gt;&lt;full-title&gt;Health Economics&lt;/full-title&gt;&lt;/periodical&gt;&lt;pages&gt;779-87&lt;/pages&gt;&lt;volume&gt;10&lt;/volume&gt;&lt;number&gt;8&lt;/number&gt;&lt;dates&gt;&lt;year&gt;2001&lt;/year&gt;&lt;/dates&gt;&lt;urls&gt;&lt;/urls&gt;&lt;/record&gt;&lt;/Cite&gt;&lt;Cite&gt;&lt;Author&gt;Fenwick&lt;/Author&gt;&lt;Year&gt;2001&lt;/Year&gt;&lt;RecNum&gt;1214&lt;/RecNum&gt;&lt;record&gt;&lt;rec-number&gt;1214&lt;/rec-number&gt;&lt;foreign-keys&gt;&lt;key app="EN" db-id="sxpszd2ti9dx04ewefrvfp5bpf5faazszr9p" timestamp="1435753904"&gt;1214&lt;/key&gt;&lt;/foreign-keys&gt;&lt;ref-type name="Journal Article"&gt;17&lt;/ref-type&gt;&lt;contributors&gt;&lt;authors&gt;&lt;author&gt;Fenwick, E. Claxton, K. Sculpher, M. &lt;/author&gt;&lt;/authors&gt;&lt;/contributors&gt;&lt;titles&gt;&lt;title&gt;Representing uncertainty: the role of cost-effectiveness acceptability curves&lt;/title&gt;&lt;secondary-title&gt;Health Economics&lt;/secondary-title&gt;&lt;/titles&gt;&lt;periodical&gt;&lt;full-title&gt;Health Economics&lt;/full-title&gt;&lt;/periodical&gt;&lt;pages&gt;779-87&lt;/pages&gt;&lt;volume&gt;10&lt;/volume&gt;&lt;number&gt;8&lt;/number&gt;&lt;dates&gt;&lt;year&gt;2001&lt;/year&gt;&lt;/dates&gt;&lt;urls&gt;&lt;/urls&gt;&lt;/record&gt;&lt;/Cite&gt;&lt;/EndNote&gt;</w:instrText>
        </w:r>
        <w:r w:rsidR="00B24FEE">
          <w:fldChar w:fldCharType="separate"/>
        </w:r>
        <w:r w:rsidR="00B24FEE" w:rsidRPr="00B24FEE">
          <w:rPr>
            <w:noProof/>
            <w:vertAlign w:val="superscript"/>
          </w:rPr>
          <w:t>155</w:t>
        </w:r>
        <w:r w:rsidR="00B24FEE">
          <w:fldChar w:fldCharType="end"/>
        </w:r>
      </w:hyperlink>
      <w:r w:rsidR="00CF2E21" w:rsidRPr="00591BFC">
        <w:t xml:space="preserve">  </w:t>
      </w:r>
      <w:r w:rsidR="008A6CC5" w:rsidRPr="008A6CC5">
        <w:t xml:space="preserve">using the NMB results </w:t>
      </w:r>
      <w:r w:rsidR="00CF2E21" w:rsidRPr="00591BFC">
        <w:t>and analysis of covariance methods (ANCOVA) were used to determine the proportion of variance in the incremental costs and QALYs saved explained by parameter uncertainty</w:t>
      </w:r>
      <w:hyperlink w:anchor="_ENREF_154" w:tooltip="Briggs, 2006 #1139" w:history="1">
        <w:r w:rsidR="00B24FEE">
          <w:fldChar w:fldCharType="begin"/>
        </w:r>
        <w:r w:rsidR="00B24FEE">
          <w:instrText xml:space="preserve"> ADDIN EN.CITE &lt;EndNote&gt;&lt;Cite&gt;&lt;Author&gt;Briggs&lt;/Author&gt;&lt;Year&gt;2006&lt;/Year&gt;&lt;RecNum&gt;1139&lt;/RecNum&gt;&lt;DisplayText&gt;&lt;style face="superscript"&gt;154&lt;/style&gt;&lt;/DisplayText&gt;&lt;record&gt;&lt;rec-number&gt;1139&lt;/rec-number&gt;&lt;foreign-keys&gt;&lt;key app="EN" db-id="sxpszd2ti9dx04ewefrvfp5bpf5faazszr9p" timestamp="1435664678"&gt;1139&lt;/key&gt;&lt;/foreign-keys&gt;&lt;ref-type name="Book"&gt;6&lt;/ref-type&gt;&lt;contributors&gt;&lt;authors&gt;&lt;author&gt;Briggs, A. Sculpher, M. Claxton, K.&lt;/author&gt;&lt;/authors&gt;&lt;/contributors&gt;&lt;titles&gt;&lt;title&gt;Decision Modelling for Health Economic Evaluation&lt;/title&gt;&lt;/titles&gt;&lt;dates&gt;&lt;year&gt;2006&lt;/year&gt;&lt;/dates&gt;&lt;publisher&gt;Oxford University Press&lt;/publisher&gt;&lt;urls&gt;&lt;/urls&gt;&lt;/record&gt;&lt;/Cite&gt;&lt;/EndNote&gt;</w:instrText>
        </w:r>
        <w:r w:rsidR="00B24FEE">
          <w:fldChar w:fldCharType="separate"/>
        </w:r>
        <w:r w:rsidR="00B24FEE" w:rsidRPr="00B24FEE">
          <w:rPr>
            <w:noProof/>
            <w:vertAlign w:val="superscript"/>
          </w:rPr>
          <w:t>154</w:t>
        </w:r>
        <w:r w:rsidR="00B24FEE">
          <w:fldChar w:fldCharType="end"/>
        </w:r>
      </w:hyperlink>
      <w:r w:rsidR="00CF2E21" w:rsidRPr="00591BFC">
        <w:t>. Finally, the overall contribution of the model inputs to the decision unce</w:t>
      </w:r>
      <w:r w:rsidR="000514C3" w:rsidRPr="00591BFC">
        <w:t>rtainty was explored using the Expected Value of Perfect I</w:t>
      </w:r>
      <w:r w:rsidR="00CF2E21" w:rsidRPr="00591BFC">
        <w:t>nformation (EVPI). The EVPI per patient was estimated non-parametrically</w:t>
      </w:r>
      <w:hyperlink w:anchor="_ENREF_154" w:tooltip="Briggs, 2006 #1139" w:history="1">
        <w:r w:rsidR="00B24FEE">
          <w:fldChar w:fldCharType="begin"/>
        </w:r>
        <w:r w:rsidR="00B24FEE">
          <w:instrText xml:space="preserve"> ADDIN EN.CITE &lt;EndNote&gt;&lt;Cite&gt;&lt;Author&gt;Briggs&lt;/Author&gt;&lt;Year&gt;2006&lt;/Year&gt;&lt;RecNum&gt;1139&lt;/RecNum&gt;&lt;DisplayText&gt;&lt;style face="superscript"&gt;154&lt;/style&gt;&lt;/DisplayText&gt;&lt;record&gt;&lt;rec-number&gt;1139&lt;/rec-number&gt;&lt;foreign-keys&gt;&lt;key app="EN" db-id="sxpszd2ti9dx04ewefrvfp5bpf5faazszr9p" timestamp="1435664678"&gt;1139&lt;/key&gt;&lt;/foreign-keys&gt;&lt;ref-type name="Book"&gt;6&lt;/ref-type&gt;&lt;contributors&gt;&lt;authors&gt;&lt;author&gt;Briggs, A. Sculpher, M. Claxton, K.&lt;/author&gt;&lt;/authors&gt;&lt;/contributors&gt;&lt;titles&gt;&lt;title&gt;Decision Modelling for Health Economic Evaluation&lt;/title&gt;&lt;/titles&gt;&lt;dates&gt;&lt;year&gt;2006&lt;/year&gt;&lt;/dates&gt;&lt;publisher&gt;Oxford University Press&lt;/publisher&gt;&lt;urls&gt;&lt;/urls&gt;&lt;/record&gt;&lt;/Cite&gt;&lt;/EndNote&gt;</w:instrText>
        </w:r>
        <w:r w:rsidR="00B24FEE">
          <w:fldChar w:fldCharType="separate"/>
        </w:r>
        <w:r w:rsidR="00B24FEE" w:rsidRPr="00B24FEE">
          <w:rPr>
            <w:noProof/>
            <w:vertAlign w:val="superscript"/>
          </w:rPr>
          <w:t>154</w:t>
        </w:r>
        <w:r w:rsidR="00B24FEE">
          <w:fldChar w:fldCharType="end"/>
        </w:r>
      </w:hyperlink>
      <w:r w:rsidR="00587703" w:rsidRPr="00591BFC">
        <w:t xml:space="preserve">. </w:t>
      </w:r>
    </w:p>
    <w:p w14:paraId="4D54B650" w14:textId="77777777" w:rsidR="00CF2E21" w:rsidRPr="00591BFC" w:rsidRDefault="00CF2E21" w:rsidP="00E86771">
      <w:pPr>
        <w:spacing w:line="360" w:lineRule="auto"/>
      </w:pPr>
      <w:r w:rsidRPr="00591BFC">
        <w:t>The EVPI for the total population who stand to benefit from reducing the decision uncertainty was also estimated. This required information on the period over which information about the decision will be useful, T, (5, 10 and 15 year scenarios), and the number of hip fractures in England, Pt,</w:t>
      </w:r>
    </w:p>
    <w:p w14:paraId="45E2FF9E" w14:textId="77777777" w:rsidR="00CF2E21" w:rsidRPr="00591BFC" w:rsidRDefault="00CF2E21" w:rsidP="00E86771">
      <w:pPr>
        <w:spacing w:line="360" w:lineRule="auto"/>
      </w:pPr>
      <w:r w:rsidRPr="00591BFC">
        <w:t xml:space="preserve">EVPI for the population = EVPI x </w:t>
      </w:r>
      <w:r w:rsidR="00694E86" w:rsidRPr="00591BFC">
        <w:fldChar w:fldCharType="begin"/>
      </w:r>
      <w:r w:rsidR="00694E86" w:rsidRPr="00591BFC">
        <w:instrText xml:space="preserve"> QUOTE </w:instrText>
      </w:r>
      <w:r w:rsidR="002149AD">
        <w:rPr>
          <w:position w:val="-11"/>
        </w:rPr>
        <w:pict w14:anchorId="2B1762A5">
          <v:shape id="_x0000_i1057" type="#_x0000_t75" style="width:74.55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0&amp;lt;/Enabled&amp;gt;&amp;lt;ScanUnformatted&amp;gt;1&amp;lt;/ScanUnformatted&amp;gt;&amp;lt;ScanChanges&amp;gt;1&amp;lt;/ScanChanges&amp;gt;&amp;lt;/ENInstantFormat&amp;gt;&quot;/&gt;&lt;w:docVar w:name=&quot;EN.Layout&quot; w:val=&quot;&amp;lt;ENLayout&amp;gt;&amp;lt;Style&amp;gt;Numbered&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sxpszd2ti9dx04ewefrvfp5bpf5faazszr9p&amp;quot;&amp;gt;SDO references ReFRESH WS2 Copy&amp;lt;record-ids&amp;gt;&amp;lt;item&amp;gt;1&amp;lt;/item&amp;gt;&amp;lt;item&amp;gt;6&amp;lt;/item&amp;gt;&amp;lt;item&amp;gt;7&amp;lt;/item&amp;gt;&amp;lt;item&amp;gt;18&amp;lt;/item&amp;gt;&amp;lt;item&amp;gt;19&amp;lt;/item&amp;gt;&amp;lt;item&amp;gt;21&amp;lt;/item&amp;gt;&amp;lt;item&amp;gt;25&amp;lt;/item&amp;gt;&amp;lt;item&amp;gt;26&amp;lt;/item&amp;gt;&amp;lt;item&amp;gt;27&amp;lt;/item&amp;gt;&amp;lt;item&amp;gt;28&amp;lt;/item&amp;gt;&amp;lt;item&amp;gt;29&amp;lt;/item&amp;gt;&amp;lt;item&amp;gt;30&amp;lt;/item&amp;gt;&amp;lt;item&amp;gt;33&amp;lt;/item&amp;gt;&amp;lt;item&amp;gt;35&amp;lt;/item&amp;gt;&amp;lt;item&amp;gt;36&amp;lt;/item&amp;gt;&amp;lt;item&amp;gt;41&amp;lt;/item&amp;gt;&amp;lt;item&amp;gt;46&amp;lt;/item&amp;gt;&amp;lt;item&amp;gt;51&amp;lt;/item&amp;gt;&amp;lt;item&amp;gt;52&amp;lt;/item&amp;gt;&amp;lt;item&amp;gt;73&amp;lt;/item&amp;gt;&amp;lt;item&amp;gt;81&amp;lt;/item&amp;gt;&amp;lt;item&amp;gt;83&amp;lt;/item&amp;gt;&amp;lt;item&amp;gt;92&amp;lt;/item&amp;gt;&amp;lt;item&amp;gt;543&amp;lt;/item&amp;gt;&amp;lt;item&amp;gt;551&amp;lt;/item&amp;gt;&amp;lt;item&amp;gt;616&amp;lt;/item&amp;gt;&amp;lt;item&amp;gt;619&amp;lt;/item&amp;gt;&amp;lt;item&amp;gt;623&amp;lt;/item&amp;gt;&amp;lt;item&amp;gt;624&amp;lt;/item&amp;gt;&amp;lt;item&amp;gt;626&amp;lt;/item&amp;gt;&amp;lt;item&amp;gt;627&amp;lt;/item&amp;gt;&amp;lt;item&amp;gt;638&amp;lt;/item&amp;gt;&amp;lt;item&amp;gt;639&amp;lt;/item&amp;gt;&amp;lt;item&amp;gt;640&amp;lt;/item&amp;gt;&amp;lt;item&amp;gt;642&amp;lt;/item&amp;gt;&amp;lt;item&amp;gt;643&amp;lt;/item&amp;gt;&amp;lt;item&amp;gt;644&amp;lt;/item&amp;gt;&amp;lt;item&amp;gt;647&amp;lt;/item&amp;gt;&amp;lt;item&amp;gt;649&amp;lt;/item&amp;gt;&amp;lt;item&amp;gt;650&amp;lt;/item&amp;gt;&amp;lt;item&amp;gt;651&amp;lt;/item&amp;gt;&amp;lt;item&amp;gt;653&amp;lt;/item&amp;gt;&amp;lt;item&amp;gt;736&amp;lt;/item&amp;gt;&amp;lt;item&amp;gt;921&amp;lt;/item&amp;gt;&amp;lt;item&amp;gt;925&amp;lt;/item&amp;gt;&amp;lt;item&amp;gt;926&amp;lt;/item&amp;gt;&amp;lt;item&amp;gt;935&amp;lt;/item&amp;gt;&amp;lt;item&amp;gt;940&amp;lt;/item&amp;gt;&amp;lt;item&amp;gt;942&amp;lt;/item&amp;gt;&amp;lt;item&amp;gt;950&amp;lt;/item&amp;gt;&amp;lt;item&amp;gt;1097&amp;lt;/item&amp;gt;&amp;lt;item&amp;gt;1099&amp;lt;/item&amp;gt;&amp;lt;item&amp;gt;1100&amp;lt;/item&amp;gt;&amp;lt;item&amp;gt;1101&amp;lt;/item&amp;gt;&amp;lt;item&amp;gt;1103&amp;lt;/item&amp;gt;&amp;lt;/record-ids&amp;gt;&amp;lt;/item&amp;gt;&amp;lt;/Libraries&amp;gt;&quot;/&gt;&lt;/w:docVars&gt;&lt;wsp:rsids&gt;&lt;wsp:rsidRoot wsp:val=&quot;00E66CCB&quot;/&gt;&lt;wsp:rsid wsp:val=&quot;000309C8&quot;/&gt;&lt;wsp:rsid wsp:val=&quot;000533AF&quot;/&gt;&lt;wsp:rsid wsp:val=&quot;0005500A&quot;/&gt;&lt;wsp:rsid wsp:val=&quot;000A0579&quot;/&gt;&lt;wsp:rsid wsp:val=&quot;000A71B1&quot;/&gt;&lt;wsp:rsid wsp:val=&quot;000B172B&quot;/&gt;&lt;wsp:rsid wsp:val=&quot;000C1219&quot;/&gt;&lt;wsp:rsid wsp:val=&quot;000C151C&quot;/&gt;&lt;wsp:rsid wsp:val=&quot;000C65D4&quot;/&gt;&lt;wsp:rsid wsp:val=&quot;000E1E46&quot;/&gt;&lt;wsp:rsid wsp:val=&quot;000E3804&quot;/&gt;&lt;wsp:rsid wsp:val=&quot;00100C5E&quot;/&gt;&lt;wsp:rsid wsp:val=&quot;00106947&quot;/&gt;&lt;wsp:rsid wsp:val=&quot;00113E0D&quot;/&gt;&lt;wsp:rsid wsp:val=&quot;00114A91&quot;/&gt;&lt;wsp:rsid wsp:val=&quot;0012088D&quot;/&gt;&lt;wsp:rsid wsp:val=&quot;0012131D&quot;/&gt;&lt;wsp:rsid wsp:val=&quot;001259A3&quot;/&gt;&lt;wsp:rsid wsp:val=&quot;001358E2&quot;/&gt;&lt;wsp:rsid wsp:val=&quot;0014055A&quot;/&gt;&lt;wsp:rsid wsp:val=&quot;00152EFF&quot;/&gt;&lt;wsp:rsid wsp:val=&quot;00161005&quot;/&gt;&lt;wsp:rsid wsp:val=&quot;00174611&quot;/&gt;&lt;wsp:rsid wsp:val=&quot;001A4299&quot;/&gt;&lt;wsp:rsid wsp:val=&quot;001C0A90&quot;/&gt;&lt;wsp:rsid wsp:val=&quot;001C5760&quot;/&gt;&lt;wsp:rsid wsp:val=&quot;001C675E&quot;/&gt;&lt;wsp:rsid wsp:val=&quot;001D2501&quot;/&gt;&lt;wsp:rsid wsp:val=&quot;002155FD&quot;/&gt;&lt;wsp:rsid wsp:val=&quot;00231846&quot;/&gt;&lt;wsp:rsid wsp:val=&quot;00252E43&quot;/&gt;&lt;wsp:rsid wsp:val=&quot;002A2953&quot;/&gt;&lt;wsp:rsid wsp:val=&quot;002A30F4&quot;/&gt;&lt;wsp:rsid wsp:val=&quot;002A7E4D&quot;/&gt;&lt;wsp:rsid wsp:val=&quot;002C25B4&quot;/&gt;&lt;wsp:rsid wsp:val=&quot;002D0608&quot;/&gt;&lt;wsp:rsid wsp:val=&quot;002D127D&quot;/&gt;&lt;wsp:rsid wsp:val=&quot;002E7EB4&quot;/&gt;&lt;wsp:rsid wsp:val=&quot;002F10F7&quot;/&gt;&lt;wsp:rsid wsp:val=&quot;00301182&quot;/&gt;&lt;wsp:rsid wsp:val=&quot;003013C2&quot;/&gt;&lt;wsp:rsid wsp:val=&quot;00314D8E&quot;/&gt;&lt;wsp:rsid wsp:val=&quot;00347852&quot;/&gt;&lt;wsp:rsid wsp:val=&quot;0036236C&quot;/&gt;&lt;wsp:rsid wsp:val=&quot;0036789B&quot;/&gt;&lt;wsp:rsid wsp:val=&quot;0038586A&quot;/&gt;&lt;wsp:rsid wsp:val=&quot;003C1348&quot;/&gt;&lt;wsp:rsid wsp:val=&quot;003C57FF&quot;/&gt;&lt;wsp:rsid wsp:val=&quot;003C7B9C&quot;/&gt;&lt;wsp:rsid wsp:val=&quot;003E4BE1&quot;/&gt;&lt;wsp:rsid wsp:val=&quot;003F21B7&quot;/&gt;&lt;wsp:rsid wsp:val=&quot;003F6F0C&quot;/&gt;&lt;wsp:rsid wsp:val=&quot;00427272&quot;/&gt;&lt;wsp:rsid wsp:val=&quot;00442359&quot;/&gt;&lt;wsp:rsid wsp:val=&quot;00444401&quot;/&gt;&lt;wsp:rsid wsp:val=&quot;0044568C&quot;/&gt;&lt;wsp:rsid wsp:val=&quot;00451BF7&quot;/&gt;&lt;wsp:rsid wsp:val=&quot;004603DA&quot;/&gt;&lt;wsp:rsid wsp:val=&quot;00460C0E&quot;/&gt;&lt;wsp:rsid wsp:val=&quot;004643F5&quot;/&gt;&lt;wsp:rsid wsp:val=&quot;00465675&quot;/&gt;&lt;wsp:rsid wsp:val=&quot;00490779&quot;/&gt;&lt;wsp:rsid wsp:val=&quot;004A01E7&quot;/&gt;&lt;wsp:rsid wsp:val=&quot;004A5FE6&quot;/&gt;&lt;wsp:rsid wsp:val=&quot;004B70B3&quot;/&gt;&lt;wsp:rsid wsp:val=&quot;00510B6E&quot;/&gt;&lt;wsp:rsid wsp:val=&quot;005117F0&quot;/&gt;&lt;wsp:rsid wsp:val=&quot;005411BA&quot;/&gt;&lt;wsp:rsid wsp:val=&quot;00542ED0&quot;/&gt;&lt;wsp:rsid wsp:val=&quot;00543656&quot;/&gt;&lt;wsp:rsid wsp:val=&quot;00547C36&quot;/&gt;&lt;wsp:rsid wsp:val=&quot;00557FDA&quot;/&gt;&lt;wsp:rsid wsp:val=&quot;005674F7&quot;/&gt;&lt;wsp:rsid wsp:val=&quot;00587AEE&quot;/&gt;&lt;wsp:rsid wsp:val=&quot;00592031&quot;/&gt;&lt;wsp:rsid wsp:val=&quot;005A0100&quot;/&gt;&lt;wsp:rsid wsp:val=&quot;005B7C34&quot;/&gt;&lt;wsp:rsid wsp:val=&quot;005C3017&quot;/&gt;&lt;wsp:rsid wsp:val=&quot;005D44EE&quot;/&gt;&lt;wsp:rsid wsp:val=&quot;005E1176&quot;/&gt;&lt;wsp:rsid wsp:val=&quot;005E43F5&quot;/&gt;&lt;wsp:rsid wsp:val=&quot;00610A23&quot;/&gt;&lt;wsp:rsid wsp:val=&quot;0061781D&quot;/&gt;&lt;wsp:rsid wsp:val=&quot;0063484A&quot;/&gt;&lt;wsp:rsid wsp:val=&quot;00635313&quot;/&gt;&lt;wsp:rsid wsp:val=&quot;00651F2D&quot;/&gt;&lt;wsp:rsid wsp:val=&quot;00676220&quot;/&gt;&lt;wsp:rsid wsp:val=&quot;006833D8&quot;/&gt;&lt;wsp:rsid wsp:val=&quot;0068523F&quot;/&gt;&lt;wsp:rsid wsp:val=&quot;00694E86&quot;/&gt;&lt;wsp:rsid wsp:val=&quot;006A7D8D&quot;/&gt;&lt;wsp:rsid wsp:val=&quot;006B3519&quot;/&gt;&lt;wsp:rsid wsp:val=&quot;006C026C&quot;/&gt;&lt;wsp:rsid wsp:val=&quot;006D271E&quot;/&gt;&lt;wsp:rsid wsp:val=&quot;006D28F7&quot;/&gt;&lt;wsp:rsid wsp:val=&quot;006E1B1B&quot;/&gt;&lt;wsp:rsid wsp:val=&quot;006E37DB&quot;/&gt;&lt;wsp:rsid wsp:val=&quot;006F52C3&quot;/&gt;&lt;wsp:rsid wsp:val=&quot;00700E3E&quot;/&gt;&lt;wsp:rsid wsp:val=&quot;00711A4F&quot;/&gt;&lt;wsp:rsid wsp:val=&quot;00745889&quot;/&gt;&lt;wsp:rsid wsp:val=&quot;007608C2&quot;/&gt;&lt;wsp:rsid wsp:val=&quot;00764089&quot;/&gt;&lt;wsp:rsid wsp:val=&quot;00777CF5&quot;/&gt;&lt;wsp:rsid wsp:val=&quot;00784BE9&quot;/&gt;&lt;wsp:rsid wsp:val=&quot;007A6450&quot;/&gt;&lt;wsp:rsid wsp:val=&quot;007B08B0&quot;/&gt;&lt;wsp:rsid wsp:val=&quot;007B4345&quot;/&gt;&lt;wsp:rsid wsp:val=&quot;007B5FB8&quot;/&gt;&lt;wsp:rsid wsp:val=&quot;007D1DD4&quot;/&gt;&lt;wsp:rsid wsp:val=&quot;007E24F8&quot;/&gt;&lt;wsp:rsid wsp:val=&quot;00812F78&quot;/&gt;&lt;wsp:rsid wsp:val=&quot;00820085&quot;/&gt;&lt;wsp:rsid wsp:val=&quot;00832F55&quot;/&gt;&lt;wsp:rsid wsp:val=&quot;00835121&quot;/&gt;&lt;wsp:rsid wsp:val=&quot;00837363&quot;/&gt;&lt;wsp:rsid wsp:val=&quot;0084170F&quot;/&gt;&lt;wsp:rsid wsp:val=&quot;00843947&quot;/&gt;&lt;wsp:rsid wsp:val=&quot;00845110&quot;/&gt;&lt;wsp:rsid wsp:val=&quot;0085163A&quot;/&gt;&lt;wsp:rsid wsp:val=&quot;00855C09&quot;/&gt;&lt;wsp:rsid wsp:val=&quot;00892641&quot;/&gt;&lt;wsp:rsid wsp:val=&quot;008A13E6&quot;/&gt;&lt;wsp:rsid wsp:val=&quot;008B10C9&quot;/&gt;&lt;wsp:rsid wsp:val=&quot;008B5F61&quot;/&gt;&lt;wsp:rsid wsp:val=&quot;008C3090&quot;/&gt;&lt;wsp:rsid wsp:val=&quot;008E669E&quot;/&gt;&lt;wsp:rsid wsp:val=&quot;008E7E74&quot;/&gt;&lt;wsp:rsid wsp:val=&quot;008F1825&quot;/&gt;&lt;wsp:rsid wsp:val=&quot;00905A57&quot;/&gt;&lt;wsp:rsid wsp:val=&quot;00910522&quot;/&gt;&lt;wsp:rsid wsp:val=&quot;00943A7E&quot;/&gt;&lt;wsp:rsid wsp:val=&quot;009750CA&quot;/&gt;&lt;wsp:rsid wsp:val=&quot;00976CC3&quot;/&gt;&lt;wsp:rsid wsp:val=&quot;009806BA&quot;/&gt;&lt;wsp:rsid wsp:val=&quot;0099095E&quot;/&gt;&lt;wsp:rsid wsp:val=&quot;0099436C&quot;/&gt;&lt;wsp:rsid wsp:val=&quot;00997891&quot;/&gt;&lt;wsp:rsid wsp:val=&quot;009A658D&quot;/&gt;&lt;wsp:rsid wsp:val=&quot;009B1A50&quot;/&gt;&lt;wsp:rsid wsp:val=&quot;009B2900&quot;/&gt;&lt;wsp:rsid wsp:val=&quot;009C6678&quot;/&gt;&lt;wsp:rsid wsp:val=&quot;009D3B4E&quot;/&gt;&lt;wsp:rsid wsp:val=&quot;009F0D51&quot;/&gt;&lt;wsp:rsid wsp:val=&quot;00A02556&quot;/&gt;&lt;wsp:rsid wsp:val=&quot;00A11D82&quot;/&gt;&lt;wsp:rsid wsp:val=&quot;00A233C5&quot;/&gt;&lt;wsp:rsid wsp:val=&quot;00A25C8E&quot;/&gt;&lt;wsp:rsid wsp:val=&quot;00A30CA7&quot;/&gt;&lt;wsp:rsid wsp:val=&quot;00A475D0&quot;/&gt;&lt;wsp:rsid wsp:val=&quot;00A75A6F&quot;/&gt;&lt;wsp:rsid wsp:val=&quot;00A84516&quot;/&gt;&lt;wsp:rsid wsp:val=&quot;00A90AF8&quot;/&gt;&lt;wsp:rsid wsp:val=&quot;00AB5440&quot;/&gt;&lt;wsp:rsid wsp:val=&quot;00AD6251&quot;/&gt;&lt;wsp:rsid wsp:val=&quot;00AE737F&quot;/&gt;&lt;wsp:rsid wsp:val=&quot;00B02A2C&quot;/&gt;&lt;wsp:rsid wsp:val=&quot;00B32B53&quot;/&gt;&lt;wsp:rsid wsp:val=&quot;00B55249&quot;/&gt;&lt;wsp:rsid wsp:val=&quot;00B70DDB&quot;/&gt;&lt;wsp:rsid wsp:val=&quot;00B91660&quot;/&gt;&lt;wsp:rsid wsp:val=&quot;00B920D5&quot;/&gt;&lt;wsp:rsid wsp:val=&quot;00BA3144&quot;/&gt;&lt;wsp:rsid wsp:val=&quot;00BA54C6&quot;/&gt;&lt;wsp:rsid wsp:val=&quot;00BD55AB&quot;/&gt;&lt;wsp:rsid wsp:val=&quot;00BF1A68&quot;/&gt;&lt;wsp:rsid wsp:val=&quot;00BF3DD0&quot;/&gt;&lt;wsp:rsid wsp:val=&quot;00BF7B0B&quot;/&gt;&lt;wsp:rsid wsp:val=&quot;00C02B1C&quot;/&gt;&lt;wsp:rsid wsp:val=&quot;00C070BB&quot;/&gt;&lt;wsp:rsid wsp:val=&quot;00C12D29&quot;/&gt;&lt;wsp:rsid wsp:val=&quot;00C4209A&quot;/&gt;&lt;wsp:rsid wsp:val=&quot;00C423EE&quot;/&gt;&lt;wsp:rsid wsp:val=&quot;00C819D3&quot;/&gt;&lt;wsp:rsid wsp:val=&quot;00C82FA6&quot;/&gt;&lt;wsp:rsid wsp:val=&quot;00C87935&quot;/&gt;&lt;wsp:rsid wsp:val=&quot;00C92688&quot;/&gt;&lt;wsp:rsid wsp:val=&quot;00CD0EFC&quot;/&gt;&lt;wsp:rsid wsp:val=&quot;00CE4BD3&quot;/&gt;&lt;wsp:rsid wsp:val=&quot;00CF2E21&quot;/&gt;&lt;wsp:rsid wsp:val=&quot;00CF76CB&quot;/&gt;&lt;wsp:rsid wsp:val=&quot;00D0045F&quot;/&gt;&lt;wsp:rsid wsp:val=&quot;00D03F79&quot;/&gt;&lt;wsp:rsid wsp:val=&quot;00D04002&quot;/&gt;&lt;wsp:rsid wsp:val=&quot;00D239D5&quot;/&gt;&lt;wsp:rsid wsp:val=&quot;00D26283&quot;/&gt;&lt;wsp:rsid wsp:val=&quot;00D44A6A&quot;/&gt;&lt;wsp:rsid wsp:val=&quot;00D53587&quot;/&gt;&lt;wsp:rsid wsp:val=&quot;00D54150&quot;/&gt;&lt;wsp:rsid wsp:val=&quot;00D603A3&quot;/&gt;&lt;wsp:rsid wsp:val=&quot;00D810CD&quot;/&gt;&lt;wsp:rsid wsp:val=&quot;00D8677B&quot;/&gt;&lt;wsp:rsid wsp:val=&quot;00D943A8&quot;/&gt;&lt;wsp:rsid wsp:val=&quot;00DC7785&quot;/&gt;&lt;wsp:rsid wsp:val=&quot;00DD0D8D&quot;/&gt;&lt;wsp:rsid wsp:val=&quot;00DD10EC&quot;/&gt;&lt;wsp:rsid wsp:val=&quot;00DE4D72&quot;/&gt;&lt;wsp:rsid wsp:val=&quot;00DF0FCB&quot;/&gt;&lt;wsp:rsid wsp:val=&quot;00DF57C2&quot;/&gt;&lt;wsp:rsid wsp:val=&quot;00E04E56&quot;/&gt;&lt;wsp:rsid wsp:val=&quot;00E07E2A&quot;/&gt;&lt;wsp:rsid wsp:val=&quot;00E1533B&quot;/&gt;&lt;wsp:rsid wsp:val=&quot;00E2172E&quot;/&gt;&lt;wsp:rsid wsp:val=&quot;00E30B05&quot;/&gt;&lt;wsp:rsid wsp:val=&quot;00E32774&quot;/&gt;&lt;wsp:rsid wsp:val=&quot;00E34F16&quot;/&gt;&lt;wsp:rsid wsp:val=&quot;00E416AE&quot;/&gt;&lt;wsp:rsid wsp:val=&quot;00E63CD6&quot;/&gt;&lt;wsp:rsid wsp:val=&quot;00E66CCB&quot;/&gt;&lt;wsp:rsid wsp:val=&quot;00EA2430&quot;/&gt;&lt;wsp:rsid wsp:val=&quot;00EB5732&quot;/&gt;&lt;wsp:rsid wsp:val=&quot;00EC7126&quot;/&gt;&lt;wsp:rsid wsp:val=&quot;00ED20C1&quot;/&gt;&lt;wsp:rsid wsp:val=&quot;00EF0076&quot;/&gt;&lt;wsp:rsid wsp:val=&quot;00EF1761&quot;/&gt;&lt;wsp:rsid wsp:val=&quot;00F023CC&quot;/&gt;&lt;wsp:rsid wsp:val=&quot;00F11287&quot;/&gt;&lt;wsp:rsid wsp:val=&quot;00F14E48&quot;/&gt;&lt;wsp:rsid wsp:val=&quot;00F15E89&quot;/&gt;&lt;wsp:rsid wsp:val=&quot;00F15F7B&quot;/&gt;&lt;wsp:rsid wsp:val=&quot;00F24EB9&quot;/&gt;&lt;wsp:rsid wsp:val=&quot;00F305A0&quot;/&gt;&lt;wsp:rsid wsp:val=&quot;00F35600&quot;/&gt;&lt;wsp:rsid wsp:val=&quot;00F3691C&quot;/&gt;&lt;wsp:rsid wsp:val=&quot;00F40914&quot;/&gt;&lt;wsp:rsid wsp:val=&quot;00F44B5C&quot;/&gt;&lt;wsp:rsid wsp:val=&quot;00F46D6C&quot;/&gt;&lt;wsp:rsid wsp:val=&quot;00F503F8&quot;/&gt;&lt;wsp:rsid wsp:val=&quot;00F65B93&quot;/&gt;&lt;wsp:rsid wsp:val=&quot;00F80ACB&quot;/&gt;&lt;wsp:rsid wsp:val=&quot;00F82370&quot;/&gt;&lt;wsp:rsid wsp:val=&quot;00F85773&quot;/&gt;&lt;wsp:rsid wsp:val=&quot;00F8798A&quot;/&gt;&lt;wsp:rsid wsp:val=&quot;00F9036F&quot;/&gt;&lt;wsp:rsid wsp:val=&quot;00FA34DF&quot;/&gt;&lt;wsp:rsid wsp:val=&quot;00FA70B6&quot;/&gt;&lt;wsp:rsid wsp:val=&quot;00FC7426&quot;/&gt;&lt;/wsp:rsids&gt;&lt;/w:docPr&gt;&lt;w:body&gt;&lt;wx:sect&gt;&lt;w:p wsp:rsidR=&quot;00000000&quot; wsp:rsidRDefault=&quot;00EF0076&quot; wsp:rsidP=&quot;00EF0076&quot;&gt;&lt;m:oMathPara&gt;&lt;m:oMath&gt;&lt;m:nary&gt;&lt;m:naryPr&gt;&lt;m:chr m:val=&quot;‚àë&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t=1&lt;/m:t&gt;&lt;/m:r&gt;&lt;/m:sub&gt;&lt;m:sup&gt;&lt;m:r&gt;&lt;w:rPr&gt;&lt;w:rFonts w:ascii=&quot;Cambria Math&quot; w:h-ansi=&quot;Cambria Math&quot;/&gt;&lt;wx:font wx:val=&quot;Cambria Math&quot;/&gt;&lt;w:i/&gt;&lt;/w:rPr&gt;&lt;m:t&gt;T&lt;/m:t&gt;&lt;/m:r&gt;&lt;/m:sup&gt;&lt;m:e&gt;&lt;m:r&gt;&lt;w:rPr&gt;&lt;w:rFonts w:ascii=&quot;Cambria Math&quot; w:h-ansi=&quot;Cambria Math&quot;/&gt;&lt;wx:font wx:val=&quot;Cambria Math&quot;/&gt;&lt;w:i/&gt;&lt;/w:rPr&gt;&lt;m:t&gt;P/&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r)&lt;/m:t&gt;&lt;/m:r&gt;&lt;/m:e&gt;&lt;m:sup&gt;&lt;m:r&gt;&lt;w:rPr&gt;&lt;w:rFonts w:ascii=&quot;Cambria Math&quot; w:h-ansi=&quot;Cambria Math&quot;/&gt;&lt;wx:font wx:val=&quot;Cambria Math&quot;/&gt;&lt;w:i/&gt;&lt;/w:rPr&gt;&lt;m:t&gt;t&lt;/m:t&gt;&lt;/m:r&gt;&lt;/m:sup&gt;&lt;/m:sSup&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694E86" w:rsidRPr="00591BFC">
        <w:instrText xml:space="preserve"> </w:instrText>
      </w:r>
      <w:r w:rsidR="00694E86" w:rsidRPr="00591BFC">
        <w:fldChar w:fldCharType="separate"/>
      </w:r>
      <w:r w:rsidR="002149AD">
        <w:rPr>
          <w:position w:val="-11"/>
        </w:rPr>
        <w:pict w14:anchorId="3B301EA5">
          <v:shape id="_x0000_i1058" type="#_x0000_t75" style="width:74.55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0&amp;lt;/Enabled&amp;gt;&amp;lt;ScanUnformatted&amp;gt;1&amp;lt;/ScanUnformatted&amp;gt;&amp;lt;ScanChanges&amp;gt;1&amp;lt;/ScanChanges&amp;gt;&amp;lt;/ENInstantFormat&amp;gt;&quot;/&gt;&lt;w:docVar w:name=&quot;EN.Layout&quot; w:val=&quot;&amp;lt;ENLayout&amp;gt;&amp;lt;Style&amp;gt;Numbered&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sxpszd2ti9dx04ewefrvfp5bpf5faazszr9p&amp;quot;&amp;gt;SDO references ReFRESH WS2 Copy&amp;lt;record-ids&amp;gt;&amp;lt;item&amp;gt;1&amp;lt;/item&amp;gt;&amp;lt;item&amp;gt;6&amp;lt;/item&amp;gt;&amp;lt;item&amp;gt;7&amp;lt;/item&amp;gt;&amp;lt;item&amp;gt;18&amp;lt;/item&amp;gt;&amp;lt;item&amp;gt;19&amp;lt;/item&amp;gt;&amp;lt;item&amp;gt;21&amp;lt;/item&amp;gt;&amp;lt;item&amp;gt;25&amp;lt;/item&amp;gt;&amp;lt;item&amp;gt;26&amp;lt;/item&amp;gt;&amp;lt;item&amp;gt;27&amp;lt;/item&amp;gt;&amp;lt;item&amp;gt;28&amp;lt;/item&amp;gt;&amp;lt;item&amp;gt;29&amp;lt;/item&amp;gt;&amp;lt;item&amp;gt;30&amp;lt;/item&amp;gt;&amp;lt;item&amp;gt;33&amp;lt;/item&amp;gt;&amp;lt;item&amp;gt;35&amp;lt;/item&amp;gt;&amp;lt;item&amp;gt;36&amp;lt;/item&amp;gt;&amp;lt;item&amp;gt;41&amp;lt;/item&amp;gt;&amp;lt;item&amp;gt;46&amp;lt;/item&amp;gt;&amp;lt;item&amp;gt;51&amp;lt;/item&amp;gt;&amp;lt;item&amp;gt;52&amp;lt;/item&amp;gt;&amp;lt;item&amp;gt;73&amp;lt;/item&amp;gt;&amp;lt;item&amp;gt;81&amp;lt;/item&amp;gt;&amp;lt;item&amp;gt;83&amp;lt;/item&amp;gt;&amp;lt;item&amp;gt;92&amp;lt;/item&amp;gt;&amp;lt;item&amp;gt;543&amp;lt;/item&amp;gt;&amp;lt;item&amp;gt;551&amp;lt;/item&amp;gt;&amp;lt;item&amp;gt;616&amp;lt;/item&amp;gt;&amp;lt;item&amp;gt;619&amp;lt;/item&amp;gt;&amp;lt;item&amp;gt;623&amp;lt;/item&amp;gt;&amp;lt;item&amp;gt;624&amp;lt;/item&amp;gt;&amp;lt;item&amp;gt;626&amp;lt;/item&amp;gt;&amp;lt;item&amp;gt;627&amp;lt;/item&amp;gt;&amp;lt;item&amp;gt;638&amp;lt;/item&amp;gt;&amp;lt;item&amp;gt;639&amp;lt;/item&amp;gt;&amp;lt;item&amp;gt;640&amp;lt;/item&amp;gt;&amp;lt;item&amp;gt;642&amp;lt;/item&amp;gt;&amp;lt;item&amp;gt;643&amp;lt;/item&amp;gt;&amp;lt;item&amp;gt;644&amp;lt;/item&amp;gt;&amp;lt;item&amp;gt;647&amp;lt;/item&amp;gt;&amp;lt;item&amp;gt;649&amp;lt;/item&amp;gt;&amp;lt;item&amp;gt;650&amp;lt;/item&amp;gt;&amp;lt;item&amp;gt;651&amp;lt;/item&amp;gt;&amp;lt;item&amp;gt;653&amp;lt;/item&amp;gt;&amp;lt;item&amp;gt;736&amp;lt;/item&amp;gt;&amp;lt;item&amp;gt;921&amp;lt;/item&amp;gt;&amp;lt;item&amp;gt;925&amp;lt;/item&amp;gt;&amp;lt;item&amp;gt;926&amp;lt;/item&amp;gt;&amp;lt;item&amp;gt;935&amp;lt;/item&amp;gt;&amp;lt;item&amp;gt;940&amp;lt;/item&amp;gt;&amp;lt;item&amp;gt;942&amp;lt;/item&amp;gt;&amp;lt;item&amp;gt;950&amp;lt;/item&amp;gt;&amp;lt;item&amp;gt;1097&amp;lt;/item&amp;gt;&amp;lt;item&amp;gt;1099&amp;lt;/item&amp;gt;&amp;lt;item&amp;gt;1100&amp;lt;/item&amp;gt;&amp;lt;item&amp;gt;1101&amp;lt;/item&amp;gt;&amp;lt;item&amp;gt;1103&amp;lt;/item&amp;gt;&amp;lt;/record-ids&amp;gt;&amp;lt;/item&amp;gt;&amp;lt;/Libraries&amp;gt;&quot;/&gt;&lt;/w:docVars&gt;&lt;wsp:rsids&gt;&lt;wsp:rsidRoot wsp:val=&quot;00E66CCB&quot;/&gt;&lt;wsp:rsid wsp:val=&quot;000309C8&quot;/&gt;&lt;wsp:rsid wsp:val=&quot;000533AF&quot;/&gt;&lt;wsp:rsid wsp:val=&quot;0005500A&quot;/&gt;&lt;wsp:rsid wsp:val=&quot;000A0579&quot;/&gt;&lt;wsp:rsid wsp:val=&quot;000A71B1&quot;/&gt;&lt;wsp:rsid wsp:val=&quot;000B172B&quot;/&gt;&lt;wsp:rsid wsp:val=&quot;000C1219&quot;/&gt;&lt;wsp:rsid wsp:val=&quot;000C151C&quot;/&gt;&lt;wsp:rsid wsp:val=&quot;000C65D4&quot;/&gt;&lt;wsp:rsid wsp:val=&quot;000E1E46&quot;/&gt;&lt;wsp:rsid wsp:val=&quot;000E3804&quot;/&gt;&lt;wsp:rsid wsp:val=&quot;00100C5E&quot;/&gt;&lt;wsp:rsid wsp:val=&quot;00106947&quot;/&gt;&lt;wsp:rsid wsp:val=&quot;00113E0D&quot;/&gt;&lt;wsp:rsid wsp:val=&quot;00114A91&quot;/&gt;&lt;wsp:rsid wsp:val=&quot;0012088D&quot;/&gt;&lt;wsp:rsid wsp:val=&quot;0012131D&quot;/&gt;&lt;wsp:rsid wsp:val=&quot;001259A3&quot;/&gt;&lt;wsp:rsid wsp:val=&quot;001358E2&quot;/&gt;&lt;wsp:rsid wsp:val=&quot;0014055A&quot;/&gt;&lt;wsp:rsid wsp:val=&quot;00152EFF&quot;/&gt;&lt;wsp:rsid wsp:val=&quot;00161005&quot;/&gt;&lt;wsp:rsid wsp:val=&quot;00174611&quot;/&gt;&lt;wsp:rsid wsp:val=&quot;001A4299&quot;/&gt;&lt;wsp:rsid wsp:val=&quot;001C0A90&quot;/&gt;&lt;wsp:rsid wsp:val=&quot;001C5760&quot;/&gt;&lt;wsp:rsid wsp:val=&quot;001C675E&quot;/&gt;&lt;wsp:rsid wsp:val=&quot;001D2501&quot;/&gt;&lt;wsp:rsid wsp:val=&quot;002155FD&quot;/&gt;&lt;wsp:rsid wsp:val=&quot;00231846&quot;/&gt;&lt;wsp:rsid wsp:val=&quot;00252E43&quot;/&gt;&lt;wsp:rsid wsp:val=&quot;002A2953&quot;/&gt;&lt;wsp:rsid wsp:val=&quot;002A30F4&quot;/&gt;&lt;wsp:rsid wsp:val=&quot;002A7E4D&quot;/&gt;&lt;wsp:rsid wsp:val=&quot;002C25B4&quot;/&gt;&lt;wsp:rsid wsp:val=&quot;002D0608&quot;/&gt;&lt;wsp:rsid wsp:val=&quot;002D127D&quot;/&gt;&lt;wsp:rsid wsp:val=&quot;002E7EB4&quot;/&gt;&lt;wsp:rsid wsp:val=&quot;002F10F7&quot;/&gt;&lt;wsp:rsid wsp:val=&quot;00301182&quot;/&gt;&lt;wsp:rsid wsp:val=&quot;003013C2&quot;/&gt;&lt;wsp:rsid wsp:val=&quot;00314D8E&quot;/&gt;&lt;wsp:rsid wsp:val=&quot;00347852&quot;/&gt;&lt;wsp:rsid wsp:val=&quot;0036236C&quot;/&gt;&lt;wsp:rsid wsp:val=&quot;0036789B&quot;/&gt;&lt;wsp:rsid wsp:val=&quot;0038586A&quot;/&gt;&lt;wsp:rsid wsp:val=&quot;003C1348&quot;/&gt;&lt;wsp:rsid wsp:val=&quot;003C57FF&quot;/&gt;&lt;wsp:rsid wsp:val=&quot;003C7B9C&quot;/&gt;&lt;wsp:rsid wsp:val=&quot;003E4BE1&quot;/&gt;&lt;wsp:rsid wsp:val=&quot;003F21B7&quot;/&gt;&lt;wsp:rsid wsp:val=&quot;003F6F0C&quot;/&gt;&lt;wsp:rsid wsp:val=&quot;00427272&quot;/&gt;&lt;wsp:rsid wsp:val=&quot;00442359&quot;/&gt;&lt;wsp:rsid wsp:val=&quot;00444401&quot;/&gt;&lt;wsp:rsid wsp:val=&quot;0044568C&quot;/&gt;&lt;wsp:rsid wsp:val=&quot;00451BF7&quot;/&gt;&lt;wsp:rsid wsp:val=&quot;004603DA&quot;/&gt;&lt;wsp:rsid wsp:val=&quot;00460C0E&quot;/&gt;&lt;wsp:rsid wsp:val=&quot;004643F5&quot;/&gt;&lt;wsp:rsid wsp:val=&quot;00465675&quot;/&gt;&lt;wsp:rsid wsp:val=&quot;00490779&quot;/&gt;&lt;wsp:rsid wsp:val=&quot;004A01E7&quot;/&gt;&lt;wsp:rsid wsp:val=&quot;004A5FE6&quot;/&gt;&lt;wsp:rsid wsp:val=&quot;004B70B3&quot;/&gt;&lt;wsp:rsid wsp:val=&quot;00510B6E&quot;/&gt;&lt;wsp:rsid wsp:val=&quot;005117F0&quot;/&gt;&lt;wsp:rsid wsp:val=&quot;005411BA&quot;/&gt;&lt;wsp:rsid wsp:val=&quot;00542ED0&quot;/&gt;&lt;wsp:rsid wsp:val=&quot;00543656&quot;/&gt;&lt;wsp:rsid wsp:val=&quot;00547C36&quot;/&gt;&lt;wsp:rsid wsp:val=&quot;00557FDA&quot;/&gt;&lt;wsp:rsid wsp:val=&quot;005674F7&quot;/&gt;&lt;wsp:rsid wsp:val=&quot;00587AEE&quot;/&gt;&lt;wsp:rsid wsp:val=&quot;00592031&quot;/&gt;&lt;wsp:rsid wsp:val=&quot;005A0100&quot;/&gt;&lt;wsp:rsid wsp:val=&quot;005B7C34&quot;/&gt;&lt;wsp:rsid wsp:val=&quot;005C3017&quot;/&gt;&lt;wsp:rsid wsp:val=&quot;005D44EE&quot;/&gt;&lt;wsp:rsid wsp:val=&quot;005E1176&quot;/&gt;&lt;wsp:rsid wsp:val=&quot;005E43F5&quot;/&gt;&lt;wsp:rsid wsp:val=&quot;00610A23&quot;/&gt;&lt;wsp:rsid wsp:val=&quot;0061781D&quot;/&gt;&lt;wsp:rsid wsp:val=&quot;0063484A&quot;/&gt;&lt;wsp:rsid wsp:val=&quot;00635313&quot;/&gt;&lt;wsp:rsid wsp:val=&quot;00651F2D&quot;/&gt;&lt;wsp:rsid wsp:val=&quot;00676220&quot;/&gt;&lt;wsp:rsid wsp:val=&quot;006833D8&quot;/&gt;&lt;wsp:rsid wsp:val=&quot;0068523F&quot;/&gt;&lt;wsp:rsid wsp:val=&quot;00694E86&quot;/&gt;&lt;wsp:rsid wsp:val=&quot;006A7D8D&quot;/&gt;&lt;wsp:rsid wsp:val=&quot;006B3519&quot;/&gt;&lt;wsp:rsid wsp:val=&quot;006C026C&quot;/&gt;&lt;wsp:rsid wsp:val=&quot;006D271E&quot;/&gt;&lt;wsp:rsid wsp:val=&quot;006D28F7&quot;/&gt;&lt;wsp:rsid wsp:val=&quot;006E1B1B&quot;/&gt;&lt;wsp:rsid wsp:val=&quot;006E37DB&quot;/&gt;&lt;wsp:rsid wsp:val=&quot;006F52C3&quot;/&gt;&lt;wsp:rsid wsp:val=&quot;00700E3E&quot;/&gt;&lt;wsp:rsid wsp:val=&quot;00711A4F&quot;/&gt;&lt;wsp:rsid wsp:val=&quot;00745889&quot;/&gt;&lt;wsp:rsid wsp:val=&quot;007608C2&quot;/&gt;&lt;wsp:rsid wsp:val=&quot;00764089&quot;/&gt;&lt;wsp:rsid wsp:val=&quot;00777CF5&quot;/&gt;&lt;wsp:rsid wsp:val=&quot;00784BE9&quot;/&gt;&lt;wsp:rsid wsp:val=&quot;007A6450&quot;/&gt;&lt;wsp:rsid wsp:val=&quot;007B08B0&quot;/&gt;&lt;wsp:rsid wsp:val=&quot;007B4345&quot;/&gt;&lt;wsp:rsid wsp:val=&quot;007B5FB8&quot;/&gt;&lt;wsp:rsid wsp:val=&quot;007D1DD4&quot;/&gt;&lt;wsp:rsid wsp:val=&quot;007E24F8&quot;/&gt;&lt;wsp:rsid wsp:val=&quot;00812F78&quot;/&gt;&lt;wsp:rsid wsp:val=&quot;00820085&quot;/&gt;&lt;wsp:rsid wsp:val=&quot;00832F55&quot;/&gt;&lt;wsp:rsid wsp:val=&quot;00835121&quot;/&gt;&lt;wsp:rsid wsp:val=&quot;00837363&quot;/&gt;&lt;wsp:rsid wsp:val=&quot;0084170F&quot;/&gt;&lt;wsp:rsid wsp:val=&quot;00843947&quot;/&gt;&lt;wsp:rsid wsp:val=&quot;00845110&quot;/&gt;&lt;wsp:rsid wsp:val=&quot;0085163A&quot;/&gt;&lt;wsp:rsid wsp:val=&quot;00855C09&quot;/&gt;&lt;wsp:rsid wsp:val=&quot;00892641&quot;/&gt;&lt;wsp:rsid wsp:val=&quot;008A13E6&quot;/&gt;&lt;wsp:rsid wsp:val=&quot;008B10C9&quot;/&gt;&lt;wsp:rsid wsp:val=&quot;008B5F61&quot;/&gt;&lt;wsp:rsid wsp:val=&quot;008C3090&quot;/&gt;&lt;wsp:rsid wsp:val=&quot;008E669E&quot;/&gt;&lt;wsp:rsid wsp:val=&quot;008E7E74&quot;/&gt;&lt;wsp:rsid wsp:val=&quot;008F1825&quot;/&gt;&lt;wsp:rsid wsp:val=&quot;00905A57&quot;/&gt;&lt;wsp:rsid wsp:val=&quot;00910522&quot;/&gt;&lt;wsp:rsid wsp:val=&quot;00943A7E&quot;/&gt;&lt;wsp:rsid wsp:val=&quot;009750CA&quot;/&gt;&lt;wsp:rsid wsp:val=&quot;00976CC3&quot;/&gt;&lt;wsp:rsid wsp:val=&quot;009806BA&quot;/&gt;&lt;wsp:rsid wsp:val=&quot;0099095E&quot;/&gt;&lt;wsp:rsid wsp:val=&quot;0099436C&quot;/&gt;&lt;wsp:rsid wsp:val=&quot;00997891&quot;/&gt;&lt;wsp:rsid wsp:val=&quot;009A658D&quot;/&gt;&lt;wsp:rsid wsp:val=&quot;009B1A50&quot;/&gt;&lt;wsp:rsid wsp:val=&quot;009B2900&quot;/&gt;&lt;wsp:rsid wsp:val=&quot;009C6678&quot;/&gt;&lt;wsp:rsid wsp:val=&quot;009D3B4E&quot;/&gt;&lt;wsp:rsid wsp:val=&quot;009F0D51&quot;/&gt;&lt;wsp:rsid wsp:val=&quot;00A02556&quot;/&gt;&lt;wsp:rsid wsp:val=&quot;00A11D82&quot;/&gt;&lt;wsp:rsid wsp:val=&quot;00A233C5&quot;/&gt;&lt;wsp:rsid wsp:val=&quot;00A25C8E&quot;/&gt;&lt;wsp:rsid wsp:val=&quot;00A30CA7&quot;/&gt;&lt;wsp:rsid wsp:val=&quot;00A475D0&quot;/&gt;&lt;wsp:rsid wsp:val=&quot;00A75A6F&quot;/&gt;&lt;wsp:rsid wsp:val=&quot;00A84516&quot;/&gt;&lt;wsp:rsid wsp:val=&quot;00A90AF8&quot;/&gt;&lt;wsp:rsid wsp:val=&quot;00AB5440&quot;/&gt;&lt;wsp:rsid wsp:val=&quot;00AD6251&quot;/&gt;&lt;wsp:rsid wsp:val=&quot;00AE737F&quot;/&gt;&lt;wsp:rsid wsp:val=&quot;00B02A2C&quot;/&gt;&lt;wsp:rsid wsp:val=&quot;00B32B53&quot;/&gt;&lt;wsp:rsid wsp:val=&quot;00B55249&quot;/&gt;&lt;wsp:rsid wsp:val=&quot;00B70DDB&quot;/&gt;&lt;wsp:rsid wsp:val=&quot;00B91660&quot;/&gt;&lt;wsp:rsid wsp:val=&quot;00B920D5&quot;/&gt;&lt;wsp:rsid wsp:val=&quot;00BA3144&quot;/&gt;&lt;wsp:rsid wsp:val=&quot;00BA54C6&quot;/&gt;&lt;wsp:rsid wsp:val=&quot;00BD55AB&quot;/&gt;&lt;wsp:rsid wsp:val=&quot;00BF1A68&quot;/&gt;&lt;wsp:rsid wsp:val=&quot;00BF3DD0&quot;/&gt;&lt;wsp:rsid wsp:val=&quot;00BF7B0B&quot;/&gt;&lt;wsp:rsid wsp:val=&quot;00C02B1C&quot;/&gt;&lt;wsp:rsid wsp:val=&quot;00C070BB&quot;/&gt;&lt;wsp:rsid wsp:val=&quot;00C12D29&quot;/&gt;&lt;wsp:rsid wsp:val=&quot;00C4209A&quot;/&gt;&lt;wsp:rsid wsp:val=&quot;00C423EE&quot;/&gt;&lt;wsp:rsid wsp:val=&quot;00C819D3&quot;/&gt;&lt;wsp:rsid wsp:val=&quot;00C82FA6&quot;/&gt;&lt;wsp:rsid wsp:val=&quot;00C87935&quot;/&gt;&lt;wsp:rsid wsp:val=&quot;00C92688&quot;/&gt;&lt;wsp:rsid wsp:val=&quot;00CD0EFC&quot;/&gt;&lt;wsp:rsid wsp:val=&quot;00CE4BD3&quot;/&gt;&lt;wsp:rsid wsp:val=&quot;00CF2E21&quot;/&gt;&lt;wsp:rsid wsp:val=&quot;00CF76CB&quot;/&gt;&lt;wsp:rsid wsp:val=&quot;00D0045F&quot;/&gt;&lt;wsp:rsid wsp:val=&quot;00D03F79&quot;/&gt;&lt;wsp:rsid wsp:val=&quot;00D04002&quot;/&gt;&lt;wsp:rsid wsp:val=&quot;00D239D5&quot;/&gt;&lt;wsp:rsid wsp:val=&quot;00D26283&quot;/&gt;&lt;wsp:rsid wsp:val=&quot;00D44A6A&quot;/&gt;&lt;wsp:rsid wsp:val=&quot;00D53587&quot;/&gt;&lt;wsp:rsid wsp:val=&quot;00D54150&quot;/&gt;&lt;wsp:rsid wsp:val=&quot;00D603A3&quot;/&gt;&lt;wsp:rsid wsp:val=&quot;00D810CD&quot;/&gt;&lt;wsp:rsid wsp:val=&quot;00D8677B&quot;/&gt;&lt;wsp:rsid wsp:val=&quot;00D943A8&quot;/&gt;&lt;wsp:rsid wsp:val=&quot;00DC7785&quot;/&gt;&lt;wsp:rsid wsp:val=&quot;00DD0D8D&quot;/&gt;&lt;wsp:rsid wsp:val=&quot;00DD10EC&quot;/&gt;&lt;wsp:rsid wsp:val=&quot;00DE4D72&quot;/&gt;&lt;wsp:rsid wsp:val=&quot;00DF0FCB&quot;/&gt;&lt;wsp:rsid wsp:val=&quot;00DF57C2&quot;/&gt;&lt;wsp:rsid wsp:val=&quot;00E04E56&quot;/&gt;&lt;wsp:rsid wsp:val=&quot;00E07E2A&quot;/&gt;&lt;wsp:rsid wsp:val=&quot;00E1533B&quot;/&gt;&lt;wsp:rsid wsp:val=&quot;00E2172E&quot;/&gt;&lt;wsp:rsid wsp:val=&quot;00E30B05&quot;/&gt;&lt;wsp:rsid wsp:val=&quot;00E32774&quot;/&gt;&lt;wsp:rsid wsp:val=&quot;00E34F16&quot;/&gt;&lt;wsp:rsid wsp:val=&quot;00E416AE&quot;/&gt;&lt;wsp:rsid wsp:val=&quot;00E63CD6&quot;/&gt;&lt;wsp:rsid wsp:val=&quot;00E66CCB&quot;/&gt;&lt;wsp:rsid wsp:val=&quot;00EA2430&quot;/&gt;&lt;wsp:rsid wsp:val=&quot;00EB5732&quot;/&gt;&lt;wsp:rsid wsp:val=&quot;00EC7126&quot;/&gt;&lt;wsp:rsid wsp:val=&quot;00ED20C1&quot;/&gt;&lt;wsp:rsid wsp:val=&quot;00EF0076&quot;/&gt;&lt;wsp:rsid wsp:val=&quot;00EF1761&quot;/&gt;&lt;wsp:rsid wsp:val=&quot;00F023CC&quot;/&gt;&lt;wsp:rsid wsp:val=&quot;00F11287&quot;/&gt;&lt;wsp:rsid wsp:val=&quot;00F14E48&quot;/&gt;&lt;wsp:rsid wsp:val=&quot;00F15E89&quot;/&gt;&lt;wsp:rsid wsp:val=&quot;00F15F7B&quot;/&gt;&lt;wsp:rsid wsp:val=&quot;00F24EB9&quot;/&gt;&lt;wsp:rsid wsp:val=&quot;00F305A0&quot;/&gt;&lt;wsp:rsid wsp:val=&quot;00F35600&quot;/&gt;&lt;wsp:rsid wsp:val=&quot;00F3691C&quot;/&gt;&lt;wsp:rsid wsp:val=&quot;00F40914&quot;/&gt;&lt;wsp:rsid wsp:val=&quot;00F44B5C&quot;/&gt;&lt;wsp:rsid wsp:val=&quot;00F46D6C&quot;/&gt;&lt;wsp:rsid wsp:val=&quot;00F503F8&quot;/&gt;&lt;wsp:rsid wsp:val=&quot;00F65B93&quot;/&gt;&lt;wsp:rsid wsp:val=&quot;00F80ACB&quot;/&gt;&lt;wsp:rsid wsp:val=&quot;00F82370&quot;/&gt;&lt;wsp:rsid wsp:val=&quot;00F85773&quot;/&gt;&lt;wsp:rsid wsp:val=&quot;00F8798A&quot;/&gt;&lt;wsp:rsid wsp:val=&quot;00F9036F&quot;/&gt;&lt;wsp:rsid wsp:val=&quot;00FA34DF&quot;/&gt;&lt;wsp:rsid wsp:val=&quot;00FA70B6&quot;/&gt;&lt;wsp:rsid wsp:val=&quot;00FC7426&quot;/&gt;&lt;/wsp:rsids&gt;&lt;/w:docPr&gt;&lt;w:body&gt;&lt;wx:sect&gt;&lt;w:p wsp:rsidR=&quot;00000000&quot; wsp:rsidRDefault=&quot;00EF0076&quot; wsp:rsidP=&quot;00EF0076&quot;&gt;&lt;m:oMathPara&gt;&lt;m:oMath&gt;&lt;m:nary&gt;&lt;m:naryPr&gt;&lt;m:chr m:val=&quot;‚àë&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t=1&lt;/m:t&gt;&lt;/m:r&gt;&lt;/m:sub&gt;&lt;m:sup&gt;&lt;m:r&gt;&lt;w:rPr&gt;&lt;w:rFonts w:ascii=&quot;Cambria Math&quot; w:h-ansi=&quot;Cambria Math&quot;/&gt;&lt;wx:font wx:val=&quot;Cambria Math&quot;/&gt;&lt;w:i/&gt;&lt;/w:rPr&gt;&lt;m:t&gt;T&lt;/m:t&gt;&lt;/m:r&gt;&lt;/m:sup&gt;&lt;m:e&gt;&lt;m:r&gt;&lt;w:rPr&gt;&lt;w:rFonts w:ascii=&quot;Cambria Math&quot; w:h-ansi=&quot;Cambria Math&quot;/&gt;&lt;wx:font wx:val=&quot;Cambria Math&quot;/&gt;&lt;w:i/&gt;&lt;/w:rPr&gt;&lt;m:t&gt;P/&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r)&lt;/m:t&gt;&lt;/m:r&gt;&lt;/m:e&gt;&lt;m:sup&gt;&lt;m:r&gt;&lt;w:rPr&gt;&lt;w:rFonts w:ascii=&quot;Cambria Math&quot; w:h-ansi=&quot;Cambria Math&quot;/&gt;&lt;wx:font wx:val=&quot;Cambria Math&quot;/&gt;&lt;w:i/&gt;&lt;/w:rPr&gt;&lt;m:t&gt;t&lt;/m:t&gt;&lt;/m:r&gt;&lt;/m:sup&gt;&lt;/m:sSup&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694E86" w:rsidRPr="00591BFC">
        <w:fldChar w:fldCharType="end"/>
      </w:r>
    </w:p>
    <w:p w14:paraId="30752119" w14:textId="77777777" w:rsidR="00CF2E21" w:rsidRPr="00591BFC" w:rsidRDefault="00CF2E21" w:rsidP="00E86771">
      <w:pPr>
        <w:spacing w:line="360" w:lineRule="auto"/>
      </w:pPr>
      <w:r w:rsidRPr="00591BFC">
        <w:t>Where Pt was 70,000 in England and the discount rate used, r, was 3.5%.</w:t>
      </w:r>
    </w:p>
    <w:p w14:paraId="1883879D" w14:textId="77777777" w:rsidR="00CF2E21" w:rsidRPr="00591BFC" w:rsidRDefault="00CF2E21" w:rsidP="00E86771">
      <w:pPr>
        <w:pStyle w:val="Heading2"/>
        <w:spacing w:line="360" w:lineRule="auto"/>
        <w:rPr>
          <w:rFonts w:ascii="Calibri" w:hAnsi="Calibri"/>
          <w:lang w:val="en-GB"/>
        </w:rPr>
      </w:pPr>
      <w:bookmarkStart w:id="449" w:name="_Toc308300815"/>
      <w:bookmarkStart w:id="450" w:name="_Toc311366622"/>
      <w:r w:rsidRPr="00591BFC">
        <w:rPr>
          <w:rFonts w:ascii="Calibri" w:hAnsi="Calibri"/>
          <w:lang w:val="en-GB"/>
        </w:rPr>
        <w:t>Results</w:t>
      </w:r>
      <w:bookmarkEnd w:id="449"/>
      <w:bookmarkEnd w:id="450"/>
    </w:p>
    <w:p w14:paraId="08F6491C" w14:textId="77777777" w:rsidR="00CF2E21" w:rsidRPr="00591BFC" w:rsidRDefault="00CF2E21" w:rsidP="00E86771">
      <w:pPr>
        <w:pStyle w:val="Heading3"/>
        <w:spacing w:line="360" w:lineRule="auto"/>
        <w:rPr>
          <w:rFonts w:ascii="Calibri" w:hAnsi="Calibri"/>
          <w:lang w:val="en-GB"/>
        </w:rPr>
      </w:pPr>
      <w:bookmarkStart w:id="451" w:name="_Toc308300816"/>
      <w:bookmarkStart w:id="452" w:name="_Toc311366623"/>
      <w:r w:rsidRPr="00591BFC">
        <w:rPr>
          <w:rFonts w:ascii="Calibri" w:hAnsi="Calibri"/>
          <w:lang w:val="en-GB"/>
        </w:rPr>
        <w:t>Representative patient</w:t>
      </w:r>
      <w:bookmarkEnd w:id="451"/>
      <w:bookmarkEnd w:id="452"/>
    </w:p>
    <w:p w14:paraId="6B5F7E0D" w14:textId="77777777" w:rsidR="00CF2E21" w:rsidRPr="00591BFC" w:rsidRDefault="00CF2E21" w:rsidP="00E86771">
      <w:pPr>
        <w:spacing w:line="360" w:lineRule="auto"/>
      </w:pPr>
      <w:r w:rsidRPr="00591BFC">
        <w:t>Two cohorts of 1,000 identical men and women were used to simulate a representative patient aged 83 years at hip fracture, with an average pre-admission Charlson-comorbidity score of 1.2 and living in their own home before the fracture.</w:t>
      </w:r>
    </w:p>
    <w:p w14:paraId="4973B27B" w14:textId="77777777" w:rsidR="00CF2E21" w:rsidRPr="00591BFC" w:rsidRDefault="00CF2E21" w:rsidP="00E86771">
      <w:pPr>
        <w:spacing w:line="360" w:lineRule="auto"/>
      </w:pPr>
      <w:r w:rsidRPr="00591BFC">
        <w:t xml:space="preserve">For our male cohort, the introduction of an OG and a FLN would result in a reduction of 26 (95% CI: 17-34) and 19 (95% CI: 9-28) deaths within 30 days of primary hip fracture, respectively, compared to </w:t>
      </w:r>
      <w:r w:rsidR="008A6CC5">
        <w:t xml:space="preserve">usual </w:t>
      </w:r>
      <w:r w:rsidRPr="00591BFC">
        <w:t>care (</w:t>
      </w:r>
      <w:r w:rsidR="008A6CC5">
        <w:fldChar w:fldCharType="begin"/>
      </w:r>
      <w:r w:rsidR="008A6CC5">
        <w:instrText xml:space="preserve"> REF _Ref423078298 \h </w:instrText>
      </w:r>
      <w:r w:rsidR="008A6CC5">
        <w:fldChar w:fldCharType="separate"/>
      </w:r>
      <w:r w:rsidR="00776C05" w:rsidRPr="00591BFC">
        <w:t xml:space="preserve">Table </w:t>
      </w:r>
      <w:r w:rsidR="00776C05">
        <w:rPr>
          <w:noProof/>
        </w:rPr>
        <w:t>36</w:t>
      </w:r>
      <w:r w:rsidR="008A6CC5">
        <w:fldChar w:fldCharType="end"/>
      </w:r>
      <w:r w:rsidRPr="00591BFC">
        <w:t xml:space="preserve">). Within 1-year of primary hip fracture, the reduction in deaths by introducing an OG and a FLN, compared to </w:t>
      </w:r>
      <w:r w:rsidR="00797551">
        <w:t>usual</w:t>
      </w:r>
      <w:r w:rsidRPr="00591BFC">
        <w:t xml:space="preserve"> care, were 58 (95% CI: 42-71) and 46 (95%</w:t>
      </w:r>
      <w:r w:rsidR="00BA4355">
        <w:t xml:space="preserve"> </w:t>
      </w:r>
      <w:r w:rsidRPr="00591BFC">
        <w:t xml:space="preserve">CI: 27-63), respectively. Over the lifetime of the cohort, when compared to </w:t>
      </w:r>
      <w:r w:rsidR="00797551">
        <w:t>usual</w:t>
      </w:r>
      <w:r w:rsidRPr="00591BFC">
        <w:t xml:space="preserve"> care, there would be an increase of 0.18 (95%</w:t>
      </w:r>
      <w:r w:rsidR="00BA4355">
        <w:t xml:space="preserve"> </w:t>
      </w:r>
      <w:r w:rsidRPr="00591BFC">
        <w:t>CI: 0.14-0.22) and 0.14 (95%</w:t>
      </w:r>
      <w:r w:rsidR="00BA4355">
        <w:t xml:space="preserve"> </w:t>
      </w:r>
      <w:r w:rsidRPr="00591BFC">
        <w:t xml:space="preserve">CI: 0.09-0.19) life years (undiscounted) spent in their own home if an OG or a FLN were to be introduced, respectively. </w:t>
      </w:r>
    </w:p>
    <w:p w14:paraId="7692F8F7" w14:textId="77777777" w:rsidR="00CF2E21" w:rsidRPr="00591BFC" w:rsidRDefault="00CF2E21" w:rsidP="00E86771">
      <w:pPr>
        <w:spacing w:line="360" w:lineRule="auto"/>
      </w:pPr>
      <w:r w:rsidRPr="00591BFC">
        <w:t>For our female cohort, the introduction of an OG and a FLN would result in a reduction of 16 (95% CI: 11-22) and 12 (95% CI: 5-18) deaths within 30 days of primary hip fract</w:t>
      </w:r>
      <w:r w:rsidR="00797551">
        <w:t xml:space="preserve">ure, respectively, </w:t>
      </w:r>
      <w:r w:rsidR="00797551">
        <w:lastRenderedPageBreak/>
        <w:t>compared to usual</w:t>
      </w:r>
      <w:r w:rsidRPr="00591BFC">
        <w:t xml:space="preserve"> care (</w:t>
      </w:r>
      <w:r w:rsidR="008A6CC5">
        <w:fldChar w:fldCharType="begin"/>
      </w:r>
      <w:r w:rsidR="008A6CC5">
        <w:instrText xml:space="preserve"> REF _Ref423078306 \h </w:instrText>
      </w:r>
      <w:r w:rsidR="008A6CC5">
        <w:fldChar w:fldCharType="separate"/>
      </w:r>
      <w:r w:rsidR="00776C05" w:rsidRPr="00591BFC">
        <w:t xml:space="preserve">Table </w:t>
      </w:r>
      <w:r w:rsidR="00776C05">
        <w:rPr>
          <w:noProof/>
        </w:rPr>
        <w:t>37</w:t>
      </w:r>
      <w:r w:rsidR="008A6CC5">
        <w:fldChar w:fldCharType="end"/>
      </w:r>
      <w:r w:rsidRPr="00591BFC">
        <w:t>). Within 1-year of primary hip fracture, the reduction in deaths by introducin</w:t>
      </w:r>
      <w:r w:rsidR="00797551">
        <w:t>g an OG and a FLN, compared to usual</w:t>
      </w:r>
      <w:r w:rsidRPr="00591BFC">
        <w:t xml:space="preserve"> care, were 42 (95% CI: 31-52) and 33 (95%</w:t>
      </w:r>
      <w:r w:rsidR="00BA4355">
        <w:t xml:space="preserve"> </w:t>
      </w:r>
      <w:r w:rsidRPr="00591BFC">
        <w:t>CI: 20-46), respectively. Over the lifetime o</w:t>
      </w:r>
      <w:r w:rsidR="00797551">
        <w:t>f the cohort, when compared to usual</w:t>
      </w:r>
      <w:r w:rsidRPr="00591BFC">
        <w:t xml:space="preserve"> care, there would be an increase of 0.17 (95%</w:t>
      </w:r>
      <w:r w:rsidR="00BA4355">
        <w:t xml:space="preserve"> </w:t>
      </w:r>
      <w:r w:rsidRPr="00591BFC">
        <w:t>CI: 0.13-0.22) and 0.13 (95%</w:t>
      </w:r>
      <w:r w:rsidR="00BA4355">
        <w:t xml:space="preserve"> </w:t>
      </w:r>
      <w:r w:rsidRPr="00591BFC">
        <w:t>CI: 0.08-0.19) life years (undiscounted) spent in their own home if an OG or a FLN were to be introduced, respectively.</w:t>
      </w:r>
    </w:p>
    <w:p w14:paraId="7F66053A" w14:textId="4B340013" w:rsidR="009F1181" w:rsidRPr="00591BFC" w:rsidRDefault="00CF2E21" w:rsidP="00E86771">
      <w:pPr>
        <w:spacing w:line="360" w:lineRule="auto"/>
      </w:pPr>
      <w:r w:rsidRPr="00591BFC">
        <w:t xml:space="preserve">Due to better survival, the number of second hip fractures and major non-hip fractures were higher with the introduction of an OG or a FLN, compared to </w:t>
      </w:r>
      <w:r w:rsidR="00797551">
        <w:t>usual</w:t>
      </w:r>
      <w:r w:rsidRPr="00591BFC">
        <w:t xml:space="preserve"> care, in both the female and male cohorts (</w:t>
      </w:r>
      <w:r w:rsidR="000C3295" w:rsidRPr="00591BFC">
        <w:fldChar w:fldCharType="begin"/>
      </w:r>
      <w:r w:rsidR="000C3295" w:rsidRPr="00591BFC">
        <w:instrText xml:space="preserve"> REF _Ref423078298 \h </w:instrText>
      </w:r>
      <w:r w:rsidR="00E814C1" w:rsidRPr="00591BFC">
        <w:instrText xml:space="preserve"> \* MERGEFORMAT </w:instrText>
      </w:r>
      <w:r w:rsidR="000C3295" w:rsidRPr="00591BFC">
        <w:fldChar w:fldCharType="separate"/>
      </w:r>
      <w:r w:rsidR="00776C05" w:rsidRPr="00591BFC">
        <w:t xml:space="preserve">Table </w:t>
      </w:r>
      <w:r w:rsidR="00776C05">
        <w:rPr>
          <w:noProof/>
        </w:rPr>
        <w:t>36</w:t>
      </w:r>
      <w:r w:rsidR="000C3295" w:rsidRPr="00591BFC">
        <w:fldChar w:fldCharType="end"/>
      </w:r>
      <w:r w:rsidR="000C3295" w:rsidRPr="00591BFC">
        <w:t xml:space="preserve"> and </w:t>
      </w:r>
      <w:r w:rsidR="000C3295" w:rsidRPr="00591BFC">
        <w:fldChar w:fldCharType="begin"/>
      </w:r>
      <w:r w:rsidR="000C3295" w:rsidRPr="00591BFC">
        <w:instrText xml:space="preserve"> REF _Ref423078306 \h </w:instrText>
      </w:r>
      <w:r w:rsidR="00E814C1" w:rsidRPr="00591BFC">
        <w:instrText xml:space="preserve"> \* MERGEFORMAT </w:instrText>
      </w:r>
      <w:r w:rsidR="000C3295" w:rsidRPr="00591BFC">
        <w:fldChar w:fldCharType="separate"/>
      </w:r>
      <w:r w:rsidR="008A6CC5" w:rsidRPr="00591BFC">
        <w:t xml:space="preserve">Table </w:t>
      </w:r>
      <w:r w:rsidR="008A2F17">
        <w:rPr>
          <w:noProof/>
        </w:rPr>
        <w:t>37</w:t>
      </w:r>
      <w:r w:rsidR="000C3295" w:rsidRPr="00591BFC">
        <w:fldChar w:fldCharType="end"/>
      </w:r>
      <w:r w:rsidRPr="00591BFC">
        <w:t>).</w:t>
      </w:r>
    </w:p>
    <w:p w14:paraId="07E378B0" w14:textId="77777777" w:rsidR="00CF2E21" w:rsidRPr="00591BFC" w:rsidRDefault="009F1181" w:rsidP="00E86771">
      <w:pPr>
        <w:spacing w:line="360" w:lineRule="auto"/>
      </w:pPr>
      <w:r w:rsidRPr="00591BFC">
        <w:br w:type="page"/>
      </w:r>
    </w:p>
    <w:p w14:paraId="3C9999BB" w14:textId="77777777" w:rsidR="000C3295" w:rsidRPr="00591BFC" w:rsidRDefault="000C3295" w:rsidP="00E86771">
      <w:pPr>
        <w:pStyle w:val="Caption"/>
        <w:keepNext/>
        <w:spacing w:line="360" w:lineRule="auto"/>
      </w:pPr>
      <w:bookmarkStart w:id="453" w:name="_Ref423078298"/>
      <w:bookmarkStart w:id="454" w:name="_Toc308262431"/>
      <w:bookmarkStart w:id="455" w:name="_Toc311366697"/>
      <w:r w:rsidRPr="00591BFC">
        <w:t xml:space="preserve">Table </w:t>
      </w:r>
      <w:r w:rsidR="002149AD">
        <w:fldChar w:fldCharType="begin"/>
      </w:r>
      <w:r w:rsidR="002149AD">
        <w:instrText xml:space="preserve"> SEQ Table \* ARABIC </w:instrText>
      </w:r>
      <w:r w:rsidR="002149AD">
        <w:fldChar w:fldCharType="separate"/>
      </w:r>
      <w:r w:rsidR="00776C05">
        <w:rPr>
          <w:noProof/>
        </w:rPr>
        <w:t>36</w:t>
      </w:r>
      <w:r w:rsidR="002149AD">
        <w:rPr>
          <w:noProof/>
        </w:rPr>
        <w:fldChar w:fldCharType="end"/>
      </w:r>
      <w:bookmarkEnd w:id="453"/>
      <w:r w:rsidRPr="00591BFC">
        <w:t xml:space="preserve"> Number of events occurring over the lifetime of a cohort of 1,000 men with hip fracture</w:t>
      </w:r>
      <w:bookmarkEnd w:id="454"/>
      <w:bookmarkEnd w:id="455"/>
    </w:p>
    <w:tbl>
      <w:tblPr>
        <w:tblW w:w="5000" w:type="pct"/>
        <w:tblLayout w:type="fixed"/>
        <w:tblLook w:val="04A0" w:firstRow="1" w:lastRow="0" w:firstColumn="1" w:lastColumn="0" w:noHBand="0" w:noVBand="1"/>
      </w:tblPr>
      <w:tblGrid>
        <w:gridCol w:w="4498"/>
        <w:gridCol w:w="1740"/>
        <w:gridCol w:w="1450"/>
        <w:gridCol w:w="1548"/>
      </w:tblGrid>
      <w:tr w:rsidR="00CF2E21" w:rsidRPr="00591BFC" w14:paraId="6D8E3A1B" w14:textId="77777777" w:rsidTr="00DB4F65">
        <w:tc>
          <w:tcPr>
            <w:tcW w:w="2435" w:type="pct"/>
            <w:shd w:val="clear" w:color="auto" w:fill="auto"/>
          </w:tcPr>
          <w:p w14:paraId="6BAB71B3" w14:textId="77777777" w:rsidR="00CF2E21" w:rsidRPr="00591BFC" w:rsidRDefault="00CF2E21" w:rsidP="00E86771">
            <w:pPr>
              <w:spacing w:line="360" w:lineRule="auto"/>
              <w:rPr>
                <w:b/>
              </w:rPr>
            </w:pPr>
          </w:p>
        </w:tc>
        <w:tc>
          <w:tcPr>
            <w:tcW w:w="942" w:type="pct"/>
            <w:shd w:val="clear" w:color="auto" w:fill="auto"/>
          </w:tcPr>
          <w:p w14:paraId="2B35C6E8" w14:textId="77777777" w:rsidR="00CF2E21" w:rsidRPr="00591BFC" w:rsidRDefault="00797551" w:rsidP="00E86771">
            <w:pPr>
              <w:spacing w:line="360" w:lineRule="auto"/>
              <w:rPr>
                <w:b/>
              </w:rPr>
            </w:pPr>
            <w:r>
              <w:rPr>
                <w:b/>
              </w:rPr>
              <w:t>Usual</w:t>
            </w:r>
            <w:r w:rsidR="00CF2E21" w:rsidRPr="00591BFC">
              <w:rPr>
                <w:b/>
              </w:rPr>
              <w:t xml:space="preserve"> care</w:t>
            </w:r>
          </w:p>
        </w:tc>
        <w:tc>
          <w:tcPr>
            <w:tcW w:w="785" w:type="pct"/>
            <w:shd w:val="clear" w:color="auto" w:fill="auto"/>
          </w:tcPr>
          <w:p w14:paraId="491C74E4" w14:textId="77777777" w:rsidR="00CF2E21" w:rsidRPr="00591BFC" w:rsidRDefault="00CF2E21" w:rsidP="00E86771">
            <w:pPr>
              <w:spacing w:line="360" w:lineRule="auto"/>
              <w:rPr>
                <w:b/>
              </w:rPr>
            </w:pPr>
            <w:r w:rsidRPr="00591BFC">
              <w:rPr>
                <w:b/>
              </w:rPr>
              <w:t>Fracture liaison nurse</w:t>
            </w:r>
          </w:p>
        </w:tc>
        <w:tc>
          <w:tcPr>
            <w:tcW w:w="838" w:type="pct"/>
            <w:shd w:val="clear" w:color="auto" w:fill="auto"/>
          </w:tcPr>
          <w:p w14:paraId="63BD3B06" w14:textId="77777777" w:rsidR="00CF2E21" w:rsidRPr="00591BFC" w:rsidRDefault="00CF2E21" w:rsidP="00E86771">
            <w:pPr>
              <w:spacing w:line="360" w:lineRule="auto"/>
              <w:rPr>
                <w:b/>
              </w:rPr>
            </w:pPr>
            <w:r w:rsidRPr="00591BFC">
              <w:rPr>
                <w:b/>
              </w:rPr>
              <w:t>Ortho-geriatrician</w:t>
            </w:r>
          </w:p>
        </w:tc>
      </w:tr>
      <w:tr w:rsidR="00CF2E21" w:rsidRPr="00591BFC" w14:paraId="50A27744" w14:textId="77777777" w:rsidTr="00DB4F65">
        <w:tc>
          <w:tcPr>
            <w:tcW w:w="2435" w:type="pct"/>
            <w:shd w:val="clear" w:color="auto" w:fill="auto"/>
          </w:tcPr>
          <w:p w14:paraId="0458115A" w14:textId="77777777" w:rsidR="00CF2E21" w:rsidRPr="00591BFC" w:rsidRDefault="00CF2E21" w:rsidP="00E86771">
            <w:pPr>
              <w:spacing w:line="360" w:lineRule="auto"/>
              <w:rPr>
                <w:b/>
              </w:rPr>
            </w:pPr>
            <w:r w:rsidRPr="00591BFC">
              <w:rPr>
                <w:b/>
              </w:rPr>
              <w:t>Deaths within 30 days of primary hip fracture</w:t>
            </w:r>
          </w:p>
        </w:tc>
        <w:tc>
          <w:tcPr>
            <w:tcW w:w="942" w:type="pct"/>
            <w:shd w:val="clear" w:color="auto" w:fill="auto"/>
          </w:tcPr>
          <w:p w14:paraId="419E60C5" w14:textId="77777777" w:rsidR="00CF2E21" w:rsidRPr="00591BFC" w:rsidRDefault="00CF2E21" w:rsidP="00E86771">
            <w:pPr>
              <w:spacing w:line="360" w:lineRule="auto"/>
            </w:pPr>
            <w:r w:rsidRPr="00591BFC">
              <w:t>115</w:t>
            </w:r>
          </w:p>
        </w:tc>
        <w:tc>
          <w:tcPr>
            <w:tcW w:w="785" w:type="pct"/>
            <w:shd w:val="clear" w:color="auto" w:fill="auto"/>
          </w:tcPr>
          <w:p w14:paraId="73F32C72" w14:textId="77777777" w:rsidR="00CF2E21" w:rsidRPr="00591BFC" w:rsidRDefault="00CF2E21" w:rsidP="00E86771">
            <w:pPr>
              <w:spacing w:line="360" w:lineRule="auto"/>
            </w:pPr>
            <w:r w:rsidRPr="00591BFC">
              <w:t>96</w:t>
            </w:r>
          </w:p>
        </w:tc>
        <w:tc>
          <w:tcPr>
            <w:tcW w:w="838" w:type="pct"/>
            <w:shd w:val="clear" w:color="auto" w:fill="auto"/>
          </w:tcPr>
          <w:p w14:paraId="52FD0B2C" w14:textId="77777777" w:rsidR="00CF2E21" w:rsidRPr="00591BFC" w:rsidRDefault="00CF2E21" w:rsidP="00E86771">
            <w:pPr>
              <w:spacing w:line="360" w:lineRule="auto"/>
            </w:pPr>
            <w:r w:rsidRPr="00591BFC">
              <w:t>89</w:t>
            </w:r>
          </w:p>
        </w:tc>
      </w:tr>
      <w:tr w:rsidR="00CF2E21" w:rsidRPr="00591BFC" w14:paraId="635DD64C" w14:textId="77777777" w:rsidTr="00DB4F65">
        <w:tc>
          <w:tcPr>
            <w:tcW w:w="2435" w:type="pct"/>
            <w:shd w:val="clear" w:color="auto" w:fill="auto"/>
          </w:tcPr>
          <w:p w14:paraId="03C65535" w14:textId="77777777" w:rsidR="00CF2E21" w:rsidRPr="00591BFC" w:rsidRDefault="00CF2E21" w:rsidP="00E86771">
            <w:pPr>
              <w:spacing w:line="360" w:lineRule="auto"/>
              <w:rPr>
                <w:b/>
              </w:rPr>
            </w:pPr>
            <w:r w:rsidRPr="00591BFC">
              <w:rPr>
                <w:b/>
              </w:rPr>
              <w:t>Deaths within 1-year of primary hip fracture</w:t>
            </w:r>
          </w:p>
        </w:tc>
        <w:tc>
          <w:tcPr>
            <w:tcW w:w="942" w:type="pct"/>
            <w:shd w:val="clear" w:color="auto" w:fill="auto"/>
          </w:tcPr>
          <w:p w14:paraId="6ABF7C23" w14:textId="77777777" w:rsidR="00CF2E21" w:rsidRPr="00591BFC" w:rsidRDefault="00CF2E21" w:rsidP="00E86771">
            <w:pPr>
              <w:spacing w:line="360" w:lineRule="auto"/>
            </w:pPr>
            <w:r w:rsidRPr="00591BFC">
              <w:t>322</w:t>
            </w:r>
          </w:p>
        </w:tc>
        <w:tc>
          <w:tcPr>
            <w:tcW w:w="785" w:type="pct"/>
            <w:shd w:val="clear" w:color="auto" w:fill="auto"/>
          </w:tcPr>
          <w:p w14:paraId="4F0A3929" w14:textId="77777777" w:rsidR="00CF2E21" w:rsidRPr="00591BFC" w:rsidRDefault="00CF2E21" w:rsidP="00E86771">
            <w:pPr>
              <w:spacing w:line="360" w:lineRule="auto"/>
            </w:pPr>
            <w:r w:rsidRPr="00591BFC">
              <w:t>275</w:t>
            </w:r>
          </w:p>
        </w:tc>
        <w:tc>
          <w:tcPr>
            <w:tcW w:w="838" w:type="pct"/>
            <w:shd w:val="clear" w:color="auto" w:fill="auto"/>
          </w:tcPr>
          <w:p w14:paraId="563FA9B1" w14:textId="77777777" w:rsidR="00CF2E21" w:rsidRPr="00591BFC" w:rsidRDefault="00CF2E21" w:rsidP="00E86771">
            <w:pPr>
              <w:spacing w:line="360" w:lineRule="auto"/>
            </w:pPr>
            <w:r w:rsidRPr="00591BFC">
              <w:t>264</w:t>
            </w:r>
          </w:p>
        </w:tc>
      </w:tr>
      <w:tr w:rsidR="00CF2E21" w:rsidRPr="00591BFC" w14:paraId="1DE3C0E9" w14:textId="77777777" w:rsidTr="00DB4F65">
        <w:tc>
          <w:tcPr>
            <w:tcW w:w="2435" w:type="pct"/>
            <w:shd w:val="clear" w:color="auto" w:fill="auto"/>
          </w:tcPr>
          <w:p w14:paraId="21F30A23" w14:textId="77777777" w:rsidR="00CF2E21" w:rsidRPr="00591BFC" w:rsidRDefault="00CF2E21" w:rsidP="00E86771">
            <w:pPr>
              <w:spacing w:line="360" w:lineRule="auto"/>
              <w:rPr>
                <w:b/>
              </w:rPr>
            </w:pPr>
            <w:r w:rsidRPr="00591BFC">
              <w:rPr>
                <w:b/>
              </w:rPr>
              <w:t>Second hip fracture</w:t>
            </w:r>
          </w:p>
        </w:tc>
        <w:tc>
          <w:tcPr>
            <w:tcW w:w="942" w:type="pct"/>
            <w:shd w:val="clear" w:color="auto" w:fill="auto"/>
          </w:tcPr>
          <w:p w14:paraId="03D8A31B" w14:textId="77777777" w:rsidR="00CF2E21" w:rsidRPr="00591BFC" w:rsidRDefault="00CF2E21" w:rsidP="00E86771">
            <w:pPr>
              <w:spacing w:line="360" w:lineRule="auto"/>
            </w:pPr>
            <w:r w:rsidRPr="00591BFC">
              <w:t>107</w:t>
            </w:r>
          </w:p>
        </w:tc>
        <w:tc>
          <w:tcPr>
            <w:tcW w:w="785" w:type="pct"/>
            <w:shd w:val="clear" w:color="auto" w:fill="auto"/>
          </w:tcPr>
          <w:p w14:paraId="28F5F3BD" w14:textId="77777777" w:rsidR="00CF2E21" w:rsidRPr="00591BFC" w:rsidRDefault="00CF2E21" w:rsidP="00E86771">
            <w:pPr>
              <w:spacing w:line="360" w:lineRule="auto"/>
            </w:pPr>
            <w:r w:rsidRPr="00591BFC">
              <w:t>115</w:t>
            </w:r>
          </w:p>
        </w:tc>
        <w:tc>
          <w:tcPr>
            <w:tcW w:w="838" w:type="pct"/>
            <w:shd w:val="clear" w:color="auto" w:fill="auto"/>
          </w:tcPr>
          <w:p w14:paraId="7E946496" w14:textId="77777777" w:rsidR="00CF2E21" w:rsidRPr="00591BFC" w:rsidRDefault="00CF2E21" w:rsidP="00E86771">
            <w:pPr>
              <w:spacing w:line="360" w:lineRule="auto"/>
            </w:pPr>
            <w:r w:rsidRPr="00591BFC">
              <w:t>113</w:t>
            </w:r>
          </w:p>
        </w:tc>
      </w:tr>
      <w:tr w:rsidR="00CF2E21" w:rsidRPr="00591BFC" w14:paraId="012CA841" w14:textId="77777777" w:rsidTr="00DB4F65">
        <w:tc>
          <w:tcPr>
            <w:tcW w:w="2435" w:type="pct"/>
            <w:shd w:val="clear" w:color="auto" w:fill="auto"/>
          </w:tcPr>
          <w:p w14:paraId="456C6C35" w14:textId="77777777" w:rsidR="00CF2E21" w:rsidRPr="00591BFC" w:rsidRDefault="00CF2E21" w:rsidP="00E86771">
            <w:pPr>
              <w:spacing w:line="360" w:lineRule="auto"/>
              <w:rPr>
                <w:b/>
              </w:rPr>
            </w:pPr>
            <w:r w:rsidRPr="00591BFC">
              <w:rPr>
                <w:b/>
              </w:rPr>
              <w:t>Major non hip fractures requiring hospitalisation</w:t>
            </w:r>
          </w:p>
        </w:tc>
        <w:tc>
          <w:tcPr>
            <w:tcW w:w="942" w:type="pct"/>
            <w:shd w:val="clear" w:color="auto" w:fill="auto"/>
          </w:tcPr>
          <w:p w14:paraId="6B80049E" w14:textId="77777777" w:rsidR="00CF2E21" w:rsidRPr="00591BFC" w:rsidRDefault="00CF2E21" w:rsidP="00E86771">
            <w:pPr>
              <w:spacing w:line="360" w:lineRule="auto"/>
            </w:pPr>
            <w:r w:rsidRPr="00591BFC">
              <w:t>55</w:t>
            </w:r>
          </w:p>
        </w:tc>
        <w:tc>
          <w:tcPr>
            <w:tcW w:w="785" w:type="pct"/>
            <w:shd w:val="clear" w:color="auto" w:fill="auto"/>
          </w:tcPr>
          <w:p w14:paraId="293E19A9" w14:textId="77777777" w:rsidR="00CF2E21" w:rsidRPr="00591BFC" w:rsidRDefault="00CF2E21" w:rsidP="00E86771">
            <w:pPr>
              <w:spacing w:line="360" w:lineRule="auto"/>
            </w:pPr>
            <w:r w:rsidRPr="00591BFC">
              <w:t>58</w:t>
            </w:r>
          </w:p>
        </w:tc>
        <w:tc>
          <w:tcPr>
            <w:tcW w:w="838" w:type="pct"/>
            <w:shd w:val="clear" w:color="auto" w:fill="auto"/>
          </w:tcPr>
          <w:p w14:paraId="4E6B3066" w14:textId="77777777" w:rsidR="00CF2E21" w:rsidRPr="00591BFC" w:rsidRDefault="00CF2E21" w:rsidP="00E86771">
            <w:pPr>
              <w:spacing w:line="360" w:lineRule="auto"/>
            </w:pPr>
            <w:r w:rsidRPr="00591BFC">
              <w:t>59</w:t>
            </w:r>
          </w:p>
        </w:tc>
      </w:tr>
      <w:tr w:rsidR="00CF2E21" w:rsidRPr="00591BFC" w14:paraId="6537250F" w14:textId="77777777" w:rsidTr="00DB4F65">
        <w:tc>
          <w:tcPr>
            <w:tcW w:w="2435" w:type="pct"/>
            <w:shd w:val="clear" w:color="auto" w:fill="auto"/>
          </w:tcPr>
          <w:p w14:paraId="293F6802" w14:textId="77777777" w:rsidR="00CF2E21" w:rsidRPr="00591BFC" w:rsidRDefault="00CF2E21" w:rsidP="00E86771">
            <w:pPr>
              <w:spacing w:line="360" w:lineRule="auto"/>
              <w:rPr>
                <w:b/>
              </w:rPr>
            </w:pPr>
            <w:r w:rsidRPr="00591BFC">
              <w:rPr>
                <w:b/>
              </w:rPr>
              <w:t>Life years in a care home*</w:t>
            </w:r>
          </w:p>
        </w:tc>
        <w:tc>
          <w:tcPr>
            <w:tcW w:w="942" w:type="pct"/>
            <w:shd w:val="clear" w:color="auto" w:fill="auto"/>
          </w:tcPr>
          <w:p w14:paraId="0085D685" w14:textId="77777777" w:rsidR="00CF2E21" w:rsidRPr="00591BFC" w:rsidRDefault="00CF2E21" w:rsidP="00E86771">
            <w:pPr>
              <w:spacing w:line="360" w:lineRule="auto"/>
            </w:pPr>
            <w:r w:rsidRPr="00591BFC">
              <w:t>0.40</w:t>
            </w:r>
          </w:p>
        </w:tc>
        <w:tc>
          <w:tcPr>
            <w:tcW w:w="785" w:type="pct"/>
            <w:shd w:val="clear" w:color="auto" w:fill="auto"/>
          </w:tcPr>
          <w:p w14:paraId="2983575D" w14:textId="77777777" w:rsidR="00CF2E21" w:rsidRPr="00591BFC" w:rsidRDefault="00CF2E21" w:rsidP="00E86771">
            <w:pPr>
              <w:spacing w:line="360" w:lineRule="auto"/>
            </w:pPr>
            <w:r w:rsidRPr="00591BFC">
              <w:t>0.43</w:t>
            </w:r>
          </w:p>
        </w:tc>
        <w:tc>
          <w:tcPr>
            <w:tcW w:w="838" w:type="pct"/>
            <w:shd w:val="clear" w:color="auto" w:fill="auto"/>
          </w:tcPr>
          <w:p w14:paraId="2EBB5EF8" w14:textId="77777777" w:rsidR="00CF2E21" w:rsidRPr="00591BFC" w:rsidRDefault="00CF2E21" w:rsidP="00E86771">
            <w:pPr>
              <w:spacing w:line="360" w:lineRule="auto"/>
            </w:pPr>
            <w:r w:rsidRPr="00591BFC">
              <w:t>0.43</w:t>
            </w:r>
          </w:p>
        </w:tc>
      </w:tr>
      <w:tr w:rsidR="00CF2E21" w:rsidRPr="00591BFC" w14:paraId="61B72E37" w14:textId="77777777" w:rsidTr="00DB4F65">
        <w:tc>
          <w:tcPr>
            <w:tcW w:w="2435" w:type="pct"/>
            <w:shd w:val="clear" w:color="auto" w:fill="auto"/>
          </w:tcPr>
          <w:p w14:paraId="0F95AFE8" w14:textId="77777777" w:rsidR="00CF2E21" w:rsidRPr="00591BFC" w:rsidRDefault="00CF2E21" w:rsidP="00E86771">
            <w:pPr>
              <w:spacing w:line="360" w:lineRule="auto"/>
              <w:rPr>
                <w:b/>
              </w:rPr>
            </w:pPr>
            <w:r w:rsidRPr="00591BFC">
              <w:rPr>
                <w:b/>
              </w:rPr>
              <w:t>Life years in own home*</w:t>
            </w:r>
          </w:p>
        </w:tc>
        <w:tc>
          <w:tcPr>
            <w:tcW w:w="942" w:type="pct"/>
            <w:shd w:val="clear" w:color="auto" w:fill="auto"/>
          </w:tcPr>
          <w:p w14:paraId="7C8A09A1" w14:textId="77777777" w:rsidR="00CF2E21" w:rsidRPr="00591BFC" w:rsidRDefault="00CF2E21" w:rsidP="00E86771">
            <w:pPr>
              <w:spacing w:line="360" w:lineRule="auto"/>
            </w:pPr>
            <w:r w:rsidRPr="00591BFC">
              <w:t>2.51</w:t>
            </w:r>
          </w:p>
        </w:tc>
        <w:tc>
          <w:tcPr>
            <w:tcW w:w="785" w:type="pct"/>
            <w:shd w:val="clear" w:color="auto" w:fill="auto"/>
          </w:tcPr>
          <w:p w14:paraId="56A06816" w14:textId="77777777" w:rsidR="00CF2E21" w:rsidRPr="00591BFC" w:rsidRDefault="00CF2E21" w:rsidP="00E86771">
            <w:pPr>
              <w:spacing w:line="360" w:lineRule="auto"/>
            </w:pPr>
            <w:r w:rsidRPr="00591BFC">
              <w:t>2.65</w:t>
            </w:r>
          </w:p>
        </w:tc>
        <w:tc>
          <w:tcPr>
            <w:tcW w:w="838" w:type="pct"/>
            <w:shd w:val="clear" w:color="auto" w:fill="auto"/>
          </w:tcPr>
          <w:p w14:paraId="62C604E8" w14:textId="77777777" w:rsidR="00CF2E21" w:rsidRPr="00591BFC" w:rsidRDefault="00CF2E21" w:rsidP="00E86771">
            <w:pPr>
              <w:spacing w:line="360" w:lineRule="auto"/>
            </w:pPr>
            <w:r w:rsidRPr="00591BFC">
              <w:t>2.69</w:t>
            </w:r>
          </w:p>
        </w:tc>
      </w:tr>
    </w:tbl>
    <w:p w14:paraId="4B74F070" w14:textId="77777777" w:rsidR="00CF2E21" w:rsidRPr="00591BFC" w:rsidRDefault="00CF2E21" w:rsidP="00E86771">
      <w:pPr>
        <w:spacing w:line="360" w:lineRule="auto"/>
      </w:pPr>
      <w:r w:rsidRPr="00591BFC">
        <w:t>* Not discounted</w:t>
      </w:r>
    </w:p>
    <w:p w14:paraId="6038C736" w14:textId="77777777" w:rsidR="000C3295" w:rsidRPr="00591BFC" w:rsidRDefault="000C3295" w:rsidP="00E86771">
      <w:pPr>
        <w:pStyle w:val="Caption"/>
        <w:keepNext/>
        <w:spacing w:line="360" w:lineRule="auto"/>
      </w:pPr>
      <w:bookmarkStart w:id="456" w:name="_Ref423078306"/>
      <w:bookmarkStart w:id="457" w:name="_Toc308262432"/>
      <w:bookmarkStart w:id="458" w:name="_Toc311366698"/>
      <w:r w:rsidRPr="00591BFC">
        <w:t xml:space="preserve">Table </w:t>
      </w:r>
      <w:r w:rsidR="002149AD">
        <w:fldChar w:fldCharType="begin"/>
      </w:r>
      <w:r w:rsidR="002149AD">
        <w:instrText xml:space="preserve"> SEQ Table \* ARABIC </w:instrText>
      </w:r>
      <w:r w:rsidR="002149AD">
        <w:fldChar w:fldCharType="separate"/>
      </w:r>
      <w:r w:rsidR="00776C05">
        <w:rPr>
          <w:noProof/>
        </w:rPr>
        <w:t>37</w:t>
      </w:r>
      <w:r w:rsidR="002149AD">
        <w:rPr>
          <w:noProof/>
        </w:rPr>
        <w:fldChar w:fldCharType="end"/>
      </w:r>
      <w:bookmarkEnd w:id="456"/>
      <w:r w:rsidRPr="00591BFC">
        <w:t xml:space="preserve"> Number of events occurring over the lifetime of a cohort of 1,000 women with hip fracture</w:t>
      </w:r>
      <w:bookmarkEnd w:id="457"/>
      <w:bookmarkEnd w:id="458"/>
    </w:p>
    <w:tbl>
      <w:tblPr>
        <w:tblW w:w="5000" w:type="pct"/>
        <w:tblLayout w:type="fixed"/>
        <w:tblLook w:val="04A0" w:firstRow="1" w:lastRow="0" w:firstColumn="1" w:lastColumn="0" w:noHBand="0" w:noVBand="1"/>
      </w:tblPr>
      <w:tblGrid>
        <w:gridCol w:w="4498"/>
        <w:gridCol w:w="1740"/>
        <w:gridCol w:w="1450"/>
        <w:gridCol w:w="1548"/>
      </w:tblGrid>
      <w:tr w:rsidR="00CF2E21" w:rsidRPr="00591BFC" w14:paraId="338F6A8D" w14:textId="77777777" w:rsidTr="00DB4F65">
        <w:tc>
          <w:tcPr>
            <w:tcW w:w="2435" w:type="pct"/>
            <w:shd w:val="clear" w:color="auto" w:fill="auto"/>
          </w:tcPr>
          <w:p w14:paraId="7D3F4A3D" w14:textId="77777777" w:rsidR="00CF2E21" w:rsidRPr="00591BFC" w:rsidRDefault="00CF2E21" w:rsidP="00E86771">
            <w:pPr>
              <w:spacing w:line="360" w:lineRule="auto"/>
              <w:rPr>
                <w:b/>
              </w:rPr>
            </w:pPr>
          </w:p>
        </w:tc>
        <w:tc>
          <w:tcPr>
            <w:tcW w:w="942" w:type="pct"/>
            <w:shd w:val="clear" w:color="auto" w:fill="auto"/>
          </w:tcPr>
          <w:p w14:paraId="00100E62" w14:textId="77777777" w:rsidR="00CF2E21" w:rsidRPr="00591BFC" w:rsidRDefault="00797551" w:rsidP="00E86771">
            <w:pPr>
              <w:spacing w:line="360" w:lineRule="auto"/>
              <w:rPr>
                <w:b/>
              </w:rPr>
            </w:pPr>
            <w:r>
              <w:rPr>
                <w:b/>
              </w:rPr>
              <w:t>Usual</w:t>
            </w:r>
            <w:r w:rsidR="00CF2E21" w:rsidRPr="00591BFC">
              <w:rPr>
                <w:b/>
              </w:rPr>
              <w:t xml:space="preserve"> care</w:t>
            </w:r>
          </w:p>
        </w:tc>
        <w:tc>
          <w:tcPr>
            <w:tcW w:w="785" w:type="pct"/>
            <w:shd w:val="clear" w:color="auto" w:fill="auto"/>
          </w:tcPr>
          <w:p w14:paraId="030481C6" w14:textId="77777777" w:rsidR="00CF2E21" w:rsidRPr="00591BFC" w:rsidRDefault="00CF2E21" w:rsidP="00E86771">
            <w:pPr>
              <w:spacing w:line="360" w:lineRule="auto"/>
              <w:rPr>
                <w:b/>
              </w:rPr>
            </w:pPr>
            <w:r w:rsidRPr="00591BFC">
              <w:rPr>
                <w:b/>
              </w:rPr>
              <w:t>Fracture liaison nurse</w:t>
            </w:r>
          </w:p>
        </w:tc>
        <w:tc>
          <w:tcPr>
            <w:tcW w:w="838" w:type="pct"/>
            <w:shd w:val="clear" w:color="auto" w:fill="auto"/>
          </w:tcPr>
          <w:p w14:paraId="5EF336EF" w14:textId="77777777" w:rsidR="00CF2E21" w:rsidRPr="00591BFC" w:rsidRDefault="00CF2E21" w:rsidP="00E86771">
            <w:pPr>
              <w:spacing w:line="360" w:lineRule="auto"/>
              <w:rPr>
                <w:b/>
              </w:rPr>
            </w:pPr>
            <w:r w:rsidRPr="00591BFC">
              <w:rPr>
                <w:b/>
              </w:rPr>
              <w:t>Ortho-geriatrician</w:t>
            </w:r>
          </w:p>
        </w:tc>
      </w:tr>
      <w:tr w:rsidR="00CF2E21" w:rsidRPr="00591BFC" w14:paraId="44ED6EEE" w14:textId="77777777" w:rsidTr="00DB4F65">
        <w:tc>
          <w:tcPr>
            <w:tcW w:w="2435" w:type="pct"/>
            <w:shd w:val="clear" w:color="auto" w:fill="auto"/>
          </w:tcPr>
          <w:p w14:paraId="1FF770ED" w14:textId="77777777" w:rsidR="00CF2E21" w:rsidRPr="00591BFC" w:rsidRDefault="00CF2E21" w:rsidP="00E86771">
            <w:pPr>
              <w:spacing w:line="360" w:lineRule="auto"/>
              <w:rPr>
                <w:b/>
              </w:rPr>
            </w:pPr>
            <w:r w:rsidRPr="00591BFC">
              <w:rPr>
                <w:b/>
              </w:rPr>
              <w:t>Deaths within 30 days of primary hip fracture</w:t>
            </w:r>
          </w:p>
        </w:tc>
        <w:tc>
          <w:tcPr>
            <w:tcW w:w="942" w:type="pct"/>
            <w:shd w:val="clear" w:color="auto" w:fill="auto"/>
          </w:tcPr>
          <w:p w14:paraId="72B3F56F" w14:textId="77777777" w:rsidR="00CF2E21" w:rsidRPr="00591BFC" w:rsidRDefault="00CF2E21" w:rsidP="00E86771">
            <w:pPr>
              <w:spacing w:line="360" w:lineRule="auto"/>
            </w:pPr>
            <w:r w:rsidRPr="00591BFC">
              <w:t>77</w:t>
            </w:r>
          </w:p>
        </w:tc>
        <w:tc>
          <w:tcPr>
            <w:tcW w:w="785" w:type="pct"/>
            <w:shd w:val="clear" w:color="auto" w:fill="auto"/>
          </w:tcPr>
          <w:p w14:paraId="7CDB8C25" w14:textId="77777777" w:rsidR="00CF2E21" w:rsidRPr="00591BFC" w:rsidRDefault="00CF2E21" w:rsidP="00E86771">
            <w:pPr>
              <w:spacing w:line="360" w:lineRule="auto"/>
            </w:pPr>
            <w:r w:rsidRPr="00591BFC">
              <w:t>64</w:t>
            </w:r>
          </w:p>
        </w:tc>
        <w:tc>
          <w:tcPr>
            <w:tcW w:w="838" w:type="pct"/>
            <w:shd w:val="clear" w:color="auto" w:fill="auto"/>
          </w:tcPr>
          <w:p w14:paraId="0D9C6C25" w14:textId="77777777" w:rsidR="00CF2E21" w:rsidRPr="00591BFC" w:rsidRDefault="00CF2E21" w:rsidP="00E86771">
            <w:pPr>
              <w:spacing w:line="360" w:lineRule="auto"/>
            </w:pPr>
            <w:r w:rsidRPr="00591BFC">
              <w:t>60</w:t>
            </w:r>
          </w:p>
        </w:tc>
      </w:tr>
      <w:tr w:rsidR="00CF2E21" w:rsidRPr="00591BFC" w14:paraId="0A4B839C" w14:textId="77777777" w:rsidTr="00DB4F65">
        <w:tc>
          <w:tcPr>
            <w:tcW w:w="2435" w:type="pct"/>
            <w:shd w:val="clear" w:color="auto" w:fill="auto"/>
          </w:tcPr>
          <w:p w14:paraId="63C56FBC" w14:textId="77777777" w:rsidR="00CF2E21" w:rsidRPr="00591BFC" w:rsidRDefault="00CF2E21" w:rsidP="00E86771">
            <w:pPr>
              <w:spacing w:line="360" w:lineRule="auto"/>
              <w:rPr>
                <w:b/>
              </w:rPr>
            </w:pPr>
            <w:r w:rsidRPr="00591BFC">
              <w:rPr>
                <w:b/>
              </w:rPr>
              <w:t>Deaths within 1-year of primary hip fracture</w:t>
            </w:r>
          </w:p>
        </w:tc>
        <w:tc>
          <w:tcPr>
            <w:tcW w:w="942" w:type="pct"/>
            <w:shd w:val="clear" w:color="auto" w:fill="auto"/>
          </w:tcPr>
          <w:p w14:paraId="285C5FE2" w14:textId="77777777" w:rsidR="00CF2E21" w:rsidRPr="00591BFC" w:rsidRDefault="00CF2E21" w:rsidP="00E86771">
            <w:pPr>
              <w:spacing w:line="360" w:lineRule="auto"/>
            </w:pPr>
            <w:r w:rsidRPr="00591BFC">
              <w:t>221</w:t>
            </w:r>
          </w:p>
        </w:tc>
        <w:tc>
          <w:tcPr>
            <w:tcW w:w="785" w:type="pct"/>
            <w:shd w:val="clear" w:color="auto" w:fill="auto"/>
          </w:tcPr>
          <w:p w14:paraId="7AD719BE" w14:textId="77777777" w:rsidR="00CF2E21" w:rsidRPr="00591BFC" w:rsidRDefault="00CF2E21" w:rsidP="00E86771">
            <w:pPr>
              <w:spacing w:line="360" w:lineRule="auto"/>
            </w:pPr>
            <w:r w:rsidRPr="00591BFC">
              <w:t>187</w:t>
            </w:r>
          </w:p>
        </w:tc>
        <w:tc>
          <w:tcPr>
            <w:tcW w:w="838" w:type="pct"/>
            <w:shd w:val="clear" w:color="auto" w:fill="auto"/>
          </w:tcPr>
          <w:p w14:paraId="29039A84" w14:textId="77777777" w:rsidR="00CF2E21" w:rsidRPr="00591BFC" w:rsidRDefault="00CF2E21" w:rsidP="00E86771">
            <w:pPr>
              <w:spacing w:line="360" w:lineRule="auto"/>
            </w:pPr>
            <w:r w:rsidRPr="00591BFC">
              <w:t>179</w:t>
            </w:r>
          </w:p>
        </w:tc>
      </w:tr>
      <w:tr w:rsidR="00CF2E21" w:rsidRPr="00591BFC" w14:paraId="4E8E6825" w14:textId="77777777" w:rsidTr="00DB4F65">
        <w:tc>
          <w:tcPr>
            <w:tcW w:w="2435" w:type="pct"/>
            <w:shd w:val="clear" w:color="auto" w:fill="auto"/>
          </w:tcPr>
          <w:p w14:paraId="0E04C05B" w14:textId="77777777" w:rsidR="00CF2E21" w:rsidRPr="00591BFC" w:rsidRDefault="00CF2E21" w:rsidP="00E86771">
            <w:pPr>
              <w:spacing w:line="360" w:lineRule="auto"/>
              <w:rPr>
                <w:b/>
              </w:rPr>
            </w:pPr>
            <w:r w:rsidRPr="00591BFC">
              <w:rPr>
                <w:b/>
              </w:rPr>
              <w:t>Second hip fracture</w:t>
            </w:r>
          </w:p>
        </w:tc>
        <w:tc>
          <w:tcPr>
            <w:tcW w:w="942" w:type="pct"/>
            <w:shd w:val="clear" w:color="auto" w:fill="auto"/>
          </w:tcPr>
          <w:p w14:paraId="67541DE0" w14:textId="77777777" w:rsidR="00CF2E21" w:rsidRPr="00591BFC" w:rsidRDefault="00CF2E21" w:rsidP="00E86771">
            <w:pPr>
              <w:spacing w:line="360" w:lineRule="auto"/>
            </w:pPr>
            <w:r w:rsidRPr="00591BFC">
              <w:t>171</w:t>
            </w:r>
          </w:p>
        </w:tc>
        <w:tc>
          <w:tcPr>
            <w:tcW w:w="785" w:type="pct"/>
            <w:shd w:val="clear" w:color="auto" w:fill="auto"/>
          </w:tcPr>
          <w:p w14:paraId="210B0AC5" w14:textId="77777777" w:rsidR="00CF2E21" w:rsidRPr="00591BFC" w:rsidRDefault="00CF2E21" w:rsidP="00E86771">
            <w:pPr>
              <w:spacing w:line="360" w:lineRule="auto"/>
            </w:pPr>
            <w:r w:rsidRPr="00591BFC">
              <w:t>179</w:t>
            </w:r>
          </w:p>
        </w:tc>
        <w:tc>
          <w:tcPr>
            <w:tcW w:w="838" w:type="pct"/>
            <w:shd w:val="clear" w:color="auto" w:fill="auto"/>
          </w:tcPr>
          <w:p w14:paraId="3FA8ECBA" w14:textId="77777777" w:rsidR="00CF2E21" w:rsidRPr="00591BFC" w:rsidRDefault="00CF2E21" w:rsidP="00E86771">
            <w:pPr>
              <w:spacing w:line="360" w:lineRule="auto"/>
            </w:pPr>
            <w:r w:rsidRPr="00591BFC">
              <w:t>177</w:t>
            </w:r>
          </w:p>
        </w:tc>
      </w:tr>
      <w:tr w:rsidR="00CF2E21" w:rsidRPr="00591BFC" w14:paraId="1D2180C6" w14:textId="77777777" w:rsidTr="00DB4F65">
        <w:tc>
          <w:tcPr>
            <w:tcW w:w="2435" w:type="pct"/>
            <w:shd w:val="clear" w:color="auto" w:fill="auto"/>
          </w:tcPr>
          <w:p w14:paraId="483E45B5" w14:textId="77777777" w:rsidR="00CF2E21" w:rsidRPr="00591BFC" w:rsidRDefault="00CF2E21" w:rsidP="00E86771">
            <w:pPr>
              <w:spacing w:line="360" w:lineRule="auto"/>
              <w:rPr>
                <w:b/>
              </w:rPr>
            </w:pPr>
            <w:r w:rsidRPr="00591BFC">
              <w:rPr>
                <w:b/>
              </w:rPr>
              <w:t>Major non hip fractures requiring hospitalisation</w:t>
            </w:r>
          </w:p>
        </w:tc>
        <w:tc>
          <w:tcPr>
            <w:tcW w:w="942" w:type="pct"/>
            <w:shd w:val="clear" w:color="auto" w:fill="auto"/>
          </w:tcPr>
          <w:p w14:paraId="18050AAC" w14:textId="77777777" w:rsidR="00CF2E21" w:rsidRPr="00591BFC" w:rsidRDefault="00CF2E21" w:rsidP="00E86771">
            <w:pPr>
              <w:spacing w:line="360" w:lineRule="auto"/>
            </w:pPr>
            <w:r w:rsidRPr="00591BFC">
              <w:t>132</w:t>
            </w:r>
          </w:p>
        </w:tc>
        <w:tc>
          <w:tcPr>
            <w:tcW w:w="785" w:type="pct"/>
            <w:shd w:val="clear" w:color="auto" w:fill="auto"/>
          </w:tcPr>
          <w:p w14:paraId="14771AC4" w14:textId="77777777" w:rsidR="00CF2E21" w:rsidRPr="00591BFC" w:rsidRDefault="00CF2E21" w:rsidP="00E86771">
            <w:pPr>
              <w:spacing w:line="360" w:lineRule="auto"/>
            </w:pPr>
            <w:r w:rsidRPr="00591BFC">
              <w:t>137</w:t>
            </w:r>
          </w:p>
        </w:tc>
        <w:tc>
          <w:tcPr>
            <w:tcW w:w="838" w:type="pct"/>
            <w:shd w:val="clear" w:color="auto" w:fill="auto"/>
          </w:tcPr>
          <w:p w14:paraId="384A801C" w14:textId="77777777" w:rsidR="00CF2E21" w:rsidRPr="00591BFC" w:rsidRDefault="00CF2E21" w:rsidP="00E86771">
            <w:pPr>
              <w:spacing w:line="360" w:lineRule="auto"/>
            </w:pPr>
            <w:r w:rsidRPr="00591BFC">
              <w:t>138</w:t>
            </w:r>
          </w:p>
        </w:tc>
      </w:tr>
      <w:tr w:rsidR="00CF2E21" w:rsidRPr="00591BFC" w14:paraId="795B93D0" w14:textId="77777777" w:rsidTr="00DB4F65">
        <w:tc>
          <w:tcPr>
            <w:tcW w:w="2435" w:type="pct"/>
            <w:shd w:val="clear" w:color="auto" w:fill="auto"/>
          </w:tcPr>
          <w:p w14:paraId="2955F42A" w14:textId="77777777" w:rsidR="00CF2E21" w:rsidRPr="00591BFC" w:rsidRDefault="00CF2E21" w:rsidP="00E86771">
            <w:pPr>
              <w:spacing w:line="360" w:lineRule="auto"/>
              <w:rPr>
                <w:b/>
              </w:rPr>
            </w:pPr>
            <w:r w:rsidRPr="00591BFC">
              <w:rPr>
                <w:b/>
              </w:rPr>
              <w:t>Life years in a care home*</w:t>
            </w:r>
          </w:p>
        </w:tc>
        <w:tc>
          <w:tcPr>
            <w:tcW w:w="942" w:type="pct"/>
            <w:shd w:val="clear" w:color="auto" w:fill="auto"/>
          </w:tcPr>
          <w:p w14:paraId="6184A6A1" w14:textId="77777777" w:rsidR="00CF2E21" w:rsidRPr="00591BFC" w:rsidRDefault="00CF2E21" w:rsidP="00E86771">
            <w:pPr>
              <w:spacing w:line="360" w:lineRule="auto"/>
            </w:pPr>
            <w:r w:rsidRPr="00591BFC">
              <w:t>0.72</w:t>
            </w:r>
          </w:p>
        </w:tc>
        <w:tc>
          <w:tcPr>
            <w:tcW w:w="785" w:type="pct"/>
            <w:shd w:val="clear" w:color="auto" w:fill="auto"/>
          </w:tcPr>
          <w:p w14:paraId="38F9513F" w14:textId="77777777" w:rsidR="00CF2E21" w:rsidRPr="00591BFC" w:rsidRDefault="00CF2E21" w:rsidP="00E86771">
            <w:pPr>
              <w:spacing w:line="360" w:lineRule="auto"/>
            </w:pPr>
            <w:r w:rsidRPr="00591BFC">
              <w:t>0.76</w:t>
            </w:r>
          </w:p>
        </w:tc>
        <w:tc>
          <w:tcPr>
            <w:tcW w:w="838" w:type="pct"/>
            <w:shd w:val="clear" w:color="auto" w:fill="auto"/>
          </w:tcPr>
          <w:p w14:paraId="4FAEA0CC" w14:textId="77777777" w:rsidR="00CF2E21" w:rsidRPr="00591BFC" w:rsidRDefault="00CF2E21" w:rsidP="00E86771">
            <w:pPr>
              <w:spacing w:line="360" w:lineRule="auto"/>
            </w:pPr>
            <w:r w:rsidRPr="00591BFC">
              <w:t>0.76</w:t>
            </w:r>
          </w:p>
        </w:tc>
      </w:tr>
      <w:tr w:rsidR="00CF2E21" w:rsidRPr="00591BFC" w14:paraId="794ABA58" w14:textId="77777777" w:rsidTr="00DB4F65">
        <w:tc>
          <w:tcPr>
            <w:tcW w:w="2435" w:type="pct"/>
            <w:shd w:val="clear" w:color="auto" w:fill="auto"/>
          </w:tcPr>
          <w:p w14:paraId="49428D5F" w14:textId="77777777" w:rsidR="00CF2E21" w:rsidRPr="00591BFC" w:rsidRDefault="00CF2E21" w:rsidP="00E86771">
            <w:pPr>
              <w:spacing w:line="360" w:lineRule="auto"/>
              <w:rPr>
                <w:b/>
              </w:rPr>
            </w:pPr>
            <w:r w:rsidRPr="00591BFC">
              <w:rPr>
                <w:b/>
              </w:rPr>
              <w:t>Life years in own home*</w:t>
            </w:r>
          </w:p>
        </w:tc>
        <w:tc>
          <w:tcPr>
            <w:tcW w:w="942" w:type="pct"/>
            <w:shd w:val="clear" w:color="auto" w:fill="auto"/>
          </w:tcPr>
          <w:p w14:paraId="19364444" w14:textId="77777777" w:rsidR="00CF2E21" w:rsidRPr="00591BFC" w:rsidRDefault="00CF2E21" w:rsidP="00E86771">
            <w:pPr>
              <w:spacing w:line="360" w:lineRule="auto"/>
            </w:pPr>
            <w:r w:rsidRPr="00591BFC">
              <w:t>3.67</w:t>
            </w:r>
          </w:p>
        </w:tc>
        <w:tc>
          <w:tcPr>
            <w:tcW w:w="785" w:type="pct"/>
            <w:shd w:val="clear" w:color="auto" w:fill="auto"/>
          </w:tcPr>
          <w:p w14:paraId="51E59482" w14:textId="77777777" w:rsidR="00CF2E21" w:rsidRPr="00591BFC" w:rsidRDefault="00CF2E21" w:rsidP="00E86771">
            <w:pPr>
              <w:spacing w:line="360" w:lineRule="auto"/>
            </w:pPr>
            <w:r w:rsidRPr="00591BFC">
              <w:t>3.81</w:t>
            </w:r>
          </w:p>
        </w:tc>
        <w:tc>
          <w:tcPr>
            <w:tcW w:w="838" w:type="pct"/>
            <w:shd w:val="clear" w:color="auto" w:fill="auto"/>
          </w:tcPr>
          <w:p w14:paraId="6F7F14B8" w14:textId="77777777" w:rsidR="00CF2E21" w:rsidRPr="00591BFC" w:rsidRDefault="00CF2E21" w:rsidP="00E86771">
            <w:pPr>
              <w:spacing w:line="360" w:lineRule="auto"/>
            </w:pPr>
            <w:r w:rsidRPr="00591BFC">
              <w:t>3.85</w:t>
            </w:r>
          </w:p>
        </w:tc>
      </w:tr>
    </w:tbl>
    <w:p w14:paraId="42DBCA90" w14:textId="77777777" w:rsidR="00CF2E21" w:rsidRPr="00591BFC" w:rsidRDefault="00CF2E21" w:rsidP="00E86771">
      <w:pPr>
        <w:spacing w:line="360" w:lineRule="auto"/>
      </w:pPr>
      <w:r w:rsidRPr="00591BFC">
        <w:t>* Not discounted</w:t>
      </w:r>
    </w:p>
    <w:p w14:paraId="04F6D540" w14:textId="34C96CF0" w:rsidR="00797551" w:rsidRDefault="00797551" w:rsidP="00E86771">
      <w:pPr>
        <w:spacing w:line="360" w:lineRule="auto"/>
      </w:pPr>
      <w:r w:rsidRPr="00797551">
        <w:t xml:space="preserve">The average discounted hospital cost per male patient was £23,825 with an orthogeriatrician, compared with £23,690 and £23,037 with a FLN and usual care. Mean primary care costs associated </w:t>
      </w:r>
      <w:r w:rsidRPr="00797551">
        <w:lastRenderedPageBreak/>
        <w:t>with an orthogeriatrician were also higher, £3,523, than FLN and usual care (£3,469 and £3,275, respectively). Mean care home costs were also higher if an OG was introduced (£13,946) compared to having a FLN (£13,710) or usual care (£12,789). Combining all health and social care costs included in the model, mean discounted costs were £41,714 when an orthogeriatrician is introduced, £41,068 when a FLN is introduced and £39,101 for standard care (</w:t>
      </w:r>
      <w:r w:rsidR="000173EB" w:rsidRPr="003C0762">
        <w:rPr>
          <w:b/>
          <w:bCs/>
        </w:rPr>
        <w:fldChar w:fldCharType="begin"/>
      </w:r>
      <w:r w:rsidR="000173EB" w:rsidRPr="003C0762">
        <w:rPr>
          <w:b/>
          <w:bCs/>
        </w:rPr>
        <w:instrText xml:space="preserve"> REF _Ref424559713 \h </w:instrText>
      </w:r>
      <w:r w:rsidR="000173EB" w:rsidRPr="003C0762">
        <w:rPr>
          <w:b/>
          <w:bCs/>
        </w:rPr>
      </w:r>
      <w:r w:rsidR="000173EB" w:rsidRPr="003C0762">
        <w:rPr>
          <w:b/>
          <w:bCs/>
        </w:rPr>
        <w:fldChar w:fldCharType="separate"/>
      </w:r>
      <w:r w:rsidR="008A2F17" w:rsidRPr="00591BFC">
        <w:t xml:space="preserve">Table </w:t>
      </w:r>
      <w:r w:rsidR="008A2F17">
        <w:rPr>
          <w:noProof/>
        </w:rPr>
        <w:t>38</w:t>
      </w:r>
      <w:r w:rsidR="000173EB" w:rsidRPr="003C0762">
        <w:rPr>
          <w:b/>
          <w:bCs/>
        </w:rPr>
        <w:fldChar w:fldCharType="end"/>
      </w:r>
      <w:r w:rsidRPr="00797551">
        <w:t>). The discounted average QALYs gained by male patients were 1.74 with an OG, 1.72 with a FLN and 1.62 with usual care.</w:t>
      </w:r>
      <w:r>
        <w:t xml:space="preserve"> </w:t>
      </w:r>
    </w:p>
    <w:p w14:paraId="0C5FB10D" w14:textId="77777777" w:rsidR="00797551" w:rsidRDefault="00797551" w:rsidP="00E86771">
      <w:pPr>
        <w:pStyle w:val="Caption"/>
        <w:keepNext/>
        <w:spacing w:line="360" w:lineRule="auto"/>
        <w:rPr>
          <w:b w:val="0"/>
          <w:bCs w:val="0"/>
          <w:color w:val="auto"/>
          <w:sz w:val="22"/>
          <w:szCs w:val="22"/>
        </w:rPr>
      </w:pPr>
      <w:bookmarkStart w:id="459" w:name="_Ref423078368"/>
      <w:r w:rsidRPr="00797551">
        <w:rPr>
          <w:b w:val="0"/>
          <w:bCs w:val="0"/>
          <w:color w:val="auto"/>
          <w:sz w:val="22"/>
          <w:szCs w:val="22"/>
        </w:rPr>
        <w:t>For our female cohort, the average discounted hospital cost per patient was £24,463 with an orthogeriatrician, compared with £24,372 and £23,881 with a FLN and usual care. As with male patients, the average primary care costs associated with an orthogeriatrician were higher, £4,947, compared to FLN and usual care (£4,895 and £4,716, respectively). Mean care home costs were considerably higher compared to male patients and introducing an OG was associated with highest costs (£23,274) compared to a FLN (£23,006) or usual care (£21,976). Combining all health and social care costs included in the model, mean discounted costs were £53,104 when an orthogeriatrician is introduced, £52,472 when a FLN is introduced and £50,573 if usual care is provided (</w:t>
      </w:r>
      <w:r w:rsidR="003C0762" w:rsidRPr="003C0762">
        <w:rPr>
          <w:b w:val="0"/>
          <w:bCs w:val="0"/>
          <w:color w:val="auto"/>
          <w:sz w:val="22"/>
          <w:szCs w:val="22"/>
        </w:rPr>
        <w:fldChar w:fldCharType="begin"/>
      </w:r>
      <w:r w:rsidR="003C0762" w:rsidRPr="003C0762">
        <w:rPr>
          <w:b w:val="0"/>
          <w:bCs w:val="0"/>
          <w:color w:val="auto"/>
          <w:sz w:val="22"/>
          <w:szCs w:val="22"/>
        </w:rPr>
        <w:instrText xml:space="preserve"> REF _Ref424559713 \h </w:instrText>
      </w:r>
      <w:r w:rsidR="003C0762" w:rsidRPr="003C0762">
        <w:rPr>
          <w:b w:val="0"/>
          <w:bCs w:val="0"/>
          <w:color w:val="auto"/>
          <w:sz w:val="22"/>
          <w:szCs w:val="22"/>
        </w:rPr>
      </w:r>
      <w:r w:rsidR="003C0762" w:rsidRPr="003C0762">
        <w:rPr>
          <w:b w:val="0"/>
          <w:bCs w:val="0"/>
          <w:color w:val="auto"/>
          <w:sz w:val="22"/>
          <w:szCs w:val="22"/>
        </w:rPr>
        <w:fldChar w:fldCharType="separate"/>
      </w:r>
      <w:r w:rsidR="00776C05" w:rsidRPr="00591BFC">
        <w:t xml:space="preserve">Table </w:t>
      </w:r>
      <w:r w:rsidR="00776C05">
        <w:rPr>
          <w:noProof/>
        </w:rPr>
        <w:t>38</w:t>
      </w:r>
      <w:r w:rsidR="003C0762" w:rsidRPr="003C0762">
        <w:rPr>
          <w:b w:val="0"/>
          <w:bCs w:val="0"/>
          <w:color w:val="auto"/>
          <w:sz w:val="22"/>
          <w:szCs w:val="22"/>
        </w:rPr>
        <w:fldChar w:fldCharType="end"/>
      </w:r>
      <w:r w:rsidRPr="00797551">
        <w:rPr>
          <w:b w:val="0"/>
          <w:bCs w:val="0"/>
          <w:color w:val="auto"/>
          <w:sz w:val="22"/>
          <w:szCs w:val="22"/>
        </w:rPr>
        <w:t>). The discounted average QALYs gained by female patients were 2.50 with an OG, 2.48 with a FLN and 2.38 with usual care.</w:t>
      </w:r>
    </w:p>
    <w:p w14:paraId="4E17E70F" w14:textId="77777777" w:rsidR="00135C98" w:rsidRPr="00591BFC" w:rsidRDefault="00135C98" w:rsidP="00E86771">
      <w:pPr>
        <w:pStyle w:val="Caption"/>
        <w:keepNext/>
        <w:spacing w:line="360" w:lineRule="auto"/>
      </w:pPr>
      <w:bookmarkStart w:id="460" w:name="_Ref424559713"/>
      <w:bookmarkStart w:id="461" w:name="_Toc308262433"/>
      <w:bookmarkStart w:id="462" w:name="_Toc311366699"/>
      <w:r w:rsidRPr="00591BFC">
        <w:t xml:space="preserve">Table </w:t>
      </w:r>
      <w:r w:rsidR="002149AD">
        <w:fldChar w:fldCharType="begin"/>
      </w:r>
      <w:r w:rsidR="002149AD">
        <w:instrText xml:space="preserve"> SEQ Table \* ARABIC </w:instrText>
      </w:r>
      <w:r w:rsidR="002149AD">
        <w:fldChar w:fldCharType="separate"/>
      </w:r>
      <w:r w:rsidR="00776C05">
        <w:rPr>
          <w:noProof/>
        </w:rPr>
        <w:t>38</w:t>
      </w:r>
      <w:r w:rsidR="002149AD">
        <w:rPr>
          <w:noProof/>
        </w:rPr>
        <w:fldChar w:fldCharType="end"/>
      </w:r>
      <w:bookmarkEnd w:id="459"/>
      <w:bookmarkEnd w:id="460"/>
      <w:r w:rsidRPr="00591BFC">
        <w:t xml:space="preserve"> Mean discounted costs and outcomes of the differing models of secondary prevention care</w:t>
      </w:r>
      <w:bookmarkEnd w:id="461"/>
      <w:bookmarkEnd w:id="462"/>
    </w:p>
    <w:tbl>
      <w:tblPr>
        <w:tblW w:w="5000" w:type="pct"/>
        <w:tblLayout w:type="fixed"/>
        <w:tblLook w:val="04A0" w:firstRow="1" w:lastRow="0" w:firstColumn="1" w:lastColumn="0" w:noHBand="0" w:noVBand="1"/>
      </w:tblPr>
      <w:tblGrid>
        <w:gridCol w:w="2321"/>
        <w:gridCol w:w="2305"/>
        <w:gridCol w:w="2305"/>
        <w:gridCol w:w="2305"/>
      </w:tblGrid>
      <w:tr w:rsidR="003C0762" w:rsidRPr="002E63B3" w14:paraId="2F1AF81E" w14:textId="77777777" w:rsidTr="00DB4F65">
        <w:tc>
          <w:tcPr>
            <w:tcW w:w="1256" w:type="pct"/>
            <w:shd w:val="clear" w:color="auto" w:fill="auto"/>
          </w:tcPr>
          <w:p w14:paraId="06081227" w14:textId="77777777" w:rsidR="003C0762" w:rsidRPr="002E63B3" w:rsidRDefault="003C0762" w:rsidP="00E86771">
            <w:pPr>
              <w:spacing w:after="0" w:line="360" w:lineRule="auto"/>
              <w:rPr>
                <w:b/>
                <w:i/>
              </w:rPr>
            </w:pPr>
            <w:r w:rsidRPr="002E63B3">
              <w:rPr>
                <w:b/>
                <w:i/>
              </w:rPr>
              <w:t>Male cohort</w:t>
            </w:r>
          </w:p>
        </w:tc>
        <w:tc>
          <w:tcPr>
            <w:tcW w:w="1248" w:type="pct"/>
            <w:shd w:val="clear" w:color="auto" w:fill="auto"/>
          </w:tcPr>
          <w:p w14:paraId="7EAD24A0" w14:textId="77777777" w:rsidR="003C0762" w:rsidRPr="002E63B3" w:rsidRDefault="003C0762" w:rsidP="00E86771">
            <w:pPr>
              <w:spacing w:after="0" w:line="360" w:lineRule="auto"/>
              <w:jc w:val="right"/>
              <w:rPr>
                <w:b/>
              </w:rPr>
            </w:pPr>
            <w:r>
              <w:rPr>
                <w:b/>
              </w:rPr>
              <w:t>Usual</w:t>
            </w:r>
            <w:r w:rsidRPr="002E63B3">
              <w:rPr>
                <w:b/>
              </w:rPr>
              <w:t xml:space="preserve"> care</w:t>
            </w:r>
          </w:p>
        </w:tc>
        <w:tc>
          <w:tcPr>
            <w:tcW w:w="1248" w:type="pct"/>
            <w:shd w:val="clear" w:color="auto" w:fill="auto"/>
          </w:tcPr>
          <w:p w14:paraId="536312BF" w14:textId="77777777" w:rsidR="003C0762" w:rsidRPr="002E63B3" w:rsidRDefault="003C0762" w:rsidP="00E86771">
            <w:pPr>
              <w:spacing w:after="0" w:line="360" w:lineRule="auto"/>
              <w:jc w:val="right"/>
              <w:rPr>
                <w:b/>
              </w:rPr>
            </w:pPr>
            <w:r w:rsidRPr="002E63B3">
              <w:rPr>
                <w:b/>
              </w:rPr>
              <w:t>Fracture liaison nurse</w:t>
            </w:r>
          </w:p>
        </w:tc>
        <w:tc>
          <w:tcPr>
            <w:tcW w:w="1248" w:type="pct"/>
            <w:shd w:val="clear" w:color="auto" w:fill="auto"/>
          </w:tcPr>
          <w:p w14:paraId="1AD316B6" w14:textId="77777777" w:rsidR="003C0762" w:rsidRPr="002E63B3" w:rsidRDefault="003C0762" w:rsidP="00E86771">
            <w:pPr>
              <w:spacing w:after="0" w:line="360" w:lineRule="auto"/>
              <w:jc w:val="right"/>
              <w:rPr>
                <w:b/>
              </w:rPr>
            </w:pPr>
            <w:r w:rsidRPr="002E63B3">
              <w:rPr>
                <w:b/>
              </w:rPr>
              <w:t>Orthogeriatrician</w:t>
            </w:r>
          </w:p>
        </w:tc>
      </w:tr>
      <w:tr w:rsidR="003C0762" w:rsidRPr="002E63B3" w14:paraId="7BEBDAF8" w14:textId="77777777" w:rsidTr="00DB4F65">
        <w:tc>
          <w:tcPr>
            <w:tcW w:w="1256" w:type="pct"/>
            <w:shd w:val="clear" w:color="auto" w:fill="auto"/>
          </w:tcPr>
          <w:p w14:paraId="38AD72FC" w14:textId="77777777" w:rsidR="003C0762" w:rsidRPr="002E63B3" w:rsidRDefault="003C0762" w:rsidP="00E86771">
            <w:pPr>
              <w:spacing w:after="0" w:line="360" w:lineRule="auto"/>
              <w:rPr>
                <w:b/>
              </w:rPr>
            </w:pPr>
            <w:r w:rsidRPr="002E63B3">
              <w:rPr>
                <w:b/>
              </w:rPr>
              <w:t>Total costs</w:t>
            </w:r>
          </w:p>
        </w:tc>
        <w:tc>
          <w:tcPr>
            <w:tcW w:w="1248" w:type="pct"/>
            <w:shd w:val="clear" w:color="auto" w:fill="auto"/>
          </w:tcPr>
          <w:p w14:paraId="71211073" w14:textId="77777777" w:rsidR="003C0762" w:rsidRPr="002E63B3" w:rsidRDefault="003C0762" w:rsidP="00E86771">
            <w:pPr>
              <w:spacing w:after="0" w:line="360" w:lineRule="auto"/>
              <w:jc w:val="right"/>
            </w:pPr>
            <w:r w:rsidRPr="002E63B3">
              <w:t>£</w:t>
            </w:r>
            <w:r>
              <w:t>39,101</w:t>
            </w:r>
          </w:p>
          <w:p w14:paraId="1C8102FE" w14:textId="77777777" w:rsidR="003C0762" w:rsidRPr="002E63B3" w:rsidRDefault="003C0762" w:rsidP="00E86771">
            <w:pPr>
              <w:spacing w:after="0" w:line="360" w:lineRule="auto"/>
              <w:jc w:val="right"/>
            </w:pPr>
            <w:r w:rsidRPr="002E63B3">
              <w:t>(£</w:t>
            </w:r>
            <w:r>
              <w:t>37,798</w:t>
            </w:r>
            <w:r w:rsidRPr="002E63B3">
              <w:t>-£</w:t>
            </w:r>
            <w:r>
              <w:t>40,514</w:t>
            </w:r>
            <w:r w:rsidRPr="002E63B3">
              <w:t>)</w:t>
            </w:r>
          </w:p>
        </w:tc>
        <w:tc>
          <w:tcPr>
            <w:tcW w:w="1248" w:type="pct"/>
            <w:shd w:val="clear" w:color="auto" w:fill="auto"/>
          </w:tcPr>
          <w:p w14:paraId="1C5C7D74" w14:textId="77777777" w:rsidR="003C0762" w:rsidRPr="002E63B3" w:rsidRDefault="003C0762" w:rsidP="00E86771">
            <w:pPr>
              <w:spacing w:after="0" w:line="360" w:lineRule="auto"/>
              <w:jc w:val="right"/>
            </w:pPr>
            <w:r w:rsidRPr="002E63B3">
              <w:t>£</w:t>
            </w:r>
            <w:r>
              <w:t>41,068</w:t>
            </w:r>
          </w:p>
          <w:p w14:paraId="234580F1" w14:textId="77777777" w:rsidR="003C0762" w:rsidRPr="002E63B3" w:rsidRDefault="003C0762" w:rsidP="00E86771">
            <w:pPr>
              <w:spacing w:after="0" w:line="360" w:lineRule="auto"/>
              <w:jc w:val="right"/>
            </w:pPr>
            <w:r w:rsidRPr="002E63B3">
              <w:t>(£</w:t>
            </w:r>
            <w:r>
              <w:t>39,530</w:t>
            </w:r>
            <w:r w:rsidRPr="002E63B3">
              <w:t>-£</w:t>
            </w:r>
            <w:r>
              <w:t>42,623</w:t>
            </w:r>
            <w:r w:rsidRPr="002E63B3">
              <w:t>)</w:t>
            </w:r>
          </w:p>
        </w:tc>
        <w:tc>
          <w:tcPr>
            <w:tcW w:w="1248" w:type="pct"/>
            <w:shd w:val="clear" w:color="auto" w:fill="auto"/>
          </w:tcPr>
          <w:p w14:paraId="3C706110" w14:textId="77777777" w:rsidR="003C0762" w:rsidRPr="002E63B3" w:rsidRDefault="003C0762" w:rsidP="00E86771">
            <w:pPr>
              <w:spacing w:after="0" w:line="360" w:lineRule="auto"/>
              <w:jc w:val="right"/>
            </w:pPr>
            <w:r w:rsidRPr="002E63B3">
              <w:t>£</w:t>
            </w:r>
            <w:r>
              <w:t>41,714</w:t>
            </w:r>
          </w:p>
          <w:p w14:paraId="3E486F8A" w14:textId="77777777" w:rsidR="003C0762" w:rsidRPr="002E63B3" w:rsidRDefault="003C0762" w:rsidP="00E86771">
            <w:pPr>
              <w:spacing w:after="0" w:line="360" w:lineRule="auto"/>
              <w:jc w:val="right"/>
            </w:pPr>
            <w:r w:rsidRPr="002E63B3">
              <w:t>(£</w:t>
            </w:r>
            <w:r>
              <w:t>40,265</w:t>
            </w:r>
            <w:r w:rsidRPr="002E63B3">
              <w:t>-£</w:t>
            </w:r>
            <w:r>
              <w:t>43,262</w:t>
            </w:r>
            <w:r w:rsidRPr="002E63B3">
              <w:t>)</w:t>
            </w:r>
          </w:p>
        </w:tc>
      </w:tr>
      <w:tr w:rsidR="003C0762" w:rsidRPr="002E63B3" w14:paraId="6060E9AB" w14:textId="77777777" w:rsidTr="00DB4F65">
        <w:tc>
          <w:tcPr>
            <w:tcW w:w="1256" w:type="pct"/>
            <w:shd w:val="clear" w:color="auto" w:fill="auto"/>
          </w:tcPr>
          <w:p w14:paraId="223C5422" w14:textId="77777777" w:rsidR="003C0762" w:rsidRPr="002E63B3" w:rsidRDefault="003C0762" w:rsidP="00E86771">
            <w:pPr>
              <w:spacing w:after="0" w:line="360" w:lineRule="auto"/>
            </w:pPr>
            <w:r w:rsidRPr="002E63B3">
              <w:t xml:space="preserve">Intervention </w:t>
            </w:r>
          </w:p>
        </w:tc>
        <w:tc>
          <w:tcPr>
            <w:tcW w:w="1248" w:type="pct"/>
            <w:shd w:val="clear" w:color="auto" w:fill="auto"/>
          </w:tcPr>
          <w:p w14:paraId="7F744F86" w14:textId="77777777" w:rsidR="003C0762" w:rsidRPr="002E63B3" w:rsidRDefault="003C0762" w:rsidP="00E86771">
            <w:pPr>
              <w:spacing w:after="0" w:line="360" w:lineRule="auto"/>
              <w:jc w:val="right"/>
            </w:pPr>
            <w:r w:rsidRPr="002E63B3">
              <w:t>0</w:t>
            </w:r>
          </w:p>
        </w:tc>
        <w:tc>
          <w:tcPr>
            <w:tcW w:w="1248" w:type="pct"/>
            <w:shd w:val="clear" w:color="auto" w:fill="auto"/>
          </w:tcPr>
          <w:p w14:paraId="2C1BCA35" w14:textId="77777777" w:rsidR="003C0762" w:rsidRPr="002E63B3" w:rsidRDefault="003C0762" w:rsidP="00E86771">
            <w:pPr>
              <w:spacing w:after="0" w:line="360" w:lineRule="auto"/>
              <w:jc w:val="right"/>
            </w:pPr>
            <w:r w:rsidRPr="002E63B3">
              <w:t>£200</w:t>
            </w:r>
          </w:p>
        </w:tc>
        <w:tc>
          <w:tcPr>
            <w:tcW w:w="1248" w:type="pct"/>
            <w:shd w:val="clear" w:color="auto" w:fill="auto"/>
          </w:tcPr>
          <w:p w14:paraId="412916EA" w14:textId="77777777" w:rsidR="003C0762" w:rsidRPr="002E63B3" w:rsidRDefault="003C0762" w:rsidP="00E86771">
            <w:pPr>
              <w:spacing w:after="0" w:line="360" w:lineRule="auto"/>
              <w:jc w:val="right"/>
            </w:pPr>
            <w:r w:rsidRPr="002E63B3">
              <w:t>£420</w:t>
            </w:r>
          </w:p>
        </w:tc>
      </w:tr>
      <w:tr w:rsidR="003C0762" w:rsidRPr="002E63B3" w14:paraId="3CAD8E15" w14:textId="77777777" w:rsidTr="00DB4F65">
        <w:tc>
          <w:tcPr>
            <w:tcW w:w="1256" w:type="pct"/>
            <w:shd w:val="clear" w:color="auto" w:fill="auto"/>
          </w:tcPr>
          <w:p w14:paraId="00F13D16" w14:textId="77777777" w:rsidR="003C0762" w:rsidRPr="002E63B3" w:rsidRDefault="003C0762" w:rsidP="00E86771">
            <w:pPr>
              <w:spacing w:after="0" w:line="360" w:lineRule="auto"/>
            </w:pPr>
            <w:r w:rsidRPr="002E63B3">
              <w:t>Hospital care</w:t>
            </w:r>
          </w:p>
        </w:tc>
        <w:tc>
          <w:tcPr>
            <w:tcW w:w="1248" w:type="pct"/>
            <w:shd w:val="clear" w:color="auto" w:fill="auto"/>
          </w:tcPr>
          <w:p w14:paraId="41C1210D" w14:textId="77777777" w:rsidR="003C0762" w:rsidRPr="002E63B3" w:rsidRDefault="003C0762" w:rsidP="00E86771">
            <w:pPr>
              <w:spacing w:after="0" w:line="360" w:lineRule="auto"/>
              <w:jc w:val="right"/>
            </w:pPr>
            <w:r w:rsidRPr="002E63B3">
              <w:t>£23,0</w:t>
            </w:r>
            <w:r>
              <w:t>37</w:t>
            </w:r>
          </w:p>
        </w:tc>
        <w:tc>
          <w:tcPr>
            <w:tcW w:w="1248" w:type="pct"/>
            <w:shd w:val="clear" w:color="auto" w:fill="auto"/>
          </w:tcPr>
          <w:p w14:paraId="291DC212" w14:textId="77777777" w:rsidR="003C0762" w:rsidRPr="002E63B3" w:rsidRDefault="003C0762" w:rsidP="00E86771">
            <w:pPr>
              <w:spacing w:after="0" w:line="360" w:lineRule="auto"/>
              <w:jc w:val="right"/>
            </w:pPr>
            <w:r w:rsidRPr="002E63B3">
              <w:t>£23,</w:t>
            </w:r>
            <w:r>
              <w:t>690</w:t>
            </w:r>
          </w:p>
        </w:tc>
        <w:tc>
          <w:tcPr>
            <w:tcW w:w="1248" w:type="pct"/>
            <w:shd w:val="clear" w:color="auto" w:fill="auto"/>
          </w:tcPr>
          <w:p w14:paraId="75AB0361" w14:textId="77777777" w:rsidR="003C0762" w:rsidRPr="002E63B3" w:rsidRDefault="003C0762" w:rsidP="00E86771">
            <w:pPr>
              <w:spacing w:after="0" w:line="360" w:lineRule="auto"/>
              <w:jc w:val="right"/>
            </w:pPr>
            <w:r w:rsidRPr="002E63B3">
              <w:t>£23,</w:t>
            </w:r>
            <w:r>
              <w:t>825</w:t>
            </w:r>
          </w:p>
        </w:tc>
      </w:tr>
      <w:tr w:rsidR="003C0762" w:rsidRPr="002E63B3" w14:paraId="0D1E2048" w14:textId="77777777" w:rsidTr="00DB4F65">
        <w:tc>
          <w:tcPr>
            <w:tcW w:w="1256" w:type="pct"/>
            <w:shd w:val="clear" w:color="auto" w:fill="auto"/>
          </w:tcPr>
          <w:p w14:paraId="6930A08E" w14:textId="77777777" w:rsidR="003C0762" w:rsidRPr="002E63B3" w:rsidRDefault="003C0762" w:rsidP="00E86771">
            <w:pPr>
              <w:spacing w:after="0" w:line="360" w:lineRule="auto"/>
            </w:pPr>
            <w:r w:rsidRPr="002E63B3">
              <w:t xml:space="preserve">Primary care </w:t>
            </w:r>
          </w:p>
        </w:tc>
        <w:tc>
          <w:tcPr>
            <w:tcW w:w="1248" w:type="pct"/>
            <w:shd w:val="clear" w:color="auto" w:fill="auto"/>
          </w:tcPr>
          <w:p w14:paraId="098C5B21" w14:textId="77777777" w:rsidR="003C0762" w:rsidRPr="002E63B3" w:rsidRDefault="003C0762" w:rsidP="00E86771">
            <w:pPr>
              <w:spacing w:after="0" w:line="360" w:lineRule="auto"/>
              <w:jc w:val="right"/>
            </w:pPr>
            <w:r w:rsidRPr="002E63B3">
              <w:t>£</w:t>
            </w:r>
            <w:r>
              <w:t>3,275</w:t>
            </w:r>
          </w:p>
        </w:tc>
        <w:tc>
          <w:tcPr>
            <w:tcW w:w="1248" w:type="pct"/>
            <w:shd w:val="clear" w:color="auto" w:fill="auto"/>
          </w:tcPr>
          <w:p w14:paraId="6890B7E9" w14:textId="77777777" w:rsidR="003C0762" w:rsidRPr="002E63B3" w:rsidRDefault="003C0762" w:rsidP="00E86771">
            <w:pPr>
              <w:spacing w:after="0" w:line="360" w:lineRule="auto"/>
              <w:jc w:val="right"/>
            </w:pPr>
            <w:r w:rsidRPr="002E63B3">
              <w:t>£</w:t>
            </w:r>
            <w:r>
              <w:t>3,469</w:t>
            </w:r>
          </w:p>
        </w:tc>
        <w:tc>
          <w:tcPr>
            <w:tcW w:w="1248" w:type="pct"/>
            <w:shd w:val="clear" w:color="auto" w:fill="auto"/>
          </w:tcPr>
          <w:p w14:paraId="12EC44F5" w14:textId="77777777" w:rsidR="003C0762" w:rsidRPr="002E63B3" w:rsidRDefault="003C0762" w:rsidP="00E86771">
            <w:pPr>
              <w:spacing w:after="0" w:line="360" w:lineRule="auto"/>
              <w:jc w:val="right"/>
            </w:pPr>
            <w:r w:rsidRPr="002E63B3">
              <w:t>£</w:t>
            </w:r>
            <w:r>
              <w:t>3,523</w:t>
            </w:r>
          </w:p>
        </w:tc>
      </w:tr>
      <w:tr w:rsidR="003C0762" w:rsidRPr="002E63B3" w14:paraId="5CD0C6A1" w14:textId="77777777" w:rsidTr="00DB4F65">
        <w:tc>
          <w:tcPr>
            <w:tcW w:w="1256" w:type="pct"/>
            <w:shd w:val="clear" w:color="auto" w:fill="auto"/>
          </w:tcPr>
          <w:p w14:paraId="57C92340" w14:textId="77777777" w:rsidR="003C0762" w:rsidRPr="002E63B3" w:rsidRDefault="003C0762" w:rsidP="00E86771">
            <w:pPr>
              <w:spacing w:after="0" w:line="360" w:lineRule="auto"/>
            </w:pPr>
            <w:r w:rsidRPr="002E63B3">
              <w:t>Care home</w:t>
            </w:r>
          </w:p>
        </w:tc>
        <w:tc>
          <w:tcPr>
            <w:tcW w:w="1248" w:type="pct"/>
            <w:shd w:val="clear" w:color="auto" w:fill="auto"/>
          </w:tcPr>
          <w:p w14:paraId="5A5A37D3" w14:textId="77777777" w:rsidR="003C0762" w:rsidRPr="002E63B3" w:rsidRDefault="003C0762" w:rsidP="00E86771">
            <w:pPr>
              <w:spacing w:after="0" w:line="360" w:lineRule="auto"/>
              <w:jc w:val="right"/>
            </w:pPr>
            <w:r w:rsidRPr="002E63B3">
              <w:t>£12,789</w:t>
            </w:r>
          </w:p>
        </w:tc>
        <w:tc>
          <w:tcPr>
            <w:tcW w:w="1248" w:type="pct"/>
            <w:shd w:val="clear" w:color="auto" w:fill="auto"/>
          </w:tcPr>
          <w:p w14:paraId="521C70DE" w14:textId="77777777" w:rsidR="003C0762" w:rsidRPr="002E63B3" w:rsidRDefault="003C0762" w:rsidP="00E86771">
            <w:pPr>
              <w:spacing w:after="0" w:line="360" w:lineRule="auto"/>
              <w:jc w:val="right"/>
            </w:pPr>
            <w:r w:rsidRPr="002E63B3">
              <w:t>£13,7</w:t>
            </w:r>
            <w:r>
              <w:t>10</w:t>
            </w:r>
          </w:p>
        </w:tc>
        <w:tc>
          <w:tcPr>
            <w:tcW w:w="1248" w:type="pct"/>
            <w:shd w:val="clear" w:color="auto" w:fill="auto"/>
          </w:tcPr>
          <w:p w14:paraId="2822DEF9" w14:textId="77777777" w:rsidR="003C0762" w:rsidRPr="002E63B3" w:rsidRDefault="003C0762" w:rsidP="00E86771">
            <w:pPr>
              <w:spacing w:after="0" w:line="360" w:lineRule="auto"/>
              <w:jc w:val="right"/>
            </w:pPr>
            <w:r w:rsidRPr="002E63B3">
              <w:t>£13,94</w:t>
            </w:r>
            <w:r>
              <w:t>6</w:t>
            </w:r>
          </w:p>
        </w:tc>
      </w:tr>
      <w:tr w:rsidR="003C0762" w:rsidRPr="002E63B3" w14:paraId="54BA184D" w14:textId="77777777" w:rsidTr="00DB4F65">
        <w:tc>
          <w:tcPr>
            <w:tcW w:w="1256" w:type="pct"/>
            <w:shd w:val="clear" w:color="auto" w:fill="auto"/>
          </w:tcPr>
          <w:p w14:paraId="5060F5F7" w14:textId="77777777" w:rsidR="003C0762" w:rsidRPr="002E63B3" w:rsidRDefault="003C0762" w:rsidP="00E86771">
            <w:pPr>
              <w:spacing w:after="0" w:line="360" w:lineRule="auto"/>
              <w:rPr>
                <w:b/>
              </w:rPr>
            </w:pPr>
            <w:r w:rsidRPr="002E63B3">
              <w:rPr>
                <w:b/>
              </w:rPr>
              <w:t>Total Life years</w:t>
            </w:r>
          </w:p>
        </w:tc>
        <w:tc>
          <w:tcPr>
            <w:tcW w:w="1248" w:type="pct"/>
            <w:shd w:val="clear" w:color="auto" w:fill="auto"/>
          </w:tcPr>
          <w:p w14:paraId="32C8D8A7" w14:textId="77777777" w:rsidR="003C0762" w:rsidRPr="002E63B3" w:rsidRDefault="003C0762" w:rsidP="00E86771">
            <w:pPr>
              <w:spacing w:after="0" w:line="360" w:lineRule="auto"/>
              <w:jc w:val="right"/>
            </w:pPr>
            <w:r w:rsidRPr="002E63B3">
              <w:t>2.68</w:t>
            </w:r>
          </w:p>
          <w:p w14:paraId="5E2C42ED" w14:textId="77777777" w:rsidR="003C0762" w:rsidRPr="002E63B3" w:rsidRDefault="003C0762" w:rsidP="00E86771">
            <w:pPr>
              <w:spacing w:after="0" w:line="360" w:lineRule="auto"/>
              <w:jc w:val="right"/>
            </w:pPr>
            <w:r w:rsidRPr="002E63B3">
              <w:t>(2.56-2.79)</w:t>
            </w:r>
          </w:p>
        </w:tc>
        <w:tc>
          <w:tcPr>
            <w:tcW w:w="1248" w:type="pct"/>
            <w:shd w:val="clear" w:color="auto" w:fill="auto"/>
          </w:tcPr>
          <w:p w14:paraId="63106A24" w14:textId="77777777" w:rsidR="003C0762" w:rsidRPr="002E63B3" w:rsidRDefault="003C0762" w:rsidP="00E86771">
            <w:pPr>
              <w:spacing w:after="0" w:line="360" w:lineRule="auto"/>
              <w:jc w:val="right"/>
            </w:pPr>
            <w:r w:rsidRPr="002E63B3">
              <w:t>2.83</w:t>
            </w:r>
          </w:p>
          <w:p w14:paraId="07C4E470" w14:textId="77777777" w:rsidR="003C0762" w:rsidRPr="002E63B3" w:rsidRDefault="003C0762" w:rsidP="00E86771">
            <w:pPr>
              <w:spacing w:after="0" w:line="360" w:lineRule="auto"/>
              <w:jc w:val="right"/>
            </w:pPr>
            <w:r w:rsidRPr="002E63B3">
              <w:t>(2.70-2.96)</w:t>
            </w:r>
          </w:p>
        </w:tc>
        <w:tc>
          <w:tcPr>
            <w:tcW w:w="1248" w:type="pct"/>
            <w:shd w:val="clear" w:color="auto" w:fill="auto"/>
          </w:tcPr>
          <w:p w14:paraId="277C4BBF" w14:textId="77777777" w:rsidR="003C0762" w:rsidRPr="002E63B3" w:rsidRDefault="003C0762" w:rsidP="00E86771">
            <w:pPr>
              <w:spacing w:after="0" w:line="360" w:lineRule="auto"/>
              <w:jc w:val="right"/>
            </w:pPr>
            <w:r w:rsidRPr="002E63B3">
              <w:t>2.88</w:t>
            </w:r>
          </w:p>
          <w:p w14:paraId="6672948F" w14:textId="77777777" w:rsidR="003C0762" w:rsidRPr="002E63B3" w:rsidRDefault="003C0762" w:rsidP="00E86771">
            <w:pPr>
              <w:spacing w:after="0" w:line="360" w:lineRule="auto"/>
              <w:jc w:val="right"/>
            </w:pPr>
            <w:r w:rsidRPr="002E63B3">
              <w:t>(2.75-3.00)</w:t>
            </w:r>
          </w:p>
        </w:tc>
      </w:tr>
      <w:tr w:rsidR="003C0762" w:rsidRPr="002E63B3" w14:paraId="17B7ACDB" w14:textId="77777777" w:rsidTr="00DB4F65">
        <w:tc>
          <w:tcPr>
            <w:tcW w:w="1256" w:type="pct"/>
            <w:shd w:val="clear" w:color="auto" w:fill="auto"/>
          </w:tcPr>
          <w:p w14:paraId="02432076" w14:textId="77777777" w:rsidR="003C0762" w:rsidRPr="002E63B3" w:rsidRDefault="003C0762" w:rsidP="00E86771">
            <w:pPr>
              <w:spacing w:after="0" w:line="360" w:lineRule="auto"/>
              <w:rPr>
                <w:b/>
              </w:rPr>
            </w:pPr>
            <w:r w:rsidRPr="002E63B3">
              <w:rPr>
                <w:b/>
              </w:rPr>
              <w:t>Total QALYs</w:t>
            </w:r>
          </w:p>
        </w:tc>
        <w:tc>
          <w:tcPr>
            <w:tcW w:w="1248" w:type="pct"/>
            <w:shd w:val="clear" w:color="auto" w:fill="auto"/>
          </w:tcPr>
          <w:p w14:paraId="64410437" w14:textId="77777777" w:rsidR="003C0762" w:rsidRPr="002E63B3" w:rsidRDefault="003C0762" w:rsidP="00E86771">
            <w:pPr>
              <w:spacing w:after="0" w:line="360" w:lineRule="auto"/>
              <w:jc w:val="right"/>
            </w:pPr>
            <w:r w:rsidRPr="002E63B3">
              <w:t>1.62</w:t>
            </w:r>
          </w:p>
          <w:p w14:paraId="2D4B9869" w14:textId="77777777" w:rsidR="003C0762" w:rsidRPr="002E63B3" w:rsidRDefault="003C0762" w:rsidP="00E86771">
            <w:pPr>
              <w:spacing w:after="0" w:line="360" w:lineRule="auto"/>
              <w:jc w:val="right"/>
            </w:pPr>
            <w:r w:rsidRPr="002E63B3">
              <w:t>(1.54-1.70)</w:t>
            </w:r>
          </w:p>
        </w:tc>
        <w:tc>
          <w:tcPr>
            <w:tcW w:w="1248" w:type="pct"/>
            <w:shd w:val="clear" w:color="auto" w:fill="auto"/>
          </w:tcPr>
          <w:p w14:paraId="4822CA3D" w14:textId="77777777" w:rsidR="003C0762" w:rsidRPr="002E63B3" w:rsidRDefault="003C0762" w:rsidP="00E86771">
            <w:pPr>
              <w:spacing w:after="0" w:line="360" w:lineRule="auto"/>
              <w:jc w:val="right"/>
            </w:pPr>
            <w:r w:rsidRPr="002E63B3">
              <w:t>1.7</w:t>
            </w:r>
            <w:r>
              <w:t>2</w:t>
            </w:r>
          </w:p>
          <w:p w14:paraId="79B554AF" w14:textId="77777777" w:rsidR="003C0762" w:rsidRPr="002E63B3" w:rsidRDefault="003C0762" w:rsidP="00E86771">
            <w:pPr>
              <w:spacing w:after="0" w:line="360" w:lineRule="auto"/>
              <w:jc w:val="right"/>
            </w:pPr>
            <w:r w:rsidRPr="002E63B3">
              <w:t>(1.6</w:t>
            </w:r>
            <w:r>
              <w:t>4</w:t>
            </w:r>
            <w:r w:rsidRPr="002E63B3">
              <w:t>- 1.80)</w:t>
            </w:r>
          </w:p>
        </w:tc>
        <w:tc>
          <w:tcPr>
            <w:tcW w:w="1248" w:type="pct"/>
            <w:shd w:val="clear" w:color="auto" w:fill="auto"/>
          </w:tcPr>
          <w:p w14:paraId="3C7EA533" w14:textId="77777777" w:rsidR="003C0762" w:rsidRPr="002E63B3" w:rsidRDefault="003C0762" w:rsidP="00E86771">
            <w:pPr>
              <w:spacing w:after="0" w:line="360" w:lineRule="auto"/>
              <w:jc w:val="right"/>
            </w:pPr>
            <w:r w:rsidRPr="002E63B3">
              <w:t>1.74</w:t>
            </w:r>
          </w:p>
          <w:p w14:paraId="61947775" w14:textId="77777777" w:rsidR="003C0762" w:rsidRPr="002E63B3" w:rsidRDefault="003C0762" w:rsidP="00E86771">
            <w:pPr>
              <w:spacing w:after="0" w:line="360" w:lineRule="auto"/>
              <w:jc w:val="right"/>
            </w:pPr>
            <w:r w:rsidRPr="002E63B3">
              <w:t>(1.66-1.83)</w:t>
            </w:r>
          </w:p>
        </w:tc>
      </w:tr>
      <w:tr w:rsidR="003C0762" w:rsidRPr="002E63B3" w14:paraId="7E65591A" w14:textId="77777777" w:rsidTr="00DB4F65">
        <w:tc>
          <w:tcPr>
            <w:tcW w:w="1256" w:type="pct"/>
            <w:shd w:val="clear" w:color="auto" w:fill="auto"/>
          </w:tcPr>
          <w:p w14:paraId="7C6F0FDE" w14:textId="77777777" w:rsidR="003C0762" w:rsidRPr="002E63B3" w:rsidRDefault="003C0762" w:rsidP="00E86771">
            <w:pPr>
              <w:spacing w:after="0" w:line="360" w:lineRule="auto"/>
              <w:rPr>
                <w:b/>
                <w:i/>
              </w:rPr>
            </w:pPr>
            <w:r w:rsidRPr="002E63B3">
              <w:rPr>
                <w:b/>
                <w:i/>
              </w:rPr>
              <w:t>Female cohort</w:t>
            </w:r>
          </w:p>
        </w:tc>
        <w:tc>
          <w:tcPr>
            <w:tcW w:w="1248" w:type="pct"/>
            <w:shd w:val="clear" w:color="auto" w:fill="auto"/>
          </w:tcPr>
          <w:p w14:paraId="4BC0AE56" w14:textId="77777777" w:rsidR="003C0762" w:rsidRPr="002E63B3" w:rsidRDefault="003C0762" w:rsidP="00E86771">
            <w:pPr>
              <w:spacing w:after="0" w:line="360" w:lineRule="auto"/>
            </w:pPr>
          </w:p>
        </w:tc>
        <w:tc>
          <w:tcPr>
            <w:tcW w:w="1248" w:type="pct"/>
            <w:shd w:val="clear" w:color="auto" w:fill="auto"/>
          </w:tcPr>
          <w:p w14:paraId="39ECE84B" w14:textId="77777777" w:rsidR="003C0762" w:rsidRPr="002E63B3" w:rsidRDefault="003C0762" w:rsidP="00E86771">
            <w:pPr>
              <w:spacing w:after="0" w:line="360" w:lineRule="auto"/>
            </w:pPr>
          </w:p>
        </w:tc>
        <w:tc>
          <w:tcPr>
            <w:tcW w:w="1248" w:type="pct"/>
            <w:shd w:val="clear" w:color="auto" w:fill="auto"/>
          </w:tcPr>
          <w:p w14:paraId="509850EC" w14:textId="77777777" w:rsidR="003C0762" w:rsidRPr="002E63B3" w:rsidRDefault="003C0762" w:rsidP="00E86771">
            <w:pPr>
              <w:spacing w:after="0" w:line="360" w:lineRule="auto"/>
            </w:pPr>
          </w:p>
        </w:tc>
      </w:tr>
      <w:tr w:rsidR="003C0762" w:rsidRPr="002E63B3" w14:paraId="61678B4D" w14:textId="77777777" w:rsidTr="00DB4F65">
        <w:tc>
          <w:tcPr>
            <w:tcW w:w="1256" w:type="pct"/>
            <w:shd w:val="clear" w:color="auto" w:fill="auto"/>
          </w:tcPr>
          <w:p w14:paraId="111845D1" w14:textId="77777777" w:rsidR="003C0762" w:rsidRPr="002E63B3" w:rsidRDefault="003C0762" w:rsidP="00E86771">
            <w:pPr>
              <w:spacing w:after="0" w:line="360" w:lineRule="auto"/>
              <w:rPr>
                <w:b/>
              </w:rPr>
            </w:pPr>
            <w:r w:rsidRPr="002E63B3">
              <w:rPr>
                <w:b/>
              </w:rPr>
              <w:t>Total costs</w:t>
            </w:r>
          </w:p>
        </w:tc>
        <w:tc>
          <w:tcPr>
            <w:tcW w:w="1248" w:type="pct"/>
            <w:shd w:val="clear" w:color="auto" w:fill="auto"/>
          </w:tcPr>
          <w:p w14:paraId="6B3B10B4" w14:textId="77777777" w:rsidR="003C0762" w:rsidRPr="002E63B3" w:rsidRDefault="003C0762" w:rsidP="00E86771">
            <w:pPr>
              <w:spacing w:after="0" w:line="360" w:lineRule="auto"/>
              <w:jc w:val="right"/>
            </w:pPr>
            <w:r w:rsidRPr="002E63B3">
              <w:t>£</w:t>
            </w:r>
            <w:r>
              <w:t>50,573</w:t>
            </w:r>
          </w:p>
          <w:p w14:paraId="53FCC8EB" w14:textId="77777777" w:rsidR="003C0762" w:rsidRPr="002E63B3" w:rsidRDefault="003C0762" w:rsidP="00E86771">
            <w:pPr>
              <w:spacing w:after="0" w:line="360" w:lineRule="auto"/>
              <w:jc w:val="right"/>
            </w:pPr>
            <w:r w:rsidRPr="002E63B3">
              <w:t>(£</w:t>
            </w:r>
            <w:r>
              <w:t>49,226</w:t>
            </w:r>
            <w:r w:rsidRPr="002E63B3">
              <w:t>-£</w:t>
            </w:r>
            <w:r>
              <w:t>52,276</w:t>
            </w:r>
            <w:r w:rsidRPr="002E63B3">
              <w:t>)</w:t>
            </w:r>
          </w:p>
        </w:tc>
        <w:tc>
          <w:tcPr>
            <w:tcW w:w="1248" w:type="pct"/>
            <w:shd w:val="clear" w:color="auto" w:fill="auto"/>
          </w:tcPr>
          <w:p w14:paraId="23B4BF35" w14:textId="77777777" w:rsidR="003C0762" w:rsidRPr="002E63B3" w:rsidRDefault="003C0762" w:rsidP="00E86771">
            <w:pPr>
              <w:spacing w:after="0" w:line="360" w:lineRule="auto"/>
              <w:jc w:val="right"/>
            </w:pPr>
            <w:r w:rsidRPr="002E63B3">
              <w:t>£</w:t>
            </w:r>
            <w:r>
              <w:t>52,472</w:t>
            </w:r>
          </w:p>
          <w:p w14:paraId="681813F1" w14:textId="77777777" w:rsidR="003C0762" w:rsidRPr="002E63B3" w:rsidRDefault="003C0762" w:rsidP="00E86771">
            <w:pPr>
              <w:spacing w:after="0" w:line="360" w:lineRule="auto"/>
              <w:jc w:val="right"/>
            </w:pPr>
            <w:r w:rsidRPr="002E63B3">
              <w:t>(</w:t>
            </w:r>
            <w:r>
              <w:t>£50,935-£54,340</w:t>
            </w:r>
            <w:r w:rsidRPr="002E63B3">
              <w:t>)</w:t>
            </w:r>
          </w:p>
        </w:tc>
        <w:tc>
          <w:tcPr>
            <w:tcW w:w="1248" w:type="pct"/>
            <w:shd w:val="clear" w:color="auto" w:fill="auto"/>
          </w:tcPr>
          <w:p w14:paraId="7EC1ED86" w14:textId="77777777" w:rsidR="003C0762" w:rsidRPr="002E63B3" w:rsidRDefault="003C0762" w:rsidP="00E86771">
            <w:pPr>
              <w:spacing w:after="0" w:line="360" w:lineRule="auto"/>
              <w:jc w:val="right"/>
            </w:pPr>
            <w:r w:rsidRPr="002E63B3">
              <w:t>£</w:t>
            </w:r>
            <w:r>
              <w:t>53,104</w:t>
            </w:r>
          </w:p>
          <w:p w14:paraId="70C219E0" w14:textId="77777777" w:rsidR="003C0762" w:rsidRPr="002E63B3" w:rsidRDefault="003C0762" w:rsidP="00E86771">
            <w:pPr>
              <w:spacing w:after="0" w:line="360" w:lineRule="auto"/>
              <w:jc w:val="right"/>
            </w:pPr>
            <w:r w:rsidRPr="002E63B3">
              <w:t>(£</w:t>
            </w:r>
            <w:r>
              <w:t>51,559</w:t>
            </w:r>
            <w:r w:rsidRPr="002E63B3">
              <w:t>-£</w:t>
            </w:r>
            <w:r>
              <w:t>54,974</w:t>
            </w:r>
            <w:r w:rsidRPr="002E63B3">
              <w:t>)</w:t>
            </w:r>
          </w:p>
        </w:tc>
      </w:tr>
      <w:tr w:rsidR="003C0762" w:rsidRPr="002E63B3" w14:paraId="0A779173" w14:textId="77777777" w:rsidTr="00DB4F65">
        <w:tc>
          <w:tcPr>
            <w:tcW w:w="1256" w:type="pct"/>
            <w:shd w:val="clear" w:color="auto" w:fill="auto"/>
          </w:tcPr>
          <w:p w14:paraId="5C57FC96" w14:textId="77777777" w:rsidR="003C0762" w:rsidRPr="002E63B3" w:rsidRDefault="003C0762" w:rsidP="00E86771">
            <w:pPr>
              <w:spacing w:after="0" w:line="360" w:lineRule="auto"/>
              <w:rPr>
                <w:b/>
              </w:rPr>
            </w:pPr>
            <w:r w:rsidRPr="002E63B3">
              <w:t xml:space="preserve">Intervention </w:t>
            </w:r>
          </w:p>
        </w:tc>
        <w:tc>
          <w:tcPr>
            <w:tcW w:w="1248" w:type="pct"/>
            <w:shd w:val="clear" w:color="auto" w:fill="auto"/>
          </w:tcPr>
          <w:p w14:paraId="3681EABF" w14:textId="77777777" w:rsidR="003C0762" w:rsidRPr="002E63B3" w:rsidRDefault="003C0762" w:rsidP="00E86771">
            <w:pPr>
              <w:spacing w:after="0" w:line="360" w:lineRule="auto"/>
              <w:jc w:val="right"/>
            </w:pPr>
            <w:r w:rsidRPr="002E63B3">
              <w:t>0</w:t>
            </w:r>
          </w:p>
        </w:tc>
        <w:tc>
          <w:tcPr>
            <w:tcW w:w="1248" w:type="pct"/>
            <w:shd w:val="clear" w:color="auto" w:fill="auto"/>
          </w:tcPr>
          <w:p w14:paraId="31177C93" w14:textId="77777777" w:rsidR="003C0762" w:rsidRPr="002E63B3" w:rsidRDefault="003C0762" w:rsidP="00E86771">
            <w:pPr>
              <w:spacing w:after="0" w:line="360" w:lineRule="auto"/>
              <w:jc w:val="right"/>
            </w:pPr>
            <w:r w:rsidRPr="002E63B3">
              <w:t>£200</w:t>
            </w:r>
          </w:p>
        </w:tc>
        <w:tc>
          <w:tcPr>
            <w:tcW w:w="1248" w:type="pct"/>
            <w:shd w:val="clear" w:color="auto" w:fill="auto"/>
          </w:tcPr>
          <w:p w14:paraId="6D12EF69" w14:textId="77777777" w:rsidR="003C0762" w:rsidRPr="002E63B3" w:rsidRDefault="003C0762" w:rsidP="00E86771">
            <w:pPr>
              <w:spacing w:after="0" w:line="360" w:lineRule="auto"/>
              <w:jc w:val="right"/>
            </w:pPr>
            <w:r w:rsidRPr="002E63B3">
              <w:t>£420</w:t>
            </w:r>
          </w:p>
        </w:tc>
      </w:tr>
      <w:tr w:rsidR="003C0762" w:rsidRPr="002E63B3" w14:paraId="549F2F26" w14:textId="77777777" w:rsidTr="00DB4F65">
        <w:tc>
          <w:tcPr>
            <w:tcW w:w="1256" w:type="pct"/>
            <w:shd w:val="clear" w:color="auto" w:fill="auto"/>
          </w:tcPr>
          <w:p w14:paraId="28139776" w14:textId="77777777" w:rsidR="003C0762" w:rsidRPr="002E63B3" w:rsidRDefault="003C0762" w:rsidP="00E86771">
            <w:pPr>
              <w:spacing w:after="0" w:line="360" w:lineRule="auto"/>
              <w:rPr>
                <w:b/>
              </w:rPr>
            </w:pPr>
            <w:r w:rsidRPr="002E63B3">
              <w:t>Hospital care</w:t>
            </w:r>
          </w:p>
        </w:tc>
        <w:tc>
          <w:tcPr>
            <w:tcW w:w="1248" w:type="pct"/>
            <w:shd w:val="clear" w:color="auto" w:fill="auto"/>
          </w:tcPr>
          <w:p w14:paraId="12A64391" w14:textId="77777777" w:rsidR="003C0762" w:rsidRPr="002E63B3" w:rsidRDefault="003C0762" w:rsidP="00E86771">
            <w:pPr>
              <w:spacing w:after="0" w:line="360" w:lineRule="auto"/>
              <w:jc w:val="right"/>
            </w:pPr>
            <w:r w:rsidRPr="002E63B3">
              <w:t>£23,</w:t>
            </w:r>
            <w:r>
              <w:t>881</w:t>
            </w:r>
          </w:p>
        </w:tc>
        <w:tc>
          <w:tcPr>
            <w:tcW w:w="1248" w:type="pct"/>
            <w:shd w:val="clear" w:color="auto" w:fill="auto"/>
          </w:tcPr>
          <w:p w14:paraId="0F7ABFE9" w14:textId="77777777" w:rsidR="003C0762" w:rsidRPr="002E63B3" w:rsidRDefault="003C0762" w:rsidP="00E86771">
            <w:pPr>
              <w:spacing w:after="0" w:line="360" w:lineRule="auto"/>
              <w:jc w:val="right"/>
            </w:pPr>
            <w:r w:rsidRPr="002E63B3">
              <w:t>£24,</w:t>
            </w:r>
            <w:r>
              <w:t>372</w:t>
            </w:r>
          </w:p>
        </w:tc>
        <w:tc>
          <w:tcPr>
            <w:tcW w:w="1248" w:type="pct"/>
            <w:shd w:val="clear" w:color="auto" w:fill="auto"/>
          </w:tcPr>
          <w:p w14:paraId="732103E4" w14:textId="77777777" w:rsidR="003C0762" w:rsidRPr="002E63B3" w:rsidRDefault="003C0762" w:rsidP="00E86771">
            <w:pPr>
              <w:spacing w:after="0" w:line="360" w:lineRule="auto"/>
              <w:jc w:val="right"/>
            </w:pPr>
            <w:r w:rsidRPr="002E63B3">
              <w:t>£24,</w:t>
            </w:r>
            <w:r>
              <w:t>463</w:t>
            </w:r>
          </w:p>
        </w:tc>
      </w:tr>
      <w:tr w:rsidR="003C0762" w:rsidRPr="002E63B3" w14:paraId="313DC524" w14:textId="77777777" w:rsidTr="00DB4F65">
        <w:tc>
          <w:tcPr>
            <w:tcW w:w="1256" w:type="pct"/>
            <w:shd w:val="clear" w:color="auto" w:fill="auto"/>
          </w:tcPr>
          <w:p w14:paraId="79E09F3D" w14:textId="77777777" w:rsidR="003C0762" w:rsidRPr="002E63B3" w:rsidRDefault="003C0762" w:rsidP="00E86771">
            <w:pPr>
              <w:spacing w:after="0" w:line="360" w:lineRule="auto"/>
              <w:rPr>
                <w:b/>
              </w:rPr>
            </w:pPr>
            <w:r w:rsidRPr="002E63B3">
              <w:lastRenderedPageBreak/>
              <w:t xml:space="preserve">Primary care </w:t>
            </w:r>
          </w:p>
        </w:tc>
        <w:tc>
          <w:tcPr>
            <w:tcW w:w="1248" w:type="pct"/>
            <w:shd w:val="clear" w:color="auto" w:fill="auto"/>
          </w:tcPr>
          <w:p w14:paraId="3949F094" w14:textId="77777777" w:rsidR="003C0762" w:rsidRPr="002E63B3" w:rsidRDefault="003C0762" w:rsidP="00E86771">
            <w:pPr>
              <w:spacing w:after="0" w:line="360" w:lineRule="auto"/>
              <w:jc w:val="right"/>
            </w:pPr>
            <w:r w:rsidRPr="002E63B3">
              <w:t>£</w:t>
            </w:r>
            <w:r>
              <w:t>4,716</w:t>
            </w:r>
          </w:p>
        </w:tc>
        <w:tc>
          <w:tcPr>
            <w:tcW w:w="1248" w:type="pct"/>
            <w:shd w:val="clear" w:color="auto" w:fill="auto"/>
          </w:tcPr>
          <w:p w14:paraId="649F3CB3" w14:textId="77777777" w:rsidR="003C0762" w:rsidRPr="002E63B3" w:rsidRDefault="003C0762" w:rsidP="00E86771">
            <w:pPr>
              <w:spacing w:after="0" w:line="360" w:lineRule="auto"/>
              <w:jc w:val="right"/>
            </w:pPr>
            <w:r w:rsidRPr="002E63B3">
              <w:t>£</w:t>
            </w:r>
            <w:r>
              <w:t>4,895</w:t>
            </w:r>
          </w:p>
        </w:tc>
        <w:tc>
          <w:tcPr>
            <w:tcW w:w="1248" w:type="pct"/>
            <w:shd w:val="clear" w:color="auto" w:fill="auto"/>
          </w:tcPr>
          <w:p w14:paraId="4BE87E30" w14:textId="77777777" w:rsidR="003C0762" w:rsidRPr="002E63B3" w:rsidRDefault="003C0762" w:rsidP="00E86771">
            <w:pPr>
              <w:spacing w:after="0" w:line="360" w:lineRule="auto"/>
              <w:jc w:val="right"/>
            </w:pPr>
            <w:r w:rsidRPr="002E63B3">
              <w:t>£</w:t>
            </w:r>
            <w:r>
              <w:t>4,947</w:t>
            </w:r>
          </w:p>
        </w:tc>
      </w:tr>
      <w:tr w:rsidR="003C0762" w:rsidRPr="002E63B3" w14:paraId="4DD280E4" w14:textId="77777777" w:rsidTr="00DB4F65">
        <w:tc>
          <w:tcPr>
            <w:tcW w:w="1256" w:type="pct"/>
            <w:shd w:val="clear" w:color="auto" w:fill="auto"/>
          </w:tcPr>
          <w:p w14:paraId="29C0B76B" w14:textId="77777777" w:rsidR="003C0762" w:rsidRPr="002E63B3" w:rsidRDefault="003C0762" w:rsidP="00E86771">
            <w:pPr>
              <w:spacing w:after="0" w:line="360" w:lineRule="auto"/>
              <w:rPr>
                <w:b/>
              </w:rPr>
            </w:pPr>
            <w:r w:rsidRPr="002E63B3">
              <w:t>Care home</w:t>
            </w:r>
          </w:p>
        </w:tc>
        <w:tc>
          <w:tcPr>
            <w:tcW w:w="1248" w:type="pct"/>
            <w:shd w:val="clear" w:color="auto" w:fill="auto"/>
          </w:tcPr>
          <w:p w14:paraId="61494655" w14:textId="77777777" w:rsidR="003C0762" w:rsidRPr="002E63B3" w:rsidRDefault="003C0762" w:rsidP="00E86771">
            <w:pPr>
              <w:spacing w:after="0" w:line="360" w:lineRule="auto"/>
              <w:jc w:val="right"/>
            </w:pPr>
            <w:r w:rsidRPr="002E63B3">
              <w:t>£21,</w:t>
            </w:r>
            <w:r>
              <w:t>976</w:t>
            </w:r>
          </w:p>
        </w:tc>
        <w:tc>
          <w:tcPr>
            <w:tcW w:w="1248" w:type="pct"/>
            <w:shd w:val="clear" w:color="auto" w:fill="auto"/>
          </w:tcPr>
          <w:p w14:paraId="531C0923" w14:textId="77777777" w:rsidR="003C0762" w:rsidRPr="002E63B3" w:rsidRDefault="003C0762" w:rsidP="00E86771">
            <w:pPr>
              <w:spacing w:after="0" w:line="360" w:lineRule="auto"/>
              <w:jc w:val="right"/>
            </w:pPr>
            <w:r w:rsidRPr="002E63B3">
              <w:t>£23,</w:t>
            </w:r>
            <w:r>
              <w:t>006</w:t>
            </w:r>
          </w:p>
        </w:tc>
        <w:tc>
          <w:tcPr>
            <w:tcW w:w="1248" w:type="pct"/>
            <w:shd w:val="clear" w:color="auto" w:fill="auto"/>
          </w:tcPr>
          <w:p w14:paraId="759770E2" w14:textId="77777777" w:rsidR="003C0762" w:rsidRPr="002E63B3" w:rsidRDefault="003C0762" w:rsidP="00E86771">
            <w:pPr>
              <w:spacing w:after="0" w:line="360" w:lineRule="auto"/>
              <w:jc w:val="right"/>
            </w:pPr>
            <w:r w:rsidRPr="002E63B3">
              <w:t>£23,</w:t>
            </w:r>
            <w:r>
              <w:t>274</w:t>
            </w:r>
          </w:p>
        </w:tc>
      </w:tr>
      <w:tr w:rsidR="003C0762" w:rsidRPr="002E63B3" w14:paraId="61E7D700" w14:textId="77777777" w:rsidTr="00DB4F65">
        <w:tc>
          <w:tcPr>
            <w:tcW w:w="1256" w:type="pct"/>
            <w:shd w:val="clear" w:color="auto" w:fill="auto"/>
          </w:tcPr>
          <w:p w14:paraId="1FA78F29" w14:textId="77777777" w:rsidR="003C0762" w:rsidRPr="002E63B3" w:rsidRDefault="003C0762" w:rsidP="00E86771">
            <w:pPr>
              <w:spacing w:after="0" w:line="360" w:lineRule="auto"/>
              <w:rPr>
                <w:b/>
              </w:rPr>
            </w:pPr>
            <w:r w:rsidRPr="002E63B3">
              <w:rPr>
                <w:b/>
              </w:rPr>
              <w:t>Total Life years</w:t>
            </w:r>
          </w:p>
        </w:tc>
        <w:tc>
          <w:tcPr>
            <w:tcW w:w="1248" w:type="pct"/>
            <w:shd w:val="clear" w:color="auto" w:fill="auto"/>
          </w:tcPr>
          <w:p w14:paraId="7A2BD3AF" w14:textId="77777777" w:rsidR="003C0762" w:rsidRPr="002E63B3" w:rsidRDefault="003C0762" w:rsidP="00E86771">
            <w:pPr>
              <w:spacing w:after="0" w:line="360" w:lineRule="auto"/>
              <w:jc w:val="right"/>
            </w:pPr>
            <w:r w:rsidRPr="002E63B3">
              <w:t>3.</w:t>
            </w:r>
            <w:r>
              <w:t>89</w:t>
            </w:r>
          </w:p>
          <w:p w14:paraId="7E64DED3" w14:textId="77777777" w:rsidR="003C0762" w:rsidRPr="002E63B3" w:rsidRDefault="003C0762" w:rsidP="00E86771">
            <w:pPr>
              <w:spacing w:after="0" w:line="360" w:lineRule="auto"/>
              <w:jc w:val="right"/>
            </w:pPr>
            <w:r w:rsidRPr="002E63B3">
              <w:t>(3.77-4.03)</w:t>
            </w:r>
          </w:p>
        </w:tc>
        <w:tc>
          <w:tcPr>
            <w:tcW w:w="1248" w:type="pct"/>
            <w:shd w:val="clear" w:color="auto" w:fill="auto"/>
          </w:tcPr>
          <w:p w14:paraId="7EC54766" w14:textId="77777777" w:rsidR="003C0762" w:rsidRPr="002E63B3" w:rsidRDefault="003C0762" w:rsidP="00E86771">
            <w:pPr>
              <w:spacing w:after="0" w:line="360" w:lineRule="auto"/>
              <w:jc w:val="right"/>
            </w:pPr>
            <w:r w:rsidRPr="002E63B3">
              <w:t>4.0</w:t>
            </w:r>
            <w:r>
              <w:t>4</w:t>
            </w:r>
          </w:p>
          <w:p w14:paraId="715112E8" w14:textId="77777777" w:rsidR="003C0762" w:rsidRPr="002E63B3" w:rsidRDefault="003C0762" w:rsidP="00E86771">
            <w:pPr>
              <w:spacing w:after="0" w:line="360" w:lineRule="auto"/>
              <w:jc w:val="right"/>
            </w:pPr>
            <w:r w:rsidRPr="002E63B3">
              <w:t>(3.91-4.19)</w:t>
            </w:r>
          </w:p>
        </w:tc>
        <w:tc>
          <w:tcPr>
            <w:tcW w:w="1248" w:type="pct"/>
            <w:shd w:val="clear" w:color="auto" w:fill="auto"/>
          </w:tcPr>
          <w:p w14:paraId="4E4F3C0D" w14:textId="77777777" w:rsidR="003C0762" w:rsidRPr="002E63B3" w:rsidRDefault="003C0762" w:rsidP="00E86771">
            <w:pPr>
              <w:spacing w:after="0" w:line="360" w:lineRule="auto"/>
              <w:jc w:val="right"/>
            </w:pPr>
            <w:r w:rsidRPr="002E63B3">
              <w:t>4.0</w:t>
            </w:r>
            <w:r>
              <w:t>8</w:t>
            </w:r>
          </w:p>
          <w:p w14:paraId="50BF9C9B" w14:textId="77777777" w:rsidR="003C0762" w:rsidRPr="002E63B3" w:rsidRDefault="003C0762" w:rsidP="00E86771">
            <w:pPr>
              <w:spacing w:after="0" w:line="360" w:lineRule="auto"/>
              <w:jc w:val="right"/>
            </w:pPr>
            <w:r w:rsidRPr="002E63B3">
              <w:t>(3.95- 4.24)</w:t>
            </w:r>
          </w:p>
        </w:tc>
      </w:tr>
      <w:tr w:rsidR="003C0762" w:rsidRPr="002E63B3" w14:paraId="78CE74A8" w14:textId="77777777" w:rsidTr="00DB4F65">
        <w:tc>
          <w:tcPr>
            <w:tcW w:w="1256" w:type="pct"/>
            <w:shd w:val="clear" w:color="auto" w:fill="auto"/>
          </w:tcPr>
          <w:p w14:paraId="162FFC09" w14:textId="77777777" w:rsidR="003C0762" w:rsidRPr="002E63B3" w:rsidRDefault="003C0762" w:rsidP="00E86771">
            <w:pPr>
              <w:spacing w:after="0" w:line="360" w:lineRule="auto"/>
              <w:rPr>
                <w:b/>
              </w:rPr>
            </w:pPr>
            <w:r w:rsidRPr="002E63B3">
              <w:rPr>
                <w:b/>
              </w:rPr>
              <w:t>Total QALYs</w:t>
            </w:r>
          </w:p>
        </w:tc>
        <w:tc>
          <w:tcPr>
            <w:tcW w:w="1248" w:type="pct"/>
            <w:shd w:val="clear" w:color="auto" w:fill="auto"/>
          </w:tcPr>
          <w:p w14:paraId="49E4A15D" w14:textId="77777777" w:rsidR="003C0762" w:rsidRPr="002E63B3" w:rsidRDefault="003C0762" w:rsidP="00E86771">
            <w:pPr>
              <w:spacing w:after="0" w:line="360" w:lineRule="auto"/>
              <w:jc w:val="right"/>
            </w:pPr>
            <w:r w:rsidRPr="002E63B3">
              <w:t>2.38</w:t>
            </w:r>
          </w:p>
          <w:p w14:paraId="630F3A2F" w14:textId="77777777" w:rsidR="003C0762" w:rsidRPr="002E63B3" w:rsidRDefault="003C0762" w:rsidP="00E86771">
            <w:pPr>
              <w:spacing w:after="0" w:line="360" w:lineRule="auto"/>
              <w:jc w:val="right"/>
            </w:pPr>
            <w:r w:rsidRPr="002E63B3">
              <w:t>(2.29-2.48)</w:t>
            </w:r>
          </w:p>
        </w:tc>
        <w:tc>
          <w:tcPr>
            <w:tcW w:w="1248" w:type="pct"/>
            <w:shd w:val="clear" w:color="auto" w:fill="auto"/>
          </w:tcPr>
          <w:p w14:paraId="5A380F43" w14:textId="77777777" w:rsidR="003C0762" w:rsidRPr="002E63B3" w:rsidRDefault="003C0762" w:rsidP="00E86771">
            <w:pPr>
              <w:spacing w:after="0" w:line="360" w:lineRule="auto"/>
              <w:jc w:val="right"/>
            </w:pPr>
            <w:r w:rsidRPr="002E63B3">
              <w:t>2.48</w:t>
            </w:r>
          </w:p>
          <w:p w14:paraId="33AE76A6" w14:textId="77777777" w:rsidR="003C0762" w:rsidRPr="002E63B3" w:rsidRDefault="003C0762" w:rsidP="00E86771">
            <w:pPr>
              <w:spacing w:after="0" w:line="360" w:lineRule="auto"/>
              <w:jc w:val="right"/>
            </w:pPr>
            <w:r w:rsidRPr="002E63B3">
              <w:t>(2.38-2.58)</w:t>
            </w:r>
          </w:p>
        </w:tc>
        <w:tc>
          <w:tcPr>
            <w:tcW w:w="1248" w:type="pct"/>
            <w:shd w:val="clear" w:color="auto" w:fill="auto"/>
          </w:tcPr>
          <w:p w14:paraId="470A9B11" w14:textId="77777777" w:rsidR="003C0762" w:rsidRPr="002E63B3" w:rsidRDefault="003C0762" w:rsidP="00E86771">
            <w:pPr>
              <w:spacing w:after="0" w:line="360" w:lineRule="auto"/>
              <w:jc w:val="right"/>
            </w:pPr>
            <w:r w:rsidRPr="002E63B3">
              <w:t>2.50</w:t>
            </w:r>
          </w:p>
          <w:p w14:paraId="7CEBB011" w14:textId="77777777" w:rsidR="003C0762" w:rsidRPr="002E63B3" w:rsidRDefault="003C0762" w:rsidP="00E86771">
            <w:pPr>
              <w:spacing w:after="0" w:line="360" w:lineRule="auto"/>
              <w:jc w:val="right"/>
            </w:pPr>
            <w:r w:rsidRPr="002E63B3">
              <w:t>(2.40- 2.61)</w:t>
            </w:r>
          </w:p>
        </w:tc>
      </w:tr>
    </w:tbl>
    <w:p w14:paraId="235E543C" w14:textId="77777777" w:rsidR="00CF2E21" w:rsidRPr="00591BFC" w:rsidRDefault="00CF2E21" w:rsidP="00E86771">
      <w:pPr>
        <w:spacing w:line="360" w:lineRule="auto"/>
      </w:pPr>
    </w:p>
    <w:p w14:paraId="74D2375E" w14:textId="77777777" w:rsidR="00CF2E21" w:rsidRPr="00591BFC" w:rsidRDefault="00CF2E21" w:rsidP="00E86771">
      <w:pPr>
        <w:spacing w:line="360" w:lineRule="auto"/>
      </w:pPr>
      <w:r w:rsidRPr="00591BFC">
        <w:t>After combining costs and outcomes in an incremental cost-effectiveness analysis, and at a £30,000 per QALY threshold, the most cost-effective model of care was introducing an orthogeriatrician (</w:t>
      </w:r>
      <w:r w:rsidR="00135C98" w:rsidRPr="00591BFC">
        <w:fldChar w:fldCharType="begin"/>
      </w:r>
      <w:r w:rsidR="00135C98" w:rsidRPr="00591BFC">
        <w:instrText xml:space="preserve"> REF _Ref423078422 \h </w:instrText>
      </w:r>
      <w:r w:rsidR="00E814C1" w:rsidRPr="00591BFC">
        <w:instrText xml:space="preserve"> \* MERGEFORMAT </w:instrText>
      </w:r>
      <w:r w:rsidR="00135C98" w:rsidRPr="00591BFC">
        <w:fldChar w:fldCharType="separate"/>
      </w:r>
      <w:r w:rsidR="00776C05" w:rsidRPr="00591BFC">
        <w:t xml:space="preserve">Table </w:t>
      </w:r>
      <w:r w:rsidR="00776C05">
        <w:rPr>
          <w:noProof/>
        </w:rPr>
        <w:t>39</w:t>
      </w:r>
      <w:r w:rsidR="00135C98" w:rsidRPr="00591BFC">
        <w:fldChar w:fldCharType="end"/>
      </w:r>
      <w:r w:rsidRPr="00591BFC">
        <w:t>). The probability of adding an OG being the most cost-effective option at £30,000/QALY was estimated to about 70% across both sexes.</w:t>
      </w:r>
      <w:r w:rsidR="003C0762" w:rsidRPr="00591BFC">
        <w:t xml:space="preserve"> </w:t>
      </w:r>
    </w:p>
    <w:p w14:paraId="3FA30C7B" w14:textId="77777777" w:rsidR="00135C98" w:rsidRPr="00591BFC" w:rsidRDefault="00135C98" w:rsidP="00E86771">
      <w:pPr>
        <w:pStyle w:val="Caption"/>
        <w:keepNext/>
        <w:spacing w:line="360" w:lineRule="auto"/>
      </w:pPr>
      <w:bookmarkStart w:id="463" w:name="_Ref423078422"/>
      <w:bookmarkStart w:id="464" w:name="_Toc308262434"/>
      <w:bookmarkStart w:id="465" w:name="_Toc311366700"/>
      <w:r w:rsidRPr="00591BFC">
        <w:t xml:space="preserve">Table </w:t>
      </w:r>
      <w:r w:rsidR="002149AD">
        <w:fldChar w:fldCharType="begin"/>
      </w:r>
      <w:r w:rsidR="002149AD">
        <w:instrText xml:space="preserve"> SEQ Table \* ARABIC </w:instrText>
      </w:r>
      <w:r w:rsidR="002149AD">
        <w:fldChar w:fldCharType="separate"/>
      </w:r>
      <w:r w:rsidR="00776C05">
        <w:rPr>
          <w:noProof/>
        </w:rPr>
        <w:t>39</w:t>
      </w:r>
      <w:r w:rsidR="002149AD">
        <w:rPr>
          <w:noProof/>
        </w:rPr>
        <w:fldChar w:fldCharType="end"/>
      </w:r>
      <w:bookmarkEnd w:id="463"/>
      <w:r w:rsidRPr="00591BFC">
        <w:t xml:space="preserve"> Cost-effectiveness of the differing models of secondary prevention care of hip fractures</w:t>
      </w:r>
      <w:bookmarkEnd w:id="464"/>
      <w:bookmarkEnd w:id="465"/>
    </w:p>
    <w:tbl>
      <w:tblPr>
        <w:tblW w:w="5000" w:type="pct"/>
        <w:tblLayout w:type="fixed"/>
        <w:tblLook w:val="04A0" w:firstRow="1" w:lastRow="0" w:firstColumn="1" w:lastColumn="0" w:noHBand="0" w:noVBand="1"/>
      </w:tblPr>
      <w:tblGrid>
        <w:gridCol w:w="1886"/>
        <w:gridCol w:w="1306"/>
        <w:gridCol w:w="1306"/>
        <w:gridCol w:w="1304"/>
        <w:gridCol w:w="1016"/>
        <w:gridCol w:w="1105"/>
        <w:gridCol w:w="1313"/>
      </w:tblGrid>
      <w:tr w:rsidR="003C0762" w:rsidRPr="002E63B3" w14:paraId="6FDC24E6" w14:textId="77777777" w:rsidTr="00DB4F65">
        <w:tc>
          <w:tcPr>
            <w:tcW w:w="1021" w:type="pct"/>
            <w:shd w:val="clear" w:color="auto" w:fill="auto"/>
          </w:tcPr>
          <w:p w14:paraId="6D22A3EC" w14:textId="77777777" w:rsidR="003C0762" w:rsidRPr="002E63B3" w:rsidRDefault="003C0762" w:rsidP="00E86771">
            <w:pPr>
              <w:spacing w:line="360" w:lineRule="auto"/>
              <w:rPr>
                <w:b/>
                <w:i/>
              </w:rPr>
            </w:pPr>
            <w:r w:rsidRPr="002E63B3">
              <w:rPr>
                <w:b/>
                <w:i/>
              </w:rPr>
              <w:t>Male cohort</w:t>
            </w:r>
          </w:p>
        </w:tc>
        <w:tc>
          <w:tcPr>
            <w:tcW w:w="707" w:type="pct"/>
            <w:shd w:val="clear" w:color="auto" w:fill="auto"/>
          </w:tcPr>
          <w:p w14:paraId="64F77B62" w14:textId="77777777" w:rsidR="003C0762" w:rsidRPr="002E63B3" w:rsidRDefault="003C0762" w:rsidP="00E86771">
            <w:pPr>
              <w:spacing w:line="360" w:lineRule="auto"/>
              <w:jc w:val="right"/>
              <w:rPr>
                <w:b/>
              </w:rPr>
            </w:pPr>
            <w:r w:rsidRPr="002E63B3">
              <w:rPr>
                <w:b/>
              </w:rPr>
              <w:t>Difference in costs</w:t>
            </w:r>
          </w:p>
        </w:tc>
        <w:tc>
          <w:tcPr>
            <w:tcW w:w="707" w:type="pct"/>
            <w:shd w:val="clear" w:color="auto" w:fill="auto"/>
          </w:tcPr>
          <w:p w14:paraId="0545591D" w14:textId="77777777" w:rsidR="003C0762" w:rsidRPr="002E63B3" w:rsidRDefault="003C0762" w:rsidP="00E86771">
            <w:pPr>
              <w:spacing w:line="360" w:lineRule="auto"/>
              <w:jc w:val="right"/>
              <w:rPr>
                <w:b/>
              </w:rPr>
            </w:pPr>
            <w:r w:rsidRPr="002E63B3">
              <w:rPr>
                <w:b/>
              </w:rPr>
              <w:t>Difference in LYs</w:t>
            </w:r>
          </w:p>
        </w:tc>
        <w:tc>
          <w:tcPr>
            <w:tcW w:w="706" w:type="pct"/>
            <w:shd w:val="clear" w:color="auto" w:fill="auto"/>
          </w:tcPr>
          <w:p w14:paraId="50786056" w14:textId="77777777" w:rsidR="003C0762" w:rsidRPr="002E63B3" w:rsidRDefault="003C0762" w:rsidP="00E86771">
            <w:pPr>
              <w:spacing w:line="360" w:lineRule="auto"/>
              <w:jc w:val="right"/>
              <w:rPr>
                <w:b/>
              </w:rPr>
            </w:pPr>
            <w:r w:rsidRPr="002E63B3">
              <w:rPr>
                <w:b/>
              </w:rPr>
              <w:t>Difference in QALYs</w:t>
            </w:r>
          </w:p>
        </w:tc>
        <w:tc>
          <w:tcPr>
            <w:tcW w:w="550" w:type="pct"/>
            <w:shd w:val="clear" w:color="auto" w:fill="auto"/>
          </w:tcPr>
          <w:p w14:paraId="3514A2ED" w14:textId="77777777" w:rsidR="003C0762" w:rsidRPr="002E63B3" w:rsidRDefault="003C0762" w:rsidP="00E86771">
            <w:pPr>
              <w:spacing w:line="360" w:lineRule="auto"/>
              <w:jc w:val="right"/>
              <w:rPr>
                <w:b/>
              </w:rPr>
            </w:pPr>
            <w:r w:rsidRPr="002E63B3">
              <w:rPr>
                <w:b/>
              </w:rPr>
              <w:t>ICER (£/LY)</w:t>
            </w:r>
          </w:p>
        </w:tc>
        <w:tc>
          <w:tcPr>
            <w:tcW w:w="598" w:type="pct"/>
            <w:shd w:val="clear" w:color="auto" w:fill="auto"/>
          </w:tcPr>
          <w:p w14:paraId="73BB3636" w14:textId="77777777" w:rsidR="003C0762" w:rsidRPr="002E63B3" w:rsidRDefault="003C0762" w:rsidP="00E86771">
            <w:pPr>
              <w:spacing w:line="360" w:lineRule="auto"/>
              <w:jc w:val="right"/>
              <w:rPr>
                <w:b/>
              </w:rPr>
            </w:pPr>
            <w:r w:rsidRPr="002E63B3">
              <w:rPr>
                <w:b/>
              </w:rPr>
              <w:t>ICER (£/QALY)</w:t>
            </w:r>
          </w:p>
        </w:tc>
        <w:tc>
          <w:tcPr>
            <w:tcW w:w="711" w:type="pct"/>
            <w:shd w:val="clear" w:color="auto" w:fill="auto"/>
          </w:tcPr>
          <w:p w14:paraId="701BA6D5" w14:textId="77777777" w:rsidR="003C0762" w:rsidRPr="002E63B3" w:rsidRDefault="003C0762" w:rsidP="00E86771">
            <w:pPr>
              <w:spacing w:line="360" w:lineRule="auto"/>
              <w:jc w:val="right"/>
              <w:rPr>
                <w:b/>
              </w:rPr>
            </w:pPr>
            <w:r w:rsidRPr="002E63B3">
              <w:rPr>
                <w:b/>
              </w:rPr>
              <w:t>Prob that is the most cost-effective at £30,000/ QALY</w:t>
            </w:r>
          </w:p>
        </w:tc>
      </w:tr>
      <w:tr w:rsidR="003C0762" w:rsidRPr="002E63B3" w14:paraId="7250A2E9" w14:textId="77777777" w:rsidTr="00DB4F65">
        <w:tc>
          <w:tcPr>
            <w:tcW w:w="1021" w:type="pct"/>
            <w:shd w:val="clear" w:color="auto" w:fill="auto"/>
          </w:tcPr>
          <w:p w14:paraId="6B807E91" w14:textId="77777777" w:rsidR="003C0762" w:rsidRPr="002E63B3" w:rsidRDefault="003C0762" w:rsidP="00E86771">
            <w:pPr>
              <w:spacing w:after="0" w:line="360" w:lineRule="auto"/>
              <w:rPr>
                <w:b/>
              </w:rPr>
            </w:pPr>
            <w:r>
              <w:rPr>
                <w:b/>
              </w:rPr>
              <w:t>Usual</w:t>
            </w:r>
            <w:r w:rsidRPr="002E63B3">
              <w:rPr>
                <w:b/>
              </w:rPr>
              <w:t xml:space="preserve"> care</w:t>
            </w:r>
          </w:p>
        </w:tc>
        <w:tc>
          <w:tcPr>
            <w:tcW w:w="707" w:type="pct"/>
            <w:shd w:val="clear" w:color="auto" w:fill="auto"/>
          </w:tcPr>
          <w:p w14:paraId="3B8479FC" w14:textId="77777777" w:rsidR="003C0762" w:rsidRPr="002E63B3" w:rsidRDefault="003C0762" w:rsidP="00E86771">
            <w:pPr>
              <w:spacing w:after="0" w:line="360" w:lineRule="auto"/>
              <w:jc w:val="right"/>
            </w:pPr>
            <w:r w:rsidRPr="002E63B3">
              <w:t>-</w:t>
            </w:r>
          </w:p>
        </w:tc>
        <w:tc>
          <w:tcPr>
            <w:tcW w:w="707" w:type="pct"/>
            <w:shd w:val="clear" w:color="auto" w:fill="auto"/>
          </w:tcPr>
          <w:p w14:paraId="64489562" w14:textId="77777777" w:rsidR="003C0762" w:rsidRPr="002E63B3" w:rsidRDefault="003C0762" w:rsidP="00E86771">
            <w:pPr>
              <w:spacing w:after="0" w:line="360" w:lineRule="auto"/>
              <w:jc w:val="right"/>
            </w:pPr>
            <w:r w:rsidRPr="002E63B3">
              <w:t>-</w:t>
            </w:r>
          </w:p>
        </w:tc>
        <w:tc>
          <w:tcPr>
            <w:tcW w:w="706" w:type="pct"/>
            <w:shd w:val="clear" w:color="auto" w:fill="auto"/>
          </w:tcPr>
          <w:p w14:paraId="4F97AC77" w14:textId="77777777" w:rsidR="003C0762" w:rsidRPr="002E63B3" w:rsidRDefault="003C0762" w:rsidP="00E86771">
            <w:pPr>
              <w:spacing w:after="0" w:line="360" w:lineRule="auto"/>
              <w:jc w:val="right"/>
            </w:pPr>
            <w:r w:rsidRPr="002E63B3">
              <w:t>-</w:t>
            </w:r>
          </w:p>
        </w:tc>
        <w:tc>
          <w:tcPr>
            <w:tcW w:w="550" w:type="pct"/>
            <w:shd w:val="clear" w:color="auto" w:fill="auto"/>
          </w:tcPr>
          <w:p w14:paraId="08C01F3C" w14:textId="77777777" w:rsidR="003C0762" w:rsidRPr="002E63B3" w:rsidRDefault="003C0762" w:rsidP="00E86771">
            <w:pPr>
              <w:spacing w:after="0" w:line="360" w:lineRule="auto"/>
              <w:jc w:val="right"/>
            </w:pPr>
            <w:r w:rsidRPr="002E63B3">
              <w:t>-</w:t>
            </w:r>
          </w:p>
        </w:tc>
        <w:tc>
          <w:tcPr>
            <w:tcW w:w="598" w:type="pct"/>
            <w:shd w:val="clear" w:color="auto" w:fill="auto"/>
          </w:tcPr>
          <w:p w14:paraId="4D7AF7A5" w14:textId="77777777" w:rsidR="003C0762" w:rsidRPr="002E63B3" w:rsidRDefault="003C0762" w:rsidP="00E86771">
            <w:pPr>
              <w:spacing w:after="0" w:line="360" w:lineRule="auto"/>
              <w:jc w:val="right"/>
            </w:pPr>
            <w:r w:rsidRPr="002E63B3">
              <w:t>-</w:t>
            </w:r>
          </w:p>
        </w:tc>
        <w:tc>
          <w:tcPr>
            <w:tcW w:w="711" w:type="pct"/>
            <w:shd w:val="clear" w:color="auto" w:fill="auto"/>
          </w:tcPr>
          <w:p w14:paraId="017B4D49" w14:textId="77777777" w:rsidR="003C0762" w:rsidRPr="002E63B3" w:rsidRDefault="003C0762" w:rsidP="00E86771">
            <w:pPr>
              <w:spacing w:after="0" w:line="360" w:lineRule="auto"/>
              <w:jc w:val="right"/>
            </w:pPr>
            <w:r w:rsidRPr="002E63B3">
              <w:t>0%</w:t>
            </w:r>
          </w:p>
        </w:tc>
      </w:tr>
      <w:tr w:rsidR="003C0762" w:rsidRPr="002E63B3" w14:paraId="669F997B" w14:textId="77777777" w:rsidTr="00DB4F65">
        <w:tc>
          <w:tcPr>
            <w:tcW w:w="1021" w:type="pct"/>
            <w:shd w:val="clear" w:color="auto" w:fill="auto"/>
          </w:tcPr>
          <w:p w14:paraId="1A86CA18" w14:textId="77777777" w:rsidR="003C0762" w:rsidRPr="002E63B3" w:rsidRDefault="003C0762" w:rsidP="00E86771">
            <w:pPr>
              <w:spacing w:after="0" w:line="360" w:lineRule="auto"/>
            </w:pPr>
            <w:r w:rsidRPr="002E63B3">
              <w:rPr>
                <w:b/>
              </w:rPr>
              <w:t>Fracture liaison nurse</w:t>
            </w:r>
            <w:r>
              <w:rPr>
                <w:b/>
              </w:rPr>
              <w:t xml:space="preserve"> vs. usual care</w:t>
            </w:r>
          </w:p>
        </w:tc>
        <w:tc>
          <w:tcPr>
            <w:tcW w:w="707" w:type="pct"/>
            <w:shd w:val="clear" w:color="auto" w:fill="auto"/>
          </w:tcPr>
          <w:p w14:paraId="4003CD11" w14:textId="77777777" w:rsidR="003C0762" w:rsidRPr="002E63B3" w:rsidRDefault="003C0762" w:rsidP="00E86771">
            <w:pPr>
              <w:spacing w:after="0" w:line="360" w:lineRule="auto"/>
              <w:jc w:val="right"/>
            </w:pPr>
            <w:r>
              <w:rPr>
                <w:color w:val="000000"/>
              </w:rPr>
              <w:t>£1,967</w:t>
            </w:r>
            <w:r>
              <w:t>(</w:t>
            </w:r>
            <w:r>
              <w:rPr>
                <w:color w:val="000000"/>
              </w:rPr>
              <w:t>1266 to 2592)</w:t>
            </w:r>
          </w:p>
        </w:tc>
        <w:tc>
          <w:tcPr>
            <w:tcW w:w="707" w:type="pct"/>
            <w:shd w:val="clear" w:color="auto" w:fill="auto"/>
          </w:tcPr>
          <w:p w14:paraId="6CDED08D" w14:textId="77777777" w:rsidR="003C0762" w:rsidRPr="002E63B3" w:rsidRDefault="003C0762" w:rsidP="00E86771">
            <w:pPr>
              <w:spacing w:after="0" w:line="360" w:lineRule="auto"/>
              <w:jc w:val="right"/>
              <w:rPr>
                <w:color w:val="000000"/>
              </w:rPr>
            </w:pPr>
            <w:r w:rsidRPr="002E63B3">
              <w:rPr>
                <w:color w:val="000000"/>
              </w:rPr>
              <w:t>0.15</w:t>
            </w:r>
            <w:r>
              <w:rPr>
                <w:color w:val="000000"/>
              </w:rPr>
              <w:t>7</w:t>
            </w:r>
          </w:p>
          <w:p w14:paraId="3AF3A716" w14:textId="77777777" w:rsidR="003C0762" w:rsidRPr="002E63B3" w:rsidRDefault="003C0762" w:rsidP="00E86771">
            <w:pPr>
              <w:spacing w:after="0" w:line="360" w:lineRule="auto"/>
              <w:jc w:val="right"/>
            </w:pPr>
            <w:r w:rsidRPr="002E63B3">
              <w:rPr>
                <w:color w:val="000000"/>
              </w:rPr>
              <w:t>(0.09</w:t>
            </w:r>
            <w:r>
              <w:rPr>
                <w:color w:val="000000"/>
              </w:rPr>
              <w:t>6</w:t>
            </w:r>
            <w:r w:rsidRPr="002E63B3">
              <w:rPr>
                <w:color w:val="000000"/>
              </w:rPr>
              <w:t xml:space="preserve"> to 0.215)</w:t>
            </w:r>
          </w:p>
        </w:tc>
        <w:tc>
          <w:tcPr>
            <w:tcW w:w="706" w:type="pct"/>
            <w:shd w:val="clear" w:color="auto" w:fill="auto"/>
          </w:tcPr>
          <w:p w14:paraId="305DC631" w14:textId="77777777" w:rsidR="003C0762" w:rsidRPr="002E63B3" w:rsidRDefault="003C0762" w:rsidP="00E86771">
            <w:pPr>
              <w:spacing w:after="0" w:line="360" w:lineRule="auto"/>
              <w:jc w:val="right"/>
              <w:rPr>
                <w:color w:val="000000"/>
              </w:rPr>
            </w:pPr>
            <w:r w:rsidRPr="002E63B3">
              <w:rPr>
                <w:color w:val="000000"/>
              </w:rPr>
              <w:t>0.097</w:t>
            </w:r>
          </w:p>
          <w:p w14:paraId="18891F6B" w14:textId="77777777" w:rsidR="003C0762" w:rsidRPr="002E63B3" w:rsidRDefault="003C0762" w:rsidP="00E86771">
            <w:pPr>
              <w:spacing w:after="0" w:line="360" w:lineRule="auto"/>
              <w:jc w:val="right"/>
            </w:pPr>
            <w:r w:rsidRPr="002E63B3">
              <w:rPr>
                <w:color w:val="000000"/>
              </w:rPr>
              <w:t>(0.057 to 0.13</w:t>
            </w:r>
            <w:r>
              <w:rPr>
                <w:color w:val="000000"/>
              </w:rPr>
              <w:t>3</w:t>
            </w:r>
            <w:r w:rsidRPr="002E63B3">
              <w:rPr>
                <w:color w:val="000000"/>
              </w:rPr>
              <w:t>)</w:t>
            </w:r>
          </w:p>
        </w:tc>
        <w:tc>
          <w:tcPr>
            <w:tcW w:w="550" w:type="pct"/>
            <w:shd w:val="clear" w:color="auto" w:fill="auto"/>
          </w:tcPr>
          <w:p w14:paraId="5F8708A3" w14:textId="77777777" w:rsidR="003C0762" w:rsidRPr="002E63B3" w:rsidRDefault="003C0762" w:rsidP="00E86771">
            <w:pPr>
              <w:spacing w:after="0" w:line="360" w:lineRule="auto"/>
              <w:jc w:val="right"/>
              <w:rPr>
                <w:color w:val="000000"/>
              </w:rPr>
            </w:pPr>
            <w:r w:rsidRPr="002E63B3">
              <w:rPr>
                <w:color w:val="000000"/>
              </w:rPr>
              <w:t>£12,</w:t>
            </w:r>
            <w:r>
              <w:rPr>
                <w:color w:val="000000"/>
              </w:rPr>
              <w:t>492</w:t>
            </w:r>
          </w:p>
        </w:tc>
        <w:tc>
          <w:tcPr>
            <w:tcW w:w="598" w:type="pct"/>
            <w:shd w:val="clear" w:color="auto" w:fill="auto"/>
          </w:tcPr>
          <w:p w14:paraId="5A633AF7" w14:textId="77777777" w:rsidR="003C0762" w:rsidRPr="002E63B3" w:rsidRDefault="003C0762" w:rsidP="00E86771">
            <w:pPr>
              <w:spacing w:after="0" w:line="360" w:lineRule="auto"/>
              <w:jc w:val="right"/>
              <w:rPr>
                <w:color w:val="000000"/>
              </w:rPr>
            </w:pPr>
            <w:r w:rsidRPr="002E63B3">
              <w:rPr>
                <w:color w:val="000000"/>
              </w:rPr>
              <w:t>£20,</w:t>
            </w:r>
            <w:r>
              <w:rPr>
                <w:color w:val="000000"/>
              </w:rPr>
              <w:t>302</w:t>
            </w:r>
          </w:p>
        </w:tc>
        <w:tc>
          <w:tcPr>
            <w:tcW w:w="711" w:type="pct"/>
            <w:shd w:val="clear" w:color="auto" w:fill="auto"/>
          </w:tcPr>
          <w:p w14:paraId="2BDA0932" w14:textId="77777777" w:rsidR="003C0762" w:rsidRPr="002E63B3" w:rsidRDefault="003C0762" w:rsidP="00E86771">
            <w:pPr>
              <w:spacing w:after="0" w:line="360" w:lineRule="auto"/>
              <w:jc w:val="right"/>
            </w:pPr>
            <w:r w:rsidRPr="002E63B3">
              <w:t>30%</w:t>
            </w:r>
          </w:p>
        </w:tc>
      </w:tr>
      <w:tr w:rsidR="003C0762" w:rsidRPr="002E63B3" w14:paraId="3767D996" w14:textId="77777777" w:rsidTr="00DB4F65">
        <w:tc>
          <w:tcPr>
            <w:tcW w:w="1021" w:type="pct"/>
            <w:shd w:val="clear" w:color="auto" w:fill="auto"/>
          </w:tcPr>
          <w:p w14:paraId="13CFE71E" w14:textId="77777777" w:rsidR="003C0762" w:rsidRPr="002E63B3" w:rsidRDefault="003C0762" w:rsidP="00E86771">
            <w:pPr>
              <w:spacing w:after="0" w:line="360" w:lineRule="auto"/>
            </w:pPr>
            <w:r w:rsidRPr="002E63B3">
              <w:rPr>
                <w:b/>
              </w:rPr>
              <w:t>Orthogeriatrician</w:t>
            </w:r>
            <w:r>
              <w:rPr>
                <w:b/>
              </w:rPr>
              <w:t xml:space="preserve"> vs. fracture liaison nurse</w:t>
            </w:r>
          </w:p>
        </w:tc>
        <w:tc>
          <w:tcPr>
            <w:tcW w:w="707" w:type="pct"/>
            <w:shd w:val="clear" w:color="auto" w:fill="auto"/>
          </w:tcPr>
          <w:p w14:paraId="29E21ECD" w14:textId="77777777" w:rsidR="003C0762" w:rsidRPr="002E63B3" w:rsidRDefault="003C0762" w:rsidP="00E86771">
            <w:pPr>
              <w:spacing w:after="0" w:line="360" w:lineRule="auto"/>
              <w:jc w:val="right"/>
              <w:rPr>
                <w:color w:val="000000"/>
              </w:rPr>
            </w:pPr>
            <w:r w:rsidRPr="002E63B3">
              <w:rPr>
                <w:color w:val="000000"/>
              </w:rPr>
              <w:t>£</w:t>
            </w:r>
            <w:r>
              <w:rPr>
                <w:color w:val="000000"/>
              </w:rPr>
              <w:t>646</w:t>
            </w:r>
          </w:p>
          <w:p w14:paraId="62C45B16" w14:textId="77777777" w:rsidR="003C0762" w:rsidRPr="002E63B3" w:rsidRDefault="003C0762" w:rsidP="00E86771">
            <w:pPr>
              <w:spacing w:after="0" w:line="360" w:lineRule="auto"/>
              <w:jc w:val="right"/>
            </w:pPr>
            <w:r w:rsidRPr="002E63B3">
              <w:rPr>
                <w:color w:val="000000"/>
              </w:rPr>
              <w:t>(-</w:t>
            </w:r>
            <w:r>
              <w:rPr>
                <w:color w:val="000000"/>
              </w:rPr>
              <w:t>132</w:t>
            </w:r>
            <w:r w:rsidRPr="002E63B3">
              <w:rPr>
                <w:color w:val="000000"/>
              </w:rPr>
              <w:t xml:space="preserve"> to </w:t>
            </w:r>
            <w:r>
              <w:rPr>
                <w:color w:val="000000"/>
              </w:rPr>
              <w:t>1503</w:t>
            </w:r>
            <w:r w:rsidRPr="002E63B3">
              <w:rPr>
                <w:color w:val="000000"/>
              </w:rPr>
              <w:t>)</w:t>
            </w:r>
          </w:p>
        </w:tc>
        <w:tc>
          <w:tcPr>
            <w:tcW w:w="707" w:type="pct"/>
            <w:shd w:val="clear" w:color="auto" w:fill="auto"/>
          </w:tcPr>
          <w:p w14:paraId="21E7592C" w14:textId="77777777" w:rsidR="003C0762" w:rsidRPr="002E63B3" w:rsidRDefault="003C0762" w:rsidP="00E86771">
            <w:pPr>
              <w:spacing w:after="0" w:line="360" w:lineRule="auto"/>
              <w:jc w:val="right"/>
              <w:rPr>
                <w:color w:val="000000"/>
              </w:rPr>
            </w:pPr>
            <w:r w:rsidRPr="002E63B3">
              <w:rPr>
                <w:color w:val="000000"/>
              </w:rPr>
              <w:t>0.044</w:t>
            </w:r>
          </w:p>
          <w:p w14:paraId="4354C254" w14:textId="77777777" w:rsidR="003C0762" w:rsidRPr="002E63B3" w:rsidRDefault="003C0762" w:rsidP="00E86771">
            <w:pPr>
              <w:spacing w:after="0" w:line="360" w:lineRule="auto"/>
              <w:jc w:val="right"/>
            </w:pPr>
            <w:r w:rsidRPr="002E63B3">
              <w:rPr>
                <w:color w:val="000000"/>
              </w:rPr>
              <w:t>(-0.0</w:t>
            </w:r>
            <w:r>
              <w:rPr>
                <w:color w:val="000000"/>
              </w:rPr>
              <w:t>26</w:t>
            </w:r>
            <w:r w:rsidRPr="002E63B3">
              <w:rPr>
                <w:color w:val="000000"/>
              </w:rPr>
              <w:t xml:space="preserve"> to 0.1</w:t>
            </w:r>
            <w:r>
              <w:rPr>
                <w:color w:val="000000"/>
              </w:rPr>
              <w:t>25</w:t>
            </w:r>
            <w:r w:rsidRPr="002E63B3">
              <w:rPr>
                <w:color w:val="000000"/>
              </w:rPr>
              <w:t>)</w:t>
            </w:r>
          </w:p>
        </w:tc>
        <w:tc>
          <w:tcPr>
            <w:tcW w:w="706" w:type="pct"/>
            <w:shd w:val="clear" w:color="auto" w:fill="auto"/>
          </w:tcPr>
          <w:p w14:paraId="25AFE616" w14:textId="77777777" w:rsidR="003C0762" w:rsidRPr="002E63B3" w:rsidRDefault="003C0762" w:rsidP="00E86771">
            <w:pPr>
              <w:spacing w:after="0" w:line="360" w:lineRule="auto"/>
              <w:jc w:val="right"/>
              <w:rPr>
                <w:color w:val="000000"/>
              </w:rPr>
            </w:pPr>
            <w:r w:rsidRPr="002E63B3">
              <w:rPr>
                <w:color w:val="000000"/>
              </w:rPr>
              <w:t>0.028</w:t>
            </w:r>
          </w:p>
          <w:p w14:paraId="681A9E1A" w14:textId="77777777" w:rsidR="003C0762" w:rsidRPr="002E63B3" w:rsidRDefault="003C0762" w:rsidP="00E86771">
            <w:pPr>
              <w:spacing w:after="0" w:line="360" w:lineRule="auto"/>
              <w:jc w:val="right"/>
            </w:pPr>
            <w:r w:rsidRPr="002E63B3">
              <w:rPr>
                <w:color w:val="000000"/>
              </w:rPr>
              <w:t>(-0.0</w:t>
            </w:r>
            <w:r>
              <w:rPr>
                <w:color w:val="000000"/>
              </w:rPr>
              <w:t>16</w:t>
            </w:r>
            <w:r w:rsidRPr="002E63B3">
              <w:rPr>
                <w:color w:val="000000"/>
              </w:rPr>
              <w:t xml:space="preserve"> to 0.07</w:t>
            </w:r>
            <w:r>
              <w:rPr>
                <w:color w:val="000000"/>
              </w:rPr>
              <w:t>8</w:t>
            </w:r>
            <w:r w:rsidRPr="002E63B3">
              <w:rPr>
                <w:color w:val="000000"/>
              </w:rPr>
              <w:t>)</w:t>
            </w:r>
          </w:p>
        </w:tc>
        <w:tc>
          <w:tcPr>
            <w:tcW w:w="550" w:type="pct"/>
            <w:shd w:val="clear" w:color="auto" w:fill="auto"/>
          </w:tcPr>
          <w:p w14:paraId="6030298E" w14:textId="77777777" w:rsidR="003C0762" w:rsidRPr="002E63B3" w:rsidRDefault="003C0762" w:rsidP="00E86771">
            <w:pPr>
              <w:spacing w:after="0" w:line="360" w:lineRule="auto"/>
              <w:jc w:val="right"/>
              <w:rPr>
                <w:color w:val="000000"/>
              </w:rPr>
            </w:pPr>
            <w:r w:rsidRPr="002E63B3">
              <w:rPr>
                <w:color w:val="000000"/>
              </w:rPr>
              <w:t>£</w:t>
            </w:r>
            <w:r>
              <w:rPr>
                <w:color w:val="000000"/>
              </w:rPr>
              <w:t>14,640</w:t>
            </w:r>
          </w:p>
        </w:tc>
        <w:tc>
          <w:tcPr>
            <w:tcW w:w="598" w:type="pct"/>
            <w:shd w:val="clear" w:color="auto" w:fill="auto"/>
          </w:tcPr>
          <w:p w14:paraId="32B70BD2" w14:textId="77777777" w:rsidR="003C0762" w:rsidRPr="002E63B3" w:rsidRDefault="003C0762" w:rsidP="00E86771">
            <w:pPr>
              <w:spacing w:after="0" w:line="360" w:lineRule="auto"/>
              <w:jc w:val="right"/>
              <w:rPr>
                <w:color w:val="000000"/>
              </w:rPr>
            </w:pPr>
            <w:r w:rsidRPr="002E63B3">
              <w:rPr>
                <w:color w:val="000000"/>
              </w:rPr>
              <w:t>£</w:t>
            </w:r>
            <w:r>
              <w:rPr>
                <w:color w:val="000000"/>
              </w:rPr>
              <w:t>23,271</w:t>
            </w:r>
          </w:p>
        </w:tc>
        <w:tc>
          <w:tcPr>
            <w:tcW w:w="711" w:type="pct"/>
            <w:shd w:val="clear" w:color="auto" w:fill="auto"/>
          </w:tcPr>
          <w:p w14:paraId="334D4BF6" w14:textId="77777777" w:rsidR="003C0762" w:rsidRPr="002E63B3" w:rsidRDefault="003C0762" w:rsidP="00E86771">
            <w:pPr>
              <w:spacing w:after="0" w:line="360" w:lineRule="auto"/>
              <w:jc w:val="right"/>
            </w:pPr>
            <w:r>
              <w:t>70</w:t>
            </w:r>
            <w:r w:rsidRPr="002E63B3">
              <w:t>%</w:t>
            </w:r>
          </w:p>
        </w:tc>
      </w:tr>
      <w:tr w:rsidR="003C0762" w:rsidRPr="002E63B3" w14:paraId="26F76CFD" w14:textId="77777777" w:rsidTr="00DB4F65">
        <w:tc>
          <w:tcPr>
            <w:tcW w:w="1021" w:type="pct"/>
            <w:shd w:val="clear" w:color="auto" w:fill="auto"/>
          </w:tcPr>
          <w:p w14:paraId="26131255" w14:textId="77777777" w:rsidR="003C0762" w:rsidRPr="002E63B3" w:rsidRDefault="003C0762" w:rsidP="00E86771">
            <w:pPr>
              <w:spacing w:after="0" w:line="360" w:lineRule="auto"/>
              <w:rPr>
                <w:b/>
                <w:i/>
              </w:rPr>
            </w:pPr>
            <w:r w:rsidRPr="002E63B3">
              <w:rPr>
                <w:b/>
                <w:i/>
              </w:rPr>
              <w:t>Female cohort</w:t>
            </w:r>
          </w:p>
        </w:tc>
        <w:tc>
          <w:tcPr>
            <w:tcW w:w="707" w:type="pct"/>
            <w:shd w:val="clear" w:color="auto" w:fill="auto"/>
          </w:tcPr>
          <w:p w14:paraId="44B2FB41" w14:textId="77777777" w:rsidR="003C0762" w:rsidRPr="002E63B3" w:rsidRDefault="003C0762" w:rsidP="00E86771">
            <w:pPr>
              <w:spacing w:after="0" w:line="360" w:lineRule="auto"/>
            </w:pPr>
          </w:p>
        </w:tc>
        <w:tc>
          <w:tcPr>
            <w:tcW w:w="707" w:type="pct"/>
            <w:shd w:val="clear" w:color="auto" w:fill="auto"/>
          </w:tcPr>
          <w:p w14:paraId="215DC52E" w14:textId="77777777" w:rsidR="003C0762" w:rsidRPr="002E63B3" w:rsidRDefault="003C0762" w:rsidP="00E86771">
            <w:pPr>
              <w:spacing w:after="0" w:line="360" w:lineRule="auto"/>
            </w:pPr>
          </w:p>
        </w:tc>
        <w:tc>
          <w:tcPr>
            <w:tcW w:w="706" w:type="pct"/>
            <w:shd w:val="clear" w:color="auto" w:fill="auto"/>
          </w:tcPr>
          <w:p w14:paraId="25624403" w14:textId="77777777" w:rsidR="003C0762" w:rsidRPr="002E63B3" w:rsidRDefault="003C0762" w:rsidP="00E86771">
            <w:pPr>
              <w:spacing w:after="0" w:line="360" w:lineRule="auto"/>
            </w:pPr>
          </w:p>
        </w:tc>
        <w:tc>
          <w:tcPr>
            <w:tcW w:w="550" w:type="pct"/>
            <w:shd w:val="clear" w:color="auto" w:fill="auto"/>
          </w:tcPr>
          <w:p w14:paraId="45D7F9D0" w14:textId="77777777" w:rsidR="003C0762" w:rsidRPr="002E63B3" w:rsidRDefault="003C0762" w:rsidP="00E86771">
            <w:pPr>
              <w:spacing w:after="0" w:line="360" w:lineRule="auto"/>
            </w:pPr>
          </w:p>
        </w:tc>
        <w:tc>
          <w:tcPr>
            <w:tcW w:w="598" w:type="pct"/>
            <w:shd w:val="clear" w:color="auto" w:fill="auto"/>
          </w:tcPr>
          <w:p w14:paraId="0997686C" w14:textId="77777777" w:rsidR="003C0762" w:rsidRPr="002E63B3" w:rsidRDefault="003C0762" w:rsidP="00E86771">
            <w:pPr>
              <w:spacing w:after="0" w:line="360" w:lineRule="auto"/>
            </w:pPr>
          </w:p>
        </w:tc>
        <w:tc>
          <w:tcPr>
            <w:tcW w:w="711" w:type="pct"/>
            <w:shd w:val="clear" w:color="auto" w:fill="auto"/>
          </w:tcPr>
          <w:p w14:paraId="108DB222" w14:textId="77777777" w:rsidR="003C0762" w:rsidRPr="002E63B3" w:rsidRDefault="003C0762" w:rsidP="00E86771">
            <w:pPr>
              <w:spacing w:after="0" w:line="360" w:lineRule="auto"/>
            </w:pPr>
          </w:p>
        </w:tc>
      </w:tr>
      <w:tr w:rsidR="003C0762" w:rsidRPr="002E63B3" w14:paraId="603E1FF6" w14:textId="77777777" w:rsidTr="00DB4F65">
        <w:tc>
          <w:tcPr>
            <w:tcW w:w="1021" w:type="pct"/>
            <w:shd w:val="clear" w:color="auto" w:fill="auto"/>
          </w:tcPr>
          <w:p w14:paraId="7D1CE6F2" w14:textId="77777777" w:rsidR="003C0762" w:rsidRPr="002E63B3" w:rsidRDefault="003C0762" w:rsidP="00E86771">
            <w:pPr>
              <w:spacing w:after="0" w:line="360" w:lineRule="auto"/>
              <w:rPr>
                <w:b/>
              </w:rPr>
            </w:pPr>
            <w:r>
              <w:rPr>
                <w:b/>
              </w:rPr>
              <w:t>Usual</w:t>
            </w:r>
            <w:r w:rsidRPr="002E63B3">
              <w:rPr>
                <w:b/>
              </w:rPr>
              <w:t xml:space="preserve"> care</w:t>
            </w:r>
          </w:p>
        </w:tc>
        <w:tc>
          <w:tcPr>
            <w:tcW w:w="707" w:type="pct"/>
            <w:shd w:val="clear" w:color="auto" w:fill="auto"/>
          </w:tcPr>
          <w:p w14:paraId="58D4C53A" w14:textId="77777777" w:rsidR="003C0762" w:rsidRPr="002E63B3" w:rsidRDefault="003C0762" w:rsidP="00E86771">
            <w:pPr>
              <w:spacing w:after="0" w:line="360" w:lineRule="auto"/>
              <w:jc w:val="right"/>
            </w:pPr>
            <w:r w:rsidRPr="002E63B3">
              <w:t>-</w:t>
            </w:r>
          </w:p>
        </w:tc>
        <w:tc>
          <w:tcPr>
            <w:tcW w:w="707" w:type="pct"/>
            <w:shd w:val="clear" w:color="auto" w:fill="auto"/>
          </w:tcPr>
          <w:p w14:paraId="759F30E3" w14:textId="77777777" w:rsidR="003C0762" w:rsidRPr="002E63B3" w:rsidRDefault="003C0762" w:rsidP="00E86771">
            <w:pPr>
              <w:spacing w:after="0" w:line="360" w:lineRule="auto"/>
              <w:jc w:val="right"/>
            </w:pPr>
            <w:r w:rsidRPr="002E63B3">
              <w:t>-</w:t>
            </w:r>
          </w:p>
        </w:tc>
        <w:tc>
          <w:tcPr>
            <w:tcW w:w="706" w:type="pct"/>
            <w:shd w:val="clear" w:color="auto" w:fill="auto"/>
          </w:tcPr>
          <w:p w14:paraId="7723671A" w14:textId="77777777" w:rsidR="003C0762" w:rsidRPr="002E63B3" w:rsidRDefault="003C0762" w:rsidP="00E86771">
            <w:pPr>
              <w:spacing w:after="0" w:line="360" w:lineRule="auto"/>
              <w:jc w:val="right"/>
            </w:pPr>
            <w:r w:rsidRPr="002E63B3">
              <w:t>-</w:t>
            </w:r>
          </w:p>
        </w:tc>
        <w:tc>
          <w:tcPr>
            <w:tcW w:w="550" w:type="pct"/>
            <w:shd w:val="clear" w:color="auto" w:fill="auto"/>
          </w:tcPr>
          <w:p w14:paraId="24374D5A" w14:textId="77777777" w:rsidR="003C0762" w:rsidRPr="002E63B3" w:rsidRDefault="003C0762" w:rsidP="00E86771">
            <w:pPr>
              <w:spacing w:after="0" w:line="360" w:lineRule="auto"/>
              <w:jc w:val="right"/>
              <w:rPr>
                <w:color w:val="000000"/>
              </w:rPr>
            </w:pPr>
            <w:r w:rsidRPr="002E63B3">
              <w:rPr>
                <w:color w:val="000000"/>
              </w:rPr>
              <w:t>-</w:t>
            </w:r>
          </w:p>
        </w:tc>
        <w:tc>
          <w:tcPr>
            <w:tcW w:w="598" w:type="pct"/>
            <w:shd w:val="clear" w:color="auto" w:fill="auto"/>
          </w:tcPr>
          <w:p w14:paraId="789F47BD" w14:textId="77777777" w:rsidR="003C0762" w:rsidRPr="002E63B3" w:rsidRDefault="003C0762" w:rsidP="00E86771">
            <w:pPr>
              <w:spacing w:after="0" w:line="360" w:lineRule="auto"/>
              <w:jc w:val="right"/>
            </w:pPr>
            <w:r w:rsidRPr="002E63B3">
              <w:t>-</w:t>
            </w:r>
          </w:p>
        </w:tc>
        <w:tc>
          <w:tcPr>
            <w:tcW w:w="711" w:type="pct"/>
            <w:shd w:val="clear" w:color="auto" w:fill="auto"/>
          </w:tcPr>
          <w:p w14:paraId="119019E5" w14:textId="77777777" w:rsidR="003C0762" w:rsidRPr="002E63B3" w:rsidRDefault="003C0762" w:rsidP="00E86771">
            <w:pPr>
              <w:spacing w:after="0" w:line="360" w:lineRule="auto"/>
              <w:jc w:val="right"/>
            </w:pPr>
            <w:r w:rsidRPr="002E63B3">
              <w:t>0%</w:t>
            </w:r>
          </w:p>
        </w:tc>
      </w:tr>
      <w:tr w:rsidR="003C0762" w:rsidRPr="002E63B3" w14:paraId="0653BF3C" w14:textId="77777777" w:rsidTr="00DB4F65">
        <w:tc>
          <w:tcPr>
            <w:tcW w:w="1021" w:type="pct"/>
            <w:shd w:val="clear" w:color="auto" w:fill="auto"/>
          </w:tcPr>
          <w:p w14:paraId="4A5CFBEE" w14:textId="77777777" w:rsidR="003C0762" w:rsidRPr="002E63B3" w:rsidRDefault="003C0762" w:rsidP="00E86771">
            <w:pPr>
              <w:spacing w:after="0" w:line="360" w:lineRule="auto"/>
              <w:rPr>
                <w:b/>
              </w:rPr>
            </w:pPr>
            <w:r w:rsidRPr="002E63B3">
              <w:rPr>
                <w:b/>
              </w:rPr>
              <w:t>Fracture liaison nurse</w:t>
            </w:r>
            <w:r>
              <w:rPr>
                <w:b/>
              </w:rPr>
              <w:t xml:space="preserve"> vs. usual care</w:t>
            </w:r>
          </w:p>
        </w:tc>
        <w:tc>
          <w:tcPr>
            <w:tcW w:w="707" w:type="pct"/>
            <w:shd w:val="clear" w:color="auto" w:fill="auto"/>
          </w:tcPr>
          <w:p w14:paraId="6C39B1F3" w14:textId="77777777" w:rsidR="003C0762" w:rsidRPr="002E63B3" w:rsidRDefault="003C0762" w:rsidP="00E86771">
            <w:pPr>
              <w:spacing w:after="0" w:line="360" w:lineRule="auto"/>
              <w:jc w:val="right"/>
              <w:rPr>
                <w:color w:val="000000"/>
              </w:rPr>
            </w:pPr>
            <w:r w:rsidRPr="002E63B3">
              <w:rPr>
                <w:color w:val="000000"/>
              </w:rPr>
              <w:t>£</w:t>
            </w:r>
            <w:r>
              <w:rPr>
                <w:color w:val="000000"/>
              </w:rPr>
              <w:t>1,899</w:t>
            </w:r>
          </w:p>
          <w:p w14:paraId="7C6CA4F8" w14:textId="77777777" w:rsidR="003C0762" w:rsidRPr="002E63B3" w:rsidRDefault="003C0762" w:rsidP="00E86771">
            <w:pPr>
              <w:spacing w:after="0" w:line="360" w:lineRule="auto"/>
              <w:jc w:val="right"/>
            </w:pPr>
            <w:r w:rsidRPr="002E63B3">
              <w:t>(</w:t>
            </w:r>
            <w:r>
              <w:t>1272</w:t>
            </w:r>
            <w:r w:rsidRPr="002E63B3">
              <w:t xml:space="preserve"> to </w:t>
            </w:r>
            <w:r>
              <w:t>2515</w:t>
            </w:r>
            <w:r w:rsidRPr="002E63B3">
              <w:t>)</w:t>
            </w:r>
          </w:p>
        </w:tc>
        <w:tc>
          <w:tcPr>
            <w:tcW w:w="707" w:type="pct"/>
            <w:shd w:val="clear" w:color="auto" w:fill="auto"/>
          </w:tcPr>
          <w:p w14:paraId="6F01BB4C" w14:textId="77777777" w:rsidR="003C0762" w:rsidRPr="002E63B3" w:rsidRDefault="003C0762" w:rsidP="00E86771">
            <w:pPr>
              <w:spacing w:after="0" w:line="360" w:lineRule="auto"/>
              <w:jc w:val="right"/>
              <w:rPr>
                <w:color w:val="000000"/>
              </w:rPr>
            </w:pPr>
            <w:r w:rsidRPr="002E63B3">
              <w:rPr>
                <w:color w:val="000000"/>
              </w:rPr>
              <w:t>0.1</w:t>
            </w:r>
            <w:r>
              <w:rPr>
                <w:color w:val="000000"/>
              </w:rPr>
              <w:t>48</w:t>
            </w:r>
          </w:p>
          <w:p w14:paraId="307B4088" w14:textId="77777777" w:rsidR="003C0762" w:rsidRPr="002E63B3" w:rsidRDefault="003C0762" w:rsidP="00E86771">
            <w:pPr>
              <w:spacing w:after="0" w:line="360" w:lineRule="auto"/>
              <w:jc w:val="right"/>
              <w:rPr>
                <w:color w:val="000000"/>
              </w:rPr>
            </w:pPr>
            <w:r w:rsidRPr="002E63B3">
              <w:rPr>
                <w:color w:val="000000"/>
              </w:rPr>
              <w:t>(0.0</w:t>
            </w:r>
            <w:r>
              <w:rPr>
                <w:color w:val="000000"/>
              </w:rPr>
              <w:t>92</w:t>
            </w:r>
            <w:r w:rsidRPr="002E63B3">
              <w:rPr>
                <w:color w:val="000000"/>
              </w:rPr>
              <w:t xml:space="preserve"> to 0.20</w:t>
            </w:r>
            <w:r>
              <w:rPr>
                <w:color w:val="000000"/>
              </w:rPr>
              <w:t>4</w:t>
            </w:r>
            <w:r w:rsidRPr="002E63B3">
              <w:rPr>
                <w:color w:val="000000"/>
              </w:rPr>
              <w:t>)</w:t>
            </w:r>
          </w:p>
          <w:p w14:paraId="036766DE" w14:textId="77777777" w:rsidR="003C0762" w:rsidRPr="002E63B3" w:rsidRDefault="003C0762" w:rsidP="00E86771">
            <w:pPr>
              <w:spacing w:after="0" w:line="360" w:lineRule="auto"/>
              <w:jc w:val="right"/>
            </w:pPr>
          </w:p>
        </w:tc>
        <w:tc>
          <w:tcPr>
            <w:tcW w:w="706" w:type="pct"/>
            <w:shd w:val="clear" w:color="auto" w:fill="auto"/>
          </w:tcPr>
          <w:p w14:paraId="30E214BD" w14:textId="77777777" w:rsidR="003C0762" w:rsidRPr="002E63B3" w:rsidRDefault="003C0762" w:rsidP="00E86771">
            <w:pPr>
              <w:spacing w:after="0" w:line="360" w:lineRule="auto"/>
              <w:jc w:val="right"/>
              <w:rPr>
                <w:color w:val="000000"/>
              </w:rPr>
            </w:pPr>
            <w:r w:rsidRPr="002E63B3">
              <w:rPr>
                <w:color w:val="000000"/>
              </w:rPr>
              <w:t>0.09</w:t>
            </w:r>
            <w:r>
              <w:rPr>
                <w:color w:val="000000"/>
              </w:rPr>
              <w:t>1</w:t>
            </w:r>
          </w:p>
          <w:p w14:paraId="6C425213" w14:textId="77777777" w:rsidR="003C0762" w:rsidRPr="002E63B3" w:rsidRDefault="003C0762" w:rsidP="00E86771">
            <w:pPr>
              <w:spacing w:after="0" w:line="360" w:lineRule="auto"/>
              <w:jc w:val="right"/>
              <w:rPr>
                <w:color w:val="000000"/>
              </w:rPr>
            </w:pPr>
            <w:r w:rsidRPr="002E63B3">
              <w:rPr>
                <w:color w:val="000000"/>
              </w:rPr>
              <w:t>(0.05</w:t>
            </w:r>
            <w:r>
              <w:rPr>
                <w:color w:val="000000"/>
              </w:rPr>
              <w:t>6</w:t>
            </w:r>
            <w:r w:rsidRPr="002E63B3">
              <w:rPr>
                <w:color w:val="000000"/>
              </w:rPr>
              <w:t xml:space="preserve"> to 0.12</w:t>
            </w:r>
            <w:r>
              <w:rPr>
                <w:color w:val="000000"/>
              </w:rPr>
              <w:t>7</w:t>
            </w:r>
            <w:r w:rsidRPr="002E63B3">
              <w:rPr>
                <w:color w:val="000000"/>
              </w:rPr>
              <w:t>)</w:t>
            </w:r>
          </w:p>
          <w:p w14:paraId="4753A4AE" w14:textId="77777777" w:rsidR="003C0762" w:rsidRPr="002E63B3" w:rsidRDefault="003C0762" w:rsidP="00E86771">
            <w:pPr>
              <w:spacing w:after="0" w:line="360" w:lineRule="auto"/>
              <w:jc w:val="right"/>
            </w:pPr>
          </w:p>
        </w:tc>
        <w:tc>
          <w:tcPr>
            <w:tcW w:w="550" w:type="pct"/>
            <w:shd w:val="clear" w:color="auto" w:fill="auto"/>
          </w:tcPr>
          <w:p w14:paraId="6EE171C3" w14:textId="77777777" w:rsidR="003C0762" w:rsidRPr="002E63B3" w:rsidRDefault="003C0762" w:rsidP="00E86771">
            <w:pPr>
              <w:spacing w:after="0" w:line="360" w:lineRule="auto"/>
              <w:jc w:val="right"/>
              <w:rPr>
                <w:color w:val="000000"/>
              </w:rPr>
            </w:pPr>
            <w:r w:rsidRPr="002E63B3">
              <w:rPr>
                <w:color w:val="000000"/>
              </w:rPr>
              <w:t>£</w:t>
            </w:r>
            <w:r>
              <w:rPr>
                <w:color w:val="000000"/>
              </w:rPr>
              <w:t>12,871</w:t>
            </w:r>
          </w:p>
        </w:tc>
        <w:tc>
          <w:tcPr>
            <w:tcW w:w="598" w:type="pct"/>
            <w:shd w:val="clear" w:color="auto" w:fill="auto"/>
          </w:tcPr>
          <w:p w14:paraId="59D63BC7" w14:textId="77777777" w:rsidR="003C0762" w:rsidRPr="002E63B3" w:rsidRDefault="003C0762" w:rsidP="00E86771">
            <w:pPr>
              <w:spacing w:after="0" w:line="360" w:lineRule="auto"/>
              <w:jc w:val="right"/>
            </w:pPr>
            <w:r w:rsidRPr="002E63B3">
              <w:rPr>
                <w:color w:val="000000"/>
              </w:rPr>
              <w:t>£</w:t>
            </w:r>
            <w:r>
              <w:rPr>
                <w:color w:val="000000"/>
              </w:rPr>
              <w:t>20,794</w:t>
            </w:r>
          </w:p>
        </w:tc>
        <w:tc>
          <w:tcPr>
            <w:tcW w:w="711" w:type="pct"/>
            <w:shd w:val="clear" w:color="auto" w:fill="auto"/>
          </w:tcPr>
          <w:p w14:paraId="0AC0178A" w14:textId="77777777" w:rsidR="003C0762" w:rsidRPr="002E63B3" w:rsidRDefault="003C0762" w:rsidP="00E86771">
            <w:pPr>
              <w:spacing w:after="0" w:line="360" w:lineRule="auto"/>
              <w:jc w:val="right"/>
            </w:pPr>
            <w:r>
              <w:t>30</w:t>
            </w:r>
            <w:r w:rsidRPr="002E63B3">
              <w:t>%</w:t>
            </w:r>
          </w:p>
        </w:tc>
      </w:tr>
      <w:tr w:rsidR="003C0762" w:rsidRPr="002E63B3" w14:paraId="07D5726F" w14:textId="77777777" w:rsidTr="00DB4F65">
        <w:trPr>
          <w:trHeight w:val="70"/>
        </w:trPr>
        <w:tc>
          <w:tcPr>
            <w:tcW w:w="1021" w:type="pct"/>
            <w:shd w:val="clear" w:color="auto" w:fill="auto"/>
          </w:tcPr>
          <w:p w14:paraId="55DC19D1" w14:textId="77777777" w:rsidR="003C0762" w:rsidRPr="002E63B3" w:rsidRDefault="003C0762" w:rsidP="00E86771">
            <w:pPr>
              <w:spacing w:after="0" w:line="360" w:lineRule="auto"/>
              <w:rPr>
                <w:b/>
              </w:rPr>
            </w:pPr>
            <w:r w:rsidRPr="002E63B3">
              <w:rPr>
                <w:b/>
              </w:rPr>
              <w:t>Orthogeriatrician</w:t>
            </w:r>
            <w:r>
              <w:rPr>
                <w:b/>
              </w:rPr>
              <w:t xml:space="preserve"> </w:t>
            </w:r>
            <w:r>
              <w:rPr>
                <w:b/>
              </w:rPr>
              <w:lastRenderedPageBreak/>
              <w:t>vs. fracture liaison nurse</w:t>
            </w:r>
          </w:p>
        </w:tc>
        <w:tc>
          <w:tcPr>
            <w:tcW w:w="707" w:type="pct"/>
            <w:shd w:val="clear" w:color="auto" w:fill="auto"/>
          </w:tcPr>
          <w:p w14:paraId="77D74987" w14:textId="77777777" w:rsidR="003C0762" w:rsidRPr="002E63B3" w:rsidRDefault="003C0762" w:rsidP="00E86771">
            <w:pPr>
              <w:spacing w:after="0" w:line="360" w:lineRule="auto"/>
              <w:jc w:val="right"/>
              <w:rPr>
                <w:color w:val="000000"/>
              </w:rPr>
            </w:pPr>
            <w:r w:rsidRPr="002E63B3">
              <w:rPr>
                <w:color w:val="000000"/>
              </w:rPr>
              <w:lastRenderedPageBreak/>
              <w:t>£</w:t>
            </w:r>
            <w:r>
              <w:rPr>
                <w:color w:val="000000"/>
              </w:rPr>
              <w:t>632</w:t>
            </w:r>
          </w:p>
          <w:p w14:paraId="192CC1BF" w14:textId="77777777" w:rsidR="003C0762" w:rsidRPr="002E63B3" w:rsidRDefault="003C0762" w:rsidP="00E86771">
            <w:pPr>
              <w:spacing w:after="0" w:line="360" w:lineRule="auto"/>
              <w:jc w:val="right"/>
            </w:pPr>
            <w:r w:rsidRPr="002E63B3">
              <w:rPr>
                <w:color w:val="000000"/>
              </w:rPr>
              <w:lastRenderedPageBreak/>
              <w:t>(-</w:t>
            </w:r>
            <w:r>
              <w:rPr>
                <w:color w:val="000000"/>
              </w:rPr>
              <w:t>125</w:t>
            </w:r>
            <w:r w:rsidRPr="002E63B3">
              <w:rPr>
                <w:color w:val="000000"/>
              </w:rPr>
              <w:t xml:space="preserve"> to </w:t>
            </w:r>
            <w:r>
              <w:rPr>
                <w:color w:val="000000"/>
              </w:rPr>
              <w:t>1443</w:t>
            </w:r>
            <w:r w:rsidRPr="002E63B3">
              <w:rPr>
                <w:color w:val="000000"/>
              </w:rPr>
              <w:t>)</w:t>
            </w:r>
          </w:p>
        </w:tc>
        <w:tc>
          <w:tcPr>
            <w:tcW w:w="707" w:type="pct"/>
            <w:shd w:val="clear" w:color="auto" w:fill="auto"/>
          </w:tcPr>
          <w:p w14:paraId="6511800C" w14:textId="77777777" w:rsidR="003C0762" w:rsidRPr="002E63B3" w:rsidRDefault="003C0762" w:rsidP="00E86771">
            <w:pPr>
              <w:spacing w:after="0" w:line="360" w:lineRule="auto"/>
              <w:jc w:val="right"/>
              <w:rPr>
                <w:color w:val="000000"/>
              </w:rPr>
            </w:pPr>
            <w:r w:rsidRPr="002E63B3">
              <w:rPr>
                <w:color w:val="000000"/>
              </w:rPr>
              <w:lastRenderedPageBreak/>
              <w:t>0.04</w:t>
            </w:r>
            <w:r>
              <w:rPr>
                <w:color w:val="000000"/>
              </w:rPr>
              <w:t>3</w:t>
            </w:r>
          </w:p>
          <w:p w14:paraId="6B6A2705" w14:textId="77777777" w:rsidR="003C0762" w:rsidRPr="002E63B3" w:rsidRDefault="003C0762" w:rsidP="00E86771">
            <w:pPr>
              <w:spacing w:after="0" w:line="360" w:lineRule="auto"/>
              <w:jc w:val="right"/>
              <w:rPr>
                <w:color w:val="000000"/>
              </w:rPr>
            </w:pPr>
            <w:r w:rsidRPr="002E63B3">
              <w:rPr>
                <w:color w:val="000000"/>
              </w:rPr>
              <w:lastRenderedPageBreak/>
              <w:t>(-0.0</w:t>
            </w:r>
            <w:r>
              <w:rPr>
                <w:color w:val="000000"/>
              </w:rPr>
              <w:t>26</w:t>
            </w:r>
            <w:r w:rsidRPr="002E63B3">
              <w:rPr>
                <w:color w:val="000000"/>
              </w:rPr>
              <w:t xml:space="preserve"> to 0.11</w:t>
            </w:r>
            <w:r>
              <w:rPr>
                <w:color w:val="000000"/>
              </w:rPr>
              <w:t>9</w:t>
            </w:r>
            <w:r w:rsidRPr="002E63B3">
              <w:rPr>
                <w:color w:val="000000"/>
              </w:rPr>
              <w:t>)</w:t>
            </w:r>
          </w:p>
          <w:p w14:paraId="6267E2C6" w14:textId="77777777" w:rsidR="003C0762" w:rsidRPr="002E63B3" w:rsidRDefault="003C0762" w:rsidP="00E86771">
            <w:pPr>
              <w:spacing w:after="0" w:line="360" w:lineRule="auto"/>
              <w:jc w:val="right"/>
            </w:pPr>
          </w:p>
        </w:tc>
        <w:tc>
          <w:tcPr>
            <w:tcW w:w="706" w:type="pct"/>
            <w:shd w:val="clear" w:color="auto" w:fill="auto"/>
          </w:tcPr>
          <w:p w14:paraId="4673BECA" w14:textId="77777777" w:rsidR="003C0762" w:rsidRPr="002E63B3" w:rsidRDefault="003C0762" w:rsidP="00E86771">
            <w:pPr>
              <w:spacing w:after="0" w:line="360" w:lineRule="auto"/>
              <w:jc w:val="right"/>
              <w:rPr>
                <w:color w:val="000000"/>
              </w:rPr>
            </w:pPr>
            <w:r w:rsidRPr="002E63B3">
              <w:rPr>
                <w:color w:val="000000"/>
              </w:rPr>
              <w:lastRenderedPageBreak/>
              <w:t>0.027</w:t>
            </w:r>
          </w:p>
          <w:p w14:paraId="616B24B2" w14:textId="77777777" w:rsidR="003C0762" w:rsidRPr="002E63B3" w:rsidRDefault="003C0762" w:rsidP="00E86771">
            <w:pPr>
              <w:spacing w:after="0" w:line="360" w:lineRule="auto"/>
              <w:jc w:val="right"/>
              <w:rPr>
                <w:color w:val="000000"/>
              </w:rPr>
            </w:pPr>
            <w:r w:rsidRPr="002E63B3">
              <w:rPr>
                <w:color w:val="000000"/>
              </w:rPr>
              <w:lastRenderedPageBreak/>
              <w:t>(-0.01</w:t>
            </w:r>
            <w:r>
              <w:rPr>
                <w:color w:val="000000"/>
              </w:rPr>
              <w:t>7</w:t>
            </w:r>
            <w:r w:rsidRPr="002E63B3">
              <w:rPr>
                <w:color w:val="000000"/>
              </w:rPr>
              <w:t xml:space="preserve"> to 0.07</w:t>
            </w:r>
            <w:r>
              <w:rPr>
                <w:color w:val="000000"/>
              </w:rPr>
              <w:t>5</w:t>
            </w:r>
            <w:r w:rsidRPr="002E63B3">
              <w:rPr>
                <w:color w:val="000000"/>
              </w:rPr>
              <w:t>)</w:t>
            </w:r>
          </w:p>
          <w:p w14:paraId="666BAE48" w14:textId="77777777" w:rsidR="003C0762" w:rsidRPr="002E63B3" w:rsidRDefault="003C0762" w:rsidP="00E86771">
            <w:pPr>
              <w:spacing w:after="0" w:line="360" w:lineRule="auto"/>
              <w:jc w:val="right"/>
            </w:pPr>
          </w:p>
        </w:tc>
        <w:tc>
          <w:tcPr>
            <w:tcW w:w="550" w:type="pct"/>
            <w:shd w:val="clear" w:color="auto" w:fill="auto"/>
          </w:tcPr>
          <w:p w14:paraId="4C09F665" w14:textId="77777777" w:rsidR="003C0762" w:rsidRPr="002E63B3" w:rsidRDefault="003C0762" w:rsidP="00E86771">
            <w:pPr>
              <w:spacing w:after="0" w:line="360" w:lineRule="auto"/>
              <w:jc w:val="right"/>
              <w:rPr>
                <w:color w:val="000000"/>
              </w:rPr>
            </w:pPr>
            <w:r w:rsidRPr="002E63B3">
              <w:rPr>
                <w:color w:val="000000"/>
              </w:rPr>
              <w:lastRenderedPageBreak/>
              <w:t>£</w:t>
            </w:r>
            <w:r>
              <w:rPr>
                <w:color w:val="000000"/>
              </w:rPr>
              <w:t>14,683</w:t>
            </w:r>
          </w:p>
        </w:tc>
        <w:tc>
          <w:tcPr>
            <w:tcW w:w="598" w:type="pct"/>
            <w:shd w:val="clear" w:color="auto" w:fill="auto"/>
          </w:tcPr>
          <w:p w14:paraId="353E4C4C" w14:textId="77777777" w:rsidR="003C0762" w:rsidRPr="002E63B3" w:rsidRDefault="003C0762" w:rsidP="00E86771">
            <w:pPr>
              <w:spacing w:after="0" w:line="360" w:lineRule="auto"/>
              <w:jc w:val="right"/>
            </w:pPr>
            <w:r w:rsidRPr="002E63B3">
              <w:rPr>
                <w:color w:val="000000"/>
              </w:rPr>
              <w:t>£23,</w:t>
            </w:r>
            <w:r>
              <w:rPr>
                <w:color w:val="000000"/>
              </w:rPr>
              <w:t>189</w:t>
            </w:r>
          </w:p>
        </w:tc>
        <w:tc>
          <w:tcPr>
            <w:tcW w:w="711" w:type="pct"/>
            <w:shd w:val="clear" w:color="auto" w:fill="auto"/>
          </w:tcPr>
          <w:p w14:paraId="3201BDA7" w14:textId="77777777" w:rsidR="003C0762" w:rsidRPr="002E63B3" w:rsidRDefault="003C0762" w:rsidP="00E86771">
            <w:pPr>
              <w:spacing w:after="0" w:line="360" w:lineRule="auto"/>
              <w:jc w:val="right"/>
            </w:pPr>
            <w:r>
              <w:t>70</w:t>
            </w:r>
            <w:r w:rsidRPr="002E63B3">
              <w:t>%</w:t>
            </w:r>
          </w:p>
        </w:tc>
      </w:tr>
    </w:tbl>
    <w:p w14:paraId="2293B9BC" w14:textId="77777777" w:rsidR="00CF2E21" w:rsidRPr="00591BFC" w:rsidRDefault="00CF2E21" w:rsidP="00E86771">
      <w:pPr>
        <w:spacing w:after="0" w:line="360" w:lineRule="auto"/>
      </w:pPr>
    </w:p>
    <w:p w14:paraId="1849179F" w14:textId="7310F579" w:rsidR="00CF2E21" w:rsidRPr="00591BFC" w:rsidRDefault="00135C98" w:rsidP="00E86771">
      <w:pPr>
        <w:spacing w:line="360" w:lineRule="auto"/>
      </w:pPr>
      <w:r w:rsidRPr="00591BFC">
        <w:fldChar w:fldCharType="begin"/>
      </w:r>
      <w:r w:rsidRPr="00591BFC">
        <w:instrText xml:space="preserve"> REF _Ref423078457 \h </w:instrText>
      </w:r>
      <w:r w:rsidR="00E814C1" w:rsidRPr="00591BFC">
        <w:instrText xml:space="preserve"> \* MERGEFORMAT </w:instrText>
      </w:r>
      <w:r w:rsidRPr="00591BFC">
        <w:fldChar w:fldCharType="separate"/>
      </w:r>
      <w:r w:rsidR="003B70E3" w:rsidRPr="00591BFC">
        <w:t xml:space="preserve">Figure </w:t>
      </w:r>
      <w:r w:rsidR="003B70E3">
        <w:rPr>
          <w:noProof/>
        </w:rPr>
        <w:t>31</w:t>
      </w:r>
      <w:r w:rsidRPr="00591BFC">
        <w:fldChar w:fldCharType="end"/>
      </w:r>
      <w:r w:rsidRPr="00591BFC">
        <w:t xml:space="preserve"> </w:t>
      </w:r>
      <w:r w:rsidR="00CF2E21" w:rsidRPr="00591BFC">
        <w:t>reports the CEAC and EVPI per female patient associated with the different models of care. The population EVPI over 5 years was estimated to be £2</w:t>
      </w:r>
      <w:r w:rsidR="003C0762">
        <w:t>3</w:t>
      </w:r>
      <w:r w:rsidR="00CF2E21" w:rsidRPr="00591BFC">
        <w:t xml:space="preserve"> million at the £30,000 per QALY gained threshold. This suggests that undertaking additional major commissioned research work to further reduce decision uncertainty is likely to be of significant benefit.</w:t>
      </w:r>
    </w:p>
    <w:p w14:paraId="471BFCB0" w14:textId="77777777" w:rsidR="00CF2E21" w:rsidRPr="00591BFC" w:rsidRDefault="00CF2E21" w:rsidP="00E86771">
      <w:pPr>
        <w:spacing w:line="360" w:lineRule="auto"/>
        <w:rPr>
          <w:b/>
        </w:rPr>
      </w:pPr>
    </w:p>
    <w:p w14:paraId="17B9C22F" w14:textId="77777777" w:rsidR="00135C98" w:rsidRPr="00591BFC" w:rsidRDefault="002149AD" w:rsidP="00E86771">
      <w:pPr>
        <w:keepNext/>
        <w:spacing w:line="360" w:lineRule="auto"/>
      </w:pPr>
      <w:r>
        <w:rPr>
          <w:noProof/>
          <w:lang w:eastAsia="en-GB"/>
        </w:rPr>
        <w:pict w14:anchorId="40147D74">
          <v:shape id="Picture 71" o:spid="_x0000_i1059" type="#_x0000_t75" style="width:451.25pt;height:295.6pt;visibility:visible">
            <v:imagedata r:id="rId48" o:title=""/>
          </v:shape>
        </w:pict>
      </w:r>
    </w:p>
    <w:p w14:paraId="4C5B3B2C" w14:textId="77777777" w:rsidR="00CF2E21" w:rsidRPr="00591BFC" w:rsidRDefault="00135C98" w:rsidP="00E86771">
      <w:pPr>
        <w:pStyle w:val="Caption"/>
        <w:spacing w:line="360" w:lineRule="auto"/>
      </w:pPr>
      <w:bookmarkStart w:id="466" w:name="_Ref423078457"/>
      <w:bookmarkStart w:id="467" w:name="_Toc424650342"/>
      <w:bookmarkStart w:id="468" w:name="_Toc311366727"/>
      <w:r w:rsidRPr="00591BFC">
        <w:t xml:space="preserve">Figure </w:t>
      </w:r>
      <w:r w:rsidR="002149AD">
        <w:fldChar w:fldCharType="begin"/>
      </w:r>
      <w:r w:rsidR="002149AD">
        <w:instrText xml:space="preserve"> SEQ Figure \* ARABIC </w:instrText>
      </w:r>
      <w:r w:rsidR="002149AD">
        <w:fldChar w:fldCharType="separate"/>
      </w:r>
      <w:r w:rsidR="003B70E3">
        <w:rPr>
          <w:noProof/>
        </w:rPr>
        <w:t>31</w:t>
      </w:r>
      <w:r w:rsidR="002149AD">
        <w:rPr>
          <w:noProof/>
        </w:rPr>
        <w:fldChar w:fldCharType="end"/>
      </w:r>
      <w:bookmarkEnd w:id="466"/>
      <w:r w:rsidRPr="00591BFC">
        <w:t xml:space="preserve"> Cost-effectiveness acceptability curve and EVPI per patient</w:t>
      </w:r>
      <w:r w:rsidR="00C35AA4" w:rsidRPr="00C35AA4">
        <w:t>. The curves provide the probability of the models of care being the most cost-effective option at any willingness to pay value for an additional QALY gained. Please note that the curves of the models of care add to one at any given point. The EVPI curve provides the value of expected value of perfect information at any willingness to pay value for an additional QALY gained.</w:t>
      </w:r>
      <w:bookmarkEnd w:id="467"/>
      <w:bookmarkEnd w:id="468"/>
    </w:p>
    <w:p w14:paraId="62F9E65E" w14:textId="3D57A55D" w:rsidR="00CF2E21" w:rsidRPr="00591BFC" w:rsidRDefault="00135C98" w:rsidP="00E86771">
      <w:pPr>
        <w:spacing w:line="360" w:lineRule="auto"/>
      </w:pPr>
      <w:r w:rsidRPr="00591BFC">
        <w:fldChar w:fldCharType="begin"/>
      </w:r>
      <w:r w:rsidRPr="00591BFC">
        <w:instrText xml:space="preserve"> REF _Ref423078501 \h </w:instrText>
      </w:r>
      <w:r w:rsidR="00E814C1" w:rsidRPr="00591BFC">
        <w:instrText xml:space="preserve"> \* MERGEFORMAT </w:instrText>
      </w:r>
      <w:r w:rsidRPr="00591BFC">
        <w:fldChar w:fldCharType="separate"/>
      </w:r>
      <w:r w:rsidR="003B70E3" w:rsidRPr="00591BFC">
        <w:t xml:space="preserve">Figure </w:t>
      </w:r>
      <w:r w:rsidR="003B70E3">
        <w:rPr>
          <w:noProof/>
        </w:rPr>
        <w:t>32</w:t>
      </w:r>
      <w:r w:rsidRPr="00591BFC">
        <w:fldChar w:fldCharType="end"/>
      </w:r>
      <w:r w:rsidRPr="00591BFC">
        <w:t xml:space="preserve"> </w:t>
      </w:r>
      <w:r w:rsidR="00CF2E21" w:rsidRPr="00591BFC">
        <w:t xml:space="preserve">reports the parameters according to their impact on the variance of incremental costs and QALYs from the comparison of introducing an OG with introducing a FLN. Variance in the estimated incremental costs was dominated by the variation in the following variables: relative effectiveness inputs, regression models predicting hospital costs, natural history inputs (e.g. death within 30 days, time to second hip fracture), and the likelihood of being discharge to a care home following hip </w:t>
      </w:r>
      <w:r w:rsidR="00CF2E21" w:rsidRPr="00591BFC">
        <w:lastRenderedPageBreak/>
        <w:t xml:space="preserve">fracture. Variance in the incremental QALYs was dominated by the variance in effectiveness inputs and natural history inputs. </w:t>
      </w:r>
    </w:p>
    <w:p w14:paraId="280786C1" w14:textId="77777777" w:rsidR="00CF2E21" w:rsidRPr="00591BFC" w:rsidRDefault="00CF2E21" w:rsidP="00E86771">
      <w:pPr>
        <w:spacing w:line="360" w:lineRule="auto"/>
      </w:pPr>
    </w:p>
    <w:p w14:paraId="43C97573" w14:textId="690C4A23" w:rsidR="00135C98" w:rsidRPr="00591BFC" w:rsidRDefault="002149AD" w:rsidP="00E86771">
      <w:pPr>
        <w:keepNext/>
        <w:spacing w:line="360" w:lineRule="auto"/>
      </w:pPr>
      <w:r>
        <w:rPr>
          <w:noProof/>
        </w:rPr>
        <w:pict w14:anchorId="772B3697">
          <v:shape id="Text Box 68" o:spid="_x0000_s1070" type="#_x0000_t202" style="position:absolute;margin-left:221.5pt;margin-top:-18.5pt;width:112.5pt;height:25.5pt;z-index:2516572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" filled="f" strokeweight=".5pt">
            <v:textbox>
              <w:txbxContent>
                <w:p w14:paraId="6C60B155" w14:textId="77777777" w:rsidR="00AB59D4" w:rsidRPr="00C35AA4" w:rsidRDefault="00AB59D4" w:rsidP="00C35AA4">
                  <w:pPr>
                    <w:rPr>
                      <w:sz w:val="20"/>
                    </w:rPr>
                  </w:pPr>
                  <w:r w:rsidRPr="00C35AA4">
                    <w:rPr>
                      <w:sz w:val="20"/>
                    </w:rPr>
                    <w:t xml:space="preserve">Incremental </w:t>
                  </w:r>
                  <w:r>
                    <w:rPr>
                      <w:sz w:val="20"/>
                    </w:rPr>
                    <w:t>Costs</w:t>
                  </w:r>
                </w:p>
              </w:txbxContent>
            </v:textbox>
          </v:shape>
        </w:pict>
      </w:r>
      <w:r>
        <w:rPr>
          <w:noProof/>
        </w:rPr>
        <w:pict w14:anchorId="4FDA2BCD">
          <v:shape id="Text Box 66" o:spid="_x0000_s1071" type="#_x0000_t202" style="position:absolute;margin-left:109pt;margin-top:-18.5pt;width:112.5pt;height:25.5pt;z-index:2516561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" filled="f" strokeweight=".5pt">
            <v:textbox>
              <w:txbxContent>
                <w:p w14:paraId="4F20D899" w14:textId="77777777" w:rsidR="00AB59D4" w:rsidRPr="00C35AA4" w:rsidRDefault="00AB59D4" w:rsidP="00C35AA4">
                  <w:pPr>
                    <w:rPr>
                      <w:sz w:val="20"/>
                    </w:rPr>
                  </w:pPr>
                  <w:r w:rsidRPr="00C35AA4">
                    <w:rPr>
                      <w:sz w:val="20"/>
                    </w:rPr>
                    <w:t>Incremental QALYS</w:t>
                  </w:r>
                </w:p>
              </w:txbxContent>
            </v:textbox>
          </v:shape>
        </w:pict>
      </w:r>
      <w:r>
        <w:rPr>
          <w:noProof/>
          <w:lang w:eastAsia="en-GB"/>
        </w:rPr>
        <w:pict w14:anchorId="7FCF3581">
          <v:shape id="_x0000_i1060" type="#_x0000_t75" style="width:346.3pt;height:249.45pt;visibility:visible">
            <v:imagedata r:id="rId49" o:title=""/>
          </v:shape>
        </w:pict>
      </w:r>
    </w:p>
    <w:p w14:paraId="22ABA6BA" w14:textId="77777777" w:rsidR="00C35AA4" w:rsidRDefault="00135C98" w:rsidP="00E86771">
      <w:pPr>
        <w:pStyle w:val="Caption"/>
        <w:spacing w:line="360" w:lineRule="auto"/>
      </w:pPr>
      <w:bookmarkStart w:id="469" w:name="_Ref423078501"/>
      <w:bookmarkStart w:id="470" w:name="_Toc424650343"/>
      <w:bookmarkStart w:id="471" w:name="_Toc311366728"/>
      <w:r w:rsidRPr="00591BFC">
        <w:t xml:space="preserve">Figure </w:t>
      </w:r>
      <w:r w:rsidR="002149AD">
        <w:fldChar w:fldCharType="begin"/>
      </w:r>
      <w:r w:rsidR="002149AD">
        <w:instrText xml:space="preserve"> SEQ Figure \* ARABIC </w:instrText>
      </w:r>
      <w:r w:rsidR="002149AD">
        <w:fldChar w:fldCharType="separate"/>
      </w:r>
      <w:r w:rsidR="003B70E3">
        <w:rPr>
          <w:noProof/>
        </w:rPr>
        <w:t>32</w:t>
      </w:r>
      <w:r w:rsidR="002149AD">
        <w:rPr>
          <w:noProof/>
        </w:rPr>
        <w:fldChar w:fldCharType="end"/>
      </w:r>
      <w:bookmarkEnd w:id="469"/>
      <w:r w:rsidRPr="00591BFC">
        <w:t xml:space="preserve"> </w:t>
      </w:r>
      <w:r w:rsidR="00C35AA4" w:rsidRPr="00C35AA4">
        <w:t xml:space="preserve">Orthogeriatrician </w:t>
      </w:r>
      <w:r w:rsidR="00C35AA4" w:rsidRPr="00C35AA4">
        <w:rPr>
          <w:i/>
        </w:rPr>
        <w:t>vs</w:t>
      </w:r>
      <w:r w:rsidR="00C35AA4" w:rsidRPr="00C35AA4">
        <w:t>. fracture liaison nurse: ANCOVA analysis of proportion of sum of squares for incremental QALYs saved and incremental costs explained by the uncertainty in the model. The horizontal axis represents the variation in incremental costs and QALYs that is associated with the uncertainty in the model inputs</w:t>
      </w:r>
      <w:r w:rsidR="00C35AA4">
        <w:t>#</w:t>
      </w:r>
      <w:bookmarkEnd w:id="470"/>
      <w:bookmarkEnd w:id="471"/>
    </w:p>
    <w:p w14:paraId="2E280144" w14:textId="77777777" w:rsidR="00CF2E21" w:rsidRPr="00591BFC" w:rsidRDefault="00CF2E21" w:rsidP="00E86771">
      <w:pPr>
        <w:pStyle w:val="Heading3"/>
        <w:spacing w:line="360" w:lineRule="auto"/>
      </w:pPr>
      <w:bookmarkStart w:id="472" w:name="_Toc308300817"/>
      <w:bookmarkStart w:id="473" w:name="_Toc311366624"/>
      <w:r w:rsidRPr="00591BFC">
        <w:t>Sensitivity analysis</w:t>
      </w:r>
      <w:bookmarkEnd w:id="472"/>
      <w:bookmarkEnd w:id="473"/>
    </w:p>
    <w:p w14:paraId="4FC5636C" w14:textId="77777777" w:rsidR="00CF2E21" w:rsidRPr="00591BFC" w:rsidRDefault="00135C98" w:rsidP="00E86771">
      <w:pPr>
        <w:spacing w:line="360" w:lineRule="auto"/>
      </w:pPr>
      <w:r w:rsidRPr="00591BFC">
        <w:fldChar w:fldCharType="begin"/>
      </w:r>
      <w:r w:rsidRPr="00591BFC">
        <w:instrText xml:space="preserve"> REF _Ref423078645 \h </w:instrText>
      </w:r>
      <w:r w:rsidR="00E814C1" w:rsidRPr="00591BFC">
        <w:instrText xml:space="preserve"> \* MERGEFORMAT </w:instrText>
      </w:r>
      <w:r w:rsidRPr="00591BFC">
        <w:fldChar w:fldCharType="separate"/>
      </w:r>
      <w:r w:rsidR="00776C05" w:rsidRPr="00591BFC">
        <w:t xml:space="preserve">Table </w:t>
      </w:r>
      <w:r w:rsidR="00776C05">
        <w:rPr>
          <w:noProof/>
        </w:rPr>
        <w:t>40</w:t>
      </w:r>
      <w:r w:rsidRPr="00591BFC">
        <w:fldChar w:fldCharType="end"/>
      </w:r>
      <w:r w:rsidRPr="00591BFC">
        <w:t xml:space="preserve"> </w:t>
      </w:r>
      <w:r w:rsidR="00CF2E21" w:rsidRPr="00591BFC">
        <w:t xml:space="preserve">reports the results of a range of other sensitivity analyses using the female cohort. Overall, the results were robust to changes in the majority of assumptions. Excluding social care costs from the analysis resulted in the model of care with an OG becoming cost-effective below the £20,000 per QALY threshold. The results were also robust to using relative effectiveness measures concerning the comparison of OG or FLN relative to hospitals that had no previous OG or FLN rather than the pooled estimates. Finally, the assumptions regarding the costs of the models of care had an impact in terms of the results. Using the number of hip fractures reported in the smallest hospital in the HES dataset (220 per year) to estimate the costs per patient of the models of care resulted in introducing a FLN becoming the most cost-effective option. </w:t>
      </w:r>
    </w:p>
    <w:p w14:paraId="6283F847" w14:textId="77777777" w:rsidR="00135C98" w:rsidRDefault="00135C98" w:rsidP="00E86771">
      <w:pPr>
        <w:pStyle w:val="Caption"/>
        <w:keepNext/>
        <w:spacing w:line="360" w:lineRule="auto"/>
      </w:pPr>
      <w:bookmarkStart w:id="474" w:name="_Ref423078645"/>
      <w:bookmarkStart w:id="475" w:name="_Toc308262435"/>
      <w:bookmarkStart w:id="476" w:name="_Toc311366701"/>
      <w:r w:rsidRPr="00591BFC">
        <w:t xml:space="preserve">Table </w:t>
      </w:r>
      <w:r w:rsidR="002149AD">
        <w:fldChar w:fldCharType="begin"/>
      </w:r>
      <w:r w:rsidR="002149AD">
        <w:instrText xml:space="preserve"> SEQ Table \* ARABIC </w:instrText>
      </w:r>
      <w:r w:rsidR="002149AD">
        <w:fldChar w:fldCharType="separate"/>
      </w:r>
      <w:r w:rsidR="00776C05">
        <w:rPr>
          <w:noProof/>
        </w:rPr>
        <w:t>40</w:t>
      </w:r>
      <w:r w:rsidR="002149AD">
        <w:rPr>
          <w:noProof/>
        </w:rPr>
        <w:fldChar w:fldCharType="end"/>
      </w:r>
      <w:bookmarkEnd w:id="474"/>
      <w:r w:rsidRPr="00591BFC">
        <w:t xml:space="preserve"> Sensitivity analysis scenarios – impact of assumption on the incremental cost-effectiveness ratios (ICERs - £/QALY)</w:t>
      </w:r>
      <w:bookmarkEnd w:id="475"/>
      <w:bookmarkEnd w:id="476"/>
    </w:p>
    <w:tbl>
      <w:tblPr>
        <w:tblW w:w="4999" w:type="pct"/>
        <w:tblLook w:val="04A0" w:firstRow="1" w:lastRow="0" w:firstColumn="1" w:lastColumn="0" w:noHBand="0" w:noVBand="1"/>
      </w:tblPr>
      <w:tblGrid>
        <w:gridCol w:w="4826"/>
        <w:gridCol w:w="2205"/>
        <w:gridCol w:w="2203"/>
      </w:tblGrid>
      <w:tr w:rsidR="00C35AA4" w:rsidRPr="002E63B3" w14:paraId="4CAB64B4" w14:textId="77777777" w:rsidTr="00DB4F65">
        <w:tc>
          <w:tcPr>
            <w:tcW w:w="2613" w:type="pct"/>
            <w:shd w:val="clear" w:color="auto" w:fill="auto"/>
          </w:tcPr>
          <w:p w14:paraId="7BD8B805" w14:textId="77777777" w:rsidR="00C35AA4" w:rsidRPr="002E63B3" w:rsidRDefault="00C35AA4" w:rsidP="00E86771">
            <w:pPr>
              <w:spacing w:line="360" w:lineRule="auto"/>
              <w:rPr>
                <w:b/>
                <w:i/>
              </w:rPr>
            </w:pPr>
            <w:r w:rsidRPr="002E63B3">
              <w:rPr>
                <w:b/>
                <w:i/>
              </w:rPr>
              <w:t>Female cohort</w:t>
            </w:r>
          </w:p>
        </w:tc>
        <w:tc>
          <w:tcPr>
            <w:tcW w:w="1194" w:type="pct"/>
          </w:tcPr>
          <w:p w14:paraId="44189E2A" w14:textId="77777777" w:rsidR="00C35AA4" w:rsidRPr="002E63B3" w:rsidRDefault="00C35AA4" w:rsidP="00E86771">
            <w:pPr>
              <w:spacing w:line="360" w:lineRule="auto"/>
              <w:jc w:val="right"/>
              <w:rPr>
                <w:b/>
              </w:rPr>
            </w:pPr>
            <w:r w:rsidRPr="002E63B3">
              <w:rPr>
                <w:b/>
              </w:rPr>
              <w:t xml:space="preserve">Fracture liaison nurse </w:t>
            </w:r>
            <w:r w:rsidRPr="002E63B3">
              <w:rPr>
                <w:b/>
              </w:rPr>
              <w:lastRenderedPageBreak/>
              <w:t xml:space="preserve">vs. </w:t>
            </w:r>
            <w:r>
              <w:rPr>
                <w:b/>
              </w:rPr>
              <w:t>usual</w:t>
            </w:r>
            <w:r w:rsidRPr="002E63B3">
              <w:rPr>
                <w:b/>
              </w:rPr>
              <w:t xml:space="preserve"> care</w:t>
            </w:r>
          </w:p>
        </w:tc>
        <w:tc>
          <w:tcPr>
            <w:tcW w:w="1193" w:type="pct"/>
            <w:shd w:val="clear" w:color="auto" w:fill="auto"/>
          </w:tcPr>
          <w:p w14:paraId="7F787EF4" w14:textId="77777777" w:rsidR="00C35AA4" w:rsidRPr="002E63B3" w:rsidRDefault="00C35AA4" w:rsidP="00E86771">
            <w:pPr>
              <w:spacing w:line="360" w:lineRule="auto"/>
              <w:jc w:val="right"/>
              <w:rPr>
                <w:b/>
              </w:rPr>
            </w:pPr>
            <w:r w:rsidRPr="002E63B3">
              <w:rPr>
                <w:b/>
              </w:rPr>
              <w:lastRenderedPageBreak/>
              <w:t xml:space="preserve">Orthogeriatrician vs. </w:t>
            </w:r>
            <w:r w:rsidRPr="002E63B3">
              <w:rPr>
                <w:b/>
              </w:rPr>
              <w:lastRenderedPageBreak/>
              <w:t>fracture liaison nurse</w:t>
            </w:r>
          </w:p>
        </w:tc>
      </w:tr>
      <w:tr w:rsidR="00C35AA4" w:rsidRPr="002E63B3" w14:paraId="7962C04D" w14:textId="77777777" w:rsidTr="00DB4F65">
        <w:tc>
          <w:tcPr>
            <w:tcW w:w="2613" w:type="pct"/>
            <w:shd w:val="clear" w:color="auto" w:fill="auto"/>
          </w:tcPr>
          <w:p w14:paraId="66433637" w14:textId="77777777" w:rsidR="00C35AA4" w:rsidRPr="002E63B3" w:rsidRDefault="00C35AA4" w:rsidP="00E86771">
            <w:pPr>
              <w:spacing w:line="360" w:lineRule="auto"/>
            </w:pPr>
            <w:r w:rsidRPr="002E63B3">
              <w:lastRenderedPageBreak/>
              <w:t>Base case</w:t>
            </w:r>
          </w:p>
        </w:tc>
        <w:tc>
          <w:tcPr>
            <w:tcW w:w="1194" w:type="pct"/>
          </w:tcPr>
          <w:p w14:paraId="3B83BA3E" w14:textId="77777777" w:rsidR="00C35AA4" w:rsidRPr="002E63B3" w:rsidRDefault="00C35AA4" w:rsidP="00E86771">
            <w:pPr>
              <w:spacing w:line="360" w:lineRule="auto"/>
              <w:jc w:val="right"/>
              <w:rPr>
                <w:color w:val="000000"/>
              </w:rPr>
            </w:pPr>
            <w:r w:rsidRPr="002E63B3">
              <w:rPr>
                <w:color w:val="000000"/>
              </w:rPr>
              <w:t>£</w:t>
            </w:r>
            <w:r>
              <w:rPr>
                <w:color w:val="000000"/>
              </w:rPr>
              <w:t>20,794</w:t>
            </w:r>
          </w:p>
        </w:tc>
        <w:tc>
          <w:tcPr>
            <w:tcW w:w="1193" w:type="pct"/>
            <w:shd w:val="clear" w:color="auto" w:fill="auto"/>
          </w:tcPr>
          <w:p w14:paraId="478CA355" w14:textId="77777777" w:rsidR="00C35AA4" w:rsidRPr="002E63B3" w:rsidRDefault="00C35AA4" w:rsidP="00E86771">
            <w:pPr>
              <w:spacing w:line="360" w:lineRule="auto"/>
              <w:jc w:val="right"/>
            </w:pPr>
            <w:r>
              <w:t>£23,189</w:t>
            </w:r>
          </w:p>
        </w:tc>
      </w:tr>
      <w:tr w:rsidR="00C35AA4" w:rsidRPr="002E63B3" w14:paraId="19931CC2" w14:textId="77777777" w:rsidTr="00DB4F65">
        <w:tc>
          <w:tcPr>
            <w:tcW w:w="2613" w:type="pct"/>
            <w:shd w:val="clear" w:color="auto" w:fill="auto"/>
          </w:tcPr>
          <w:p w14:paraId="5C7854AA" w14:textId="77777777" w:rsidR="00C35AA4" w:rsidRPr="002E63B3" w:rsidRDefault="00C35AA4" w:rsidP="00E86771">
            <w:pPr>
              <w:spacing w:line="360" w:lineRule="auto"/>
            </w:pPr>
            <w:r w:rsidRPr="002E63B3">
              <w:t>Primary and hospital care costs only (excluding care home costs)</w:t>
            </w:r>
          </w:p>
        </w:tc>
        <w:tc>
          <w:tcPr>
            <w:tcW w:w="1194" w:type="pct"/>
          </w:tcPr>
          <w:p w14:paraId="0F54DFFE" w14:textId="77777777" w:rsidR="00C35AA4" w:rsidRPr="002E63B3" w:rsidRDefault="00C35AA4" w:rsidP="00E86771">
            <w:pPr>
              <w:spacing w:after="0" w:line="360" w:lineRule="auto"/>
              <w:jc w:val="right"/>
              <w:rPr>
                <w:color w:val="000000"/>
              </w:rPr>
            </w:pPr>
            <w:r>
              <w:rPr>
                <w:color w:val="000000"/>
              </w:rPr>
              <w:t>£9,046</w:t>
            </w:r>
          </w:p>
        </w:tc>
        <w:tc>
          <w:tcPr>
            <w:tcW w:w="1193" w:type="pct"/>
            <w:shd w:val="clear" w:color="auto" w:fill="auto"/>
          </w:tcPr>
          <w:p w14:paraId="4621CBC5" w14:textId="77777777" w:rsidR="00C35AA4" w:rsidRPr="002E63B3" w:rsidRDefault="00C35AA4" w:rsidP="00E86771">
            <w:pPr>
              <w:spacing w:after="0" w:line="360" w:lineRule="auto"/>
              <w:jc w:val="right"/>
            </w:pPr>
            <w:r>
              <w:rPr>
                <w:color w:val="000000"/>
              </w:rPr>
              <w:t>£13,039</w:t>
            </w:r>
          </w:p>
        </w:tc>
      </w:tr>
      <w:tr w:rsidR="00C35AA4" w:rsidRPr="002E63B3" w14:paraId="61D9777C" w14:textId="77777777" w:rsidTr="00DB4F65">
        <w:tc>
          <w:tcPr>
            <w:tcW w:w="2613" w:type="pct"/>
            <w:shd w:val="clear" w:color="auto" w:fill="auto"/>
          </w:tcPr>
          <w:p w14:paraId="3BC3104D" w14:textId="77777777" w:rsidR="00C35AA4" w:rsidRPr="002E63B3" w:rsidRDefault="00C35AA4" w:rsidP="00E86771">
            <w:pPr>
              <w:spacing w:line="360" w:lineRule="auto"/>
            </w:pPr>
            <w:r w:rsidRPr="002E63B3">
              <w:t>Relative effectiveness estimates (</w:t>
            </w:r>
            <w:r>
              <w:t xml:space="preserve">where comparator is </w:t>
            </w:r>
            <w:r w:rsidRPr="002E63B3">
              <w:t>no OG or FLN</w:t>
            </w:r>
            <w:r>
              <w:t xml:space="preserve"> rather than pooled estimate</w:t>
            </w:r>
            <w:r w:rsidRPr="002E63B3">
              <w:t>)</w:t>
            </w:r>
          </w:p>
        </w:tc>
        <w:tc>
          <w:tcPr>
            <w:tcW w:w="1194" w:type="pct"/>
          </w:tcPr>
          <w:p w14:paraId="45551AEF" w14:textId="77777777" w:rsidR="00C35AA4" w:rsidRPr="002E63B3" w:rsidRDefault="00C35AA4" w:rsidP="00E86771">
            <w:pPr>
              <w:spacing w:line="360" w:lineRule="auto"/>
              <w:jc w:val="right"/>
              <w:rPr>
                <w:color w:val="000000"/>
              </w:rPr>
            </w:pPr>
            <w:r w:rsidRPr="002E63B3">
              <w:t>Dominated</w:t>
            </w:r>
          </w:p>
        </w:tc>
        <w:tc>
          <w:tcPr>
            <w:tcW w:w="1193" w:type="pct"/>
            <w:shd w:val="clear" w:color="auto" w:fill="auto"/>
          </w:tcPr>
          <w:p w14:paraId="6CF72F2B" w14:textId="77777777" w:rsidR="00C35AA4" w:rsidRPr="002E63B3" w:rsidRDefault="00C35AA4" w:rsidP="00E86771">
            <w:pPr>
              <w:spacing w:line="360" w:lineRule="auto"/>
              <w:jc w:val="right"/>
            </w:pPr>
            <w:r>
              <w:t>£21,798*</w:t>
            </w:r>
          </w:p>
        </w:tc>
      </w:tr>
      <w:tr w:rsidR="00C35AA4" w:rsidRPr="002E63B3" w14:paraId="3B37325E" w14:textId="77777777" w:rsidTr="00DB4F65">
        <w:tc>
          <w:tcPr>
            <w:tcW w:w="2613" w:type="pct"/>
            <w:shd w:val="clear" w:color="auto" w:fill="auto"/>
          </w:tcPr>
          <w:p w14:paraId="6EC9BB6B" w14:textId="77777777" w:rsidR="00C35AA4" w:rsidRPr="002E63B3" w:rsidRDefault="00C35AA4" w:rsidP="00E86771">
            <w:pPr>
              <w:spacing w:line="360" w:lineRule="auto"/>
            </w:pPr>
            <w:r w:rsidRPr="002E63B3">
              <w:t>Relative effectiveness for 30-day mortality also applying to second hip fracture</w:t>
            </w:r>
          </w:p>
        </w:tc>
        <w:tc>
          <w:tcPr>
            <w:tcW w:w="1194" w:type="pct"/>
          </w:tcPr>
          <w:p w14:paraId="4C27DCE0" w14:textId="77777777" w:rsidR="00C35AA4" w:rsidRPr="002E63B3" w:rsidRDefault="00C35AA4" w:rsidP="00E86771">
            <w:pPr>
              <w:spacing w:line="360" w:lineRule="auto"/>
              <w:jc w:val="right"/>
              <w:rPr>
                <w:color w:val="000000"/>
              </w:rPr>
            </w:pPr>
            <w:r w:rsidRPr="002E63B3">
              <w:rPr>
                <w:color w:val="000000"/>
              </w:rPr>
              <w:t>£</w:t>
            </w:r>
            <w:r>
              <w:rPr>
                <w:color w:val="000000"/>
              </w:rPr>
              <w:t>20,754</w:t>
            </w:r>
          </w:p>
          <w:p w14:paraId="30515185" w14:textId="77777777" w:rsidR="00C35AA4" w:rsidRPr="002E63B3" w:rsidRDefault="00C35AA4" w:rsidP="00E86771">
            <w:pPr>
              <w:spacing w:line="360" w:lineRule="auto"/>
              <w:jc w:val="right"/>
              <w:rPr>
                <w:color w:val="000000"/>
              </w:rPr>
            </w:pPr>
          </w:p>
        </w:tc>
        <w:tc>
          <w:tcPr>
            <w:tcW w:w="1193" w:type="pct"/>
            <w:shd w:val="clear" w:color="auto" w:fill="auto"/>
          </w:tcPr>
          <w:p w14:paraId="3AB1347B" w14:textId="77777777" w:rsidR="00C35AA4" w:rsidRPr="002E63B3" w:rsidRDefault="00C35AA4" w:rsidP="00E86771">
            <w:pPr>
              <w:spacing w:line="360" w:lineRule="auto"/>
              <w:jc w:val="right"/>
              <w:rPr>
                <w:color w:val="000000"/>
              </w:rPr>
            </w:pPr>
            <w:r>
              <w:rPr>
                <w:color w:val="000000"/>
              </w:rPr>
              <w:t>£23,140</w:t>
            </w:r>
          </w:p>
        </w:tc>
      </w:tr>
      <w:tr w:rsidR="00C35AA4" w:rsidRPr="002E63B3" w14:paraId="0C64B782" w14:textId="77777777" w:rsidTr="00DB4F65">
        <w:tc>
          <w:tcPr>
            <w:tcW w:w="2613" w:type="pct"/>
            <w:shd w:val="clear" w:color="auto" w:fill="auto"/>
          </w:tcPr>
          <w:p w14:paraId="4F941843" w14:textId="77777777" w:rsidR="00C35AA4" w:rsidRPr="002E63B3" w:rsidRDefault="00C35AA4" w:rsidP="00E86771">
            <w:pPr>
              <w:spacing w:line="360" w:lineRule="auto"/>
            </w:pPr>
            <w:r w:rsidRPr="002E63B3">
              <w:t>Effectiveness over mortality beyond 1</w:t>
            </w:r>
            <w:r w:rsidRPr="002E63B3">
              <w:rPr>
                <w:vertAlign w:val="superscript"/>
              </w:rPr>
              <w:t>st</w:t>
            </w:r>
            <w:r w:rsidRPr="002E63B3">
              <w:t xml:space="preserve"> year post hip fracture into lifetime </w:t>
            </w:r>
          </w:p>
        </w:tc>
        <w:tc>
          <w:tcPr>
            <w:tcW w:w="1194" w:type="pct"/>
          </w:tcPr>
          <w:p w14:paraId="7F73B38E" w14:textId="77777777" w:rsidR="00C35AA4" w:rsidRPr="002E63B3" w:rsidRDefault="00C35AA4" w:rsidP="00E86771">
            <w:pPr>
              <w:spacing w:line="360" w:lineRule="auto"/>
              <w:jc w:val="right"/>
              <w:rPr>
                <w:color w:val="000000"/>
              </w:rPr>
            </w:pPr>
            <w:r w:rsidRPr="002E63B3">
              <w:rPr>
                <w:color w:val="000000"/>
              </w:rPr>
              <w:t>£</w:t>
            </w:r>
            <w:r>
              <w:rPr>
                <w:color w:val="000000"/>
              </w:rPr>
              <w:t>16,944</w:t>
            </w:r>
          </w:p>
          <w:p w14:paraId="14BC3A09" w14:textId="77777777" w:rsidR="00C35AA4" w:rsidRPr="002E63B3" w:rsidRDefault="00C35AA4" w:rsidP="00E86771">
            <w:pPr>
              <w:spacing w:line="360" w:lineRule="auto"/>
              <w:jc w:val="right"/>
              <w:rPr>
                <w:color w:val="000000"/>
              </w:rPr>
            </w:pPr>
          </w:p>
        </w:tc>
        <w:tc>
          <w:tcPr>
            <w:tcW w:w="1193" w:type="pct"/>
            <w:shd w:val="clear" w:color="auto" w:fill="auto"/>
          </w:tcPr>
          <w:p w14:paraId="140B3108" w14:textId="77777777" w:rsidR="00C35AA4" w:rsidRPr="002E63B3" w:rsidRDefault="00C35AA4" w:rsidP="00E86771">
            <w:pPr>
              <w:spacing w:line="360" w:lineRule="auto"/>
              <w:jc w:val="right"/>
            </w:pPr>
            <w:r>
              <w:t>£18,052</w:t>
            </w:r>
          </w:p>
        </w:tc>
      </w:tr>
      <w:tr w:rsidR="00C35AA4" w:rsidRPr="002E63B3" w14:paraId="7C8574FF" w14:textId="77777777" w:rsidTr="00DB4F65">
        <w:tc>
          <w:tcPr>
            <w:tcW w:w="2613" w:type="pct"/>
            <w:shd w:val="clear" w:color="auto" w:fill="auto"/>
          </w:tcPr>
          <w:p w14:paraId="0EE0A12A" w14:textId="77777777" w:rsidR="00C35AA4" w:rsidRPr="002E63B3" w:rsidRDefault="00C35AA4" w:rsidP="00E86771">
            <w:pPr>
              <w:spacing w:line="360" w:lineRule="auto"/>
            </w:pPr>
            <w:r w:rsidRPr="002E63B3">
              <w:t>Effectiveness over second hip fracture extending into lifetime</w:t>
            </w:r>
          </w:p>
        </w:tc>
        <w:tc>
          <w:tcPr>
            <w:tcW w:w="1194" w:type="pct"/>
          </w:tcPr>
          <w:p w14:paraId="5A937ECE" w14:textId="77777777" w:rsidR="00C35AA4" w:rsidRPr="002E63B3" w:rsidRDefault="00C35AA4" w:rsidP="00E86771">
            <w:pPr>
              <w:spacing w:line="360" w:lineRule="auto"/>
              <w:jc w:val="right"/>
              <w:rPr>
                <w:color w:val="000000"/>
              </w:rPr>
            </w:pPr>
            <w:r w:rsidRPr="002E63B3">
              <w:t>Extendedly dominated</w:t>
            </w:r>
          </w:p>
        </w:tc>
        <w:tc>
          <w:tcPr>
            <w:tcW w:w="1193" w:type="pct"/>
            <w:shd w:val="clear" w:color="auto" w:fill="auto"/>
          </w:tcPr>
          <w:p w14:paraId="677487AA" w14:textId="77777777" w:rsidR="00C35AA4" w:rsidRPr="002E63B3" w:rsidRDefault="00C35AA4" w:rsidP="00E86771">
            <w:pPr>
              <w:spacing w:line="360" w:lineRule="auto"/>
              <w:jc w:val="right"/>
            </w:pPr>
            <w:r>
              <w:t>£20,036*</w:t>
            </w:r>
          </w:p>
        </w:tc>
      </w:tr>
      <w:tr w:rsidR="00C35AA4" w:rsidRPr="002E63B3" w14:paraId="16080DD5" w14:textId="77777777" w:rsidTr="00DB4F65">
        <w:tc>
          <w:tcPr>
            <w:tcW w:w="2613" w:type="pct"/>
            <w:shd w:val="clear" w:color="auto" w:fill="auto"/>
          </w:tcPr>
          <w:p w14:paraId="26E65E96" w14:textId="77777777" w:rsidR="00C35AA4" w:rsidRDefault="00C35AA4" w:rsidP="00E86771">
            <w:pPr>
              <w:spacing w:line="360" w:lineRule="auto"/>
            </w:pPr>
            <w:r>
              <w:t>Effectiveness over major non-hip fractures requiring hospitalisation (OG: HR 1.14, FLN: HR 0.94, Chapter 5)</w:t>
            </w:r>
          </w:p>
        </w:tc>
        <w:tc>
          <w:tcPr>
            <w:tcW w:w="1194" w:type="pct"/>
          </w:tcPr>
          <w:p w14:paraId="6EC77562" w14:textId="77777777" w:rsidR="00C35AA4" w:rsidRPr="002E63B3" w:rsidRDefault="00C35AA4" w:rsidP="00E86771">
            <w:pPr>
              <w:spacing w:line="360" w:lineRule="auto"/>
              <w:jc w:val="right"/>
              <w:rPr>
                <w:color w:val="000000"/>
              </w:rPr>
            </w:pPr>
            <w:r>
              <w:rPr>
                <w:color w:val="000000"/>
              </w:rPr>
              <w:t>£20,439</w:t>
            </w:r>
          </w:p>
        </w:tc>
        <w:tc>
          <w:tcPr>
            <w:tcW w:w="1193" w:type="pct"/>
            <w:shd w:val="clear" w:color="auto" w:fill="auto"/>
          </w:tcPr>
          <w:p w14:paraId="74EF2915" w14:textId="77777777" w:rsidR="00C35AA4" w:rsidRPr="002E63B3" w:rsidRDefault="00C35AA4" w:rsidP="00E86771">
            <w:pPr>
              <w:spacing w:line="360" w:lineRule="auto"/>
              <w:jc w:val="right"/>
              <w:rPr>
                <w:color w:val="000000"/>
              </w:rPr>
            </w:pPr>
            <w:r>
              <w:rPr>
                <w:color w:val="000000"/>
              </w:rPr>
              <w:t>£26,559</w:t>
            </w:r>
          </w:p>
        </w:tc>
      </w:tr>
      <w:tr w:rsidR="00C35AA4" w:rsidRPr="002E63B3" w14:paraId="22CED08F" w14:textId="77777777" w:rsidTr="00DB4F65">
        <w:tc>
          <w:tcPr>
            <w:tcW w:w="2613" w:type="pct"/>
            <w:shd w:val="clear" w:color="auto" w:fill="auto"/>
          </w:tcPr>
          <w:p w14:paraId="4E0759F4" w14:textId="77777777" w:rsidR="00C35AA4" w:rsidRPr="002E63B3" w:rsidRDefault="00C35AA4" w:rsidP="00E86771">
            <w:pPr>
              <w:spacing w:line="360" w:lineRule="auto"/>
            </w:pPr>
            <w:r>
              <w:t>Orthogeriatrician and FLN costs without qualification costs (£300 and £177 per patient, respectively)</w:t>
            </w:r>
          </w:p>
        </w:tc>
        <w:tc>
          <w:tcPr>
            <w:tcW w:w="1194" w:type="pct"/>
          </w:tcPr>
          <w:p w14:paraId="0B12BA9D" w14:textId="77777777" w:rsidR="00C35AA4" w:rsidRPr="002E63B3" w:rsidRDefault="00C35AA4" w:rsidP="00E86771">
            <w:pPr>
              <w:spacing w:line="360" w:lineRule="auto"/>
              <w:jc w:val="right"/>
              <w:rPr>
                <w:color w:val="000000"/>
              </w:rPr>
            </w:pPr>
            <w:r w:rsidRPr="002E63B3">
              <w:t>Extendedly dominated</w:t>
            </w:r>
          </w:p>
        </w:tc>
        <w:tc>
          <w:tcPr>
            <w:tcW w:w="1193" w:type="pct"/>
            <w:shd w:val="clear" w:color="auto" w:fill="auto"/>
          </w:tcPr>
          <w:p w14:paraId="688DCBC2" w14:textId="77777777" w:rsidR="00C35AA4" w:rsidRPr="002E63B3" w:rsidRDefault="00C35AA4" w:rsidP="00E86771">
            <w:pPr>
              <w:spacing w:line="360" w:lineRule="auto"/>
              <w:jc w:val="right"/>
              <w:rPr>
                <w:color w:val="000000"/>
              </w:rPr>
            </w:pPr>
            <w:r>
              <w:t>£20,230*</w:t>
            </w:r>
          </w:p>
        </w:tc>
      </w:tr>
      <w:tr w:rsidR="00C35AA4" w:rsidRPr="002E63B3" w14:paraId="3AE3A0F6" w14:textId="77777777" w:rsidTr="00DB4F65">
        <w:tc>
          <w:tcPr>
            <w:tcW w:w="2613" w:type="pct"/>
            <w:shd w:val="clear" w:color="auto" w:fill="auto"/>
          </w:tcPr>
          <w:p w14:paraId="7323B3D2" w14:textId="77777777" w:rsidR="00C35AA4" w:rsidRPr="002E63B3" w:rsidRDefault="00C35AA4" w:rsidP="00E86771">
            <w:pPr>
              <w:spacing w:line="360" w:lineRule="auto"/>
            </w:pPr>
            <w:r w:rsidRPr="002E63B3">
              <w:t>Orthogeriatrician at 1 WTE (£560 per patient)</w:t>
            </w:r>
          </w:p>
        </w:tc>
        <w:tc>
          <w:tcPr>
            <w:tcW w:w="1194" w:type="pct"/>
          </w:tcPr>
          <w:p w14:paraId="3BB67022" w14:textId="77777777" w:rsidR="00C35AA4" w:rsidRPr="002E63B3" w:rsidRDefault="00C35AA4" w:rsidP="00E86771">
            <w:pPr>
              <w:spacing w:line="360" w:lineRule="auto"/>
              <w:jc w:val="right"/>
              <w:rPr>
                <w:color w:val="000000"/>
              </w:rPr>
            </w:pPr>
            <w:r w:rsidRPr="002E63B3">
              <w:rPr>
                <w:color w:val="000000"/>
              </w:rPr>
              <w:t>£</w:t>
            </w:r>
            <w:r>
              <w:rPr>
                <w:color w:val="000000"/>
              </w:rPr>
              <w:t>20,794</w:t>
            </w:r>
          </w:p>
        </w:tc>
        <w:tc>
          <w:tcPr>
            <w:tcW w:w="1193" w:type="pct"/>
            <w:shd w:val="clear" w:color="auto" w:fill="auto"/>
          </w:tcPr>
          <w:p w14:paraId="60F8911B" w14:textId="77777777" w:rsidR="00C35AA4" w:rsidRPr="002E63B3" w:rsidRDefault="00C35AA4" w:rsidP="00E86771">
            <w:pPr>
              <w:spacing w:line="360" w:lineRule="auto"/>
              <w:jc w:val="right"/>
              <w:rPr>
                <w:color w:val="000000"/>
              </w:rPr>
            </w:pPr>
            <w:r>
              <w:rPr>
                <w:color w:val="000000"/>
              </w:rPr>
              <w:t>£28,418</w:t>
            </w:r>
          </w:p>
        </w:tc>
      </w:tr>
      <w:tr w:rsidR="00C35AA4" w:rsidRPr="002E63B3" w14:paraId="6DE081B2" w14:textId="77777777" w:rsidTr="00DB4F65">
        <w:tc>
          <w:tcPr>
            <w:tcW w:w="2613" w:type="pct"/>
            <w:shd w:val="clear" w:color="auto" w:fill="auto"/>
          </w:tcPr>
          <w:p w14:paraId="49A2C346" w14:textId="77777777" w:rsidR="00C35AA4" w:rsidRPr="002E63B3" w:rsidRDefault="00C35AA4" w:rsidP="00E86771">
            <w:pPr>
              <w:spacing w:line="360" w:lineRule="auto"/>
            </w:pPr>
            <w:r>
              <w:t>FLN at 0.25 WTE (£50 per patient)</w:t>
            </w:r>
          </w:p>
        </w:tc>
        <w:tc>
          <w:tcPr>
            <w:tcW w:w="1194" w:type="pct"/>
          </w:tcPr>
          <w:p w14:paraId="042A4055" w14:textId="77777777" w:rsidR="00C35AA4" w:rsidRPr="002E63B3" w:rsidRDefault="00C35AA4" w:rsidP="00E86771">
            <w:pPr>
              <w:spacing w:line="360" w:lineRule="auto"/>
              <w:jc w:val="right"/>
              <w:rPr>
                <w:color w:val="000000"/>
              </w:rPr>
            </w:pPr>
            <w:r>
              <w:rPr>
                <w:color w:val="000000"/>
              </w:rPr>
              <w:t>£19,066</w:t>
            </w:r>
          </w:p>
        </w:tc>
        <w:tc>
          <w:tcPr>
            <w:tcW w:w="1193" w:type="pct"/>
            <w:shd w:val="clear" w:color="auto" w:fill="auto"/>
          </w:tcPr>
          <w:p w14:paraId="63F29F92" w14:textId="77777777" w:rsidR="00C35AA4" w:rsidRDefault="00C35AA4" w:rsidP="00E86771">
            <w:pPr>
              <w:spacing w:line="360" w:lineRule="auto"/>
              <w:jc w:val="right"/>
              <w:rPr>
                <w:color w:val="000000"/>
              </w:rPr>
            </w:pPr>
            <w:r>
              <w:rPr>
                <w:color w:val="000000"/>
              </w:rPr>
              <w:t>£28,798</w:t>
            </w:r>
          </w:p>
        </w:tc>
      </w:tr>
      <w:tr w:rsidR="00C35AA4" w:rsidRPr="002E63B3" w14:paraId="2C31EC1A" w14:textId="77777777" w:rsidTr="00DB4F65">
        <w:tc>
          <w:tcPr>
            <w:tcW w:w="2613" w:type="pct"/>
            <w:shd w:val="clear" w:color="auto" w:fill="auto"/>
          </w:tcPr>
          <w:p w14:paraId="58DC8BD0" w14:textId="77777777" w:rsidR="00C35AA4" w:rsidRPr="002E63B3" w:rsidRDefault="00C35AA4" w:rsidP="00E86771">
            <w:pPr>
              <w:spacing w:line="360" w:lineRule="auto"/>
            </w:pPr>
            <w:r>
              <w:t>FLN at 0.60 WTE (£120 per patient)</w:t>
            </w:r>
          </w:p>
        </w:tc>
        <w:tc>
          <w:tcPr>
            <w:tcW w:w="1194" w:type="pct"/>
          </w:tcPr>
          <w:p w14:paraId="1FEC9809" w14:textId="77777777" w:rsidR="00C35AA4" w:rsidRPr="002E63B3" w:rsidRDefault="00C35AA4" w:rsidP="00E86771">
            <w:pPr>
              <w:spacing w:line="360" w:lineRule="auto"/>
              <w:jc w:val="right"/>
              <w:rPr>
                <w:color w:val="000000"/>
              </w:rPr>
            </w:pPr>
            <w:r>
              <w:rPr>
                <w:color w:val="000000"/>
              </w:rPr>
              <w:t>£19,817</w:t>
            </w:r>
          </w:p>
        </w:tc>
        <w:tc>
          <w:tcPr>
            <w:tcW w:w="1193" w:type="pct"/>
            <w:shd w:val="clear" w:color="auto" w:fill="auto"/>
          </w:tcPr>
          <w:p w14:paraId="52915335" w14:textId="77777777" w:rsidR="00C35AA4" w:rsidRDefault="00C35AA4" w:rsidP="00E86771">
            <w:pPr>
              <w:spacing w:line="360" w:lineRule="auto"/>
              <w:jc w:val="right"/>
              <w:rPr>
                <w:color w:val="000000"/>
              </w:rPr>
            </w:pPr>
            <w:r>
              <w:rPr>
                <w:color w:val="000000"/>
              </w:rPr>
              <w:t>£26,172</w:t>
            </w:r>
          </w:p>
        </w:tc>
      </w:tr>
      <w:tr w:rsidR="00C35AA4" w:rsidRPr="002E63B3" w14:paraId="79BDCCB4" w14:textId="77777777" w:rsidTr="00DB4F65">
        <w:tc>
          <w:tcPr>
            <w:tcW w:w="2613" w:type="pct"/>
            <w:shd w:val="clear" w:color="auto" w:fill="auto"/>
          </w:tcPr>
          <w:p w14:paraId="123B5EBD" w14:textId="77777777" w:rsidR="00C35AA4" w:rsidRPr="002E63B3" w:rsidRDefault="00C35AA4" w:rsidP="00E86771">
            <w:pPr>
              <w:spacing w:line="360" w:lineRule="auto"/>
            </w:pPr>
            <w:r w:rsidRPr="002E63B3">
              <w:t>220 hip fracture patients per year seen by OG or FLN (intervention costs at £859 and £409 per patient, respectively)</w:t>
            </w:r>
          </w:p>
        </w:tc>
        <w:tc>
          <w:tcPr>
            <w:tcW w:w="1194" w:type="pct"/>
          </w:tcPr>
          <w:p w14:paraId="0AAE4278" w14:textId="77777777" w:rsidR="00C35AA4" w:rsidRPr="002E63B3" w:rsidRDefault="00C35AA4" w:rsidP="00E86771">
            <w:pPr>
              <w:spacing w:line="360" w:lineRule="auto"/>
              <w:jc w:val="right"/>
              <w:rPr>
                <w:color w:val="000000"/>
              </w:rPr>
            </w:pPr>
            <w:r w:rsidRPr="002E63B3">
              <w:rPr>
                <w:color w:val="000000"/>
              </w:rPr>
              <w:t>£</w:t>
            </w:r>
            <w:r>
              <w:rPr>
                <w:color w:val="000000"/>
              </w:rPr>
              <w:t>22,922</w:t>
            </w:r>
          </w:p>
          <w:p w14:paraId="5A38A5D9" w14:textId="77777777" w:rsidR="00C35AA4" w:rsidRPr="002E63B3" w:rsidRDefault="00C35AA4" w:rsidP="00E86771">
            <w:pPr>
              <w:spacing w:line="360" w:lineRule="auto"/>
              <w:jc w:val="right"/>
              <w:rPr>
                <w:color w:val="000000"/>
              </w:rPr>
            </w:pPr>
          </w:p>
        </w:tc>
        <w:tc>
          <w:tcPr>
            <w:tcW w:w="1193" w:type="pct"/>
            <w:shd w:val="clear" w:color="auto" w:fill="auto"/>
          </w:tcPr>
          <w:p w14:paraId="4A3F4EC6" w14:textId="77777777" w:rsidR="00C35AA4" w:rsidRPr="002E63B3" w:rsidRDefault="00C35AA4" w:rsidP="00E86771">
            <w:pPr>
              <w:spacing w:line="360" w:lineRule="auto"/>
              <w:jc w:val="right"/>
              <w:rPr>
                <w:color w:val="000000"/>
              </w:rPr>
            </w:pPr>
            <w:r>
              <w:rPr>
                <w:color w:val="000000"/>
              </w:rPr>
              <w:t>£31,784</w:t>
            </w:r>
          </w:p>
        </w:tc>
      </w:tr>
      <w:tr w:rsidR="00C35AA4" w:rsidRPr="002E63B3" w14:paraId="1124AA9C" w14:textId="77777777" w:rsidTr="00DB4F65">
        <w:tc>
          <w:tcPr>
            <w:tcW w:w="2613" w:type="pct"/>
            <w:shd w:val="clear" w:color="auto" w:fill="auto"/>
          </w:tcPr>
          <w:p w14:paraId="0163203D" w14:textId="77777777" w:rsidR="00C35AA4" w:rsidRPr="002E63B3" w:rsidRDefault="00C35AA4" w:rsidP="00E86771">
            <w:pPr>
              <w:spacing w:line="360" w:lineRule="auto"/>
            </w:pPr>
            <w:r w:rsidRPr="002E63B3">
              <w:t xml:space="preserve">690 hip fracture patients per year seen by OG or FLN (intervention costs at £274 and £131 per </w:t>
            </w:r>
            <w:r w:rsidRPr="002E63B3">
              <w:lastRenderedPageBreak/>
              <w:t>patient, respectively)</w:t>
            </w:r>
          </w:p>
        </w:tc>
        <w:tc>
          <w:tcPr>
            <w:tcW w:w="1194" w:type="pct"/>
          </w:tcPr>
          <w:p w14:paraId="52D8679A" w14:textId="77777777" w:rsidR="00C35AA4" w:rsidRPr="002E63B3" w:rsidRDefault="00C35AA4" w:rsidP="00E86771">
            <w:pPr>
              <w:spacing w:line="360" w:lineRule="auto"/>
              <w:jc w:val="right"/>
              <w:rPr>
                <w:color w:val="000000"/>
              </w:rPr>
            </w:pPr>
            <w:r w:rsidRPr="002E63B3">
              <w:rPr>
                <w:color w:val="000000"/>
              </w:rPr>
              <w:lastRenderedPageBreak/>
              <w:t>£</w:t>
            </w:r>
            <w:r>
              <w:rPr>
                <w:color w:val="000000"/>
              </w:rPr>
              <w:t>19,929</w:t>
            </w:r>
          </w:p>
          <w:p w14:paraId="530B5590" w14:textId="77777777" w:rsidR="00C35AA4" w:rsidRPr="002E63B3" w:rsidRDefault="00C35AA4" w:rsidP="00E86771">
            <w:pPr>
              <w:spacing w:line="360" w:lineRule="auto"/>
              <w:jc w:val="right"/>
              <w:rPr>
                <w:color w:val="000000"/>
              </w:rPr>
            </w:pPr>
          </w:p>
        </w:tc>
        <w:tc>
          <w:tcPr>
            <w:tcW w:w="1193" w:type="pct"/>
            <w:shd w:val="clear" w:color="auto" w:fill="auto"/>
          </w:tcPr>
          <w:p w14:paraId="74DE59B7" w14:textId="77777777" w:rsidR="00C35AA4" w:rsidRPr="002E63B3" w:rsidRDefault="00C35AA4" w:rsidP="00E86771">
            <w:pPr>
              <w:spacing w:line="360" w:lineRule="auto"/>
              <w:jc w:val="right"/>
              <w:rPr>
                <w:color w:val="000000"/>
              </w:rPr>
            </w:pPr>
            <w:r>
              <w:rPr>
                <w:color w:val="000000"/>
              </w:rPr>
              <w:lastRenderedPageBreak/>
              <w:t>£20,307</w:t>
            </w:r>
          </w:p>
        </w:tc>
      </w:tr>
      <w:tr w:rsidR="00C35AA4" w:rsidRPr="002E63B3" w14:paraId="3A2A2034" w14:textId="77777777" w:rsidTr="00DB4F65">
        <w:tc>
          <w:tcPr>
            <w:tcW w:w="2613" w:type="pct"/>
            <w:shd w:val="clear" w:color="auto" w:fill="auto"/>
          </w:tcPr>
          <w:p w14:paraId="46B1D027" w14:textId="77777777" w:rsidR="00C35AA4" w:rsidRPr="002E63B3" w:rsidRDefault="00C35AA4" w:rsidP="00E86771">
            <w:pPr>
              <w:spacing w:line="360" w:lineRule="auto"/>
            </w:pPr>
            <w:r w:rsidRPr="002E63B3">
              <w:lastRenderedPageBreak/>
              <w:t>OG and FLN result in savings of £1000 per patient in management and test costs during first hip fracture admission</w:t>
            </w:r>
          </w:p>
        </w:tc>
        <w:tc>
          <w:tcPr>
            <w:tcW w:w="1194" w:type="pct"/>
          </w:tcPr>
          <w:p w14:paraId="2E8B4BD3" w14:textId="77777777" w:rsidR="00C35AA4" w:rsidRPr="002E63B3" w:rsidRDefault="00C35AA4" w:rsidP="00E86771">
            <w:pPr>
              <w:spacing w:line="360" w:lineRule="auto"/>
              <w:jc w:val="right"/>
              <w:rPr>
                <w:color w:val="000000"/>
              </w:rPr>
            </w:pPr>
            <w:r>
              <w:rPr>
                <w:color w:val="000000"/>
              </w:rPr>
              <w:t>£9,947</w:t>
            </w:r>
          </w:p>
          <w:p w14:paraId="30E8A775" w14:textId="77777777" w:rsidR="00C35AA4" w:rsidRPr="002E63B3" w:rsidRDefault="00C35AA4" w:rsidP="00E86771">
            <w:pPr>
              <w:spacing w:line="360" w:lineRule="auto"/>
              <w:jc w:val="right"/>
              <w:rPr>
                <w:color w:val="000000"/>
              </w:rPr>
            </w:pPr>
          </w:p>
        </w:tc>
        <w:tc>
          <w:tcPr>
            <w:tcW w:w="1193" w:type="pct"/>
            <w:shd w:val="clear" w:color="auto" w:fill="auto"/>
          </w:tcPr>
          <w:p w14:paraId="686D0A1E" w14:textId="77777777" w:rsidR="00C35AA4" w:rsidRPr="002E63B3" w:rsidRDefault="00C35AA4" w:rsidP="00E86771">
            <w:pPr>
              <w:spacing w:line="360" w:lineRule="auto"/>
              <w:jc w:val="right"/>
              <w:rPr>
                <w:color w:val="000000"/>
              </w:rPr>
            </w:pPr>
            <w:r>
              <w:t>£23,189</w:t>
            </w:r>
          </w:p>
        </w:tc>
      </w:tr>
      <w:tr w:rsidR="00C35AA4" w:rsidRPr="002E63B3" w14:paraId="49D2F917" w14:textId="77777777" w:rsidTr="00DB4F65">
        <w:tc>
          <w:tcPr>
            <w:tcW w:w="2613" w:type="pct"/>
            <w:shd w:val="clear" w:color="auto" w:fill="auto"/>
          </w:tcPr>
          <w:p w14:paraId="7D2235AA" w14:textId="77777777" w:rsidR="00C35AA4" w:rsidRPr="002E63B3" w:rsidRDefault="00C35AA4" w:rsidP="00E86771">
            <w:pPr>
              <w:spacing w:line="360" w:lineRule="auto"/>
            </w:pPr>
            <w:r w:rsidRPr="002E63B3">
              <w:t>OG and FLN result in savings of £500 per patient in management and test costs during first hip fracture admission</w:t>
            </w:r>
          </w:p>
        </w:tc>
        <w:tc>
          <w:tcPr>
            <w:tcW w:w="1194" w:type="pct"/>
          </w:tcPr>
          <w:p w14:paraId="2471C59A" w14:textId="77777777" w:rsidR="00C35AA4" w:rsidRPr="002E63B3" w:rsidRDefault="00C35AA4" w:rsidP="00E86771">
            <w:pPr>
              <w:spacing w:line="360" w:lineRule="auto"/>
              <w:jc w:val="right"/>
              <w:rPr>
                <w:color w:val="000000"/>
              </w:rPr>
            </w:pPr>
            <w:r w:rsidRPr="002E63B3">
              <w:rPr>
                <w:color w:val="000000"/>
              </w:rPr>
              <w:t>£</w:t>
            </w:r>
            <w:r>
              <w:rPr>
                <w:color w:val="000000"/>
              </w:rPr>
              <w:t>15,312</w:t>
            </w:r>
          </w:p>
          <w:p w14:paraId="3BB66EC0" w14:textId="77777777" w:rsidR="00C35AA4" w:rsidRPr="002E63B3" w:rsidRDefault="00C35AA4" w:rsidP="00E86771">
            <w:pPr>
              <w:spacing w:line="360" w:lineRule="auto"/>
              <w:jc w:val="right"/>
              <w:rPr>
                <w:color w:val="000000"/>
              </w:rPr>
            </w:pPr>
          </w:p>
        </w:tc>
        <w:tc>
          <w:tcPr>
            <w:tcW w:w="1193" w:type="pct"/>
            <w:shd w:val="clear" w:color="auto" w:fill="auto"/>
          </w:tcPr>
          <w:p w14:paraId="60C3925E" w14:textId="77777777" w:rsidR="00C35AA4" w:rsidRPr="002E63B3" w:rsidRDefault="00C35AA4" w:rsidP="00E86771">
            <w:pPr>
              <w:spacing w:line="360" w:lineRule="auto"/>
              <w:jc w:val="right"/>
              <w:rPr>
                <w:color w:val="000000"/>
              </w:rPr>
            </w:pPr>
            <w:r>
              <w:t>£23,189</w:t>
            </w:r>
          </w:p>
        </w:tc>
      </w:tr>
      <w:tr w:rsidR="00C35AA4" w:rsidRPr="002E63B3" w14:paraId="676E0D59" w14:textId="77777777" w:rsidTr="00DB4F65">
        <w:tc>
          <w:tcPr>
            <w:tcW w:w="2613" w:type="pct"/>
            <w:shd w:val="clear" w:color="auto" w:fill="auto"/>
          </w:tcPr>
          <w:p w14:paraId="3DAAB222" w14:textId="77777777" w:rsidR="00C35AA4" w:rsidRPr="002E63B3" w:rsidRDefault="00C35AA4" w:rsidP="00E86771">
            <w:pPr>
              <w:spacing w:line="360" w:lineRule="auto"/>
            </w:pPr>
            <w:r w:rsidRPr="002E63B3">
              <w:t>OG and FLN result in savings of £100 per patient in management and test costs during first hip fracture admission</w:t>
            </w:r>
          </w:p>
        </w:tc>
        <w:tc>
          <w:tcPr>
            <w:tcW w:w="1194" w:type="pct"/>
          </w:tcPr>
          <w:p w14:paraId="5880A6D4" w14:textId="77777777" w:rsidR="00C35AA4" w:rsidRPr="002E63B3" w:rsidRDefault="00C35AA4" w:rsidP="00E86771">
            <w:pPr>
              <w:spacing w:line="360" w:lineRule="auto"/>
              <w:jc w:val="right"/>
              <w:rPr>
                <w:color w:val="000000"/>
              </w:rPr>
            </w:pPr>
            <w:r w:rsidRPr="002E63B3">
              <w:rPr>
                <w:color w:val="000000"/>
              </w:rPr>
              <w:t>£</w:t>
            </w:r>
            <w:r>
              <w:rPr>
                <w:color w:val="000000"/>
              </w:rPr>
              <w:t>19,603</w:t>
            </w:r>
          </w:p>
          <w:p w14:paraId="5A8D031B" w14:textId="77777777" w:rsidR="00C35AA4" w:rsidRPr="002E63B3" w:rsidRDefault="00C35AA4" w:rsidP="00E86771">
            <w:pPr>
              <w:spacing w:line="360" w:lineRule="auto"/>
              <w:jc w:val="right"/>
              <w:rPr>
                <w:color w:val="000000"/>
              </w:rPr>
            </w:pPr>
          </w:p>
        </w:tc>
        <w:tc>
          <w:tcPr>
            <w:tcW w:w="1193" w:type="pct"/>
            <w:shd w:val="clear" w:color="auto" w:fill="auto"/>
          </w:tcPr>
          <w:p w14:paraId="6EBD18D1" w14:textId="77777777" w:rsidR="00C35AA4" w:rsidRPr="002E63B3" w:rsidRDefault="00C35AA4" w:rsidP="00E86771">
            <w:pPr>
              <w:spacing w:line="360" w:lineRule="auto"/>
              <w:jc w:val="right"/>
              <w:rPr>
                <w:color w:val="000000"/>
              </w:rPr>
            </w:pPr>
            <w:r>
              <w:t>£23,189</w:t>
            </w:r>
          </w:p>
        </w:tc>
      </w:tr>
      <w:tr w:rsidR="00C35AA4" w:rsidRPr="002E63B3" w14:paraId="67889445" w14:textId="77777777" w:rsidTr="00DB4F65">
        <w:tc>
          <w:tcPr>
            <w:tcW w:w="2613" w:type="pct"/>
            <w:shd w:val="clear" w:color="auto" w:fill="auto"/>
          </w:tcPr>
          <w:p w14:paraId="04030041" w14:textId="77777777" w:rsidR="00C35AA4" w:rsidRPr="002E63B3" w:rsidRDefault="00C35AA4" w:rsidP="00E86771">
            <w:pPr>
              <w:spacing w:line="360" w:lineRule="auto"/>
            </w:pPr>
            <w:r w:rsidRPr="002E63B3">
              <w:t>OG and FLN result in additional £100 per patient in management and test costs during first hip fracture admission</w:t>
            </w:r>
          </w:p>
        </w:tc>
        <w:tc>
          <w:tcPr>
            <w:tcW w:w="1194" w:type="pct"/>
          </w:tcPr>
          <w:p w14:paraId="022D66D4" w14:textId="77777777" w:rsidR="00C35AA4" w:rsidRPr="002E63B3" w:rsidRDefault="00C35AA4" w:rsidP="00E86771">
            <w:pPr>
              <w:spacing w:line="360" w:lineRule="auto"/>
              <w:jc w:val="right"/>
              <w:rPr>
                <w:color w:val="000000"/>
              </w:rPr>
            </w:pPr>
            <w:r w:rsidRPr="002E63B3">
              <w:rPr>
                <w:color w:val="000000"/>
              </w:rPr>
              <w:t>£</w:t>
            </w:r>
            <w:r>
              <w:rPr>
                <w:color w:val="000000"/>
              </w:rPr>
              <w:t>21,749</w:t>
            </w:r>
          </w:p>
          <w:p w14:paraId="22CE82BF" w14:textId="77777777" w:rsidR="00C35AA4" w:rsidRPr="002E63B3" w:rsidRDefault="00C35AA4" w:rsidP="00E86771">
            <w:pPr>
              <w:spacing w:line="360" w:lineRule="auto"/>
              <w:jc w:val="right"/>
              <w:rPr>
                <w:color w:val="000000"/>
              </w:rPr>
            </w:pPr>
          </w:p>
        </w:tc>
        <w:tc>
          <w:tcPr>
            <w:tcW w:w="1193" w:type="pct"/>
            <w:shd w:val="clear" w:color="auto" w:fill="auto"/>
          </w:tcPr>
          <w:p w14:paraId="677AA7E9" w14:textId="77777777" w:rsidR="00C35AA4" w:rsidRPr="002E63B3" w:rsidRDefault="00C35AA4" w:rsidP="00E86771">
            <w:pPr>
              <w:spacing w:line="360" w:lineRule="auto"/>
              <w:jc w:val="right"/>
              <w:rPr>
                <w:color w:val="000000"/>
              </w:rPr>
            </w:pPr>
            <w:r>
              <w:t>£23,189</w:t>
            </w:r>
          </w:p>
        </w:tc>
      </w:tr>
      <w:tr w:rsidR="00C35AA4" w:rsidRPr="002E63B3" w14:paraId="0F8F4930" w14:textId="77777777" w:rsidTr="00DB4F65">
        <w:tc>
          <w:tcPr>
            <w:tcW w:w="2613" w:type="pct"/>
            <w:shd w:val="clear" w:color="auto" w:fill="auto"/>
          </w:tcPr>
          <w:p w14:paraId="7DAD1A37" w14:textId="77777777" w:rsidR="00C35AA4" w:rsidRPr="002E63B3" w:rsidRDefault="00C35AA4" w:rsidP="00E86771">
            <w:pPr>
              <w:spacing w:line="360" w:lineRule="auto"/>
            </w:pPr>
            <w:r w:rsidRPr="002E63B3">
              <w:t>OG and FLN result in additional £500 per patient in management and test costs during first hip fracture admission</w:t>
            </w:r>
          </w:p>
        </w:tc>
        <w:tc>
          <w:tcPr>
            <w:tcW w:w="1194" w:type="pct"/>
          </w:tcPr>
          <w:p w14:paraId="74D3B98C" w14:textId="77777777" w:rsidR="00C35AA4" w:rsidRPr="002E63B3" w:rsidRDefault="00C35AA4" w:rsidP="00E86771">
            <w:pPr>
              <w:spacing w:line="360" w:lineRule="auto"/>
              <w:jc w:val="right"/>
              <w:rPr>
                <w:color w:val="000000"/>
              </w:rPr>
            </w:pPr>
            <w:r w:rsidRPr="002E63B3">
              <w:t>Extendedly dominated</w:t>
            </w:r>
          </w:p>
        </w:tc>
        <w:tc>
          <w:tcPr>
            <w:tcW w:w="1193" w:type="pct"/>
            <w:shd w:val="clear" w:color="auto" w:fill="auto"/>
          </w:tcPr>
          <w:p w14:paraId="79821C94" w14:textId="77777777" w:rsidR="00C35AA4" w:rsidRPr="002E63B3" w:rsidRDefault="00C35AA4" w:rsidP="00E86771">
            <w:pPr>
              <w:spacing w:line="360" w:lineRule="auto"/>
              <w:jc w:val="right"/>
              <w:rPr>
                <w:color w:val="000000"/>
              </w:rPr>
            </w:pPr>
            <w:r>
              <w:rPr>
                <w:color w:val="000000"/>
              </w:rPr>
              <w:t>£25,401*</w:t>
            </w:r>
          </w:p>
        </w:tc>
      </w:tr>
      <w:tr w:rsidR="00C35AA4" w:rsidRPr="002E63B3" w14:paraId="331F67B7" w14:textId="77777777" w:rsidTr="00DB4F65">
        <w:tc>
          <w:tcPr>
            <w:tcW w:w="2613" w:type="pct"/>
            <w:shd w:val="clear" w:color="auto" w:fill="auto"/>
          </w:tcPr>
          <w:p w14:paraId="06F76DD0" w14:textId="77777777" w:rsidR="00C35AA4" w:rsidRPr="002E63B3" w:rsidRDefault="00C35AA4" w:rsidP="00E86771">
            <w:pPr>
              <w:spacing w:line="360" w:lineRule="auto"/>
            </w:pPr>
            <w:r w:rsidRPr="002E63B3">
              <w:t>OG and FLN result in additional £1000 per patient in management and test costs during first hip fracture admission</w:t>
            </w:r>
          </w:p>
        </w:tc>
        <w:tc>
          <w:tcPr>
            <w:tcW w:w="1194" w:type="pct"/>
          </w:tcPr>
          <w:p w14:paraId="5D3C80F4" w14:textId="77777777" w:rsidR="00C35AA4" w:rsidRPr="002E63B3" w:rsidRDefault="00C35AA4" w:rsidP="00E86771">
            <w:pPr>
              <w:spacing w:line="360" w:lineRule="auto"/>
              <w:jc w:val="right"/>
              <w:rPr>
                <w:color w:val="000000"/>
              </w:rPr>
            </w:pPr>
            <w:r w:rsidRPr="002E63B3">
              <w:t>Extendedly dominated</w:t>
            </w:r>
          </w:p>
        </w:tc>
        <w:tc>
          <w:tcPr>
            <w:tcW w:w="1193" w:type="pct"/>
            <w:shd w:val="clear" w:color="auto" w:fill="auto"/>
          </w:tcPr>
          <w:p w14:paraId="752BF9E9" w14:textId="77777777" w:rsidR="00C35AA4" w:rsidRPr="002E63B3" w:rsidRDefault="00C35AA4" w:rsidP="00E86771">
            <w:pPr>
              <w:spacing w:line="360" w:lineRule="auto"/>
              <w:jc w:val="right"/>
              <w:rPr>
                <w:color w:val="000000"/>
              </w:rPr>
            </w:pPr>
            <w:r>
              <w:rPr>
                <w:color w:val="000000"/>
              </w:rPr>
              <w:t>£29,573*</w:t>
            </w:r>
          </w:p>
        </w:tc>
      </w:tr>
      <w:tr w:rsidR="00C35AA4" w:rsidRPr="002E63B3" w14:paraId="2C3A7E14" w14:textId="77777777" w:rsidTr="00DB4F65">
        <w:tc>
          <w:tcPr>
            <w:tcW w:w="2613" w:type="pct"/>
            <w:shd w:val="clear" w:color="auto" w:fill="auto"/>
          </w:tcPr>
          <w:p w14:paraId="56DAABEC" w14:textId="77777777" w:rsidR="00C35AA4" w:rsidRPr="002E63B3" w:rsidRDefault="00C35AA4" w:rsidP="00E86771">
            <w:pPr>
              <w:spacing w:line="360" w:lineRule="auto"/>
            </w:pPr>
            <w:r w:rsidRPr="002E63B3">
              <w:t>Utility value for major non-hip fracture (0.52 and not 0.44)</w:t>
            </w:r>
          </w:p>
        </w:tc>
        <w:tc>
          <w:tcPr>
            <w:tcW w:w="1194" w:type="pct"/>
          </w:tcPr>
          <w:p w14:paraId="1E0271C6" w14:textId="77777777" w:rsidR="00C35AA4" w:rsidRPr="002E63B3" w:rsidRDefault="00C35AA4" w:rsidP="00E86771">
            <w:pPr>
              <w:spacing w:line="360" w:lineRule="auto"/>
              <w:jc w:val="right"/>
              <w:rPr>
                <w:color w:val="000000"/>
              </w:rPr>
            </w:pPr>
            <w:r w:rsidRPr="002E63B3">
              <w:rPr>
                <w:color w:val="000000"/>
              </w:rPr>
              <w:t>£</w:t>
            </w:r>
            <w:r>
              <w:rPr>
                <w:color w:val="000000"/>
              </w:rPr>
              <w:t>20,597</w:t>
            </w:r>
          </w:p>
          <w:p w14:paraId="5ED38821" w14:textId="77777777" w:rsidR="00C35AA4" w:rsidRPr="002E63B3" w:rsidRDefault="00C35AA4" w:rsidP="00E86771">
            <w:pPr>
              <w:spacing w:line="360" w:lineRule="auto"/>
              <w:jc w:val="right"/>
              <w:rPr>
                <w:color w:val="000000"/>
              </w:rPr>
            </w:pPr>
          </w:p>
        </w:tc>
        <w:tc>
          <w:tcPr>
            <w:tcW w:w="1193" w:type="pct"/>
            <w:shd w:val="clear" w:color="auto" w:fill="auto"/>
          </w:tcPr>
          <w:p w14:paraId="741A339A" w14:textId="77777777" w:rsidR="00C35AA4" w:rsidRPr="002E63B3" w:rsidRDefault="00C35AA4" w:rsidP="00E86771">
            <w:pPr>
              <w:spacing w:line="360" w:lineRule="auto"/>
              <w:jc w:val="right"/>
              <w:rPr>
                <w:color w:val="000000"/>
              </w:rPr>
            </w:pPr>
            <w:r>
              <w:rPr>
                <w:color w:val="000000"/>
              </w:rPr>
              <w:t>£23,094</w:t>
            </w:r>
          </w:p>
        </w:tc>
      </w:tr>
      <w:tr w:rsidR="00C35AA4" w:rsidRPr="002E63B3" w14:paraId="3F04EEDB" w14:textId="77777777" w:rsidTr="00DB4F65">
        <w:tc>
          <w:tcPr>
            <w:tcW w:w="2613" w:type="pct"/>
            <w:shd w:val="clear" w:color="auto" w:fill="auto"/>
          </w:tcPr>
          <w:p w14:paraId="5B0384BB" w14:textId="77777777" w:rsidR="00C35AA4" w:rsidRPr="002E63B3" w:rsidRDefault="00C35AA4" w:rsidP="00E86771">
            <w:pPr>
              <w:spacing w:line="360" w:lineRule="auto"/>
            </w:pPr>
            <w:r w:rsidRPr="002E63B3">
              <w:t>Utility value after 1</w:t>
            </w:r>
            <w:r w:rsidRPr="002E63B3">
              <w:rPr>
                <w:vertAlign w:val="superscript"/>
              </w:rPr>
              <w:t>st</w:t>
            </w:r>
            <w:r w:rsidRPr="002E63B3">
              <w:t xml:space="preserve"> year post hip fracture (0.70 and not 0.65)</w:t>
            </w:r>
          </w:p>
        </w:tc>
        <w:tc>
          <w:tcPr>
            <w:tcW w:w="1194" w:type="pct"/>
          </w:tcPr>
          <w:p w14:paraId="3107CE01" w14:textId="77777777" w:rsidR="00C35AA4" w:rsidRPr="002E63B3" w:rsidRDefault="00C35AA4" w:rsidP="00E86771">
            <w:pPr>
              <w:spacing w:line="360" w:lineRule="auto"/>
              <w:jc w:val="right"/>
              <w:rPr>
                <w:color w:val="000000"/>
              </w:rPr>
            </w:pPr>
            <w:r w:rsidRPr="002E63B3">
              <w:rPr>
                <w:color w:val="000000"/>
              </w:rPr>
              <w:t>£</w:t>
            </w:r>
            <w:r>
              <w:rPr>
                <w:color w:val="000000"/>
              </w:rPr>
              <w:t>19,628</w:t>
            </w:r>
          </w:p>
          <w:p w14:paraId="1376CE90" w14:textId="77777777" w:rsidR="00C35AA4" w:rsidRPr="002E63B3" w:rsidRDefault="00C35AA4" w:rsidP="00E86771">
            <w:pPr>
              <w:spacing w:line="360" w:lineRule="auto"/>
              <w:jc w:val="right"/>
              <w:rPr>
                <w:color w:val="000000"/>
              </w:rPr>
            </w:pPr>
          </w:p>
        </w:tc>
        <w:tc>
          <w:tcPr>
            <w:tcW w:w="1193" w:type="pct"/>
            <w:shd w:val="clear" w:color="auto" w:fill="auto"/>
          </w:tcPr>
          <w:p w14:paraId="4FDF27C1" w14:textId="77777777" w:rsidR="00C35AA4" w:rsidRPr="002E63B3" w:rsidRDefault="00C35AA4" w:rsidP="00E86771">
            <w:pPr>
              <w:spacing w:line="360" w:lineRule="auto"/>
              <w:jc w:val="right"/>
              <w:rPr>
                <w:color w:val="000000"/>
              </w:rPr>
            </w:pPr>
            <w:r>
              <w:rPr>
                <w:color w:val="000000"/>
              </w:rPr>
              <w:t>£21,955</w:t>
            </w:r>
          </w:p>
        </w:tc>
      </w:tr>
    </w:tbl>
    <w:p w14:paraId="3B4C15EF" w14:textId="77777777" w:rsidR="00C35AA4" w:rsidRPr="00C35AA4" w:rsidRDefault="00C35AA4" w:rsidP="00E86771">
      <w:pPr>
        <w:spacing w:line="360" w:lineRule="auto"/>
      </w:pPr>
    </w:p>
    <w:p w14:paraId="70F24B83" w14:textId="77777777" w:rsidR="00CF2E21" w:rsidRPr="00591BFC" w:rsidRDefault="00CF2E21" w:rsidP="00E86771">
      <w:pPr>
        <w:spacing w:line="360" w:lineRule="auto"/>
      </w:pPr>
      <w:r w:rsidRPr="00591BFC">
        <w:t xml:space="preserve">*OG </w:t>
      </w:r>
      <w:r w:rsidRPr="00BC674F">
        <w:rPr>
          <w:i/>
        </w:rPr>
        <w:t>vs.</w:t>
      </w:r>
      <w:r w:rsidRPr="00591BFC">
        <w:t xml:space="preserve"> </w:t>
      </w:r>
      <w:r w:rsidR="00BC674F">
        <w:t>usual</w:t>
      </w:r>
      <w:r w:rsidRPr="00591BFC">
        <w:t>care</w:t>
      </w:r>
    </w:p>
    <w:p w14:paraId="1A47CAB1" w14:textId="77777777" w:rsidR="00CF2E21" w:rsidRPr="00591BFC" w:rsidRDefault="00CF2E21" w:rsidP="00E86771">
      <w:pPr>
        <w:spacing w:line="360" w:lineRule="auto"/>
      </w:pPr>
    </w:p>
    <w:p w14:paraId="4F37A392" w14:textId="77777777" w:rsidR="00CF2E21" w:rsidRPr="00591BFC" w:rsidRDefault="00CF2E21" w:rsidP="00E86771">
      <w:pPr>
        <w:pStyle w:val="Heading3"/>
        <w:spacing w:line="360" w:lineRule="auto"/>
        <w:rPr>
          <w:rFonts w:ascii="Calibri" w:hAnsi="Calibri"/>
          <w:lang w:val="en-GB"/>
        </w:rPr>
      </w:pPr>
      <w:bookmarkStart w:id="477" w:name="_Toc308300818"/>
      <w:bookmarkStart w:id="478" w:name="_Toc311366625"/>
      <w:r w:rsidRPr="00591BFC">
        <w:rPr>
          <w:rFonts w:ascii="Calibri" w:hAnsi="Calibri"/>
          <w:lang w:val="en-GB"/>
        </w:rPr>
        <w:lastRenderedPageBreak/>
        <w:t>Subgroup analysis</w:t>
      </w:r>
      <w:bookmarkEnd w:id="477"/>
      <w:bookmarkEnd w:id="478"/>
    </w:p>
    <w:p w14:paraId="248AE584" w14:textId="77777777" w:rsidR="00CF2E21" w:rsidRPr="00591BFC" w:rsidRDefault="00CF2E21" w:rsidP="00E86771">
      <w:pPr>
        <w:spacing w:line="360" w:lineRule="auto"/>
      </w:pPr>
      <w:r w:rsidRPr="00591BFC">
        <w:t xml:space="preserve">We further assessed the cost-effectiveness of the models of care in several subgroups of hip fracture patients defined according to their age, sex and Charlson co-morbidity score at index hip fracture (see </w:t>
      </w:r>
      <w:r w:rsidR="006B6620" w:rsidRPr="00591BFC">
        <w:fldChar w:fldCharType="begin"/>
      </w:r>
      <w:r w:rsidR="006B6620" w:rsidRPr="00591BFC">
        <w:instrText xml:space="preserve"> REF _Ref423078793 \h </w:instrText>
      </w:r>
      <w:r w:rsidR="00E814C1" w:rsidRPr="00591BFC">
        <w:instrText xml:space="preserve"> \* MERGEFORMAT </w:instrText>
      </w:r>
      <w:r w:rsidR="006B6620" w:rsidRPr="00591BFC">
        <w:fldChar w:fldCharType="separate"/>
      </w:r>
      <w:r w:rsidR="00776C05" w:rsidRPr="00591BFC">
        <w:t xml:space="preserve">Table </w:t>
      </w:r>
      <w:r w:rsidR="00776C05">
        <w:rPr>
          <w:noProof/>
        </w:rPr>
        <w:t>41</w:t>
      </w:r>
      <w:r w:rsidR="006B6620" w:rsidRPr="00591BFC">
        <w:fldChar w:fldCharType="end"/>
      </w:r>
      <w:r w:rsidRPr="00591BFC">
        <w:t>). For patients up to age 80 years old, the model of care with an orthogeriatrician was the most cost-effective option. For patients age 90 years old, introducing a fracture liaison nurse became the most cost-effective option if the Charlson co-morbidity score at index hip fracture was 5 or above.</w:t>
      </w:r>
    </w:p>
    <w:p w14:paraId="7F93CBBF" w14:textId="77777777" w:rsidR="006B6620" w:rsidRPr="00591BFC" w:rsidRDefault="006B6620" w:rsidP="00E86771">
      <w:pPr>
        <w:pStyle w:val="Caption"/>
        <w:keepNext/>
        <w:spacing w:line="360" w:lineRule="auto"/>
      </w:pPr>
      <w:bookmarkStart w:id="479" w:name="_Ref423078793"/>
      <w:bookmarkStart w:id="480" w:name="_Toc308262436"/>
      <w:bookmarkStart w:id="481" w:name="_Toc311366702"/>
      <w:r w:rsidRPr="00591BFC">
        <w:t xml:space="preserve">Table </w:t>
      </w:r>
      <w:r w:rsidR="002149AD">
        <w:fldChar w:fldCharType="begin"/>
      </w:r>
      <w:r w:rsidR="002149AD">
        <w:instrText xml:space="preserve"> SEQ Table \* ARABIC </w:instrText>
      </w:r>
      <w:r w:rsidR="002149AD">
        <w:fldChar w:fldCharType="separate"/>
      </w:r>
      <w:r w:rsidR="00776C05">
        <w:rPr>
          <w:noProof/>
        </w:rPr>
        <w:t>41</w:t>
      </w:r>
      <w:r w:rsidR="002149AD">
        <w:rPr>
          <w:noProof/>
        </w:rPr>
        <w:fldChar w:fldCharType="end"/>
      </w:r>
      <w:bookmarkEnd w:id="479"/>
      <w:r w:rsidRPr="00591BFC">
        <w:t xml:space="preserve"> Incremental cost-effectiveness ratios (ICERs - £/QALY) of the differing models of secondary prevention care of hip fractures by patient subgroup</w:t>
      </w:r>
      <w:bookmarkEnd w:id="480"/>
      <w:bookmarkEnd w:id="481"/>
    </w:p>
    <w:tbl>
      <w:tblPr>
        <w:tblW w:w="5000" w:type="pct"/>
        <w:tblLook w:val="04A0" w:firstRow="1" w:lastRow="0" w:firstColumn="1" w:lastColumn="0" w:noHBand="0" w:noVBand="1"/>
      </w:tblPr>
      <w:tblGrid>
        <w:gridCol w:w="3192"/>
        <w:gridCol w:w="3022"/>
        <w:gridCol w:w="3022"/>
      </w:tblGrid>
      <w:tr w:rsidR="00BC674F" w:rsidRPr="002E63B3" w14:paraId="19A3FEBF" w14:textId="77777777" w:rsidTr="00DB4F65">
        <w:tc>
          <w:tcPr>
            <w:tcW w:w="1728" w:type="pct"/>
            <w:shd w:val="clear" w:color="auto" w:fill="auto"/>
          </w:tcPr>
          <w:p w14:paraId="63FC5393" w14:textId="77777777" w:rsidR="00BC674F" w:rsidRPr="002E63B3" w:rsidRDefault="00BC674F" w:rsidP="00E86771">
            <w:pPr>
              <w:spacing w:line="360" w:lineRule="auto"/>
              <w:rPr>
                <w:b/>
                <w:i/>
              </w:rPr>
            </w:pPr>
            <w:r w:rsidRPr="002E63B3">
              <w:rPr>
                <w:b/>
                <w:i/>
              </w:rPr>
              <w:t>Female cohort</w:t>
            </w:r>
          </w:p>
        </w:tc>
        <w:tc>
          <w:tcPr>
            <w:tcW w:w="1636" w:type="pct"/>
          </w:tcPr>
          <w:p w14:paraId="621F0B89" w14:textId="77777777" w:rsidR="00BC674F" w:rsidRPr="002E63B3" w:rsidRDefault="00BC674F" w:rsidP="00E86771">
            <w:pPr>
              <w:spacing w:line="360" w:lineRule="auto"/>
              <w:jc w:val="right"/>
              <w:rPr>
                <w:b/>
              </w:rPr>
            </w:pPr>
            <w:r w:rsidRPr="002E63B3">
              <w:rPr>
                <w:b/>
              </w:rPr>
              <w:t xml:space="preserve">Fracture liaison nurse vs. </w:t>
            </w:r>
            <w:r>
              <w:rPr>
                <w:b/>
              </w:rPr>
              <w:t>usual</w:t>
            </w:r>
            <w:r w:rsidRPr="002E63B3">
              <w:rPr>
                <w:b/>
              </w:rPr>
              <w:t xml:space="preserve"> care</w:t>
            </w:r>
          </w:p>
        </w:tc>
        <w:tc>
          <w:tcPr>
            <w:tcW w:w="1636" w:type="pct"/>
            <w:shd w:val="clear" w:color="auto" w:fill="auto"/>
          </w:tcPr>
          <w:p w14:paraId="5C0A7E81" w14:textId="77777777" w:rsidR="00BC674F" w:rsidRPr="002E63B3" w:rsidRDefault="00BC674F" w:rsidP="00E86771">
            <w:pPr>
              <w:spacing w:line="360" w:lineRule="auto"/>
              <w:jc w:val="right"/>
              <w:rPr>
                <w:b/>
              </w:rPr>
            </w:pPr>
            <w:r w:rsidRPr="002E63B3">
              <w:rPr>
                <w:b/>
              </w:rPr>
              <w:t>Orthogeriatrician vs. fracture liaison nurse</w:t>
            </w:r>
          </w:p>
        </w:tc>
      </w:tr>
      <w:tr w:rsidR="00BC674F" w:rsidRPr="002E63B3" w14:paraId="4F543D19" w14:textId="77777777" w:rsidTr="00DB4F65">
        <w:tc>
          <w:tcPr>
            <w:tcW w:w="1728" w:type="pct"/>
            <w:shd w:val="clear" w:color="auto" w:fill="auto"/>
          </w:tcPr>
          <w:p w14:paraId="43709DBC" w14:textId="77777777" w:rsidR="00BC674F" w:rsidRPr="002E63B3" w:rsidRDefault="00BC674F" w:rsidP="00E86771">
            <w:pPr>
              <w:spacing w:line="360" w:lineRule="auto"/>
            </w:pPr>
            <w:r w:rsidRPr="002E63B3">
              <w:t>Age 60 and CCI score of 0</w:t>
            </w:r>
          </w:p>
        </w:tc>
        <w:tc>
          <w:tcPr>
            <w:tcW w:w="1636" w:type="pct"/>
          </w:tcPr>
          <w:p w14:paraId="525FFF8D" w14:textId="77777777" w:rsidR="00BC674F" w:rsidRPr="002E63B3" w:rsidRDefault="00BC674F" w:rsidP="00E86771">
            <w:pPr>
              <w:spacing w:line="360" w:lineRule="auto"/>
              <w:jc w:val="right"/>
              <w:rPr>
                <w:color w:val="000000"/>
              </w:rPr>
            </w:pPr>
            <w:r w:rsidRPr="002E63B3">
              <w:rPr>
                <w:color w:val="000000"/>
              </w:rPr>
              <w:t>£</w:t>
            </w:r>
            <w:r>
              <w:rPr>
                <w:color w:val="000000"/>
              </w:rPr>
              <w:t>14,431</w:t>
            </w:r>
          </w:p>
        </w:tc>
        <w:tc>
          <w:tcPr>
            <w:tcW w:w="1636" w:type="pct"/>
            <w:shd w:val="clear" w:color="auto" w:fill="auto"/>
          </w:tcPr>
          <w:p w14:paraId="47DB9E49" w14:textId="77777777" w:rsidR="00BC674F" w:rsidRPr="002E63B3" w:rsidRDefault="00BC674F" w:rsidP="00E86771">
            <w:pPr>
              <w:spacing w:line="360" w:lineRule="auto"/>
              <w:jc w:val="right"/>
              <w:rPr>
                <w:color w:val="000000"/>
              </w:rPr>
            </w:pPr>
            <w:r>
              <w:rPr>
                <w:color w:val="000000"/>
              </w:rPr>
              <w:t>£20,735*</w:t>
            </w:r>
          </w:p>
        </w:tc>
      </w:tr>
      <w:tr w:rsidR="00BC674F" w:rsidRPr="002E63B3" w14:paraId="03D6B269" w14:textId="77777777" w:rsidTr="00DB4F65">
        <w:tc>
          <w:tcPr>
            <w:tcW w:w="1728" w:type="pct"/>
            <w:shd w:val="clear" w:color="auto" w:fill="auto"/>
          </w:tcPr>
          <w:p w14:paraId="6DB8B51B" w14:textId="77777777" w:rsidR="00BC674F" w:rsidRPr="002E63B3" w:rsidRDefault="00BC674F" w:rsidP="00E86771">
            <w:pPr>
              <w:spacing w:line="360" w:lineRule="auto"/>
            </w:pPr>
            <w:r w:rsidRPr="002E63B3">
              <w:t>Age 70 and CCI score of 0</w:t>
            </w:r>
          </w:p>
        </w:tc>
        <w:tc>
          <w:tcPr>
            <w:tcW w:w="1636" w:type="pct"/>
          </w:tcPr>
          <w:p w14:paraId="6208C285" w14:textId="77777777" w:rsidR="00BC674F" w:rsidRPr="002E63B3" w:rsidRDefault="00BC674F" w:rsidP="00E86771">
            <w:pPr>
              <w:spacing w:line="360" w:lineRule="auto"/>
              <w:jc w:val="right"/>
              <w:rPr>
                <w:color w:val="000000"/>
              </w:rPr>
            </w:pPr>
            <w:r w:rsidRPr="002E63B3">
              <w:rPr>
                <w:color w:val="000000"/>
              </w:rPr>
              <w:t>£16,</w:t>
            </w:r>
            <w:r>
              <w:rPr>
                <w:color w:val="000000"/>
              </w:rPr>
              <w:t>221</w:t>
            </w:r>
          </w:p>
        </w:tc>
        <w:tc>
          <w:tcPr>
            <w:tcW w:w="1636" w:type="pct"/>
            <w:shd w:val="clear" w:color="auto" w:fill="auto"/>
          </w:tcPr>
          <w:p w14:paraId="051B4FF2" w14:textId="77777777" w:rsidR="00BC674F" w:rsidRPr="002E63B3" w:rsidRDefault="00BC674F" w:rsidP="00E86771">
            <w:pPr>
              <w:spacing w:line="360" w:lineRule="auto"/>
              <w:jc w:val="right"/>
              <w:rPr>
                <w:color w:val="000000"/>
              </w:rPr>
            </w:pPr>
            <w:r>
              <w:rPr>
                <w:color w:val="000000"/>
              </w:rPr>
              <w:t>£19,988*</w:t>
            </w:r>
          </w:p>
        </w:tc>
      </w:tr>
      <w:tr w:rsidR="00BC674F" w:rsidRPr="002E63B3" w14:paraId="44DDAAD2" w14:textId="77777777" w:rsidTr="00DB4F65">
        <w:tc>
          <w:tcPr>
            <w:tcW w:w="1728" w:type="pct"/>
            <w:shd w:val="clear" w:color="auto" w:fill="auto"/>
          </w:tcPr>
          <w:p w14:paraId="5E872229" w14:textId="77777777" w:rsidR="00BC674F" w:rsidRPr="002E63B3" w:rsidRDefault="00BC674F" w:rsidP="00E86771">
            <w:pPr>
              <w:spacing w:line="360" w:lineRule="auto"/>
            </w:pPr>
            <w:r w:rsidRPr="002E63B3">
              <w:t>Age 80 and CCI score of 0</w:t>
            </w:r>
          </w:p>
        </w:tc>
        <w:tc>
          <w:tcPr>
            <w:tcW w:w="1636" w:type="pct"/>
          </w:tcPr>
          <w:p w14:paraId="01366BB2" w14:textId="77777777" w:rsidR="00BC674F" w:rsidRPr="002E63B3" w:rsidRDefault="00BC674F" w:rsidP="00E86771">
            <w:pPr>
              <w:spacing w:line="360" w:lineRule="auto"/>
              <w:jc w:val="right"/>
              <w:rPr>
                <w:color w:val="000000"/>
              </w:rPr>
            </w:pPr>
            <w:r w:rsidRPr="002E63B3">
              <w:rPr>
                <w:color w:val="000000"/>
              </w:rPr>
              <w:t>£</w:t>
            </w:r>
            <w:r>
              <w:rPr>
                <w:color w:val="000000"/>
              </w:rPr>
              <w:t>19,377</w:t>
            </w:r>
          </w:p>
        </w:tc>
        <w:tc>
          <w:tcPr>
            <w:tcW w:w="1636" w:type="pct"/>
            <w:shd w:val="clear" w:color="auto" w:fill="auto"/>
          </w:tcPr>
          <w:p w14:paraId="1FCE3540" w14:textId="77777777" w:rsidR="00BC674F" w:rsidRPr="002E63B3" w:rsidRDefault="00BC674F" w:rsidP="00E86771">
            <w:pPr>
              <w:spacing w:line="360" w:lineRule="auto"/>
              <w:jc w:val="right"/>
              <w:rPr>
                <w:color w:val="000000"/>
              </w:rPr>
            </w:pPr>
            <w:r>
              <w:rPr>
                <w:color w:val="000000"/>
              </w:rPr>
              <w:t>£21,808*</w:t>
            </w:r>
          </w:p>
        </w:tc>
      </w:tr>
      <w:tr w:rsidR="00BC674F" w:rsidRPr="002E63B3" w14:paraId="70CDA5C0" w14:textId="77777777" w:rsidTr="00DB4F65">
        <w:tc>
          <w:tcPr>
            <w:tcW w:w="1728" w:type="pct"/>
            <w:shd w:val="clear" w:color="auto" w:fill="auto"/>
          </w:tcPr>
          <w:p w14:paraId="06EF2614" w14:textId="77777777" w:rsidR="00BC674F" w:rsidRPr="002E63B3" w:rsidRDefault="00BC674F" w:rsidP="00E86771">
            <w:pPr>
              <w:spacing w:line="360" w:lineRule="auto"/>
            </w:pPr>
            <w:r w:rsidRPr="002E63B3">
              <w:t>Age 90 and CCI score of 0</w:t>
            </w:r>
          </w:p>
        </w:tc>
        <w:tc>
          <w:tcPr>
            <w:tcW w:w="1636" w:type="pct"/>
          </w:tcPr>
          <w:p w14:paraId="1F9478BA" w14:textId="77777777" w:rsidR="00BC674F" w:rsidRPr="002E63B3" w:rsidRDefault="00BC674F" w:rsidP="00E86771">
            <w:pPr>
              <w:spacing w:line="360" w:lineRule="auto"/>
              <w:jc w:val="right"/>
              <w:rPr>
                <w:color w:val="000000"/>
              </w:rPr>
            </w:pPr>
            <w:r w:rsidRPr="002E63B3">
              <w:rPr>
                <w:color w:val="000000"/>
              </w:rPr>
              <w:t>£</w:t>
            </w:r>
            <w:r>
              <w:rPr>
                <w:color w:val="000000"/>
              </w:rPr>
              <w:t>23,318</w:t>
            </w:r>
          </w:p>
        </w:tc>
        <w:tc>
          <w:tcPr>
            <w:tcW w:w="1636" w:type="pct"/>
            <w:shd w:val="clear" w:color="auto" w:fill="auto"/>
          </w:tcPr>
          <w:p w14:paraId="1DE83889" w14:textId="77777777" w:rsidR="00BC674F" w:rsidRPr="002E63B3" w:rsidRDefault="00BC674F" w:rsidP="00E86771">
            <w:pPr>
              <w:spacing w:line="360" w:lineRule="auto"/>
              <w:jc w:val="right"/>
              <w:rPr>
                <w:color w:val="000000"/>
              </w:rPr>
            </w:pPr>
            <w:r>
              <w:rPr>
                <w:color w:val="000000"/>
              </w:rPr>
              <w:t>£25,408*</w:t>
            </w:r>
          </w:p>
        </w:tc>
      </w:tr>
      <w:tr w:rsidR="00BC674F" w:rsidRPr="002E63B3" w14:paraId="313E142A" w14:textId="77777777" w:rsidTr="00DB4F65">
        <w:tc>
          <w:tcPr>
            <w:tcW w:w="1728" w:type="pct"/>
            <w:shd w:val="clear" w:color="auto" w:fill="auto"/>
          </w:tcPr>
          <w:p w14:paraId="1C5CA99E" w14:textId="77777777" w:rsidR="00BC674F" w:rsidRPr="002E63B3" w:rsidRDefault="00BC674F" w:rsidP="00E86771">
            <w:pPr>
              <w:spacing w:line="360" w:lineRule="auto"/>
            </w:pPr>
            <w:r w:rsidRPr="002E63B3">
              <w:t>Age 60 and CCI score of 1</w:t>
            </w:r>
          </w:p>
        </w:tc>
        <w:tc>
          <w:tcPr>
            <w:tcW w:w="1636" w:type="pct"/>
          </w:tcPr>
          <w:p w14:paraId="29E3D769" w14:textId="77777777" w:rsidR="00BC674F" w:rsidRPr="002E63B3" w:rsidRDefault="00BC674F" w:rsidP="00E86771">
            <w:pPr>
              <w:spacing w:line="360" w:lineRule="auto"/>
              <w:jc w:val="right"/>
              <w:rPr>
                <w:color w:val="000000"/>
              </w:rPr>
            </w:pPr>
            <w:r w:rsidRPr="002E63B3">
              <w:rPr>
                <w:color w:val="000000"/>
              </w:rPr>
              <w:t>£</w:t>
            </w:r>
            <w:r>
              <w:rPr>
                <w:color w:val="000000"/>
              </w:rPr>
              <w:t>13,718</w:t>
            </w:r>
          </w:p>
        </w:tc>
        <w:tc>
          <w:tcPr>
            <w:tcW w:w="1636" w:type="pct"/>
            <w:shd w:val="clear" w:color="auto" w:fill="auto"/>
          </w:tcPr>
          <w:p w14:paraId="24CB95C9" w14:textId="77777777" w:rsidR="00BC674F" w:rsidRPr="002E63B3" w:rsidRDefault="00BC674F" w:rsidP="00E86771">
            <w:pPr>
              <w:spacing w:line="360" w:lineRule="auto"/>
              <w:jc w:val="right"/>
            </w:pPr>
            <w:r>
              <w:t>£19,651*</w:t>
            </w:r>
          </w:p>
        </w:tc>
      </w:tr>
      <w:tr w:rsidR="00BC674F" w:rsidRPr="002E63B3" w14:paraId="222EFF44" w14:textId="77777777" w:rsidTr="00DB4F65">
        <w:tc>
          <w:tcPr>
            <w:tcW w:w="1728" w:type="pct"/>
            <w:shd w:val="clear" w:color="auto" w:fill="auto"/>
          </w:tcPr>
          <w:p w14:paraId="3598686C" w14:textId="77777777" w:rsidR="00BC674F" w:rsidRPr="002E63B3" w:rsidRDefault="00BC674F" w:rsidP="00E86771">
            <w:pPr>
              <w:spacing w:line="360" w:lineRule="auto"/>
            </w:pPr>
            <w:r w:rsidRPr="002E63B3">
              <w:t>Age 70 and CCI score of 1</w:t>
            </w:r>
          </w:p>
        </w:tc>
        <w:tc>
          <w:tcPr>
            <w:tcW w:w="1636" w:type="pct"/>
          </w:tcPr>
          <w:p w14:paraId="32EAD6EB" w14:textId="77777777" w:rsidR="00BC674F" w:rsidRPr="002E63B3" w:rsidRDefault="00BC674F" w:rsidP="00E86771">
            <w:pPr>
              <w:spacing w:line="360" w:lineRule="auto"/>
              <w:jc w:val="right"/>
              <w:rPr>
                <w:color w:val="000000"/>
              </w:rPr>
            </w:pPr>
            <w:r w:rsidRPr="002E63B3">
              <w:rPr>
                <w:color w:val="000000"/>
              </w:rPr>
              <w:t>£</w:t>
            </w:r>
            <w:r>
              <w:rPr>
                <w:color w:val="000000"/>
              </w:rPr>
              <w:t>15,919</w:t>
            </w:r>
          </w:p>
        </w:tc>
        <w:tc>
          <w:tcPr>
            <w:tcW w:w="1636" w:type="pct"/>
            <w:shd w:val="clear" w:color="auto" w:fill="auto"/>
          </w:tcPr>
          <w:p w14:paraId="7643CD7C" w14:textId="77777777" w:rsidR="00BC674F" w:rsidRPr="002E63B3" w:rsidRDefault="00BC674F" w:rsidP="00E86771">
            <w:pPr>
              <w:spacing w:line="360" w:lineRule="auto"/>
              <w:jc w:val="right"/>
            </w:pPr>
            <w:r>
              <w:t>£19,631*</w:t>
            </w:r>
          </w:p>
        </w:tc>
      </w:tr>
      <w:tr w:rsidR="00BC674F" w:rsidRPr="002E63B3" w14:paraId="351ECD2D" w14:textId="77777777" w:rsidTr="00DB4F65">
        <w:tc>
          <w:tcPr>
            <w:tcW w:w="1728" w:type="pct"/>
            <w:shd w:val="clear" w:color="auto" w:fill="auto"/>
          </w:tcPr>
          <w:p w14:paraId="000398DE" w14:textId="77777777" w:rsidR="00BC674F" w:rsidRPr="002E63B3" w:rsidRDefault="00BC674F" w:rsidP="00E86771">
            <w:pPr>
              <w:spacing w:line="360" w:lineRule="auto"/>
            </w:pPr>
            <w:r w:rsidRPr="002E63B3">
              <w:t>Age 80 and CCI score of 1</w:t>
            </w:r>
          </w:p>
        </w:tc>
        <w:tc>
          <w:tcPr>
            <w:tcW w:w="1636" w:type="pct"/>
          </w:tcPr>
          <w:p w14:paraId="250C22DD" w14:textId="77777777" w:rsidR="00BC674F" w:rsidRPr="002E63B3" w:rsidRDefault="00BC674F" w:rsidP="00E86771">
            <w:pPr>
              <w:spacing w:line="360" w:lineRule="auto"/>
              <w:jc w:val="right"/>
              <w:rPr>
                <w:color w:val="000000"/>
              </w:rPr>
            </w:pPr>
            <w:r>
              <w:rPr>
                <w:color w:val="000000"/>
              </w:rPr>
              <w:t>£19,410</w:t>
            </w:r>
          </w:p>
        </w:tc>
        <w:tc>
          <w:tcPr>
            <w:tcW w:w="1636" w:type="pct"/>
            <w:shd w:val="clear" w:color="auto" w:fill="auto"/>
          </w:tcPr>
          <w:p w14:paraId="5DA24430" w14:textId="77777777" w:rsidR="00BC674F" w:rsidRPr="002E63B3" w:rsidRDefault="00BC674F" w:rsidP="00E86771">
            <w:pPr>
              <w:spacing w:line="360" w:lineRule="auto"/>
              <w:jc w:val="right"/>
              <w:rPr>
                <w:color w:val="000000"/>
              </w:rPr>
            </w:pPr>
            <w:r>
              <w:rPr>
                <w:color w:val="000000"/>
              </w:rPr>
              <w:t>£22,027*</w:t>
            </w:r>
          </w:p>
        </w:tc>
      </w:tr>
      <w:tr w:rsidR="00BC674F" w:rsidRPr="002E63B3" w14:paraId="20F91F96" w14:textId="77777777" w:rsidTr="00DB4F65">
        <w:tc>
          <w:tcPr>
            <w:tcW w:w="1728" w:type="pct"/>
            <w:shd w:val="clear" w:color="auto" w:fill="auto"/>
          </w:tcPr>
          <w:p w14:paraId="79B21082" w14:textId="77777777" w:rsidR="00BC674F" w:rsidRPr="002E63B3" w:rsidRDefault="00BC674F" w:rsidP="00E86771">
            <w:pPr>
              <w:spacing w:line="360" w:lineRule="auto"/>
            </w:pPr>
            <w:r w:rsidRPr="002E63B3">
              <w:t>Age 90 and CCI score of 1</w:t>
            </w:r>
          </w:p>
        </w:tc>
        <w:tc>
          <w:tcPr>
            <w:tcW w:w="1636" w:type="pct"/>
          </w:tcPr>
          <w:p w14:paraId="3F305146" w14:textId="77777777" w:rsidR="00BC674F" w:rsidRPr="002E63B3" w:rsidRDefault="00BC674F" w:rsidP="00E86771">
            <w:pPr>
              <w:spacing w:line="360" w:lineRule="auto"/>
              <w:jc w:val="right"/>
              <w:rPr>
                <w:color w:val="000000"/>
              </w:rPr>
            </w:pPr>
            <w:r w:rsidRPr="002E63B3">
              <w:rPr>
                <w:color w:val="000000"/>
              </w:rPr>
              <w:t>£</w:t>
            </w:r>
            <w:r>
              <w:rPr>
                <w:color w:val="000000"/>
              </w:rPr>
              <w:t>23,728</w:t>
            </w:r>
          </w:p>
        </w:tc>
        <w:tc>
          <w:tcPr>
            <w:tcW w:w="1636" w:type="pct"/>
            <w:shd w:val="clear" w:color="auto" w:fill="auto"/>
          </w:tcPr>
          <w:p w14:paraId="3BAAC29F" w14:textId="77777777" w:rsidR="00BC674F" w:rsidRPr="002E63B3" w:rsidRDefault="00BC674F" w:rsidP="00E86771">
            <w:pPr>
              <w:spacing w:line="360" w:lineRule="auto"/>
              <w:jc w:val="right"/>
            </w:pPr>
            <w:r>
              <w:t>£26,048*</w:t>
            </w:r>
          </w:p>
        </w:tc>
      </w:tr>
      <w:tr w:rsidR="00BC674F" w:rsidRPr="002E63B3" w14:paraId="35B294F1" w14:textId="77777777" w:rsidTr="00DB4F65">
        <w:tc>
          <w:tcPr>
            <w:tcW w:w="1728" w:type="pct"/>
            <w:shd w:val="clear" w:color="auto" w:fill="auto"/>
          </w:tcPr>
          <w:p w14:paraId="103D7E75" w14:textId="77777777" w:rsidR="00BC674F" w:rsidRPr="002E63B3" w:rsidRDefault="00BC674F" w:rsidP="00E86771">
            <w:pPr>
              <w:spacing w:line="360" w:lineRule="auto"/>
            </w:pPr>
            <w:r w:rsidRPr="002E63B3">
              <w:t>Age 60 and CCI score of 3</w:t>
            </w:r>
          </w:p>
        </w:tc>
        <w:tc>
          <w:tcPr>
            <w:tcW w:w="1636" w:type="pct"/>
          </w:tcPr>
          <w:p w14:paraId="2229147D" w14:textId="77777777" w:rsidR="00BC674F" w:rsidRPr="002E63B3" w:rsidRDefault="00BC674F" w:rsidP="00E86771">
            <w:pPr>
              <w:spacing w:line="360" w:lineRule="auto"/>
              <w:jc w:val="right"/>
              <w:rPr>
                <w:color w:val="000000"/>
              </w:rPr>
            </w:pPr>
            <w:r w:rsidRPr="002E63B3">
              <w:rPr>
                <w:color w:val="000000"/>
              </w:rPr>
              <w:t>£</w:t>
            </w:r>
            <w:r>
              <w:rPr>
                <w:color w:val="000000"/>
              </w:rPr>
              <w:t>12,934</w:t>
            </w:r>
          </w:p>
        </w:tc>
        <w:tc>
          <w:tcPr>
            <w:tcW w:w="1636" w:type="pct"/>
            <w:shd w:val="clear" w:color="auto" w:fill="auto"/>
          </w:tcPr>
          <w:p w14:paraId="1D03CBEA" w14:textId="77777777" w:rsidR="00BC674F" w:rsidRPr="002E63B3" w:rsidRDefault="00BC674F" w:rsidP="00E86771">
            <w:pPr>
              <w:spacing w:line="360" w:lineRule="auto"/>
              <w:jc w:val="right"/>
            </w:pPr>
            <w:r>
              <w:t>£18,583*</w:t>
            </w:r>
          </w:p>
        </w:tc>
      </w:tr>
      <w:tr w:rsidR="00BC674F" w:rsidRPr="002E63B3" w14:paraId="1FDC8FE9" w14:textId="77777777" w:rsidTr="00DB4F65">
        <w:tc>
          <w:tcPr>
            <w:tcW w:w="1728" w:type="pct"/>
            <w:shd w:val="clear" w:color="auto" w:fill="auto"/>
          </w:tcPr>
          <w:p w14:paraId="1F08BF97" w14:textId="77777777" w:rsidR="00BC674F" w:rsidRPr="002E63B3" w:rsidRDefault="00BC674F" w:rsidP="00E86771">
            <w:pPr>
              <w:spacing w:line="360" w:lineRule="auto"/>
            </w:pPr>
            <w:r w:rsidRPr="002E63B3">
              <w:t>Age 70 and CCI score of 3</w:t>
            </w:r>
          </w:p>
        </w:tc>
        <w:tc>
          <w:tcPr>
            <w:tcW w:w="1636" w:type="pct"/>
          </w:tcPr>
          <w:p w14:paraId="2DAAB5C2" w14:textId="77777777" w:rsidR="00BC674F" w:rsidRPr="002E63B3" w:rsidRDefault="00BC674F" w:rsidP="00E86771">
            <w:pPr>
              <w:spacing w:line="360" w:lineRule="auto"/>
              <w:jc w:val="right"/>
              <w:rPr>
                <w:color w:val="000000"/>
              </w:rPr>
            </w:pPr>
            <w:r w:rsidRPr="002E63B3">
              <w:rPr>
                <w:color w:val="000000"/>
              </w:rPr>
              <w:t>£</w:t>
            </w:r>
            <w:r>
              <w:rPr>
                <w:color w:val="000000"/>
              </w:rPr>
              <w:t>15,732</w:t>
            </w:r>
          </w:p>
        </w:tc>
        <w:tc>
          <w:tcPr>
            <w:tcW w:w="1636" w:type="pct"/>
            <w:shd w:val="clear" w:color="auto" w:fill="auto"/>
          </w:tcPr>
          <w:p w14:paraId="090BAC45" w14:textId="77777777" w:rsidR="00BC674F" w:rsidRPr="002E63B3" w:rsidRDefault="00BC674F" w:rsidP="00E86771">
            <w:pPr>
              <w:spacing w:line="360" w:lineRule="auto"/>
              <w:jc w:val="right"/>
              <w:rPr>
                <w:color w:val="000000"/>
              </w:rPr>
            </w:pPr>
            <w:r>
              <w:rPr>
                <w:color w:val="000000"/>
              </w:rPr>
              <w:t>£19,685*</w:t>
            </w:r>
          </w:p>
        </w:tc>
      </w:tr>
      <w:tr w:rsidR="00BC674F" w:rsidRPr="002E63B3" w14:paraId="38EEFC0B" w14:textId="77777777" w:rsidTr="00DB4F65">
        <w:tc>
          <w:tcPr>
            <w:tcW w:w="1728" w:type="pct"/>
            <w:shd w:val="clear" w:color="auto" w:fill="auto"/>
          </w:tcPr>
          <w:p w14:paraId="6B89A400" w14:textId="77777777" w:rsidR="00BC674F" w:rsidRPr="002E63B3" w:rsidRDefault="00BC674F" w:rsidP="00E86771">
            <w:pPr>
              <w:spacing w:line="360" w:lineRule="auto"/>
            </w:pPr>
            <w:r w:rsidRPr="002E63B3">
              <w:t>Age 80 and CCI score of 3</w:t>
            </w:r>
          </w:p>
        </w:tc>
        <w:tc>
          <w:tcPr>
            <w:tcW w:w="1636" w:type="pct"/>
          </w:tcPr>
          <w:p w14:paraId="1A658359" w14:textId="77777777" w:rsidR="00BC674F" w:rsidRPr="002E63B3" w:rsidRDefault="00BC674F" w:rsidP="00E86771">
            <w:pPr>
              <w:spacing w:line="360" w:lineRule="auto"/>
              <w:jc w:val="right"/>
              <w:rPr>
                <w:color w:val="000000"/>
              </w:rPr>
            </w:pPr>
            <w:r w:rsidRPr="002E63B3">
              <w:rPr>
                <w:color w:val="000000"/>
              </w:rPr>
              <w:t>£</w:t>
            </w:r>
            <w:r>
              <w:rPr>
                <w:color w:val="000000"/>
              </w:rPr>
              <w:t>19,811</w:t>
            </w:r>
          </w:p>
        </w:tc>
        <w:tc>
          <w:tcPr>
            <w:tcW w:w="1636" w:type="pct"/>
            <w:shd w:val="clear" w:color="auto" w:fill="auto"/>
          </w:tcPr>
          <w:p w14:paraId="436C9DD0" w14:textId="77777777" w:rsidR="00BC674F" w:rsidRPr="002E63B3" w:rsidRDefault="00BC674F" w:rsidP="00E86771">
            <w:pPr>
              <w:spacing w:line="360" w:lineRule="auto"/>
              <w:jc w:val="right"/>
              <w:rPr>
                <w:color w:val="000000"/>
              </w:rPr>
            </w:pPr>
            <w:r>
              <w:rPr>
                <w:color w:val="000000"/>
              </w:rPr>
              <w:t>£22,854*</w:t>
            </w:r>
          </w:p>
        </w:tc>
      </w:tr>
      <w:tr w:rsidR="00BC674F" w:rsidRPr="002E63B3" w14:paraId="1ABC6463" w14:textId="77777777" w:rsidTr="00DB4F65">
        <w:tc>
          <w:tcPr>
            <w:tcW w:w="1728" w:type="pct"/>
            <w:shd w:val="clear" w:color="auto" w:fill="auto"/>
          </w:tcPr>
          <w:p w14:paraId="434816C6" w14:textId="77777777" w:rsidR="00BC674F" w:rsidRPr="002E63B3" w:rsidRDefault="00BC674F" w:rsidP="00E86771">
            <w:pPr>
              <w:spacing w:line="360" w:lineRule="auto"/>
            </w:pPr>
            <w:r w:rsidRPr="002E63B3">
              <w:t>Age 90 and CCI score of 3</w:t>
            </w:r>
          </w:p>
        </w:tc>
        <w:tc>
          <w:tcPr>
            <w:tcW w:w="1636" w:type="pct"/>
          </w:tcPr>
          <w:p w14:paraId="3F9E8F88" w14:textId="77777777" w:rsidR="00BC674F" w:rsidRPr="002E63B3" w:rsidRDefault="00BC674F" w:rsidP="00E86771">
            <w:pPr>
              <w:spacing w:line="360" w:lineRule="auto"/>
              <w:jc w:val="right"/>
              <w:rPr>
                <w:color w:val="000000"/>
              </w:rPr>
            </w:pPr>
            <w:r w:rsidRPr="002E63B3">
              <w:rPr>
                <w:color w:val="000000"/>
              </w:rPr>
              <w:t>£</w:t>
            </w:r>
            <w:r>
              <w:rPr>
                <w:color w:val="000000"/>
              </w:rPr>
              <w:t>24,913</w:t>
            </w:r>
          </w:p>
        </w:tc>
        <w:tc>
          <w:tcPr>
            <w:tcW w:w="1636" w:type="pct"/>
            <w:shd w:val="clear" w:color="auto" w:fill="auto"/>
          </w:tcPr>
          <w:p w14:paraId="40F539EF" w14:textId="77777777" w:rsidR="00BC674F" w:rsidRPr="002E63B3" w:rsidRDefault="00BC674F" w:rsidP="00E86771">
            <w:pPr>
              <w:spacing w:line="360" w:lineRule="auto"/>
              <w:jc w:val="right"/>
            </w:pPr>
            <w:r>
              <w:t>£27,710*</w:t>
            </w:r>
          </w:p>
        </w:tc>
      </w:tr>
      <w:tr w:rsidR="00BC674F" w:rsidRPr="002E63B3" w14:paraId="1A70CEBC" w14:textId="77777777" w:rsidTr="00DB4F65">
        <w:tc>
          <w:tcPr>
            <w:tcW w:w="1728" w:type="pct"/>
            <w:shd w:val="clear" w:color="auto" w:fill="auto"/>
          </w:tcPr>
          <w:p w14:paraId="4863E648" w14:textId="77777777" w:rsidR="00BC674F" w:rsidRPr="002E63B3" w:rsidRDefault="00BC674F" w:rsidP="00E86771">
            <w:pPr>
              <w:spacing w:line="360" w:lineRule="auto"/>
            </w:pPr>
            <w:r w:rsidRPr="002E63B3">
              <w:t>Age 60 and CCI score of 5</w:t>
            </w:r>
          </w:p>
        </w:tc>
        <w:tc>
          <w:tcPr>
            <w:tcW w:w="1636" w:type="pct"/>
          </w:tcPr>
          <w:p w14:paraId="3B863A76" w14:textId="77777777" w:rsidR="00BC674F" w:rsidRPr="002E63B3" w:rsidRDefault="00BC674F" w:rsidP="00E86771">
            <w:pPr>
              <w:spacing w:line="360" w:lineRule="auto"/>
              <w:jc w:val="right"/>
              <w:rPr>
                <w:color w:val="000000"/>
              </w:rPr>
            </w:pPr>
            <w:r w:rsidRPr="002E63B3">
              <w:rPr>
                <w:color w:val="000000"/>
              </w:rPr>
              <w:t>£</w:t>
            </w:r>
            <w:r>
              <w:rPr>
                <w:color w:val="000000"/>
              </w:rPr>
              <w:t>12,878</w:t>
            </w:r>
          </w:p>
        </w:tc>
        <w:tc>
          <w:tcPr>
            <w:tcW w:w="1636" w:type="pct"/>
            <w:shd w:val="clear" w:color="auto" w:fill="auto"/>
          </w:tcPr>
          <w:p w14:paraId="277DA6B2" w14:textId="77777777" w:rsidR="00BC674F" w:rsidRPr="002E63B3" w:rsidRDefault="00BC674F" w:rsidP="00E86771">
            <w:pPr>
              <w:spacing w:line="360" w:lineRule="auto"/>
              <w:jc w:val="right"/>
            </w:pPr>
            <w:r>
              <w:t>£18,665*</w:t>
            </w:r>
          </w:p>
        </w:tc>
      </w:tr>
      <w:tr w:rsidR="00BC674F" w:rsidRPr="002E63B3" w14:paraId="0630EB9B" w14:textId="77777777" w:rsidTr="00DB4F65">
        <w:tc>
          <w:tcPr>
            <w:tcW w:w="1728" w:type="pct"/>
            <w:shd w:val="clear" w:color="auto" w:fill="auto"/>
          </w:tcPr>
          <w:p w14:paraId="74B7D47E" w14:textId="77777777" w:rsidR="00BC674F" w:rsidRPr="002E63B3" w:rsidRDefault="00BC674F" w:rsidP="00E86771">
            <w:pPr>
              <w:spacing w:line="360" w:lineRule="auto"/>
            </w:pPr>
            <w:r w:rsidRPr="002E63B3">
              <w:t>Age 70 and CCI score of 5</w:t>
            </w:r>
          </w:p>
        </w:tc>
        <w:tc>
          <w:tcPr>
            <w:tcW w:w="1636" w:type="pct"/>
          </w:tcPr>
          <w:p w14:paraId="4B5FC994" w14:textId="77777777" w:rsidR="00BC674F" w:rsidRPr="002E63B3" w:rsidRDefault="00BC674F" w:rsidP="00E86771">
            <w:pPr>
              <w:spacing w:line="360" w:lineRule="auto"/>
              <w:jc w:val="right"/>
              <w:rPr>
                <w:color w:val="000000"/>
              </w:rPr>
            </w:pPr>
            <w:r w:rsidRPr="002E63B3">
              <w:rPr>
                <w:color w:val="000000"/>
              </w:rPr>
              <w:t>£16,</w:t>
            </w:r>
            <w:r>
              <w:rPr>
                <w:color w:val="000000"/>
              </w:rPr>
              <w:t>102</w:t>
            </w:r>
          </w:p>
        </w:tc>
        <w:tc>
          <w:tcPr>
            <w:tcW w:w="1636" w:type="pct"/>
            <w:shd w:val="clear" w:color="auto" w:fill="auto"/>
          </w:tcPr>
          <w:p w14:paraId="34C50A82" w14:textId="77777777" w:rsidR="00BC674F" w:rsidRPr="002E63B3" w:rsidRDefault="00BC674F" w:rsidP="00E86771">
            <w:pPr>
              <w:spacing w:line="360" w:lineRule="auto"/>
              <w:jc w:val="right"/>
              <w:rPr>
                <w:color w:val="000000"/>
              </w:rPr>
            </w:pPr>
            <w:r>
              <w:rPr>
                <w:color w:val="000000"/>
              </w:rPr>
              <w:t>£20,490*</w:t>
            </w:r>
          </w:p>
        </w:tc>
      </w:tr>
      <w:tr w:rsidR="00BC674F" w:rsidRPr="002E63B3" w14:paraId="6E35231E" w14:textId="77777777" w:rsidTr="00DB4F65">
        <w:tc>
          <w:tcPr>
            <w:tcW w:w="1728" w:type="pct"/>
            <w:shd w:val="clear" w:color="auto" w:fill="auto"/>
          </w:tcPr>
          <w:p w14:paraId="1DCB4CA3" w14:textId="77777777" w:rsidR="00BC674F" w:rsidRPr="002E63B3" w:rsidRDefault="00BC674F" w:rsidP="00E86771">
            <w:pPr>
              <w:spacing w:line="360" w:lineRule="auto"/>
            </w:pPr>
            <w:r w:rsidRPr="002E63B3">
              <w:t>Age 80 and CCI score of 5</w:t>
            </w:r>
          </w:p>
        </w:tc>
        <w:tc>
          <w:tcPr>
            <w:tcW w:w="1636" w:type="pct"/>
          </w:tcPr>
          <w:p w14:paraId="1B47CCF4" w14:textId="77777777" w:rsidR="00BC674F" w:rsidRPr="002E63B3" w:rsidRDefault="00BC674F" w:rsidP="00E86771">
            <w:pPr>
              <w:spacing w:line="360" w:lineRule="auto"/>
              <w:jc w:val="right"/>
              <w:rPr>
                <w:color w:val="000000"/>
              </w:rPr>
            </w:pPr>
            <w:r w:rsidRPr="002E63B3">
              <w:rPr>
                <w:color w:val="000000"/>
              </w:rPr>
              <w:t>£</w:t>
            </w:r>
            <w:r>
              <w:rPr>
                <w:color w:val="000000"/>
              </w:rPr>
              <w:t>20,746</w:t>
            </w:r>
          </w:p>
        </w:tc>
        <w:tc>
          <w:tcPr>
            <w:tcW w:w="1636" w:type="pct"/>
            <w:shd w:val="clear" w:color="auto" w:fill="auto"/>
          </w:tcPr>
          <w:p w14:paraId="2C8E67E9" w14:textId="77777777" w:rsidR="00BC674F" w:rsidRPr="002E63B3" w:rsidRDefault="00BC674F" w:rsidP="00E86771">
            <w:pPr>
              <w:spacing w:line="360" w:lineRule="auto"/>
              <w:jc w:val="right"/>
              <w:rPr>
                <w:color w:val="000000"/>
              </w:rPr>
            </w:pPr>
            <w:r>
              <w:rPr>
                <w:color w:val="000000"/>
              </w:rPr>
              <w:t>£24,330</w:t>
            </w:r>
          </w:p>
        </w:tc>
      </w:tr>
      <w:tr w:rsidR="00BC674F" w:rsidRPr="002E63B3" w14:paraId="75F690F0" w14:textId="77777777" w:rsidTr="00DB4F65">
        <w:tc>
          <w:tcPr>
            <w:tcW w:w="1728" w:type="pct"/>
            <w:shd w:val="clear" w:color="auto" w:fill="auto"/>
          </w:tcPr>
          <w:p w14:paraId="07912F10" w14:textId="77777777" w:rsidR="00BC674F" w:rsidRPr="002E63B3" w:rsidRDefault="00BC674F" w:rsidP="00E86771">
            <w:pPr>
              <w:spacing w:line="360" w:lineRule="auto"/>
            </w:pPr>
            <w:r w:rsidRPr="002E63B3">
              <w:lastRenderedPageBreak/>
              <w:t>Age 90 and CCI score of 5</w:t>
            </w:r>
          </w:p>
        </w:tc>
        <w:tc>
          <w:tcPr>
            <w:tcW w:w="1636" w:type="pct"/>
          </w:tcPr>
          <w:p w14:paraId="67C72159" w14:textId="77777777" w:rsidR="00BC674F" w:rsidRPr="002E63B3" w:rsidRDefault="00BC674F" w:rsidP="00E86771">
            <w:pPr>
              <w:spacing w:line="360" w:lineRule="auto"/>
              <w:jc w:val="right"/>
              <w:rPr>
                <w:color w:val="000000"/>
              </w:rPr>
            </w:pPr>
            <w:r w:rsidRPr="002E63B3">
              <w:rPr>
                <w:color w:val="000000"/>
              </w:rPr>
              <w:t>£2</w:t>
            </w:r>
            <w:r>
              <w:rPr>
                <w:color w:val="000000"/>
              </w:rPr>
              <w:t>6</w:t>
            </w:r>
            <w:r w:rsidRPr="002E63B3">
              <w:rPr>
                <w:color w:val="000000"/>
              </w:rPr>
              <w:t>,</w:t>
            </w:r>
            <w:r>
              <w:rPr>
                <w:color w:val="000000"/>
              </w:rPr>
              <w:t>712</w:t>
            </w:r>
            <w:r w:rsidRPr="002E63B3">
              <w:rPr>
                <w:color w:val="000000"/>
              </w:rPr>
              <w:t>*</w:t>
            </w:r>
          </w:p>
        </w:tc>
        <w:tc>
          <w:tcPr>
            <w:tcW w:w="1636" w:type="pct"/>
            <w:shd w:val="clear" w:color="auto" w:fill="auto"/>
          </w:tcPr>
          <w:p w14:paraId="5D57376F" w14:textId="77777777" w:rsidR="00BC674F" w:rsidRPr="002E63B3" w:rsidRDefault="00BC674F" w:rsidP="00E86771">
            <w:pPr>
              <w:spacing w:line="360" w:lineRule="auto"/>
              <w:jc w:val="right"/>
              <w:rPr>
                <w:color w:val="000000"/>
              </w:rPr>
            </w:pPr>
            <w:r>
              <w:rPr>
                <w:color w:val="000000"/>
              </w:rPr>
              <w:t>£30,049</w:t>
            </w:r>
          </w:p>
        </w:tc>
      </w:tr>
      <w:tr w:rsidR="00BC674F" w:rsidRPr="002E63B3" w14:paraId="476BB8B4" w14:textId="77777777" w:rsidTr="00DB4F65">
        <w:tc>
          <w:tcPr>
            <w:tcW w:w="1728" w:type="pct"/>
            <w:shd w:val="clear" w:color="auto" w:fill="auto"/>
          </w:tcPr>
          <w:p w14:paraId="0F232B72" w14:textId="77777777" w:rsidR="00BC674F" w:rsidRPr="002E63B3" w:rsidRDefault="00BC674F" w:rsidP="00E86771">
            <w:pPr>
              <w:spacing w:line="360" w:lineRule="auto"/>
            </w:pPr>
            <w:r w:rsidRPr="002E63B3">
              <w:rPr>
                <w:b/>
                <w:i/>
              </w:rPr>
              <w:t>Male cohort</w:t>
            </w:r>
          </w:p>
        </w:tc>
        <w:tc>
          <w:tcPr>
            <w:tcW w:w="1636" w:type="pct"/>
          </w:tcPr>
          <w:p w14:paraId="53466963" w14:textId="77777777" w:rsidR="00BC674F" w:rsidRPr="002E63B3" w:rsidRDefault="00BC674F" w:rsidP="00E86771">
            <w:pPr>
              <w:spacing w:line="360" w:lineRule="auto"/>
              <w:jc w:val="right"/>
              <w:rPr>
                <w:color w:val="000000"/>
              </w:rPr>
            </w:pPr>
          </w:p>
        </w:tc>
        <w:tc>
          <w:tcPr>
            <w:tcW w:w="1636" w:type="pct"/>
            <w:shd w:val="clear" w:color="auto" w:fill="auto"/>
          </w:tcPr>
          <w:p w14:paraId="4F45E4EA" w14:textId="77777777" w:rsidR="00BC674F" w:rsidRPr="002E63B3" w:rsidRDefault="00BC674F" w:rsidP="00E86771">
            <w:pPr>
              <w:spacing w:line="360" w:lineRule="auto"/>
              <w:jc w:val="right"/>
              <w:rPr>
                <w:color w:val="000000"/>
              </w:rPr>
            </w:pPr>
          </w:p>
        </w:tc>
      </w:tr>
      <w:tr w:rsidR="00BC674F" w:rsidRPr="002E63B3" w14:paraId="492F709A" w14:textId="77777777" w:rsidTr="00DB4F65">
        <w:tc>
          <w:tcPr>
            <w:tcW w:w="1728" w:type="pct"/>
            <w:shd w:val="clear" w:color="auto" w:fill="auto"/>
          </w:tcPr>
          <w:p w14:paraId="0A99A71D" w14:textId="77777777" w:rsidR="00BC674F" w:rsidRPr="002E63B3" w:rsidRDefault="00BC674F" w:rsidP="00E86771">
            <w:pPr>
              <w:spacing w:line="360" w:lineRule="auto"/>
            </w:pPr>
            <w:r w:rsidRPr="002E63B3">
              <w:t>Age 60 and CCI score of 0</w:t>
            </w:r>
          </w:p>
        </w:tc>
        <w:tc>
          <w:tcPr>
            <w:tcW w:w="1636" w:type="pct"/>
          </w:tcPr>
          <w:p w14:paraId="43ACAF38" w14:textId="77777777" w:rsidR="00BC674F" w:rsidRPr="002E63B3" w:rsidRDefault="00BC674F" w:rsidP="00E86771">
            <w:pPr>
              <w:spacing w:after="0" w:line="360" w:lineRule="auto"/>
              <w:jc w:val="right"/>
              <w:rPr>
                <w:color w:val="000000"/>
              </w:rPr>
            </w:pPr>
            <w:r>
              <w:rPr>
                <w:color w:val="000000"/>
              </w:rPr>
              <w:t>£13,807</w:t>
            </w:r>
          </w:p>
        </w:tc>
        <w:tc>
          <w:tcPr>
            <w:tcW w:w="1636" w:type="pct"/>
            <w:shd w:val="clear" w:color="auto" w:fill="auto"/>
          </w:tcPr>
          <w:p w14:paraId="52CACD36" w14:textId="77777777" w:rsidR="00BC674F" w:rsidRPr="002E63B3" w:rsidRDefault="00BC674F" w:rsidP="00E86771">
            <w:pPr>
              <w:spacing w:after="0" w:line="360" w:lineRule="auto"/>
              <w:jc w:val="right"/>
              <w:rPr>
                <w:color w:val="000000"/>
              </w:rPr>
            </w:pPr>
            <w:r>
              <w:rPr>
                <w:color w:val="000000"/>
              </w:rPr>
              <w:t>£19,425*</w:t>
            </w:r>
          </w:p>
        </w:tc>
      </w:tr>
      <w:tr w:rsidR="00BC674F" w:rsidRPr="002E63B3" w14:paraId="1484477A" w14:textId="77777777" w:rsidTr="00DB4F65">
        <w:tc>
          <w:tcPr>
            <w:tcW w:w="1728" w:type="pct"/>
            <w:shd w:val="clear" w:color="auto" w:fill="auto"/>
          </w:tcPr>
          <w:p w14:paraId="3BFF9192" w14:textId="77777777" w:rsidR="00BC674F" w:rsidRPr="002E63B3" w:rsidRDefault="00BC674F" w:rsidP="00E86771">
            <w:pPr>
              <w:spacing w:line="360" w:lineRule="auto"/>
            </w:pPr>
            <w:r w:rsidRPr="002E63B3">
              <w:t>Age 70 and CCI score of 0</w:t>
            </w:r>
          </w:p>
        </w:tc>
        <w:tc>
          <w:tcPr>
            <w:tcW w:w="1636" w:type="pct"/>
          </w:tcPr>
          <w:p w14:paraId="56806EC5" w14:textId="77777777" w:rsidR="00BC674F" w:rsidRPr="002E63B3" w:rsidRDefault="00BC674F" w:rsidP="00E86771">
            <w:pPr>
              <w:spacing w:after="0" w:line="360" w:lineRule="auto"/>
              <w:jc w:val="right"/>
              <w:rPr>
                <w:color w:val="000000"/>
              </w:rPr>
            </w:pPr>
            <w:r>
              <w:rPr>
                <w:color w:val="000000"/>
              </w:rPr>
              <w:t>£15,623</w:t>
            </w:r>
          </w:p>
        </w:tc>
        <w:tc>
          <w:tcPr>
            <w:tcW w:w="1636" w:type="pct"/>
            <w:shd w:val="clear" w:color="auto" w:fill="auto"/>
          </w:tcPr>
          <w:p w14:paraId="18266884" w14:textId="77777777" w:rsidR="00BC674F" w:rsidRPr="002E63B3" w:rsidRDefault="00BC674F" w:rsidP="00E86771">
            <w:pPr>
              <w:spacing w:after="0" w:line="360" w:lineRule="auto"/>
              <w:jc w:val="right"/>
              <w:rPr>
                <w:color w:val="000000"/>
              </w:rPr>
            </w:pPr>
            <w:r>
              <w:rPr>
                <w:color w:val="000000"/>
              </w:rPr>
              <w:t>£19,474*</w:t>
            </w:r>
          </w:p>
        </w:tc>
      </w:tr>
      <w:tr w:rsidR="00BC674F" w:rsidRPr="002E63B3" w14:paraId="721E0B6D" w14:textId="77777777" w:rsidTr="00DB4F65">
        <w:tc>
          <w:tcPr>
            <w:tcW w:w="1728" w:type="pct"/>
            <w:shd w:val="clear" w:color="auto" w:fill="auto"/>
          </w:tcPr>
          <w:p w14:paraId="31B6DDA6" w14:textId="77777777" w:rsidR="00BC674F" w:rsidRPr="002E63B3" w:rsidRDefault="00BC674F" w:rsidP="00E86771">
            <w:pPr>
              <w:spacing w:line="360" w:lineRule="auto"/>
            </w:pPr>
            <w:r w:rsidRPr="002E63B3">
              <w:t>Age 80 and CCI score of 0</w:t>
            </w:r>
          </w:p>
        </w:tc>
        <w:tc>
          <w:tcPr>
            <w:tcW w:w="1636" w:type="pct"/>
          </w:tcPr>
          <w:p w14:paraId="4F620A56" w14:textId="77777777" w:rsidR="00BC674F" w:rsidRPr="002E63B3" w:rsidRDefault="00BC674F" w:rsidP="00E86771">
            <w:pPr>
              <w:spacing w:after="0" w:line="360" w:lineRule="auto"/>
              <w:jc w:val="right"/>
              <w:rPr>
                <w:color w:val="000000"/>
              </w:rPr>
            </w:pPr>
            <w:r>
              <w:rPr>
                <w:color w:val="000000"/>
              </w:rPr>
              <w:t>£18,692</w:t>
            </w:r>
          </w:p>
        </w:tc>
        <w:tc>
          <w:tcPr>
            <w:tcW w:w="1636" w:type="pct"/>
            <w:shd w:val="clear" w:color="auto" w:fill="auto"/>
          </w:tcPr>
          <w:p w14:paraId="7F3367B2" w14:textId="77777777" w:rsidR="00BC674F" w:rsidRPr="002E63B3" w:rsidRDefault="00BC674F" w:rsidP="00E86771">
            <w:pPr>
              <w:spacing w:after="0" w:line="360" w:lineRule="auto"/>
              <w:jc w:val="right"/>
              <w:rPr>
                <w:color w:val="000000"/>
              </w:rPr>
            </w:pPr>
            <w:r>
              <w:rPr>
                <w:color w:val="000000"/>
              </w:rPr>
              <w:t>£21,844*</w:t>
            </w:r>
          </w:p>
        </w:tc>
      </w:tr>
      <w:tr w:rsidR="00BC674F" w:rsidRPr="002E63B3" w14:paraId="46872FC8" w14:textId="77777777" w:rsidTr="00DB4F65">
        <w:tc>
          <w:tcPr>
            <w:tcW w:w="1728" w:type="pct"/>
            <w:shd w:val="clear" w:color="auto" w:fill="auto"/>
          </w:tcPr>
          <w:p w14:paraId="05A946DE" w14:textId="77777777" w:rsidR="00BC674F" w:rsidRPr="002E63B3" w:rsidRDefault="00BC674F" w:rsidP="00E86771">
            <w:pPr>
              <w:spacing w:line="360" w:lineRule="auto"/>
            </w:pPr>
            <w:r w:rsidRPr="002E63B3">
              <w:t>Age 90 and CCI score of 0</w:t>
            </w:r>
          </w:p>
        </w:tc>
        <w:tc>
          <w:tcPr>
            <w:tcW w:w="1636" w:type="pct"/>
          </w:tcPr>
          <w:p w14:paraId="4A106646" w14:textId="77777777" w:rsidR="00BC674F" w:rsidRPr="002E63B3" w:rsidRDefault="00BC674F" w:rsidP="00E86771">
            <w:pPr>
              <w:spacing w:after="0" w:line="360" w:lineRule="auto"/>
              <w:jc w:val="right"/>
              <w:rPr>
                <w:color w:val="000000"/>
              </w:rPr>
            </w:pPr>
            <w:r>
              <w:rPr>
                <w:color w:val="000000"/>
              </w:rPr>
              <w:t>£22,683</w:t>
            </w:r>
          </w:p>
        </w:tc>
        <w:tc>
          <w:tcPr>
            <w:tcW w:w="1636" w:type="pct"/>
            <w:shd w:val="clear" w:color="auto" w:fill="auto"/>
          </w:tcPr>
          <w:p w14:paraId="72306B09" w14:textId="77777777" w:rsidR="00BC674F" w:rsidRPr="002E63B3" w:rsidRDefault="00BC674F" w:rsidP="00E86771">
            <w:pPr>
              <w:spacing w:after="0" w:line="360" w:lineRule="auto"/>
              <w:jc w:val="right"/>
              <w:rPr>
                <w:color w:val="000000"/>
              </w:rPr>
            </w:pPr>
            <w:r>
              <w:rPr>
                <w:color w:val="000000"/>
              </w:rPr>
              <w:t>£25,965*</w:t>
            </w:r>
          </w:p>
        </w:tc>
      </w:tr>
      <w:tr w:rsidR="00BC674F" w:rsidRPr="002E63B3" w14:paraId="427CD1E2" w14:textId="77777777" w:rsidTr="00DB4F65">
        <w:tc>
          <w:tcPr>
            <w:tcW w:w="1728" w:type="pct"/>
            <w:shd w:val="clear" w:color="auto" w:fill="auto"/>
          </w:tcPr>
          <w:p w14:paraId="4B40DAB5" w14:textId="77777777" w:rsidR="00BC674F" w:rsidRPr="002E63B3" w:rsidRDefault="00BC674F" w:rsidP="00E86771">
            <w:pPr>
              <w:spacing w:line="360" w:lineRule="auto"/>
            </w:pPr>
            <w:r w:rsidRPr="002E63B3">
              <w:t>Age 60 and CCI score of 1</w:t>
            </w:r>
          </w:p>
        </w:tc>
        <w:tc>
          <w:tcPr>
            <w:tcW w:w="1636" w:type="pct"/>
          </w:tcPr>
          <w:p w14:paraId="12131D6F" w14:textId="77777777" w:rsidR="00BC674F" w:rsidRPr="002E63B3" w:rsidRDefault="00BC674F" w:rsidP="00E86771">
            <w:pPr>
              <w:spacing w:after="0" w:line="360" w:lineRule="auto"/>
              <w:jc w:val="right"/>
              <w:rPr>
                <w:color w:val="000000"/>
              </w:rPr>
            </w:pPr>
            <w:r>
              <w:rPr>
                <w:color w:val="000000"/>
              </w:rPr>
              <w:t>£13,426</w:t>
            </w:r>
          </w:p>
        </w:tc>
        <w:tc>
          <w:tcPr>
            <w:tcW w:w="1636" w:type="pct"/>
            <w:shd w:val="clear" w:color="auto" w:fill="auto"/>
          </w:tcPr>
          <w:p w14:paraId="025CF056" w14:textId="77777777" w:rsidR="00BC674F" w:rsidRPr="002E63B3" w:rsidRDefault="00BC674F" w:rsidP="00E86771">
            <w:pPr>
              <w:spacing w:after="0" w:line="360" w:lineRule="auto"/>
              <w:jc w:val="right"/>
              <w:rPr>
                <w:color w:val="000000"/>
              </w:rPr>
            </w:pPr>
            <w:r>
              <w:rPr>
                <w:color w:val="000000"/>
              </w:rPr>
              <w:t>£18,917*</w:t>
            </w:r>
          </w:p>
        </w:tc>
      </w:tr>
      <w:tr w:rsidR="00BC674F" w:rsidRPr="002E63B3" w14:paraId="2934E955" w14:textId="77777777" w:rsidTr="00DB4F65">
        <w:tc>
          <w:tcPr>
            <w:tcW w:w="1728" w:type="pct"/>
            <w:shd w:val="clear" w:color="auto" w:fill="auto"/>
          </w:tcPr>
          <w:p w14:paraId="498C9F40" w14:textId="77777777" w:rsidR="00BC674F" w:rsidRPr="002E63B3" w:rsidRDefault="00BC674F" w:rsidP="00E86771">
            <w:pPr>
              <w:spacing w:line="360" w:lineRule="auto"/>
            </w:pPr>
            <w:r w:rsidRPr="002E63B3">
              <w:t>Age 70 and CCI score of 1</w:t>
            </w:r>
          </w:p>
        </w:tc>
        <w:tc>
          <w:tcPr>
            <w:tcW w:w="1636" w:type="pct"/>
          </w:tcPr>
          <w:p w14:paraId="32C6240E" w14:textId="77777777" w:rsidR="00BC674F" w:rsidRPr="002E63B3" w:rsidRDefault="00BC674F" w:rsidP="00E86771">
            <w:pPr>
              <w:spacing w:after="0" w:line="360" w:lineRule="auto"/>
              <w:jc w:val="right"/>
              <w:rPr>
                <w:color w:val="000000"/>
              </w:rPr>
            </w:pPr>
            <w:r>
              <w:rPr>
                <w:color w:val="000000"/>
              </w:rPr>
              <w:t>£15,544</w:t>
            </w:r>
          </w:p>
        </w:tc>
        <w:tc>
          <w:tcPr>
            <w:tcW w:w="1636" w:type="pct"/>
            <w:shd w:val="clear" w:color="auto" w:fill="auto"/>
          </w:tcPr>
          <w:p w14:paraId="766203B3" w14:textId="77777777" w:rsidR="00BC674F" w:rsidRPr="002E63B3" w:rsidRDefault="00BC674F" w:rsidP="00E86771">
            <w:pPr>
              <w:spacing w:after="0" w:line="360" w:lineRule="auto"/>
              <w:jc w:val="right"/>
              <w:rPr>
                <w:color w:val="000000"/>
              </w:rPr>
            </w:pPr>
            <w:r>
              <w:rPr>
                <w:color w:val="000000"/>
              </w:rPr>
              <w:t>£19,525*</w:t>
            </w:r>
          </w:p>
        </w:tc>
      </w:tr>
      <w:tr w:rsidR="00BC674F" w:rsidRPr="002E63B3" w14:paraId="2F6D3D75" w14:textId="77777777" w:rsidTr="00DB4F65">
        <w:tc>
          <w:tcPr>
            <w:tcW w:w="1728" w:type="pct"/>
            <w:shd w:val="clear" w:color="auto" w:fill="auto"/>
          </w:tcPr>
          <w:p w14:paraId="6DE82CBB" w14:textId="77777777" w:rsidR="00BC674F" w:rsidRPr="002E63B3" w:rsidRDefault="00BC674F" w:rsidP="00E86771">
            <w:pPr>
              <w:spacing w:line="360" w:lineRule="auto"/>
            </w:pPr>
            <w:r w:rsidRPr="002E63B3">
              <w:t>Age 80 and CCI score of 1</w:t>
            </w:r>
          </w:p>
        </w:tc>
        <w:tc>
          <w:tcPr>
            <w:tcW w:w="1636" w:type="pct"/>
          </w:tcPr>
          <w:p w14:paraId="7F08ED61" w14:textId="77777777" w:rsidR="00BC674F" w:rsidRPr="002E63B3" w:rsidRDefault="00BC674F" w:rsidP="00E86771">
            <w:pPr>
              <w:spacing w:after="0" w:line="360" w:lineRule="auto"/>
              <w:jc w:val="right"/>
              <w:rPr>
                <w:color w:val="000000"/>
              </w:rPr>
            </w:pPr>
            <w:r>
              <w:rPr>
                <w:color w:val="000000"/>
              </w:rPr>
              <w:t>£18,904</w:t>
            </w:r>
          </w:p>
        </w:tc>
        <w:tc>
          <w:tcPr>
            <w:tcW w:w="1636" w:type="pct"/>
            <w:shd w:val="clear" w:color="auto" w:fill="auto"/>
          </w:tcPr>
          <w:p w14:paraId="14878E5D" w14:textId="77777777" w:rsidR="00BC674F" w:rsidRPr="002E63B3" w:rsidRDefault="00BC674F" w:rsidP="00E86771">
            <w:pPr>
              <w:spacing w:after="0" w:line="360" w:lineRule="auto"/>
              <w:jc w:val="right"/>
              <w:rPr>
                <w:color w:val="000000"/>
              </w:rPr>
            </w:pPr>
            <w:r>
              <w:rPr>
                <w:color w:val="000000"/>
              </w:rPr>
              <w:t>£22,278*</w:t>
            </w:r>
          </w:p>
        </w:tc>
      </w:tr>
      <w:tr w:rsidR="00BC674F" w:rsidRPr="002E63B3" w14:paraId="4F99200F" w14:textId="77777777" w:rsidTr="00DB4F65">
        <w:tc>
          <w:tcPr>
            <w:tcW w:w="1728" w:type="pct"/>
            <w:shd w:val="clear" w:color="auto" w:fill="auto"/>
          </w:tcPr>
          <w:p w14:paraId="0CDB89C6" w14:textId="77777777" w:rsidR="00BC674F" w:rsidRPr="002E63B3" w:rsidRDefault="00BC674F" w:rsidP="00E86771">
            <w:pPr>
              <w:spacing w:line="360" w:lineRule="auto"/>
            </w:pPr>
            <w:r w:rsidRPr="002E63B3">
              <w:t>Age 90 and CCI score of 1</w:t>
            </w:r>
          </w:p>
        </w:tc>
        <w:tc>
          <w:tcPr>
            <w:tcW w:w="1636" w:type="pct"/>
          </w:tcPr>
          <w:p w14:paraId="5D41235B" w14:textId="77777777" w:rsidR="00BC674F" w:rsidRPr="002E63B3" w:rsidRDefault="00BC674F" w:rsidP="00E86771">
            <w:pPr>
              <w:spacing w:line="360" w:lineRule="auto"/>
              <w:jc w:val="right"/>
              <w:rPr>
                <w:color w:val="000000"/>
              </w:rPr>
            </w:pPr>
            <w:r w:rsidRPr="002E63B3">
              <w:rPr>
                <w:color w:val="000000"/>
              </w:rPr>
              <w:t>£23,</w:t>
            </w:r>
            <w:r>
              <w:rPr>
                <w:color w:val="000000"/>
              </w:rPr>
              <w:t>315</w:t>
            </w:r>
          </w:p>
        </w:tc>
        <w:tc>
          <w:tcPr>
            <w:tcW w:w="1636" w:type="pct"/>
            <w:shd w:val="clear" w:color="auto" w:fill="auto"/>
          </w:tcPr>
          <w:p w14:paraId="26F63D44" w14:textId="77777777" w:rsidR="00BC674F" w:rsidRPr="002E63B3" w:rsidRDefault="00BC674F" w:rsidP="00E86771">
            <w:pPr>
              <w:spacing w:line="360" w:lineRule="auto"/>
              <w:jc w:val="right"/>
              <w:rPr>
                <w:color w:val="000000"/>
              </w:rPr>
            </w:pPr>
            <w:r>
              <w:rPr>
                <w:color w:val="000000"/>
              </w:rPr>
              <w:t>£26,848*</w:t>
            </w:r>
          </w:p>
        </w:tc>
      </w:tr>
      <w:tr w:rsidR="00BC674F" w:rsidRPr="002E63B3" w14:paraId="43A9943D" w14:textId="77777777" w:rsidTr="00DB4F65">
        <w:tc>
          <w:tcPr>
            <w:tcW w:w="1728" w:type="pct"/>
            <w:shd w:val="clear" w:color="auto" w:fill="auto"/>
          </w:tcPr>
          <w:p w14:paraId="406FCECB" w14:textId="77777777" w:rsidR="00BC674F" w:rsidRPr="002E63B3" w:rsidRDefault="00BC674F" w:rsidP="00E86771">
            <w:pPr>
              <w:spacing w:line="360" w:lineRule="auto"/>
            </w:pPr>
            <w:r w:rsidRPr="002E63B3">
              <w:t>Age 60 and CCI score of 3</w:t>
            </w:r>
          </w:p>
        </w:tc>
        <w:tc>
          <w:tcPr>
            <w:tcW w:w="1636" w:type="pct"/>
          </w:tcPr>
          <w:p w14:paraId="1C5D1871" w14:textId="77777777" w:rsidR="00BC674F" w:rsidRPr="002E63B3" w:rsidRDefault="00BC674F" w:rsidP="00E86771">
            <w:pPr>
              <w:spacing w:line="360" w:lineRule="auto"/>
              <w:jc w:val="right"/>
              <w:rPr>
                <w:color w:val="000000"/>
              </w:rPr>
            </w:pPr>
            <w:r w:rsidRPr="002E63B3">
              <w:rPr>
                <w:color w:val="000000"/>
              </w:rPr>
              <w:t>£13,</w:t>
            </w:r>
            <w:r>
              <w:rPr>
                <w:color w:val="000000"/>
              </w:rPr>
              <w:t>191</w:t>
            </w:r>
          </w:p>
        </w:tc>
        <w:tc>
          <w:tcPr>
            <w:tcW w:w="1636" w:type="pct"/>
            <w:shd w:val="clear" w:color="auto" w:fill="auto"/>
          </w:tcPr>
          <w:p w14:paraId="3A7F6099" w14:textId="77777777" w:rsidR="00BC674F" w:rsidRPr="002E63B3" w:rsidRDefault="00BC674F" w:rsidP="00E86771">
            <w:pPr>
              <w:spacing w:line="360" w:lineRule="auto"/>
              <w:jc w:val="right"/>
              <w:rPr>
                <w:color w:val="000000"/>
              </w:rPr>
            </w:pPr>
            <w:r>
              <w:rPr>
                <w:color w:val="000000"/>
              </w:rPr>
              <w:t>£18,719*</w:t>
            </w:r>
          </w:p>
        </w:tc>
      </w:tr>
      <w:tr w:rsidR="00BC674F" w:rsidRPr="002E63B3" w14:paraId="42DB1368" w14:textId="77777777" w:rsidTr="00DB4F65">
        <w:tc>
          <w:tcPr>
            <w:tcW w:w="1728" w:type="pct"/>
            <w:shd w:val="clear" w:color="auto" w:fill="auto"/>
          </w:tcPr>
          <w:p w14:paraId="5BA8CD03" w14:textId="77777777" w:rsidR="00BC674F" w:rsidRPr="002E63B3" w:rsidRDefault="00BC674F" w:rsidP="00E86771">
            <w:pPr>
              <w:spacing w:line="360" w:lineRule="auto"/>
            </w:pPr>
            <w:r w:rsidRPr="002E63B3">
              <w:t>Age 70 and CCI score of 3</w:t>
            </w:r>
          </w:p>
        </w:tc>
        <w:tc>
          <w:tcPr>
            <w:tcW w:w="1636" w:type="pct"/>
          </w:tcPr>
          <w:p w14:paraId="75CDD8A8" w14:textId="77777777" w:rsidR="00BC674F" w:rsidRPr="002E63B3" w:rsidRDefault="00BC674F" w:rsidP="00E86771">
            <w:pPr>
              <w:spacing w:line="360" w:lineRule="auto"/>
              <w:jc w:val="right"/>
              <w:rPr>
                <w:color w:val="000000"/>
              </w:rPr>
            </w:pPr>
            <w:r w:rsidRPr="002E63B3">
              <w:rPr>
                <w:color w:val="000000"/>
              </w:rPr>
              <w:t>£</w:t>
            </w:r>
            <w:r>
              <w:rPr>
                <w:color w:val="000000"/>
              </w:rPr>
              <w:t>15,780</w:t>
            </w:r>
          </w:p>
        </w:tc>
        <w:tc>
          <w:tcPr>
            <w:tcW w:w="1636" w:type="pct"/>
            <w:shd w:val="clear" w:color="auto" w:fill="auto"/>
          </w:tcPr>
          <w:p w14:paraId="74FDACCC" w14:textId="77777777" w:rsidR="00BC674F" w:rsidRPr="002E63B3" w:rsidRDefault="00BC674F" w:rsidP="00E86771">
            <w:pPr>
              <w:spacing w:line="360" w:lineRule="auto"/>
              <w:jc w:val="right"/>
              <w:rPr>
                <w:color w:val="000000"/>
              </w:rPr>
            </w:pPr>
            <w:r>
              <w:rPr>
                <w:color w:val="000000"/>
              </w:rPr>
              <w:t>£20,144*</w:t>
            </w:r>
          </w:p>
        </w:tc>
      </w:tr>
      <w:tr w:rsidR="00BC674F" w:rsidRPr="002E63B3" w14:paraId="0FF2B34F" w14:textId="77777777" w:rsidTr="00DB4F65">
        <w:tc>
          <w:tcPr>
            <w:tcW w:w="1728" w:type="pct"/>
            <w:shd w:val="clear" w:color="auto" w:fill="auto"/>
          </w:tcPr>
          <w:p w14:paraId="69845C03" w14:textId="77777777" w:rsidR="00BC674F" w:rsidRPr="002E63B3" w:rsidRDefault="00BC674F" w:rsidP="00E86771">
            <w:pPr>
              <w:spacing w:line="360" w:lineRule="auto"/>
            </w:pPr>
            <w:r w:rsidRPr="002E63B3">
              <w:t>Age 80 and CCI score of 3</w:t>
            </w:r>
          </w:p>
        </w:tc>
        <w:tc>
          <w:tcPr>
            <w:tcW w:w="1636" w:type="pct"/>
          </w:tcPr>
          <w:p w14:paraId="15CADA20" w14:textId="77777777" w:rsidR="00BC674F" w:rsidRPr="002E63B3" w:rsidRDefault="00BC674F" w:rsidP="00E86771">
            <w:pPr>
              <w:spacing w:line="360" w:lineRule="auto"/>
              <w:jc w:val="right"/>
              <w:rPr>
                <w:color w:val="000000"/>
              </w:rPr>
            </w:pPr>
            <w:r w:rsidRPr="002E63B3">
              <w:rPr>
                <w:color w:val="000000"/>
              </w:rPr>
              <w:t>£</w:t>
            </w:r>
            <w:r>
              <w:rPr>
                <w:color w:val="000000"/>
              </w:rPr>
              <w:t>19,714</w:t>
            </w:r>
          </w:p>
        </w:tc>
        <w:tc>
          <w:tcPr>
            <w:tcW w:w="1636" w:type="pct"/>
            <w:shd w:val="clear" w:color="auto" w:fill="auto"/>
          </w:tcPr>
          <w:p w14:paraId="221EBAD8" w14:textId="77777777" w:rsidR="00BC674F" w:rsidRPr="002E63B3" w:rsidRDefault="00BC674F" w:rsidP="00E86771">
            <w:pPr>
              <w:spacing w:line="360" w:lineRule="auto"/>
              <w:jc w:val="right"/>
              <w:rPr>
                <w:color w:val="000000"/>
              </w:rPr>
            </w:pPr>
            <w:r>
              <w:rPr>
                <w:color w:val="000000"/>
              </w:rPr>
              <w:t>£23,613*</w:t>
            </w:r>
          </w:p>
        </w:tc>
      </w:tr>
      <w:tr w:rsidR="00BC674F" w:rsidRPr="002E63B3" w14:paraId="3B74BBA7" w14:textId="77777777" w:rsidTr="00DB4F65">
        <w:tc>
          <w:tcPr>
            <w:tcW w:w="1728" w:type="pct"/>
            <w:shd w:val="clear" w:color="auto" w:fill="auto"/>
          </w:tcPr>
          <w:p w14:paraId="6CD59212" w14:textId="77777777" w:rsidR="00BC674F" w:rsidRPr="002E63B3" w:rsidRDefault="00BC674F" w:rsidP="00E86771">
            <w:pPr>
              <w:spacing w:line="360" w:lineRule="auto"/>
            </w:pPr>
            <w:r w:rsidRPr="002E63B3">
              <w:t>Age 90 and CCI score of 3</w:t>
            </w:r>
          </w:p>
        </w:tc>
        <w:tc>
          <w:tcPr>
            <w:tcW w:w="1636" w:type="pct"/>
          </w:tcPr>
          <w:p w14:paraId="5851BB77" w14:textId="77777777" w:rsidR="00BC674F" w:rsidRPr="002E63B3" w:rsidRDefault="00BC674F" w:rsidP="00E86771">
            <w:pPr>
              <w:spacing w:line="360" w:lineRule="auto"/>
              <w:jc w:val="right"/>
              <w:rPr>
                <w:color w:val="000000"/>
              </w:rPr>
            </w:pPr>
            <w:r w:rsidRPr="002E63B3">
              <w:rPr>
                <w:color w:val="000000"/>
              </w:rPr>
              <w:t>£25,</w:t>
            </w:r>
            <w:r>
              <w:rPr>
                <w:color w:val="000000"/>
              </w:rPr>
              <w:t>070</w:t>
            </w:r>
          </w:p>
        </w:tc>
        <w:tc>
          <w:tcPr>
            <w:tcW w:w="1636" w:type="pct"/>
            <w:shd w:val="clear" w:color="auto" w:fill="auto"/>
          </w:tcPr>
          <w:p w14:paraId="5291B90B" w14:textId="77777777" w:rsidR="00BC674F" w:rsidRPr="002E63B3" w:rsidRDefault="00BC674F" w:rsidP="00E86771">
            <w:pPr>
              <w:spacing w:line="360" w:lineRule="auto"/>
              <w:jc w:val="right"/>
              <w:rPr>
                <w:color w:val="000000"/>
              </w:rPr>
            </w:pPr>
            <w:r>
              <w:rPr>
                <w:color w:val="000000"/>
              </w:rPr>
              <w:t>£29,162*</w:t>
            </w:r>
          </w:p>
        </w:tc>
      </w:tr>
      <w:tr w:rsidR="00BC674F" w:rsidRPr="002E63B3" w14:paraId="104A9A11" w14:textId="77777777" w:rsidTr="00DB4F65">
        <w:tc>
          <w:tcPr>
            <w:tcW w:w="1728" w:type="pct"/>
            <w:shd w:val="clear" w:color="auto" w:fill="auto"/>
          </w:tcPr>
          <w:p w14:paraId="084FDBA6" w14:textId="77777777" w:rsidR="00BC674F" w:rsidRPr="002E63B3" w:rsidRDefault="00BC674F" w:rsidP="00E86771">
            <w:pPr>
              <w:spacing w:line="360" w:lineRule="auto"/>
            </w:pPr>
            <w:r w:rsidRPr="002E63B3">
              <w:t>Age 60 and CCI score of 5</w:t>
            </w:r>
          </w:p>
        </w:tc>
        <w:tc>
          <w:tcPr>
            <w:tcW w:w="1636" w:type="pct"/>
          </w:tcPr>
          <w:p w14:paraId="7AAA2AF2" w14:textId="77777777" w:rsidR="00BC674F" w:rsidRPr="002E63B3" w:rsidRDefault="00BC674F" w:rsidP="00E86771">
            <w:pPr>
              <w:spacing w:line="360" w:lineRule="auto"/>
              <w:jc w:val="right"/>
              <w:rPr>
                <w:color w:val="000000"/>
              </w:rPr>
            </w:pPr>
            <w:r w:rsidRPr="002E63B3">
              <w:rPr>
                <w:color w:val="000000"/>
              </w:rPr>
              <w:t>£</w:t>
            </w:r>
            <w:r>
              <w:rPr>
                <w:color w:val="000000"/>
              </w:rPr>
              <w:t>13,634</w:t>
            </w:r>
          </w:p>
        </w:tc>
        <w:tc>
          <w:tcPr>
            <w:tcW w:w="1636" w:type="pct"/>
            <w:shd w:val="clear" w:color="auto" w:fill="auto"/>
          </w:tcPr>
          <w:p w14:paraId="6D3E763B" w14:textId="77777777" w:rsidR="00BC674F" w:rsidRPr="002E63B3" w:rsidRDefault="00BC674F" w:rsidP="00E86771">
            <w:pPr>
              <w:spacing w:line="360" w:lineRule="auto"/>
              <w:jc w:val="right"/>
              <w:rPr>
                <w:color w:val="000000"/>
              </w:rPr>
            </w:pPr>
            <w:r>
              <w:rPr>
                <w:color w:val="000000"/>
              </w:rPr>
              <w:t>£19,554*</w:t>
            </w:r>
          </w:p>
        </w:tc>
      </w:tr>
      <w:tr w:rsidR="00BC674F" w:rsidRPr="002E63B3" w14:paraId="465DE642" w14:textId="77777777" w:rsidTr="00DB4F65">
        <w:tc>
          <w:tcPr>
            <w:tcW w:w="1728" w:type="pct"/>
            <w:shd w:val="clear" w:color="auto" w:fill="auto"/>
          </w:tcPr>
          <w:p w14:paraId="19052F8E" w14:textId="77777777" w:rsidR="00BC674F" w:rsidRPr="002E63B3" w:rsidRDefault="00BC674F" w:rsidP="00E86771">
            <w:pPr>
              <w:spacing w:line="360" w:lineRule="auto"/>
            </w:pPr>
            <w:r w:rsidRPr="002E63B3">
              <w:t>Age 70 and CCI score of 5</w:t>
            </w:r>
          </w:p>
        </w:tc>
        <w:tc>
          <w:tcPr>
            <w:tcW w:w="1636" w:type="pct"/>
          </w:tcPr>
          <w:p w14:paraId="76FE28F5" w14:textId="77777777" w:rsidR="00BC674F" w:rsidRPr="002E63B3" w:rsidRDefault="00BC674F" w:rsidP="00E86771">
            <w:pPr>
              <w:spacing w:line="360" w:lineRule="auto"/>
              <w:jc w:val="right"/>
              <w:rPr>
                <w:color w:val="000000"/>
              </w:rPr>
            </w:pPr>
            <w:r w:rsidRPr="002E63B3">
              <w:rPr>
                <w:color w:val="000000"/>
              </w:rPr>
              <w:t>£</w:t>
            </w:r>
            <w:r>
              <w:rPr>
                <w:color w:val="000000"/>
              </w:rPr>
              <w:t>16,611</w:t>
            </w:r>
          </w:p>
        </w:tc>
        <w:tc>
          <w:tcPr>
            <w:tcW w:w="1636" w:type="pct"/>
            <w:shd w:val="clear" w:color="auto" w:fill="auto"/>
          </w:tcPr>
          <w:p w14:paraId="0F763F0F" w14:textId="77777777" w:rsidR="00BC674F" w:rsidRPr="002E63B3" w:rsidRDefault="00BC674F" w:rsidP="00E86771">
            <w:pPr>
              <w:spacing w:line="360" w:lineRule="auto"/>
              <w:jc w:val="right"/>
              <w:rPr>
                <w:color w:val="000000"/>
              </w:rPr>
            </w:pPr>
            <w:r>
              <w:rPr>
                <w:color w:val="000000"/>
              </w:rPr>
              <w:t>£21,593*</w:t>
            </w:r>
          </w:p>
        </w:tc>
      </w:tr>
      <w:tr w:rsidR="00BC674F" w:rsidRPr="002E63B3" w14:paraId="6519B6A0" w14:textId="77777777" w:rsidTr="00DB4F65">
        <w:tc>
          <w:tcPr>
            <w:tcW w:w="1728" w:type="pct"/>
            <w:shd w:val="clear" w:color="auto" w:fill="auto"/>
          </w:tcPr>
          <w:p w14:paraId="1B575A94" w14:textId="77777777" w:rsidR="00BC674F" w:rsidRPr="002E63B3" w:rsidRDefault="00BC674F" w:rsidP="00E86771">
            <w:pPr>
              <w:spacing w:line="360" w:lineRule="auto"/>
            </w:pPr>
            <w:r w:rsidRPr="002E63B3">
              <w:t>Age 80 and CCI score of 5</w:t>
            </w:r>
          </w:p>
        </w:tc>
        <w:tc>
          <w:tcPr>
            <w:tcW w:w="1636" w:type="pct"/>
          </w:tcPr>
          <w:p w14:paraId="013AA920" w14:textId="77777777" w:rsidR="00BC674F" w:rsidRPr="002E63B3" w:rsidRDefault="00BC674F" w:rsidP="00E86771">
            <w:pPr>
              <w:spacing w:line="360" w:lineRule="auto"/>
              <w:jc w:val="right"/>
              <w:rPr>
                <w:color w:val="000000"/>
              </w:rPr>
            </w:pPr>
            <w:r w:rsidRPr="002E63B3">
              <w:rPr>
                <w:color w:val="000000"/>
              </w:rPr>
              <w:t>£</w:t>
            </w:r>
            <w:r>
              <w:rPr>
                <w:color w:val="000000"/>
              </w:rPr>
              <w:t>21,198</w:t>
            </w:r>
          </w:p>
        </w:tc>
        <w:tc>
          <w:tcPr>
            <w:tcW w:w="1636" w:type="pct"/>
            <w:shd w:val="clear" w:color="auto" w:fill="auto"/>
          </w:tcPr>
          <w:p w14:paraId="4276DD6F" w14:textId="77777777" w:rsidR="00BC674F" w:rsidRPr="002E63B3" w:rsidRDefault="00BC674F" w:rsidP="00E86771">
            <w:pPr>
              <w:spacing w:line="360" w:lineRule="auto"/>
              <w:jc w:val="right"/>
              <w:rPr>
                <w:color w:val="000000"/>
              </w:rPr>
            </w:pPr>
            <w:r>
              <w:rPr>
                <w:color w:val="000000"/>
              </w:rPr>
              <w:t>£25,811*</w:t>
            </w:r>
          </w:p>
        </w:tc>
      </w:tr>
      <w:tr w:rsidR="00BC674F" w:rsidRPr="002E63B3" w14:paraId="25AAE56D" w14:textId="77777777" w:rsidTr="00DB4F65">
        <w:tc>
          <w:tcPr>
            <w:tcW w:w="1728" w:type="pct"/>
            <w:shd w:val="clear" w:color="auto" w:fill="auto"/>
          </w:tcPr>
          <w:p w14:paraId="2680127C" w14:textId="77777777" w:rsidR="00BC674F" w:rsidRPr="002E63B3" w:rsidRDefault="00BC674F" w:rsidP="00E86771">
            <w:pPr>
              <w:spacing w:line="360" w:lineRule="auto"/>
            </w:pPr>
            <w:r w:rsidRPr="002E63B3">
              <w:t>Age 90 and CCI score of 5</w:t>
            </w:r>
          </w:p>
        </w:tc>
        <w:tc>
          <w:tcPr>
            <w:tcW w:w="1636" w:type="pct"/>
          </w:tcPr>
          <w:p w14:paraId="1A51EA47" w14:textId="77777777" w:rsidR="00BC674F" w:rsidRPr="002E63B3" w:rsidRDefault="00BC674F" w:rsidP="00E86771">
            <w:pPr>
              <w:spacing w:line="360" w:lineRule="auto"/>
              <w:jc w:val="right"/>
              <w:rPr>
                <w:color w:val="000000"/>
              </w:rPr>
            </w:pPr>
            <w:r w:rsidRPr="002E63B3">
              <w:rPr>
                <w:color w:val="000000"/>
              </w:rPr>
              <w:t>£</w:t>
            </w:r>
            <w:r>
              <w:rPr>
                <w:color w:val="000000"/>
              </w:rPr>
              <w:t>27,680</w:t>
            </w:r>
            <w:r w:rsidRPr="002E63B3">
              <w:rPr>
                <w:color w:val="000000"/>
              </w:rPr>
              <w:t>*</w:t>
            </w:r>
          </w:p>
        </w:tc>
        <w:tc>
          <w:tcPr>
            <w:tcW w:w="1636" w:type="pct"/>
            <w:shd w:val="clear" w:color="auto" w:fill="auto"/>
          </w:tcPr>
          <w:p w14:paraId="5395675B" w14:textId="77777777" w:rsidR="00BC674F" w:rsidRPr="002E63B3" w:rsidRDefault="00BC674F" w:rsidP="00E86771">
            <w:pPr>
              <w:spacing w:line="360" w:lineRule="auto"/>
              <w:jc w:val="right"/>
              <w:rPr>
                <w:color w:val="000000"/>
              </w:rPr>
            </w:pPr>
            <w:r>
              <w:rPr>
                <w:color w:val="000000"/>
              </w:rPr>
              <w:t>£32,450</w:t>
            </w:r>
          </w:p>
        </w:tc>
      </w:tr>
    </w:tbl>
    <w:p w14:paraId="2830587F" w14:textId="77777777" w:rsidR="00CF2E21" w:rsidRPr="00591BFC" w:rsidRDefault="00CF2E21" w:rsidP="00E86771">
      <w:pPr>
        <w:spacing w:line="360" w:lineRule="auto"/>
      </w:pPr>
      <w:r w:rsidRPr="00591BFC">
        <w:t>* Most cost-effective option</w:t>
      </w:r>
    </w:p>
    <w:p w14:paraId="61BFC811" w14:textId="77777777" w:rsidR="00CF2E21" w:rsidRPr="00591BFC" w:rsidRDefault="00CF2E21" w:rsidP="00E86771">
      <w:pPr>
        <w:spacing w:line="360" w:lineRule="auto"/>
      </w:pPr>
    </w:p>
    <w:p w14:paraId="156B1C67" w14:textId="77777777" w:rsidR="00CF2E21" w:rsidRPr="00591BFC" w:rsidRDefault="00CF2E21" w:rsidP="00E86771">
      <w:pPr>
        <w:pStyle w:val="Heading2"/>
        <w:spacing w:line="360" w:lineRule="auto"/>
        <w:rPr>
          <w:rFonts w:ascii="Calibri" w:hAnsi="Calibri"/>
          <w:lang w:val="en-GB"/>
        </w:rPr>
      </w:pPr>
      <w:bookmarkStart w:id="482" w:name="_Toc308300819"/>
      <w:bookmarkStart w:id="483" w:name="_Toc311366626"/>
      <w:r w:rsidRPr="00591BFC">
        <w:rPr>
          <w:rFonts w:ascii="Calibri" w:hAnsi="Calibri"/>
          <w:lang w:val="en-GB"/>
        </w:rPr>
        <w:t>Conclusion</w:t>
      </w:r>
      <w:bookmarkEnd w:id="482"/>
      <w:bookmarkEnd w:id="483"/>
    </w:p>
    <w:p w14:paraId="492D684B" w14:textId="77777777" w:rsidR="00CF2E21" w:rsidRPr="00591BFC" w:rsidRDefault="00CF2E21" w:rsidP="00E86771">
      <w:pPr>
        <w:spacing w:line="360" w:lineRule="auto"/>
      </w:pPr>
      <w:r w:rsidRPr="00591BFC">
        <w:t xml:space="preserve">Existent cost-effectiveness evidence suggests that secondary prevention services for fractures can be cost-effective and even cost-saving. Nonetheless, there is considerable uncertainty regarding the most cost-effective approach to provide secondary prevention services following hip fractures. </w:t>
      </w:r>
    </w:p>
    <w:p w14:paraId="6E06ED05" w14:textId="0D07933F" w:rsidR="00CF2E21" w:rsidRPr="00591BFC" w:rsidRDefault="00CF2E21" w:rsidP="00E86771">
      <w:pPr>
        <w:spacing w:line="360" w:lineRule="auto"/>
      </w:pPr>
      <w:r w:rsidRPr="00591BFC">
        <w:lastRenderedPageBreak/>
        <w:t xml:space="preserve">At current NICE thresholds of £20,000 to £30,000 per QALY gained, our cost-effectiveness analysis suggests that it is cost-effective to introduce a hospital-based orthogeriatrician or a fracture liaison nurse, as part of the delivery of secondary hip fracture prevention services, compared to </w:t>
      </w:r>
      <w:r w:rsidR="00BC674F">
        <w:t xml:space="preserve">usual </w:t>
      </w:r>
      <w:r w:rsidRPr="00591BFC">
        <w:t>care. Furthermore, out results show that, for this group of patients, the most cost-effective option would be introducing an orthogeriatrician. These results are consistent with those reported in previous cost-effectiveness analysis of models of care for the secondary prevention of osteoporotic fractures, despite the difference in the options of care being evaluated</w:t>
      </w:r>
      <w:r w:rsidR="00B24FEE">
        <w:fldChar w:fldCharType="begin">
          <w:fldData xml:space="preserve">PEVuZE5vdGU+PENpdGU+PEF1dGhvcj5NY0xlbGxhbjwvQXV0aG9yPjxZZWFyPjIwMTE8L1llYXI+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c3Rlb3Bvcm9zIEludDwvZnVsbC10aXRsZT48L3BlcmlvZGljYWw+PHBhZ2VzPjk3LTEwNzwvcGFn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</w:fldData>
        </w:fldChar>
      </w:r>
      <w:r w:rsidR="00B24FEE">
        <w:instrText xml:space="preserve"> ADDIN EN.CITE </w:instrText>
      </w:r>
      <w:r w:rsidR="00B24FEE">
        <w:fldChar w:fldCharType="begin">
          <w:fldData xml:space="preserve">PEVuZE5vdGU+PENpdGU+PEF1dGhvcj5NY0xlbGxhbjwvQXV0aG9yPjxZZWFyPjIwMTE8L1llYXI+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c3Rlb3Bvcm9zIEludDwvZnVsbC10aXRsZT48L3BlcmlvZGljYWw+PHBhZ2VzPjk3LTEwNzwvcGFn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</w:fldData>
        </w:fldChar>
      </w:r>
      <w:r w:rsidR="00B24FEE">
        <w:instrText xml:space="preserve"> ADDIN EN.CITE.DATA </w:instrText>
      </w:r>
      <w:r w:rsidR="00B24FEE">
        <w:fldChar w:fldCharType="end"/>
      </w:r>
      <w:r w:rsidR="00B24FEE">
        <w:fldChar w:fldCharType="separate"/>
      </w:r>
      <w:hyperlink w:anchor="_ENREF_20" w:tooltip="McLellan, 2011 #45" w:history="1">
        <w:r w:rsidR="00B24FEE" w:rsidRPr="00B24FEE">
          <w:rPr>
            <w:noProof/>
            <w:vertAlign w:val="superscript"/>
          </w:rPr>
          <w:t>20</w:t>
        </w:r>
      </w:hyperlink>
      <w:r w:rsidR="00B24FEE" w:rsidRPr="00B24FEE">
        <w:rPr>
          <w:noProof/>
          <w:vertAlign w:val="superscript"/>
        </w:rPr>
        <w:t xml:space="preserve"> </w:t>
      </w:r>
      <w:hyperlink w:anchor="_ENREF_21" w:tooltip="Cooper, 2012 #147" w:history="1">
        <w:r w:rsidR="00B24FEE" w:rsidRPr="00B24FEE">
          <w:rPr>
            <w:noProof/>
            <w:vertAlign w:val="superscript"/>
          </w:rPr>
          <w:t>21</w:t>
        </w:r>
      </w:hyperlink>
      <w:r w:rsidR="00B24FEE" w:rsidRPr="00B24FEE">
        <w:rPr>
          <w:noProof/>
          <w:vertAlign w:val="superscript"/>
        </w:rPr>
        <w:t xml:space="preserve"> </w:t>
      </w:r>
      <w:hyperlink w:anchor="_ENREF_94" w:tooltip="Majumdar, 2009 #1137" w:history="1">
        <w:r w:rsidR="00B24FEE" w:rsidRPr="00B24FEE">
          <w:rPr>
            <w:noProof/>
            <w:vertAlign w:val="superscript"/>
          </w:rPr>
          <w:t>94</w:t>
        </w:r>
      </w:hyperlink>
      <w:r w:rsidR="00B24FEE">
        <w:fldChar w:fldCharType="end"/>
      </w:r>
      <w:r w:rsidR="00587703" w:rsidRPr="00591BFC">
        <w:t>.]</w:t>
      </w:r>
      <w:r w:rsidRPr="00591BFC">
        <w:t xml:space="preserve"> However, in contrast with previous work, our study benefits from the availability of large primary and secondary care administrative datasets that enabled the robust estimation of the impact of the models of care in terms of survival, prevention of second hip fracture, primary care and hospital care costs and cost-effectiveness. Furthermore, our results did not show OG or a FLN to be cost-saving compared to standard care as was reported in the cost</w:t>
      </w:r>
      <w:r w:rsidR="00C32CBE">
        <w:t>-</w:t>
      </w:r>
      <w:r w:rsidRPr="00591BFC">
        <w:t xml:space="preserve">effectiveness analyses by McLellan </w:t>
      </w:r>
      <w:r w:rsidRPr="00591BFC">
        <w:rPr>
          <w:i/>
        </w:rPr>
        <w:t>et al.</w:t>
      </w:r>
      <w:r w:rsidRPr="00591BFC">
        <w:t xml:space="preserve"> (2011)</w:t>
      </w:r>
      <w:hyperlink w:anchor="_ENREF_20" w:tooltip="McLellan, 2011 #45" w:history="1">
        <w:r w:rsidR="00B24FEE">
          <w:fldChar w:fldCharType="begin"/>
        </w:r>
        <w:r w:rsidR="00B24FEE">
          <w:instrText xml:space="preserve"> ADDIN EN.CITE &lt;EndNote&gt;&lt;Cite&gt;&lt;Author&gt;McLellan&lt;/Author&gt;&lt;Year&gt;2011&lt;/Year&gt;&lt;RecNum&gt;45&lt;/RecNum&gt;&lt;DisplayText&gt;&lt;style face="superscript"&gt;20&lt;/style&gt;&lt;/DisplayText&gt;&lt;record&gt;&lt;rec-number&gt;45&lt;/rec-number&gt;&lt;foreign-keys&gt;&lt;key app="EN" db-id="sxpszd2ti9dx04ewefrvfp5bpf5faazszr9p" timestamp="0"&gt;45&lt;/key&gt;&lt;/foreign-keys&gt;&lt;ref-type name="Journal Article"&gt;17&lt;/ref-type&gt;&lt;contributors&gt;&lt;authors&gt;&lt;author&gt;McLellan, A.&lt;/author&gt;&lt;author&gt;Wolowacz, S.&lt;/author&gt;&lt;author&gt;Zimovetz, E.&lt;/author&gt;&lt;author&gt;Beard, S.&lt;/author&gt;&lt;author&gt;Lock, S.&lt;/author&gt;&lt;author&gt;McCrink, L.&lt;/author&gt;&lt;author&gt;Adekunle, F.&lt;/author&gt;&lt;author&gt;Roberts, D.&lt;/author&gt;&lt;/authors&gt;&lt;/contributors&gt;&lt;titles&gt;&lt;title&gt;Fracture liaison services for the evaluation and management of patients with osteoporotic fracture: a cost-effectiveness evaluation based on data collected over 8 years of service provision&lt;/title&gt;&lt;secondary-title&gt;Osteoporosis International&lt;/secondary-title&gt;&lt;/titles&gt;&lt;pages&gt;2083-2098&lt;/pages&gt;&lt;volume&gt;22&lt;/volume&gt;&lt;number&gt;7&lt;/number&gt;&lt;keywords&gt;&lt;keyword&gt;Medicine&lt;/keyword&gt;&lt;/keywords&gt;&lt;dates&gt;&lt;year&gt;2011&lt;/year&gt;&lt;/dates&gt;&lt;publisher&gt;Springer London&lt;/publisher&gt;&lt;isbn&gt;0937-941X&lt;/isbn&gt;&lt;urls&gt;&lt;related-urls&gt;&lt;url&gt;http://dx.doi.org/10.1007/s00198-011-1534-0&lt;/url&gt;&lt;/related-urls&gt;&lt;/urls&gt;&lt;electronic-resource-num&gt;10.1007/s00198-011-1534-0&lt;/electronic-resource-num&gt;&lt;/record&gt;&lt;/Cite&gt;&lt;/EndNote&gt;</w:instrText>
        </w:r>
        <w:r w:rsidR="00B24FEE">
          <w:fldChar w:fldCharType="separate"/>
        </w:r>
        <w:r w:rsidR="00B24FEE" w:rsidRPr="00B24FEE">
          <w:rPr>
            <w:noProof/>
            <w:vertAlign w:val="superscript"/>
          </w:rPr>
          <w:t>20</w:t>
        </w:r>
        <w:r w:rsidR="00B24FEE">
          <w:fldChar w:fldCharType="end"/>
        </w:r>
      </w:hyperlink>
      <w:r w:rsidRPr="00591BFC">
        <w:t xml:space="preserve"> and Majumdar </w:t>
      </w:r>
      <w:r w:rsidRPr="00591BFC">
        <w:rPr>
          <w:i/>
        </w:rPr>
        <w:t>et al.</w:t>
      </w:r>
      <w:r w:rsidRPr="00591BFC">
        <w:t>(2009)</w:t>
      </w:r>
      <w:hyperlink w:anchor="_ENREF_94" w:tooltip="Majumdar, 2009 #1137" w:history="1">
        <w:r w:rsidR="00B24FEE">
          <w:fldChar w:fldCharType="begin">
            <w:fldData xml:space="preserve">PEVuZE5vdGU+PENpdGU+PEF1dGhvcj5NYWp1bWRhcjwvQXV0aG9yPjxZZWFyPjIwMDk8L1llYXI+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==
</w:fldData>
          </w:fldChar>
        </w:r>
        <w:r w:rsidR="00B24FEE">
          <w:instrText xml:space="preserve"> ADDIN EN.CITE </w:instrText>
        </w:r>
        <w:r w:rsidR="00B24FEE">
          <w:fldChar w:fldCharType="begin">
            <w:fldData xml:space="preserve">PEVuZE5vdGU+PENpdGU+PEF1dGhvcj5NYWp1bWRhcjwvQXV0aG9yPjxZZWFyPjIwMDk8L1llYXI+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==
</w:fldData>
          </w:fldChar>
        </w:r>
        <w:r w:rsidR="00B24FEE">
          <w:instrText xml:space="preserve"> ADDIN EN.CITE.DATA </w:instrText>
        </w:r>
        <w:r w:rsidR="00B24FEE">
          <w:fldChar w:fldCharType="end"/>
        </w:r>
        <w:r w:rsidR="00B24FEE">
          <w:fldChar w:fldCharType="separate"/>
        </w:r>
        <w:r w:rsidR="00B24FEE" w:rsidRPr="00B24FEE">
          <w:rPr>
            <w:noProof/>
            <w:vertAlign w:val="superscript"/>
          </w:rPr>
          <w:t>94</w:t>
        </w:r>
        <w:r w:rsidR="00B24FEE">
          <w:fldChar w:fldCharType="end"/>
        </w:r>
      </w:hyperlink>
      <w:r w:rsidRPr="00591BFC">
        <w:t>. However, this is the first cost-effectiveness analysis in this area being informed by large primary and secondary care data records that allowed the robust estimation of the short and long-term costs incurred by patients with a hip fracture.</w:t>
      </w:r>
    </w:p>
    <w:p w14:paraId="1ABFC89D" w14:textId="44213D06" w:rsidR="00CF2E21" w:rsidRPr="00591BFC" w:rsidRDefault="00CF2E21" w:rsidP="00E86771">
      <w:pPr>
        <w:spacing w:line="360" w:lineRule="auto"/>
      </w:pPr>
      <w:r w:rsidRPr="00591BFC">
        <w:t>Irrespective of how patients were stratified in terms of their age, sex, and Charl</w:t>
      </w:r>
      <w:r w:rsidR="00625755">
        <w:t>s</w:t>
      </w:r>
      <w:r w:rsidRPr="00591BFC">
        <w:t xml:space="preserve">on co-morbidity score at index hip fracture our results suggest that it is cost-effective to introduce an orthogeriatrician or a fracture nurse compared to standard care. This is largely due to the impact that these models of care have on patient survival rather than </w:t>
      </w:r>
      <w:r w:rsidR="00BC674F">
        <w:t xml:space="preserve">on </w:t>
      </w:r>
      <w:r w:rsidRPr="00591BFC">
        <w:t>the prevention of further hip fractures or other major non-hip fractures. Hence, the OG or FLN options appear to be more cost-effective when the outcome measure used is life years (lower incremental cost-effectiveness ratios) rather than QALYs (e.g. OG compared to FLN was £</w:t>
      </w:r>
      <w:r w:rsidRPr="00591BFC">
        <w:rPr>
          <w:color w:val="000000"/>
        </w:rPr>
        <w:t>1</w:t>
      </w:r>
      <w:r w:rsidR="00BC674F">
        <w:rPr>
          <w:color w:val="000000"/>
        </w:rPr>
        <w:t>4</w:t>
      </w:r>
      <w:r w:rsidRPr="00591BFC">
        <w:rPr>
          <w:color w:val="000000"/>
        </w:rPr>
        <w:t>,</w:t>
      </w:r>
      <w:r w:rsidR="00BC674F">
        <w:rPr>
          <w:color w:val="000000"/>
        </w:rPr>
        <w:t>683</w:t>
      </w:r>
      <w:r w:rsidRPr="00591BFC">
        <w:rPr>
          <w:color w:val="000000"/>
        </w:rPr>
        <w:t xml:space="preserve"> </w:t>
      </w:r>
      <w:r w:rsidRPr="00591BFC">
        <w:t>per LY saved compared to £</w:t>
      </w:r>
      <w:r w:rsidRPr="00591BFC">
        <w:rPr>
          <w:color w:val="000000"/>
        </w:rPr>
        <w:t>23,</w:t>
      </w:r>
      <w:r w:rsidR="00BC674F">
        <w:rPr>
          <w:color w:val="000000"/>
        </w:rPr>
        <w:t>189</w:t>
      </w:r>
      <w:r w:rsidRPr="00591BFC">
        <w:rPr>
          <w:color w:val="000000"/>
        </w:rPr>
        <w:t xml:space="preserve"> per QALY)</w:t>
      </w:r>
      <w:r w:rsidRPr="00591BFC">
        <w:t xml:space="preserve">. This is </w:t>
      </w:r>
      <w:r w:rsidR="00BC674F">
        <w:t>because</w:t>
      </w:r>
      <w:r w:rsidRPr="00591BFC">
        <w:t xml:space="preserve"> quality of life </w:t>
      </w:r>
      <w:r w:rsidR="00BC674F">
        <w:t>is</w:t>
      </w:r>
      <w:r w:rsidRPr="00591BFC">
        <w:t xml:space="preserve"> a function of events such as second hip fractu</w:t>
      </w:r>
      <w:r w:rsidR="00BC674F">
        <w:t xml:space="preserve">re and major non-hip fractures </w:t>
      </w:r>
      <w:r w:rsidRPr="00591BFC">
        <w:t>for which there is no significant effect from introduc</w:t>
      </w:r>
      <w:r w:rsidR="00BC674F">
        <w:t>ing an OG or a FLN compared to usual</w:t>
      </w:r>
      <w:r w:rsidRPr="00591BFC">
        <w:t xml:space="preserve"> care. </w:t>
      </w:r>
      <w:r w:rsidR="00BC674F">
        <w:t>Furthermore,</w:t>
      </w:r>
      <w:r w:rsidRPr="00591BFC">
        <w:t xml:space="preserve"> longer survival</w:t>
      </w:r>
      <w:r w:rsidR="00BC674F">
        <w:t xml:space="preserve"> may also </w:t>
      </w:r>
      <w:r w:rsidRPr="00591BFC">
        <w:t xml:space="preserve">incur </w:t>
      </w:r>
      <w:r w:rsidR="00BC674F">
        <w:t>higher</w:t>
      </w:r>
      <w:r w:rsidRPr="00591BFC">
        <w:t xml:space="preserve"> healthcare and </w:t>
      </w:r>
      <w:r w:rsidR="00BC674F">
        <w:t>social care costs relative to usual</w:t>
      </w:r>
      <w:r w:rsidRPr="00591BFC">
        <w:t xml:space="preserve"> care which may not </w:t>
      </w:r>
      <w:r w:rsidR="00BC674F">
        <w:t>be</w:t>
      </w:r>
      <w:r w:rsidRPr="00591BFC">
        <w:t xml:space="preserve"> outweigh</w:t>
      </w:r>
      <w:r w:rsidR="00BC674F">
        <w:t>ed by</w:t>
      </w:r>
      <w:r w:rsidRPr="00591BFC">
        <w:t xml:space="preserve"> the </w:t>
      </w:r>
      <w:r w:rsidR="00BC674F">
        <w:t>gains</w:t>
      </w:r>
      <w:r w:rsidRPr="00591BFC">
        <w:t xml:space="preserve"> in quality of life.</w:t>
      </w:r>
    </w:p>
    <w:p w14:paraId="4A7FE2CF" w14:textId="77777777" w:rsidR="00CF2E21" w:rsidRPr="00591BFC" w:rsidRDefault="00CF2E21" w:rsidP="00E86771">
      <w:pPr>
        <w:spacing w:line="360" w:lineRule="auto"/>
      </w:pPr>
      <w:r w:rsidRPr="00591BFC">
        <w:t>There is considerable uncertainty in the evidence informing the model, particularly the relative effectiveness of an OG compared to a FLN on survival and prevention of second hip fracture and the natural history of hip fracture. This is reflected in the very large EVPI values of £2</w:t>
      </w:r>
      <w:r w:rsidR="00BC674F">
        <w:t>3 million to £73</w:t>
      </w:r>
      <w:r w:rsidRPr="00591BFC">
        <w:t xml:space="preserve"> million, conditional on the expected lifetime of the models of care. The EVPI gives the maximum amount of funding required for further research to reduce the decision uncertainty about which of the models of care is the most cost-effective option. The large incidence of hip fractures every year that will be affected by the decision together with the considerable uncertainty about whether an </w:t>
      </w:r>
      <w:r w:rsidRPr="00591BFC">
        <w:lastRenderedPageBreak/>
        <w:t xml:space="preserve">orthogeriatrician is more effective than a fracture nurse warrant caution about the model results. Hence, our work suggests undertaking additional major commissioned research work to further reduce the decision uncertainty, with particular emphasis on clinical trials comparing the different models of secondary care prevention services. </w:t>
      </w:r>
    </w:p>
    <w:p w14:paraId="272D0CBF" w14:textId="77777777" w:rsidR="00CF2E21" w:rsidRPr="00591BFC" w:rsidRDefault="00CF2E21" w:rsidP="00E86771">
      <w:pPr>
        <w:spacing w:line="360" w:lineRule="auto"/>
      </w:pPr>
      <w:r w:rsidRPr="00591BFC">
        <w:t xml:space="preserve">There are several limitations to consider. First, the effectiveness data were not informed by a clinical trial as such data are not available. Also it was not possible to robustly evaluate more options of models of secondary prevention care, such as introducing an orthogeriatrician together with a fracture nurse compared </w:t>
      </w:r>
      <w:r w:rsidR="00BC674F">
        <w:t>to usual</w:t>
      </w:r>
      <w:r w:rsidRPr="00591BFC">
        <w:t xml:space="preserve"> care as</w:t>
      </w:r>
      <w:r w:rsidR="00BC674F">
        <w:t xml:space="preserve"> this</w:t>
      </w:r>
      <w:r w:rsidRPr="00591BFC">
        <w:t xml:space="preserve"> was limited by the range and number of services currently provided in the </w:t>
      </w:r>
      <w:r w:rsidR="00BC674F">
        <w:t>region studied</w:t>
      </w:r>
      <w:r w:rsidRPr="00591BFC">
        <w:t>. Furthermore, it was not possible to directly compare the introduction of a fracture nurse relative to an orthogeriatrician but rather indirectly in terms of their effectiveness relative to the same reference group (</w:t>
      </w:r>
      <w:r w:rsidRPr="00591BFC">
        <w:rPr>
          <w:i/>
        </w:rPr>
        <w:t>i.e.</w:t>
      </w:r>
      <w:r w:rsidRPr="00591BFC">
        <w:t xml:space="preserve"> </w:t>
      </w:r>
      <w:r w:rsidR="00BC674F">
        <w:t>usual</w:t>
      </w:r>
      <w:r w:rsidRPr="00591BFC">
        <w:t xml:space="preserve"> care). </w:t>
      </w:r>
    </w:p>
    <w:p w14:paraId="064EC44C" w14:textId="77777777" w:rsidR="00CF2E21" w:rsidRPr="00591BFC" w:rsidRDefault="00CF2E21" w:rsidP="00E86771">
      <w:pPr>
        <w:spacing w:line="360" w:lineRule="auto"/>
      </w:pPr>
      <w:r w:rsidRPr="00591BFC">
        <w:t>Second, the models of care did not significantly affect the prevention of second hip fractures as was expected at the outset of the study. However, the apparent lack of effect on second hip fractures may be a result of the relatively short time horizon used to evaluate it (2 years) and the relative small number of patients with a second hip fracture (2206 patients overall) available to evaluate its impact</w:t>
      </w:r>
      <w:r w:rsidR="00BC674F">
        <w:t xml:space="preserve"> </w:t>
      </w:r>
      <w:r w:rsidR="00BC674F" w:rsidRPr="00BC674F">
        <w:t>(see Chapter 6 for further discussion)</w:t>
      </w:r>
      <w:r w:rsidRPr="00591BFC">
        <w:t xml:space="preserve">. Nonetheless, despite these limitations, the effectiveness data used to inform the cost-effectiveness analysis was based on a very large administrative dataset supported by a careful survey of the services provided in each. This allowed to robustly identify when and what type of changes occurred in the delivery of services and, thus, inform the statistical analysis. </w:t>
      </w:r>
    </w:p>
    <w:p w14:paraId="16CD40F9" w14:textId="77777777" w:rsidR="00CF2E21" w:rsidRPr="00591BFC" w:rsidRDefault="00CF2E21" w:rsidP="00E86771">
      <w:pPr>
        <w:spacing w:line="360" w:lineRule="auto"/>
      </w:pPr>
      <w:r w:rsidRPr="00591BFC">
        <w:t xml:space="preserve">Third, we did not separate the different types of fragility-related fractures that the patients could suffer post discharge. We focused on major non-hip fractures requiring hospitalisation given their relative large impact in terms of healthcare costs and the </w:t>
      </w:r>
      <w:r w:rsidR="00BC674F">
        <w:t>feasibility</w:t>
      </w:r>
      <w:r w:rsidRPr="00591BFC">
        <w:t xml:space="preserve"> of tracking these in the administrative healthcare records. Furthermore, we did not separate non-hip fractures by type so that we could benefit from having a large</w:t>
      </w:r>
      <w:r w:rsidR="00BC674F">
        <w:t>r sample to estimate the costs</w:t>
      </w:r>
      <w:r w:rsidRPr="00591BFC">
        <w:t xml:space="preserve">. Other fragility fractures not incurring hospitalisation </w:t>
      </w:r>
      <w:r w:rsidR="00BC674F">
        <w:t>were</w:t>
      </w:r>
      <w:r w:rsidRPr="00591BFC">
        <w:t xml:space="preserve"> still included in the model as </w:t>
      </w:r>
      <w:r w:rsidR="00BC674F">
        <w:t>part of the</w:t>
      </w:r>
      <w:r w:rsidRPr="00591BFC">
        <w:t xml:space="preserve"> primary and hospital care cost equations (</w:t>
      </w:r>
      <w:r w:rsidR="00BC674F">
        <w:t>captured in the</w:t>
      </w:r>
      <w:r w:rsidRPr="00591BFC">
        <w:t xml:space="preserve"> constant</w:t>
      </w:r>
      <w:r w:rsidR="00BC674F">
        <w:t xml:space="preserve"> term</w:t>
      </w:r>
      <w:r w:rsidRPr="00591BFC">
        <w:t>).</w:t>
      </w:r>
    </w:p>
    <w:p w14:paraId="5B424E1F" w14:textId="76D1B45A" w:rsidR="00CF2E21" w:rsidRPr="00591BFC" w:rsidRDefault="00CF2E21" w:rsidP="00E86771">
      <w:pPr>
        <w:spacing w:line="360" w:lineRule="auto"/>
      </w:pPr>
      <w:r w:rsidRPr="00591BFC">
        <w:t xml:space="preserve">Fourth, although a great proportion of the data used was derived from healthcare records of patients with hip fracture, we had to obtain health state utility values from a review of the published literature. These data were then synthesised using a meta-regression approach to inform on the changes of utility conditional on time since hip fracture and the use of the EQ-5D instrument. However, it was not possible to reliably estimate utility values for non-hip fractures or the additional impact these may have on the quality of life of individuals with a history of hip fracture. Hence, </w:t>
      </w:r>
      <w:r w:rsidRPr="00591BFC">
        <w:lastRenderedPageBreak/>
        <w:t>assumptions were needed that were fully explored in sensitivity analysis. Furthermore, due to the cohort nature of the Markov model and its lack of memory it was not possible to model the trajectory of utility values that took into account both time since primary hip fracture and history of events such as non-hip fractures and second hip fracture. An alternative would have been to analyse the Markov model as an individual-based model (i.e. microsimulation) so that we could keep track of each individual’s history and adjust the utility values accordingly</w:t>
      </w:r>
      <w:hyperlink w:anchor="_ENREF_156" w:tooltip="Siebert, 2012 #1141" w:history="1">
        <w:r w:rsidR="00B24FEE">
          <w:fldChar w:fldCharType="begin"/>
        </w:r>
        <w:r w:rsidR="00B24FEE">
          <w:instrText xml:space="preserve"> ADDIN EN.CITE &lt;EndNote&gt;&lt;Cite&gt;&lt;Author&gt;Siebert&lt;/Author&gt;&lt;Year&gt;2012&lt;/Year&gt;&lt;RecNum&gt;1141&lt;/RecNum&gt;&lt;DisplayText&gt;&lt;style face="superscript"&gt;156&lt;/style&gt;&lt;/DisplayText&gt;&lt;record&gt;&lt;rec-number&gt;1141&lt;/rec-number&gt;&lt;foreign-keys&gt;&lt;key app="EN" db-id="sxpszd2ti9dx04ewefrvfp5bpf5faazszr9p" timestamp="1435664974"&gt;1141&lt;/key&gt;&lt;/foreign-keys&gt;&lt;ref-type name="Journal Article"&gt;17&lt;/ref-type&gt;&lt;contributors&gt;&lt;authors&gt;&lt;author&gt;Siebert, U.&lt;/author&gt;&lt;author&gt;Alagoz, O.&lt;/author&gt;&lt;author&gt;Bayoumi, A. M.&lt;/author&gt;&lt;author&gt;Jahn, B.&lt;/author&gt;&lt;author&gt;Owens, D. K.&lt;/author&gt;&lt;author&gt;Cohen, D. J.&lt;/author&gt;&lt;author&gt;Kuntz, K. M.&lt;/author&gt;&lt;/authors&gt;&lt;/contributors&gt;&lt;auth-address&gt;UMIT-University for Health Sciences, Medical Informatics and Technology, Hall in Tirol, Austria. uwe.siebert@umit.at&lt;/auth-address&gt;&lt;titles&gt;&lt;title&gt;State-transition modeling: a report of the ISPOR-SMDM Modeling Good Research Practices Task Force--3&lt;/title&gt;&lt;secondary-title&gt;Value Health&lt;/secondary-title&gt;&lt;/titles&gt;&lt;periodical&gt;&lt;full-title&gt;Value Health&lt;/full-title&gt;&lt;/periodical&gt;&lt;pages&gt;812-20&lt;/pages&gt;&lt;volume&gt;15&lt;/volume&gt;&lt;number&gt;6&lt;/number&gt;&lt;edition&gt;2012/09/25&lt;/edition&gt;&lt;keywords&gt;&lt;keyword&gt;*Advisory Committees&lt;/keyword&gt;&lt;keyword&gt;Comparative Effectiveness Research&lt;/keyword&gt;&lt;keyword&gt;Consensus&lt;/keyword&gt;&lt;keyword&gt;*Decision Making, Computer-Assisted&lt;/keyword&gt;&lt;keyword&gt;*Evidence-Based Practice&lt;/keyword&gt;&lt;keyword&gt;Guidelines as Topic&lt;/keyword&gt;&lt;keyword&gt;Markov Chains&lt;/keyword&gt;&lt;keyword&gt;*Models, Theoretical&lt;/keyword&gt;&lt;/keywords&gt;&lt;dates&gt;&lt;year&gt;2012&lt;/year&gt;&lt;pub-dates&gt;&lt;date&gt;Sep-Oct&lt;/date&gt;&lt;/pub-dates&gt;&lt;/dates&gt;&lt;isbn&gt;1524-4733 (Electronic)&amp;#xD;1098-3015 (Linking)&lt;/isbn&gt;&lt;accession-num&gt;22999130&lt;/accession-num&gt;&lt;urls&gt;&lt;related-urls&gt;&lt;url&gt;http://www.ncbi.nlm.nih.gov/pubmed/22999130&lt;/url&gt;&lt;/related-urls&gt;&lt;/urls&gt;&lt;electronic-resource-num&gt;10.1016/j.jval.2012.06.014&amp;#xD;S1098-3015(12)01654-3 [pii]&lt;/electronic-resource-num&gt;&lt;language&gt;eng&lt;/language&gt;&lt;/record&gt;&lt;/Cite&gt;&lt;/EndNote&gt;</w:instrText>
        </w:r>
        <w:r w:rsidR="00B24FEE">
          <w:fldChar w:fldCharType="separate"/>
        </w:r>
        <w:r w:rsidR="00B24FEE" w:rsidRPr="00B24FEE">
          <w:rPr>
            <w:noProof/>
            <w:vertAlign w:val="superscript"/>
          </w:rPr>
          <w:t>156</w:t>
        </w:r>
        <w:r w:rsidR="00B24FEE">
          <w:fldChar w:fldCharType="end"/>
        </w:r>
      </w:hyperlink>
      <w:r w:rsidRPr="00591BFC">
        <w:t>. This would have allowed capturing better the utility trajectory of the hip fracture patients conditional on the history of events.</w:t>
      </w:r>
    </w:p>
    <w:p w14:paraId="19BBE7E9" w14:textId="77777777" w:rsidR="00CF2E21" w:rsidRPr="00591BFC" w:rsidRDefault="00CF2E21" w:rsidP="00E86771">
      <w:pPr>
        <w:spacing w:line="360" w:lineRule="auto"/>
      </w:pPr>
      <w:r w:rsidRPr="00591BFC">
        <w:t xml:space="preserve">Finally, we used the perspective of the NHS and </w:t>
      </w:r>
      <w:r w:rsidR="00BC674F">
        <w:t>s</w:t>
      </w:r>
      <w:r w:rsidRPr="00591BFC">
        <w:t>ocial</w:t>
      </w:r>
      <w:r w:rsidR="00BC674F">
        <w:t xml:space="preserve"> care</w:t>
      </w:r>
      <w:r w:rsidRPr="00591BFC">
        <w:t xml:space="preserve"> services to inform our analysis. Hence, other important cost categories not relevant to the perspective adopted were not included in the analysis. For example, we excluded some important economic considerations for people with hip fracture and their families, such as unpaid care provided by friends and family and home adaptation costs as a consequence of the fracture. </w:t>
      </w:r>
    </w:p>
    <w:p w14:paraId="58BC97A8" w14:textId="77777777" w:rsidR="00CF2E21" w:rsidRPr="00591BFC" w:rsidRDefault="00CF2E21" w:rsidP="00E86771">
      <w:pPr>
        <w:spacing w:line="360" w:lineRule="auto"/>
      </w:pPr>
      <w:r w:rsidRPr="00591BFC">
        <w:t>Hence, to address several of the limitations above we performed extensive internal validity checks complemented by the exploration of different parameter and structural scenarios in the sensitivity analysis.</w:t>
      </w:r>
    </w:p>
    <w:p w14:paraId="5612E2D8" w14:textId="77777777" w:rsidR="00CF2E21" w:rsidRPr="00591BFC" w:rsidRDefault="00CF2E21" w:rsidP="00E86771">
      <w:pPr>
        <w:spacing w:line="360" w:lineRule="auto"/>
      </w:pPr>
      <w:r w:rsidRPr="00591BFC">
        <w:t xml:space="preserve">In conclusion, our work suggests that </w:t>
      </w:r>
      <w:r w:rsidR="00BC674F">
        <w:t xml:space="preserve">it </w:t>
      </w:r>
      <w:r w:rsidRPr="00591BFC">
        <w:t>may be cost-effective to introduce an orthogeriatrician or a fracture nurse as part of secondary care prevention fracture services for patients with a hip fracture. Further research is needed to make more informed decisions with a focus on estimating the effectiveness of these models of care informed by clinical trials.</w:t>
      </w:r>
    </w:p>
    <w:p w14:paraId="2D955801" w14:textId="77777777" w:rsidR="00CF2E21" w:rsidRPr="00591BFC" w:rsidRDefault="00CF2E21" w:rsidP="00E86771">
      <w:pPr>
        <w:spacing w:line="360" w:lineRule="auto"/>
      </w:pPr>
    </w:p>
    <w:p w14:paraId="555DE88B" w14:textId="77777777" w:rsidR="00CF2E21" w:rsidRPr="00591BFC" w:rsidRDefault="00CF2E21" w:rsidP="00E86771">
      <w:pPr>
        <w:spacing w:line="360" w:lineRule="auto"/>
        <w:rPr>
          <w:lang w:eastAsia="x-none"/>
        </w:rPr>
      </w:pPr>
    </w:p>
    <w:p w14:paraId="0EAEEF98" w14:textId="77777777" w:rsidR="00481788" w:rsidRDefault="002155FD" w:rsidP="00E86771">
      <w:pPr>
        <w:pStyle w:val="Heading1"/>
        <w:spacing w:line="360" w:lineRule="auto"/>
        <w:rPr>
          <w:rFonts w:ascii="Calibri" w:hAnsi="Calibri"/>
          <w:lang w:val="en-GB"/>
        </w:rPr>
      </w:pPr>
      <w:r w:rsidRPr="00591BFC">
        <w:rPr>
          <w:rFonts w:ascii="Calibri" w:hAnsi="Calibri"/>
        </w:rPr>
        <w:br w:type="page"/>
      </w:r>
      <w:bookmarkStart w:id="484" w:name="_Toc308300820"/>
      <w:bookmarkStart w:id="485" w:name="_Toc311366627"/>
      <w:r w:rsidR="006B72BE">
        <w:rPr>
          <w:rFonts w:ascii="Calibri" w:hAnsi="Calibri"/>
          <w:lang w:val="en-GB"/>
        </w:rPr>
        <w:lastRenderedPageBreak/>
        <w:t xml:space="preserve">Chapter 8: </w:t>
      </w:r>
      <w:r w:rsidR="00481788" w:rsidRPr="00481788">
        <w:rPr>
          <w:rFonts w:ascii="Calibri" w:hAnsi="Calibri"/>
        </w:rPr>
        <w:t>Dissemination to clinicians, NHS managers and patients</w:t>
      </w:r>
      <w:bookmarkEnd w:id="484"/>
      <w:bookmarkEnd w:id="485"/>
    </w:p>
    <w:p w14:paraId="682A5E8D" w14:textId="77777777" w:rsidR="00481788" w:rsidRDefault="00481788" w:rsidP="00E86771">
      <w:pPr>
        <w:spacing w:line="360" w:lineRule="auto"/>
        <w:rPr>
          <w:lang w:eastAsia="x-none"/>
        </w:rPr>
      </w:pPr>
      <w:r>
        <w:rPr>
          <w:lang w:eastAsia="x-none"/>
        </w:rPr>
        <w:t>Throughout the project we presented our findings to a local group of healthcare professionals working in fracture prevention services in the South Central region (the ‘FRISCy network’). Towards the end of the project, we also arranged to present finding to the Bath and Bristol fracture prevention network, another regional network of clinicians with less familiarity with the background to the study. Finally, we arranged a workshop with patient members of the national osteoporosis society. The objectives of these routes of dissemination were to:</w:t>
      </w:r>
    </w:p>
    <w:p w14:paraId="3C7A3A3D" w14:textId="77777777" w:rsidR="00481788" w:rsidRDefault="00481788" w:rsidP="00E86771">
      <w:pPr>
        <w:spacing w:line="360" w:lineRule="auto"/>
        <w:rPr>
          <w:lang w:eastAsia="x-none"/>
        </w:rPr>
      </w:pPr>
      <w:r>
        <w:rPr>
          <w:lang w:eastAsia="x-none"/>
        </w:rPr>
        <w:t>i.</w:t>
      </w:r>
      <w:r>
        <w:rPr>
          <w:lang w:eastAsia="x-none"/>
        </w:rPr>
        <w:tab/>
        <w:t>Inform key stakeholders (clinicians, service managers, commissioners) as to the variations in care pathways and the cost-effectiveness of fracture liaison and orthogeriatric services, thereby driving best practise and investment in these services</w:t>
      </w:r>
    </w:p>
    <w:p w14:paraId="38190908" w14:textId="77777777" w:rsidR="00481788" w:rsidRDefault="00481788" w:rsidP="00E86771">
      <w:pPr>
        <w:spacing w:line="360" w:lineRule="auto"/>
        <w:rPr>
          <w:lang w:eastAsia="x-none"/>
        </w:rPr>
      </w:pPr>
      <w:r>
        <w:rPr>
          <w:lang w:eastAsia="x-none"/>
        </w:rPr>
        <w:t>ii.</w:t>
      </w:r>
      <w:r>
        <w:rPr>
          <w:lang w:eastAsia="x-none"/>
        </w:rPr>
        <w:tab/>
        <w:t>Ensure our interpretation of findings fit with clinicians own experiences and were agreed upon with key stakeholders</w:t>
      </w:r>
    </w:p>
    <w:p w14:paraId="337C4DB3" w14:textId="77777777" w:rsidR="00481788" w:rsidRDefault="00481788" w:rsidP="00E86771">
      <w:pPr>
        <w:spacing w:line="360" w:lineRule="auto"/>
        <w:rPr>
          <w:lang w:eastAsia="x-none"/>
        </w:rPr>
      </w:pPr>
      <w:r>
        <w:rPr>
          <w:lang w:eastAsia="x-none"/>
        </w:rPr>
        <w:t>iii.</w:t>
      </w:r>
      <w:r>
        <w:rPr>
          <w:lang w:eastAsia="x-none"/>
        </w:rPr>
        <w:tab/>
        <w:t>Ensure that patients agreed with our interpretation of findings and get their perspective on particular points to highlight in dissemination</w:t>
      </w:r>
    </w:p>
    <w:p w14:paraId="42BDA50B" w14:textId="77777777" w:rsidR="00481788" w:rsidRDefault="00481788" w:rsidP="00E86771">
      <w:pPr>
        <w:pStyle w:val="Heading2"/>
        <w:spacing w:line="360" w:lineRule="auto"/>
        <w:rPr>
          <w:lang w:val="en-GB"/>
        </w:rPr>
      </w:pPr>
      <w:bookmarkStart w:id="486" w:name="_Toc308300821"/>
      <w:bookmarkStart w:id="487" w:name="_Toc311366628"/>
      <w:r w:rsidRPr="00481788">
        <w:t>Healthcare professional workshops: participants and methods</w:t>
      </w:r>
      <w:bookmarkEnd w:id="486"/>
      <w:bookmarkEnd w:id="487"/>
    </w:p>
    <w:p w14:paraId="007168BF" w14:textId="77777777" w:rsidR="00481788" w:rsidRDefault="00481788" w:rsidP="00E86771">
      <w:pPr>
        <w:spacing w:line="360" w:lineRule="auto"/>
        <w:rPr>
          <w:lang w:eastAsia="x-none"/>
        </w:rPr>
      </w:pPr>
      <w:r>
        <w:rPr>
          <w:lang w:eastAsia="x-none"/>
        </w:rPr>
        <w:t xml:space="preserve">The FRISCy workshops were attended by 20 healthcare professionals, including consultant rheumatologists, osteoporosis champions, fracture liaison nurses, osteoporosis nurses, orthogeriatricians, service mangers, commissioners. Each of these worked in fracture prevention services in the South Central region. The final workshop also included a group of ten patient representatives. The Bristol and Bath Bone Society comprised a similar number of healthcare professionals working in fracture prevention services in the Bath and Bristol areas. These regional meetings were well attended with contribution from each hospital in the region. Using existing networks of osteoporosis specialists proved a more effective and efficient way of communicating findings to stakeholders than holding a national conference, which would be more poorly attended due to the busy schedules of such individuals, and the need to travel. </w:t>
      </w:r>
    </w:p>
    <w:p w14:paraId="19CC2162" w14:textId="77777777" w:rsidR="00481788" w:rsidRDefault="00481788" w:rsidP="00E86771">
      <w:pPr>
        <w:spacing w:line="360" w:lineRule="auto"/>
        <w:rPr>
          <w:lang w:eastAsia="x-none"/>
        </w:rPr>
      </w:pPr>
      <w:r>
        <w:rPr>
          <w:lang w:eastAsia="x-none"/>
        </w:rPr>
        <w:t>Over four different meetings with the FRISCy network, results of the following work streams were presented:</w:t>
      </w:r>
    </w:p>
    <w:p w14:paraId="472976B5" w14:textId="77777777" w:rsidR="00481788" w:rsidRDefault="00481788" w:rsidP="00E86771">
      <w:pPr>
        <w:spacing w:line="360" w:lineRule="auto"/>
        <w:rPr>
          <w:lang w:eastAsia="x-none"/>
        </w:rPr>
      </w:pPr>
      <w:r>
        <w:rPr>
          <w:lang w:eastAsia="x-none"/>
        </w:rPr>
        <w:t>i)</w:t>
      </w:r>
      <w:r>
        <w:rPr>
          <w:lang w:eastAsia="x-none"/>
        </w:rPr>
        <w:tab/>
        <w:t>Variations in fracture prevention services across a region of England</w:t>
      </w:r>
    </w:p>
    <w:p w14:paraId="1CBBD563" w14:textId="77777777" w:rsidR="00481788" w:rsidRDefault="00481788" w:rsidP="00E86771">
      <w:pPr>
        <w:spacing w:line="360" w:lineRule="auto"/>
        <w:rPr>
          <w:lang w:eastAsia="x-none"/>
        </w:rPr>
      </w:pPr>
      <w:r>
        <w:rPr>
          <w:lang w:eastAsia="x-none"/>
        </w:rPr>
        <w:t>ii)</w:t>
      </w:r>
      <w:r>
        <w:rPr>
          <w:lang w:eastAsia="x-none"/>
        </w:rPr>
        <w:tab/>
        <w:t>Implementation of fracture liaison services</w:t>
      </w:r>
    </w:p>
    <w:p w14:paraId="6CF5E7AA" w14:textId="77777777" w:rsidR="00481788" w:rsidRDefault="00481788" w:rsidP="00E86771">
      <w:pPr>
        <w:spacing w:line="360" w:lineRule="auto"/>
        <w:rPr>
          <w:lang w:eastAsia="x-none"/>
        </w:rPr>
      </w:pPr>
      <w:r>
        <w:rPr>
          <w:lang w:eastAsia="x-none"/>
        </w:rPr>
        <w:lastRenderedPageBreak/>
        <w:t>iii)</w:t>
      </w:r>
      <w:r>
        <w:rPr>
          <w:lang w:eastAsia="x-none"/>
        </w:rPr>
        <w:tab/>
        <w:t>Clinicians experiences of making business cases</w:t>
      </w:r>
    </w:p>
    <w:p w14:paraId="30C56782" w14:textId="77777777" w:rsidR="00481788" w:rsidRDefault="00481788" w:rsidP="00E86771">
      <w:pPr>
        <w:spacing w:line="360" w:lineRule="auto"/>
        <w:rPr>
          <w:lang w:eastAsia="x-none"/>
        </w:rPr>
      </w:pPr>
      <w:r>
        <w:rPr>
          <w:lang w:eastAsia="x-none"/>
        </w:rPr>
        <w:t>iv)</w:t>
      </w:r>
      <w:r>
        <w:rPr>
          <w:lang w:eastAsia="x-none"/>
        </w:rPr>
        <w:tab/>
        <w:t>Costs of hip fracture to the NHS</w:t>
      </w:r>
    </w:p>
    <w:p w14:paraId="2020BEB8" w14:textId="77777777" w:rsidR="00481788" w:rsidRDefault="00481788" w:rsidP="00E86771">
      <w:pPr>
        <w:spacing w:line="360" w:lineRule="auto"/>
        <w:rPr>
          <w:lang w:eastAsia="x-none"/>
        </w:rPr>
      </w:pPr>
      <w:r>
        <w:rPr>
          <w:lang w:eastAsia="x-none"/>
        </w:rPr>
        <w:t>v)</w:t>
      </w:r>
      <w:r>
        <w:rPr>
          <w:lang w:eastAsia="x-none"/>
        </w:rPr>
        <w:tab/>
        <w:t>Clinical effectiveness of different models of care</w:t>
      </w:r>
    </w:p>
    <w:p w14:paraId="2341602D" w14:textId="77777777" w:rsidR="00481788" w:rsidRDefault="00481788" w:rsidP="00E86771">
      <w:pPr>
        <w:spacing w:line="360" w:lineRule="auto"/>
        <w:rPr>
          <w:lang w:eastAsia="x-none"/>
        </w:rPr>
      </w:pPr>
      <w:r>
        <w:rPr>
          <w:lang w:eastAsia="x-none"/>
        </w:rPr>
        <w:t>An overview of all findings was presented to the Bath and Bristol Bone Society.</w:t>
      </w:r>
    </w:p>
    <w:p w14:paraId="1E137531" w14:textId="77777777" w:rsidR="00481788" w:rsidRDefault="00481788" w:rsidP="00E86771">
      <w:pPr>
        <w:spacing w:line="360" w:lineRule="auto"/>
        <w:rPr>
          <w:lang w:eastAsia="x-none"/>
        </w:rPr>
      </w:pPr>
    </w:p>
    <w:p w14:paraId="6B83A048" w14:textId="77777777" w:rsidR="00481788" w:rsidRDefault="00481788" w:rsidP="00E86771">
      <w:pPr>
        <w:pStyle w:val="Heading2"/>
        <w:spacing w:line="360" w:lineRule="auto"/>
      </w:pPr>
      <w:bookmarkStart w:id="488" w:name="_Toc308300822"/>
      <w:bookmarkStart w:id="489" w:name="_Toc311366629"/>
      <w:r>
        <w:t>Conclusions following healthcare professional workshops</w:t>
      </w:r>
      <w:bookmarkEnd w:id="488"/>
      <w:bookmarkEnd w:id="489"/>
    </w:p>
    <w:p w14:paraId="33A8CEF0" w14:textId="77777777" w:rsidR="00481788" w:rsidRDefault="00481788" w:rsidP="00E86771">
      <w:pPr>
        <w:spacing w:line="360" w:lineRule="auto"/>
        <w:rPr>
          <w:lang w:eastAsia="x-none"/>
        </w:rPr>
      </w:pPr>
      <w:r>
        <w:rPr>
          <w:lang w:eastAsia="x-none"/>
        </w:rPr>
        <w:t>The stakeholders were very interested in the results of this study. They felt it was a very worthwhile project, particularly given that many of them were trying, or had previously tried, to get funding towards a fracture liaison service at their respective hospitals. The findings fitted with their own experiences, and they agreed that medication adherence was a real problem and likely to explain the lack of effect of services on re-fracture rates.</w:t>
      </w:r>
    </w:p>
    <w:p w14:paraId="6E178C80" w14:textId="77777777" w:rsidR="00481788" w:rsidRDefault="00481788" w:rsidP="00E86771">
      <w:pPr>
        <w:pStyle w:val="Heading2"/>
        <w:spacing w:line="360" w:lineRule="auto"/>
      </w:pPr>
      <w:bookmarkStart w:id="490" w:name="_Toc308300823"/>
      <w:bookmarkStart w:id="491" w:name="_Toc311366630"/>
      <w:r>
        <w:t>Patient perspective of findings</w:t>
      </w:r>
      <w:bookmarkEnd w:id="490"/>
      <w:bookmarkEnd w:id="491"/>
    </w:p>
    <w:p w14:paraId="1875F700" w14:textId="77777777" w:rsidR="00481788" w:rsidRDefault="00481788" w:rsidP="00E86771">
      <w:pPr>
        <w:spacing w:line="360" w:lineRule="auto"/>
        <w:rPr>
          <w:lang w:eastAsia="x-none"/>
        </w:rPr>
      </w:pPr>
      <w:r>
        <w:rPr>
          <w:lang w:eastAsia="x-none"/>
        </w:rPr>
        <w:t xml:space="preserve">Patients have been engaged with the interpretation and dissemination of findings throughout the course of the study. Two patient representatives were recruited to sit on the project advisory board, one with a previous hip fracture, and one who cares for his wife who has osteoporosis and dementia. They were sent documentation providing summaries of findings and results throughout the course of the study, and asked to provide their own insight and interpretation. Our PPI representatives commented that this was a valuable study to inform commissioners of the most effective service and the associated costs of this service, and distil out the best practise from each hospital.  </w:t>
      </w:r>
    </w:p>
    <w:p w14:paraId="00916F14" w14:textId="77777777" w:rsidR="00481788" w:rsidRDefault="00481788" w:rsidP="00E86771">
      <w:pPr>
        <w:spacing w:line="360" w:lineRule="auto"/>
        <w:rPr>
          <w:lang w:eastAsia="x-none"/>
        </w:rPr>
      </w:pPr>
      <w:r>
        <w:rPr>
          <w:lang w:eastAsia="x-none"/>
        </w:rPr>
        <w:t>Furthermore, at the end of the study we met with a group of six patients with osteoporosis, five of whom had experienced a prior fragility fracture. The patients had been on various osteoporosis medications for varying lengths of time. At this event we discussed differences in the models of care identified as part of this study and patient’s experiences and preferences surrounding each. Specific points of discussion, highlighted by both the patient group and our patient representatives, are explained below.</w:t>
      </w:r>
    </w:p>
    <w:p w14:paraId="665F0EF5" w14:textId="77777777" w:rsidR="00481788" w:rsidRDefault="00481788" w:rsidP="00E86771">
      <w:pPr>
        <w:pStyle w:val="Heading3"/>
        <w:spacing w:line="360" w:lineRule="auto"/>
      </w:pPr>
      <w:bookmarkStart w:id="492" w:name="_Toc308300824"/>
      <w:bookmarkStart w:id="493" w:name="_Toc311366631"/>
      <w:r>
        <w:t>Osteoporosis assessment</w:t>
      </w:r>
      <w:bookmarkEnd w:id="492"/>
      <w:bookmarkEnd w:id="493"/>
      <w:r>
        <w:t xml:space="preserve"> </w:t>
      </w:r>
    </w:p>
    <w:p w14:paraId="67CDABCA" w14:textId="77777777" w:rsidR="00481788" w:rsidRDefault="00481788" w:rsidP="00E86771">
      <w:pPr>
        <w:spacing w:line="360" w:lineRule="auto"/>
        <w:rPr>
          <w:lang w:eastAsia="x-none"/>
        </w:rPr>
      </w:pPr>
      <w:r>
        <w:rPr>
          <w:lang w:eastAsia="x-none"/>
        </w:rPr>
        <w:t xml:space="preserve">Only one of the hospitals studied had a DXA scanner available onsite so could perform the DXA scan while in an inpatient setting. At every other hospital patients had to travel to a different location for their DXA scan at a later date. Additionally, some hospitals conducted the osteoporosis assessment </w:t>
      </w:r>
      <w:r>
        <w:rPr>
          <w:lang w:eastAsia="x-none"/>
        </w:rPr>
        <w:lastRenderedPageBreak/>
        <w:t xml:space="preserve">at an outpatient appointment too, so this may require patients to attend two separate outpatients’ appointments.  There were mixed feelings between patients about attending extra outpatient appointments, with some feeling that this is not an excuse for missing appointments and that patients need to take more responsibility for their own care. They did agree that this would be more problematic for older and frailer people relying on public transport, and that DXA scans and consultant appointments should be offered together. They felt that mobile DXA scans were an excellent idea if the scanner was not available at the local hospital. </w:t>
      </w:r>
    </w:p>
    <w:p w14:paraId="58444111" w14:textId="77777777" w:rsidR="00481788" w:rsidRDefault="00481788" w:rsidP="00E86771">
      <w:pPr>
        <w:pStyle w:val="Heading3"/>
        <w:spacing w:line="360" w:lineRule="auto"/>
      </w:pPr>
      <w:bookmarkStart w:id="494" w:name="_Toc308300825"/>
      <w:bookmarkStart w:id="495" w:name="_Toc311366632"/>
      <w:r>
        <w:t>Treatment Initiation</w:t>
      </w:r>
      <w:bookmarkEnd w:id="494"/>
      <w:bookmarkEnd w:id="495"/>
    </w:p>
    <w:p w14:paraId="4D811D77" w14:textId="77777777" w:rsidR="00481788" w:rsidRDefault="00481788" w:rsidP="00E86771">
      <w:pPr>
        <w:spacing w:line="360" w:lineRule="auto"/>
        <w:rPr>
          <w:lang w:eastAsia="x-none"/>
        </w:rPr>
      </w:pPr>
      <w:r>
        <w:rPr>
          <w:lang w:eastAsia="x-none"/>
        </w:rPr>
        <w:t xml:space="preserve">As discussed in Chapter 2, many hospitals with fracture liaison services now initiate osteoporosis treatment for patients within the hospital setting, while several hospitals still send treatment recommendations to patients GPs. All patients within the group were initially prescribed treatment by their GP. One patient was experiencing problems with this, having been waiting six weeks at that point in time for their GP to take action following a treatment recommendation made by a hospital consultant.  There was a sense that GPs often lack knowledge and interest in osteoporosis, compared with other diseases such as cancer and heart disease. There is a lack of information available in GP surgeries about the risks of osteoporosis, and patients wished they’d had more information before they fractured and were diagnosed. Some patients have previously researched bone strengthening treatments themselves when they found their GP lacked knowledge about the options available and had made their own choices about which treatment they wanted. Others felt that GPs also lacked training in diet and nutrition, with one person having taken calcium supplements for years with their GP never mentioning that it would be helpful to take vitamin D supplements alongside. They also felt that GPs were too busy to read all of the letters they receive from hospital staff, and they sympathised with this and understood that GPs couldn’t be experts in everything. Although hospitals with established fracture liaison services and orthogeriatric services are taking over more of the responsibility for treatment initiation and monitoring, patients felt it is still more convenient to visits GPs rather than attend any additional hospital appointments. Several patients were members of their local PPG (Patient Participation Group) which they think are an excellent way of expressing their concerns to GPs. </w:t>
      </w:r>
    </w:p>
    <w:p w14:paraId="6D543478" w14:textId="77777777" w:rsidR="00481788" w:rsidRDefault="00481788" w:rsidP="00E86771">
      <w:pPr>
        <w:pStyle w:val="Heading3"/>
        <w:spacing w:line="360" w:lineRule="auto"/>
      </w:pPr>
      <w:bookmarkStart w:id="496" w:name="_Toc308300826"/>
      <w:bookmarkStart w:id="497" w:name="_Toc311366633"/>
      <w:r>
        <w:t>Adherence and monitoring</w:t>
      </w:r>
      <w:bookmarkEnd w:id="496"/>
      <w:bookmarkEnd w:id="497"/>
    </w:p>
    <w:p w14:paraId="526DE26B" w14:textId="77777777" w:rsidR="00481788" w:rsidRDefault="00481788" w:rsidP="00E86771">
      <w:pPr>
        <w:spacing w:line="360" w:lineRule="auto"/>
        <w:rPr>
          <w:lang w:eastAsia="x-none"/>
        </w:rPr>
      </w:pPr>
      <w:r>
        <w:rPr>
          <w:lang w:eastAsia="x-none"/>
        </w:rPr>
        <w:t xml:space="preserve">All of the patients involved had been monitored after discharge by the fracture liaison service at their local hospital. They were initially sent a letter, and if they didn’t respond then they were contacted by phone, and referred for DXA scans every 2-5 years post-fracture (depending on the severity of their osteoporosis and age). The group were very surprised by the low rates of adherence, but could understand why many people fail to take their treatment. The asymptomatic </w:t>
      </w:r>
      <w:r>
        <w:rPr>
          <w:lang w:eastAsia="x-none"/>
        </w:rPr>
        <w:lastRenderedPageBreak/>
        <w:t xml:space="preserve">nature of osteoporosis means that you cannot tell if the treatment is working, making people less likely to stay on it. They felt that their follow-up DXA scans helped them to monitor how their treatment was working for them. Patients agreed that this was a potential reason why changes to service delivery had no effect on rates of second fracture, and felt that more monitoring after discharge was important.  Many patients are not aware that there are alternative medications available if they have side effects from their first treatment and this should be more clearly explained. </w:t>
      </w:r>
    </w:p>
    <w:p w14:paraId="5C940267" w14:textId="77777777" w:rsidR="00481788" w:rsidRDefault="00481788" w:rsidP="00E86771">
      <w:pPr>
        <w:pStyle w:val="Heading3"/>
        <w:spacing w:line="360" w:lineRule="auto"/>
      </w:pPr>
      <w:bookmarkStart w:id="498" w:name="_Toc308300827"/>
      <w:bookmarkStart w:id="499" w:name="_Toc311366634"/>
      <w:r>
        <w:t>Multidisciplinary care</w:t>
      </w:r>
      <w:bookmarkEnd w:id="498"/>
      <w:bookmarkEnd w:id="499"/>
    </w:p>
    <w:p w14:paraId="352D19F6" w14:textId="77777777" w:rsidR="00481788" w:rsidRDefault="00481788" w:rsidP="00E86771">
      <w:pPr>
        <w:spacing w:line="360" w:lineRule="auto"/>
        <w:rPr>
          <w:lang w:eastAsia="x-none"/>
        </w:rPr>
      </w:pPr>
      <w:r>
        <w:rPr>
          <w:lang w:eastAsia="x-none"/>
        </w:rPr>
        <w:t xml:space="preserve">One particular point our patients agreed with was the importance of multidisciplinary care for hip fracture patients, as was also highlighted by many of the clinicians interviewed. Patients were aware of how other medical conditions can greatly hinder recovery following a major fragility fracture, and that multidisciplinary care can help to pick up on pre-existing medical conditions in their own experience.  </w:t>
      </w:r>
    </w:p>
    <w:p w14:paraId="1E49C577" w14:textId="77777777" w:rsidR="00481788" w:rsidRDefault="00481788" w:rsidP="00E86771">
      <w:pPr>
        <w:spacing w:line="360" w:lineRule="auto"/>
        <w:rPr>
          <w:lang w:eastAsia="x-none"/>
        </w:rPr>
      </w:pPr>
      <w:r>
        <w:rPr>
          <w:lang w:eastAsia="x-none"/>
        </w:rPr>
        <w:t xml:space="preserve">The final results of the clinical effectiveness analysis and the costs of hip fracture were presented to a regional group of patient members of the National Osteoporosis Society (NOS). They were very enthusiastic about the findings and fully agreed with the interpretation provided, as laid out in this report. </w:t>
      </w:r>
    </w:p>
    <w:p w14:paraId="0F292A92" w14:textId="77777777" w:rsidR="00481788" w:rsidRDefault="00481788" w:rsidP="00E86771">
      <w:pPr>
        <w:spacing w:line="360" w:lineRule="auto"/>
        <w:rPr>
          <w:lang w:eastAsia="x-none"/>
        </w:rPr>
      </w:pPr>
      <w:r>
        <w:rPr>
          <w:lang w:eastAsia="x-none"/>
        </w:rPr>
        <w:t xml:space="preserve">Patients felt that the burden of osteoporosis is often underappreciated, particularly surrounding the associated loss of independence. Many were aware of existing variations and gaps in care at certain hospitals. Overall, patients welcomed research being done into care around osteoporosis diagnosis and treatment and agreed with the interpretation of the findings as presented here. </w:t>
      </w:r>
    </w:p>
    <w:p w14:paraId="3952C954" w14:textId="77777777" w:rsidR="00481788" w:rsidRDefault="00481788" w:rsidP="00E86771">
      <w:pPr>
        <w:spacing w:line="360" w:lineRule="auto"/>
        <w:rPr>
          <w:lang w:eastAsia="x-none"/>
        </w:rPr>
      </w:pPr>
    </w:p>
    <w:p w14:paraId="38026E63" w14:textId="77777777" w:rsidR="00481788" w:rsidRDefault="00481788" w:rsidP="00E86771">
      <w:pPr>
        <w:pStyle w:val="Heading2"/>
        <w:spacing w:line="360" w:lineRule="auto"/>
      </w:pPr>
      <w:bookmarkStart w:id="500" w:name="_Toc308300828"/>
      <w:bookmarkStart w:id="501" w:name="_Toc311366635"/>
      <w:r>
        <w:t>Impact of research findings</w:t>
      </w:r>
      <w:bookmarkEnd w:id="500"/>
      <w:bookmarkEnd w:id="501"/>
    </w:p>
    <w:p w14:paraId="5051A1C2" w14:textId="77777777" w:rsidR="00481788" w:rsidRDefault="00481788" w:rsidP="00E86771">
      <w:pPr>
        <w:spacing w:line="360" w:lineRule="auto"/>
        <w:rPr>
          <w:lang w:eastAsia="x-none"/>
        </w:rPr>
      </w:pPr>
      <w:r>
        <w:rPr>
          <w:lang w:eastAsia="x-none"/>
        </w:rPr>
        <w:t>Findings have also been presented to the National Osteoporosis Society, Public Health England, and at various other meetings and events. Specific impacts of the findings are described below.</w:t>
      </w:r>
    </w:p>
    <w:p w14:paraId="66B7687D" w14:textId="77777777" w:rsidR="00481788" w:rsidRDefault="00481788" w:rsidP="00E86771">
      <w:pPr>
        <w:pStyle w:val="Heading3"/>
        <w:spacing w:line="360" w:lineRule="auto"/>
      </w:pPr>
      <w:bookmarkStart w:id="502" w:name="_Toc308300829"/>
      <w:bookmarkStart w:id="503" w:name="_Toc311366636"/>
      <w:r>
        <w:t>NHS England/Public Health England</w:t>
      </w:r>
      <w:bookmarkEnd w:id="502"/>
      <w:bookmarkEnd w:id="503"/>
    </w:p>
    <w:p w14:paraId="25307B86" w14:textId="77777777" w:rsidR="00481788" w:rsidRDefault="00481788" w:rsidP="00E86771">
      <w:pPr>
        <w:spacing w:line="360" w:lineRule="auto"/>
        <w:rPr>
          <w:lang w:eastAsia="x-none"/>
        </w:rPr>
      </w:pPr>
      <w:r>
        <w:rPr>
          <w:lang w:eastAsia="x-none"/>
        </w:rPr>
        <w:t xml:space="preserve">This study will be useful to analysts estimating the burden of hip fracture and osteoporosis and the long-term cost-effectiveness of interventions for the prevention and management of these conditions. Previous estimates of the health and social care costs of hip fractures in the UK range from £2 billion to £3 billion per year, but UK cost data on hip fracture were limited. The results of our study show that hip fractures are an enormous cost to the healthcare system. Furthermore, the </w:t>
      </w:r>
      <w:r>
        <w:rPr>
          <w:lang w:eastAsia="x-none"/>
        </w:rPr>
        <w:lastRenderedPageBreak/>
        <w:t xml:space="preserve">findings highlight the impact of complications following initial hospital discharge as a main driver of costs and the importance of preventing hip re-fractures. </w:t>
      </w:r>
    </w:p>
    <w:p w14:paraId="4FFF7DAC" w14:textId="77777777" w:rsidR="00481788" w:rsidRDefault="00481788" w:rsidP="00E86771">
      <w:pPr>
        <w:spacing w:line="360" w:lineRule="auto"/>
        <w:rPr>
          <w:lang w:eastAsia="x-none"/>
        </w:rPr>
      </w:pPr>
      <w:r>
        <w:rPr>
          <w:lang w:eastAsia="x-none"/>
        </w:rPr>
        <w:t>This 1-year hospital cost of hip fracture was used by the multi-stakeholder Fracture Liaison Service implementation group economic model which includes the National Osteoporosis Society (third sector), the Royal College of Physicians Clinical Effectiveness Evaluation Unit, Fragility Fracture Audit Programme FLS-Database Workstream, NHS England CCG gateway and Public Health England as a robust up-to-date estimate of the economic impact of hip fracture and potential benefits of an FLS at the local, CCG as well as national level. This data will be used by NHS England to inform decisions about health service changes aimed at achieving greater efficiency and better patient care within the NHS. These findings also received significant press coverage in several daily newspapers as well as ITV news following presentation at the 2015 IOF-ESCEO conference, where they will have been seen by the general public as well as clinicians, NHS commissioners and policy makers. The articles emphasised the increasing number of hip fractures and the financial implications, and made the case for policy makers to prioritise bone health through universal provision of fracture liaison services.</w:t>
      </w:r>
    </w:p>
    <w:p w14:paraId="17851FF4" w14:textId="77777777" w:rsidR="00481788" w:rsidRDefault="00481788" w:rsidP="00E86771">
      <w:pPr>
        <w:pStyle w:val="Heading3"/>
        <w:spacing w:line="360" w:lineRule="auto"/>
      </w:pPr>
      <w:bookmarkStart w:id="504" w:name="_Toc308300830"/>
      <w:bookmarkStart w:id="505" w:name="_Toc311366637"/>
      <w:r>
        <w:t>Fracture liaison service workshop</w:t>
      </w:r>
      <w:bookmarkEnd w:id="504"/>
      <w:bookmarkEnd w:id="505"/>
      <w:r>
        <w:t xml:space="preserve"> </w:t>
      </w:r>
    </w:p>
    <w:p w14:paraId="69279FC4" w14:textId="77777777" w:rsidR="00481788" w:rsidRDefault="00481788" w:rsidP="00E86771">
      <w:pPr>
        <w:spacing w:line="360" w:lineRule="auto"/>
        <w:rPr>
          <w:lang w:eastAsia="x-none"/>
        </w:rPr>
      </w:pPr>
      <w:r>
        <w:rPr>
          <w:lang w:eastAsia="x-none"/>
        </w:rPr>
        <w:t>Although national guidelines recommend service models targeting secondary fracture prevention at patients following a fragility fracture, data on the clinical effectiveness of these services is rare. The increasing burden of hip fractures is also a concern in other countries across Europe, North America and Australia. Data from this study showed that both the introduction and expansion of an orthogeriatric service or a fracture liaison service were effective for reducing 30-day and 1-year mortality following a hip fracture. This information was presented at an international workshop held in Milan targeted at health care professionals who are either in the process of setting up a fracture liaisons service or considering it. The findings of this study support the effectiveness of fracture prevention services in reducing mortality and may persuade more hospitals worldwide to adopt this model of care and set up a fracture liaison service.</w:t>
      </w:r>
    </w:p>
    <w:p w14:paraId="30291106" w14:textId="77777777" w:rsidR="00481788" w:rsidRDefault="00481788" w:rsidP="00E86771">
      <w:pPr>
        <w:pStyle w:val="Heading3"/>
        <w:spacing w:line="360" w:lineRule="auto"/>
      </w:pPr>
      <w:bookmarkStart w:id="506" w:name="_Toc308300831"/>
      <w:bookmarkStart w:id="507" w:name="_Toc311366638"/>
      <w:r>
        <w:t>CPRD codes for fragility fracture</w:t>
      </w:r>
      <w:bookmarkEnd w:id="506"/>
      <w:bookmarkEnd w:id="507"/>
      <w:r>
        <w:t xml:space="preserve"> </w:t>
      </w:r>
    </w:p>
    <w:p w14:paraId="327EDF75" w14:textId="77777777" w:rsidR="00481788" w:rsidRDefault="00481788" w:rsidP="00E86771">
      <w:pPr>
        <w:spacing w:line="360" w:lineRule="auto"/>
        <w:rPr>
          <w:lang w:eastAsia="x-none"/>
        </w:rPr>
      </w:pPr>
      <w:r>
        <w:rPr>
          <w:lang w:eastAsia="x-none"/>
        </w:rPr>
        <w:t xml:space="preserve">As part of this study we created a robust list of CPRD read codes for fragility fractures, osteoporosis-related medications, and co-morbid conditions.  A rigorous procedure was used to generate the lists, with input from two clinicians who each generated two separate lists and then discussed and agreed on any discrepancies. Generating such a thorough and extensive list is a time consuming process and organisations often do not share lists of codes between themselves once generated, so the procedure is often repeated. We now have a thorough and extensive list of read codes which can be used by other researchers studying osteoporosis or fragility fractures. We have shared this list with </w:t>
      </w:r>
      <w:r>
        <w:rPr>
          <w:lang w:eastAsia="x-none"/>
        </w:rPr>
        <w:lastRenderedPageBreak/>
        <w:t>researchers from the Falls and Fragility Fracture Audit Programme being undertaken by the Royal College of Physicians. This is a national clinical audit designed to audit the care that patients with fragility fractures and inpatient falls receive in hospital and to facilitate quality improvement initiatives.</w:t>
      </w:r>
    </w:p>
    <w:p w14:paraId="484F61E5" w14:textId="77777777" w:rsidR="00481788" w:rsidRDefault="00481788" w:rsidP="00E86771">
      <w:pPr>
        <w:pStyle w:val="Heading3"/>
        <w:spacing w:line="360" w:lineRule="auto"/>
      </w:pPr>
      <w:bookmarkStart w:id="508" w:name="_Toc308300832"/>
      <w:bookmarkStart w:id="509" w:name="_Toc311366639"/>
      <w:r>
        <w:t>Establishing levels of Fracture Prevention Services in hospitals in Spain</w:t>
      </w:r>
      <w:bookmarkEnd w:id="508"/>
      <w:bookmarkEnd w:id="509"/>
      <w:r>
        <w:t xml:space="preserve"> </w:t>
      </w:r>
    </w:p>
    <w:p w14:paraId="286B7897" w14:textId="77777777" w:rsidR="00481788" w:rsidRPr="00481788" w:rsidRDefault="00481788" w:rsidP="00E86771">
      <w:pPr>
        <w:spacing w:line="360" w:lineRule="auto"/>
        <w:rPr>
          <w:lang w:eastAsia="x-none"/>
        </w:rPr>
      </w:pPr>
      <w:r>
        <w:rPr>
          <w:lang w:eastAsia="x-none"/>
        </w:rPr>
        <w:t>Despite national and international guidance from various professional organisations such as the British Orthopaedic Blue Book, NICE, and International Osteoporosis Foundation, there is major variation in the care pathway for the treatment and management of hip fracture patients and in the way secondary fracture prevention services are organised across hospitals in the UK. This study began by establishing whether a fracture liaison service or other type of fracture prevention services (such as an orthogeriatric-led service) was in place at 11 different hospitals in one region of England. A questionnaire for clinicians was developed to gather this information, and showed large variations in services across hospitals in one region of England. This work was presented to a group of clinicians in Spain. Following this presentation, the group who we met with intend to use this questionnaire to gather information about fracture liaison services across hospitals in Spain.  This will enable them to identify hospitals with the most need for improvement to target for a programme to develop fracture liaison services.</w:t>
      </w:r>
    </w:p>
    <w:p w14:paraId="3DFE0FFF" w14:textId="77777777" w:rsidR="002155FD" w:rsidRPr="00591BFC" w:rsidRDefault="00EE6819" w:rsidP="00E86771">
      <w:pPr>
        <w:pStyle w:val="Heading1"/>
        <w:spacing w:line="360" w:lineRule="auto"/>
        <w:rPr>
          <w:rFonts w:ascii="Calibri" w:hAnsi="Calibri"/>
          <w:lang w:val="en-GB"/>
        </w:rPr>
      </w:pPr>
      <w:bookmarkStart w:id="510" w:name="_Toc308300833"/>
      <w:bookmarkStart w:id="511" w:name="_Toc311366640"/>
      <w:r>
        <w:rPr>
          <w:rFonts w:ascii="Calibri" w:hAnsi="Calibri"/>
          <w:lang w:val="en-GB"/>
        </w:rPr>
        <w:t xml:space="preserve">Chapter 9 </w:t>
      </w:r>
      <w:r w:rsidR="00721553" w:rsidRPr="00591BFC">
        <w:rPr>
          <w:rFonts w:ascii="Calibri" w:hAnsi="Calibri"/>
          <w:lang w:val="en-GB"/>
        </w:rPr>
        <w:t>Final conclusions</w:t>
      </w:r>
      <w:bookmarkEnd w:id="510"/>
      <w:bookmarkEnd w:id="511"/>
    </w:p>
    <w:p w14:paraId="56B88CFE" w14:textId="77777777" w:rsidR="00721553" w:rsidRPr="00591BFC" w:rsidRDefault="00721553" w:rsidP="00E86771">
      <w:pPr>
        <w:pStyle w:val="Heading2"/>
        <w:spacing w:line="360" w:lineRule="auto"/>
        <w:rPr>
          <w:rFonts w:ascii="Calibri" w:hAnsi="Calibri"/>
          <w:lang w:val="en-GB"/>
        </w:rPr>
      </w:pPr>
      <w:bookmarkStart w:id="512" w:name="_Toc308300834"/>
      <w:bookmarkStart w:id="513" w:name="_Toc311366641"/>
      <w:r w:rsidRPr="00591BFC">
        <w:rPr>
          <w:rFonts w:ascii="Calibri" w:hAnsi="Calibri"/>
          <w:lang w:val="en-GB"/>
        </w:rPr>
        <w:t>Guidance</w:t>
      </w:r>
      <w:bookmarkEnd w:id="512"/>
      <w:bookmarkEnd w:id="513"/>
    </w:p>
    <w:p w14:paraId="0105C092" w14:textId="02B5795A" w:rsidR="00721553" w:rsidRPr="00591BFC" w:rsidRDefault="00721553" w:rsidP="00E86771">
      <w:pPr>
        <w:spacing w:line="360" w:lineRule="auto"/>
        <w:rPr>
          <w:lang w:eastAsia="x-none"/>
        </w:rPr>
      </w:pPr>
      <w:r w:rsidRPr="00591BFC">
        <w:rPr>
          <w:lang w:eastAsia="x-none"/>
        </w:rPr>
        <w:t>National guidance from a number of professional bodies both within and outside of the UK has been published for the management of hip fracture patients</w:t>
      </w:r>
      <w:r w:rsidR="00B24FEE">
        <w:rPr>
          <w:lang w:eastAsia="x-none"/>
        </w:rPr>
        <w:fldChar w:fldCharType="begin">
          <w:fldData xml:space="preserve">PEVuZE5vdGU+PENpdGU+PEF1dGhvcj5Ccml0aXNoIE9ydGhvcGFlZGljIEFzc29jaWF0aW9uPC9B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</w:fldData>
        </w:fldChar>
      </w:r>
      <w:r w:rsidR="00B24FEE">
        <w:rPr>
          <w:lang w:eastAsia="x-none"/>
        </w:rPr>
        <w:instrText xml:space="preserve"> ADDIN EN.CITE </w:instrText>
      </w:r>
      <w:r w:rsidR="00B24FEE">
        <w:rPr>
          <w:lang w:eastAsia="x-none"/>
        </w:rPr>
        <w:fldChar w:fldCharType="begin">
          <w:fldData xml:space="preserve">PEVuZE5vdGU+PENpdGU+PEF1dGhvcj5Ccml0aXNoIE9ydGhvcGFlZGljIEFzc29jaWF0aW9uPC9B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</w:fldData>
        </w:fldChar>
      </w:r>
      <w:r w:rsidR="00B24FEE">
        <w:rPr>
          <w:lang w:eastAsia="x-none"/>
        </w:rPr>
        <w:instrText xml:space="preserve"> ADDIN EN.CITE.DATA </w:instrText>
      </w:r>
      <w:r w:rsidR="00B24FEE">
        <w:rPr>
          <w:lang w:eastAsia="x-none"/>
        </w:rPr>
      </w:r>
      <w:r w:rsidR="00B24FEE">
        <w:rPr>
          <w:lang w:eastAsia="x-none"/>
        </w:rPr>
        <w:fldChar w:fldCharType="end"/>
      </w:r>
      <w:r w:rsidR="00B24FEE">
        <w:rPr>
          <w:lang w:eastAsia="x-none"/>
        </w:rPr>
      </w:r>
      <w:r w:rsidR="00B24FEE">
        <w:rPr>
          <w:lang w:eastAsia="x-none"/>
        </w:rPr>
        <w:fldChar w:fldCharType="separate"/>
      </w:r>
      <w:hyperlink w:anchor="_ENREF_1" w:tooltip="British Orthopaedic Association, 2007 #25" w:history="1">
        <w:r w:rsidR="00B24FEE" w:rsidRPr="00B24FEE">
          <w:rPr>
            <w:noProof/>
            <w:vertAlign w:val="superscript"/>
            <w:lang w:eastAsia="x-none"/>
          </w:rPr>
          <w:t>1</w:t>
        </w:r>
      </w:hyperlink>
      <w:r w:rsidR="00B24FEE" w:rsidRPr="00B24FEE">
        <w:rPr>
          <w:noProof/>
          <w:vertAlign w:val="superscript"/>
          <w:lang w:eastAsia="x-none"/>
        </w:rPr>
        <w:t xml:space="preserve"> </w:t>
      </w:r>
      <w:hyperlink w:anchor="_ENREF_14" w:tooltip="Scottish Intercollegiate Guidelines Network, 2009 #26" w:history="1">
        <w:r w:rsidR="00B24FEE" w:rsidRPr="00B24FEE">
          <w:rPr>
            <w:noProof/>
            <w:vertAlign w:val="superscript"/>
            <w:lang w:eastAsia="x-none"/>
          </w:rPr>
          <w:t>14</w:t>
        </w:r>
      </w:hyperlink>
      <w:r w:rsidR="00B24FEE" w:rsidRPr="00B24FEE">
        <w:rPr>
          <w:noProof/>
          <w:vertAlign w:val="superscript"/>
          <w:lang w:eastAsia="x-none"/>
        </w:rPr>
        <w:t xml:space="preserve"> </w:t>
      </w:r>
      <w:hyperlink w:anchor="_ENREF_15" w:tooltip="NICE, 2004 #30" w:history="1">
        <w:r w:rsidR="00B24FEE" w:rsidRPr="00B24FEE">
          <w:rPr>
            <w:noProof/>
            <w:vertAlign w:val="superscript"/>
            <w:lang w:eastAsia="x-none"/>
          </w:rPr>
          <w:t>15</w:t>
        </w:r>
      </w:hyperlink>
      <w:r w:rsidR="00B24FEE" w:rsidRPr="00B24FEE">
        <w:rPr>
          <w:noProof/>
          <w:vertAlign w:val="superscript"/>
          <w:lang w:eastAsia="x-none"/>
        </w:rPr>
        <w:t xml:space="preserve"> </w:t>
      </w:r>
      <w:hyperlink w:anchor="_ENREF_22" w:tooltip="Papaioannou, 2010 #1100" w:history="1">
        <w:r w:rsidR="00B24FEE" w:rsidRPr="00B24FEE">
          <w:rPr>
            <w:noProof/>
            <w:vertAlign w:val="superscript"/>
            <w:lang w:eastAsia="x-none"/>
          </w:rPr>
          <w:t>22</w:t>
        </w:r>
      </w:hyperlink>
      <w:r w:rsidR="00B24FEE" w:rsidRPr="00B24FEE">
        <w:rPr>
          <w:noProof/>
          <w:vertAlign w:val="superscript"/>
          <w:lang w:eastAsia="x-none"/>
        </w:rPr>
        <w:t xml:space="preserve"> </w:t>
      </w:r>
      <w:hyperlink w:anchor="_ENREF_32" w:tooltip="Eisman, 2012 #1083" w:history="1">
        <w:r w:rsidR="00B24FEE" w:rsidRPr="00B24FEE">
          <w:rPr>
            <w:noProof/>
            <w:vertAlign w:val="superscript"/>
            <w:lang w:eastAsia="x-none"/>
          </w:rPr>
          <w:t>32</w:t>
        </w:r>
      </w:hyperlink>
      <w:r w:rsidR="00B24FEE">
        <w:rPr>
          <w:lang w:eastAsia="x-none"/>
        </w:rPr>
        <w:fldChar w:fldCharType="end"/>
      </w:r>
      <w:r w:rsidR="00056369" w:rsidRPr="00591BFC">
        <w:rPr>
          <w:lang w:eastAsia="x-none"/>
        </w:rPr>
        <w:t xml:space="preserve"> </w:t>
      </w:r>
      <w:r w:rsidRPr="00591BFC">
        <w:rPr>
          <w:lang w:eastAsia="x-none"/>
        </w:rPr>
        <w:t>in addition to international guidance such as the ‘Capture the Fracture’ initiative from the International Osteoporosis Foundation</w:t>
      </w:r>
      <w:hyperlink w:anchor="_ENREF_34" w:tooltip="Akesson, 2013 #92" w:history="1">
        <w:r w:rsidR="00B24FEE">
          <w:rPr>
            <w:lang w:eastAsia="x-none"/>
          </w:rPr>
          <w:fldChar w:fldCharType="begin"/>
        </w:r>
        <w:r w:rsidR="00B24FEE">
          <w:rPr>
            <w:lang w:eastAsia="x-none"/>
          </w:rPr>
          <w:instrText xml:space="preserve"> ADDIN EN.CITE &lt;EndNote&gt;&lt;Cite&gt;&lt;Author&gt;Akesson&lt;/Author&gt;&lt;Year&gt;2013&lt;/Year&gt;&lt;RecNum&gt;92&lt;/RecNum&gt;&lt;DisplayText&gt;&lt;style face="superscript"&gt;34&lt;/style&gt;&lt;/DisplayText&gt;&lt;record&gt;&lt;rec-number&gt;92&lt;/rec-number&gt;&lt;foreign-keys&gt;&lt;key app="EN" db-id="sxpszd2ti9dx04ewefrvfp5bpf5faazszr9p" timestamp="0"&gt;92&lt;/key&gt;&lt;/foreign-keys&gt;&lt;ref-type name="Journal Article"&gt;17&lt;/ref-type&gt;&lt;contributors&gt;&lt;authors&gt;&lt;author&gt;Akesson, K.&lt;/author&gt;&lt;author&gt;Marsh, D.&lt;/author&gt;&lt;author&gt;Mitchell, P. J.&lt;/author&gt;&lt;author&gt;McLellan, A. R.&lt;/author&gt;&lt;author&gt;Stenmark, J.&lt;/author&gt;&lt;author&gt;Pierroz, D. D.&lt;/author&gt;&lt;author&gt;Kyer, C.&lt;/author&gt;&lt;author&gt;Cooper, C.&lt;/author&gt;&lt;/authors&gt;&lt;/contributors&gt;&lt;auth-address&gt;Department of Orthopaedics Malmo, Skane University Hospital, Malmo, Sweden.&lt;/auth-address&gt;&lt;titles&gt;&lt;title&gt;Capture the Fracture: a Best Practice Framework and global campaign to break the fragility fracture cycle&lt;/title&gt;&lt;secondary-title&gt;Osteoporos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2135-52&lt;/pages&gt;&lt;volume&gt;24&lt;/volume&gt;&lt;number&gt;8&lt;/number&gt;&lt;edition&gt;2013/04/17&lt;/edition&gt;&lt;dates&gt;&lt;year&gt;2013&lt;/year&gt;&lt;pub-dates&gt;&lt;date&gt;Aug&lt;/date&gt;&lt;/pub-dates&gt;&lt;/dates&gt;&lt;isbn&gt;0937-941x&lt;/isbn&gt;&lt;accession-num&gt;23589162&lt;/accession-num&gt;&lt;urls&gt;&lt;/urls&gt;&lt;custom2&gt;Pmc3706734&lt;/custom2&gt;&lt;electronic-resource-num&gt;10.1007/s00198-013-2348-z&lt;/electronic-resource-num&gt;&lt;remote-database-provider&gt;Nlm&lt;/remote-database-provider&gt;&lt;language&gt;eng&lt;/language&gt;&lt;/record&gt;&lt;/Cite&gt;&lt;/EndNote&gt;</w:instrText>
        </w:r>
        <w:r w:rsidR="00B24FEE">
          <w:rPr>
            <w:lang w:eastAsia="x-none"/>
          </w:rPr>
          <w:fldChar w:fldCharType="separate"/>
        </w:r>
        <w:r w:rsidR="00B24FEE" w:rsidRPr="00B24FEE">
          <w:rPr>
            <w:noProof/>
            <w:vertAlign w:val="superscript"/>
            <w:lang w:eastAsia="x-none"/>
          </w:rPr>
          <w:t>34</w:t>
        </w:r>
        <w:r w:rsidR="00B24FEE">
          <w:rPr>
            <w:lang w:eastAsia="x-none"/>
          </w:rPr>
          <w:fldChar w:fldCharType="end"/>
        </w:r>
      </w:hyperlink>
      <w:r w:rsidRPr="00591BFC">
        <w:rPr>
          <w:lang w:eastAsia="x-none"/>
        </w:rPr>
        <w:t xml:space="preserve">. According to this guidance, a comprehensive secondary fracture prevention service should consist of four main components: case finding; osteoporosis assessment; treatment initiation; </w:t>
      </w:r>
      <w:r w:rsidR="000052E3" w:rsidRPr="00591BFC">
        <w:rPr>
          <w:lang w:eastAsia="x-none"/>
        </w:rPr>
        <w:t>treatment adherence and monitoring</w:t>
      </w:r>
      <w:hyperlink w:anchor="_ENREF_1" w:tooltip="British Orthopaedic Association, 2007 #25" w:history="1">
        <w:r w:rsidR="00B24FEE">
          <w:rPr>
            <w:lang w:eastAsia="x-none"/>
          </w:rPr>
          <w:fldChar w:fldCharType="begin"/>
        </w:r>
        <w:r w:rsidR="00B24FEE">
          <w:rPr>
            <w:lang w:eastAsia="x-none"/>
          </w:rPr>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rPr>
            <w:lang w:eastAsia="x-none"/>
          </w:rPr>
          <w:fldChar w:fldCharType="separate"/>
        </w:r>
        <w:r w:rsidR="00B24FEE" w:rsidRPr="00B24FEE">
          <w:rPr>
            <w:noProof/>
            <w:vertAlign w:val="superscript"/>
            <w:lang w:eastAsia="x-none"/>
          </w:rPr>
          <w:t>1</w:t>
        </w:r>
        <w:r w:rsidR="00B24FEE">
          <w:rPr>
            <w:lang w:eastAsia="x-none"/>
          </w:rPr>
          <w:fldChar w:fldCharType="end"/>
        </w:r>
      </w:hyperlink>
      <w:r w:rsidRPr="00591BFC">
        <w:rPr>
          <w:lang w:eastAsia="x-none"/>
        </w:rPr>
        <w:t>, in addition to falls risk assessment and management. Organising such services is challenging due to the multidisciplinary care patients require</w:t>
      </w:r>
      <w:hyperlink w:anchor="_ENREF_3" w:tooltip="Chesser, 2011 #1" w:history="1">
        <w:r w:rsidR="00B24FEE">
          <w:rPr>
            <w:lang w:eastAsia="x-none"/>
          </w:rPr>
          <w:fldChar w:fldCharType="begin"/>
        </w:r>
        <w:r w:rsidR="00B24FEE">
          <w:rPr>
            <w:lang w:eastAsia="x-none"/>
          </w:rPr>
          <w:instrText xml:space="preserve"> ADDIN EN.CITE &lt;EndNote&gt;&lt;Cite&gt;&lt;Author&gt;Chesser&lt;/Author&gt;&lt;Year&gt;2011&lt;/Year&gt;&lt;RecNum&gt;1&lt;/RecNum&gt;&lt;DisplayText&gt;&lt;style face="superscript"&gt;3&lt;/style&gt;&lt;/DisplayText&gt;&lt;record&gt;&lt;rec-number&gt;1&lt;/rec-number&gt;&lt;foreign-keys&gt;&lt;key app="EN" db-id="sxpszd2ti9dx04ewefrvfp5bpf5faazszr9p" timestamp="0"&gt;1&lt;/key&gt;&lt;/foreign-keys&gt;&lt;ref-type name="Journal Article"&gt;17&lt;/ref-type&gt;&lt;contributors&gt;&lt;authors&gt;&lt;author&gt;Chesser, T. J. S.&lt;/author&gt;&lt;author&gt;Handley, R.&lt;/author&gt;&lt;author&gt;Swift, C.&lt;/author&gt;&lt;/authors&gt;&lt;/contributors&gt;&lt;titles&gt;&lt;title&gt;New NICE guideline to improve outcomes for hip fracture patients&lt;/title&gt;&lt;secondary-title&gt;Injury&lt;/secondary-title&gt;&lt;/titles&gt;&lt;periodical&gt;&lt;full-title&gt;Injury&lt;/full-title&gt;&lt;/periodical&gt;&lt;pages&gt;727-729&lt;/pages&gt;&lt;volume&gt;42&lt;/volume&gt;&lt;number&gt;8&lt;/number&gt;&lt;dates&gt;&lt;year&gt;2011&lt;/year&gt;&lt;/dates&gt;&lt;publisher&gt;Elsevier&lt;/publisher&gt;&lt;isbn&gt;0020-1383&lt;/isbn&gt;&lt;urls&gt;&lt;related-urls&gt;&lt;url&gt;http://linkinghub.elsevier.com/retrieve/pii/S0020138311002385?showall=true&lt;/url&gt;&lt;/related-urls&gt;&lt;/urls&gt;&lt;/record&gt;&lt;/Cite&gt;&lt;/EndNote&gt;</w:instrText>
        </w:r>
        <w:r w:rsidR="00B24FEE">
          <w:rPr>
            <w:lang w:eastAsia="x-none"/>
          </w:rPr>
          <w:fldChar w:fldCharType="separate"/>
        </w:r>
        <w:r w:rsidR="00B24FEE" w:rsidRPr="00B24FEE">
          <w:rPr>
            <w:noProof/>
            <w:vertAlign w:val="superscript"/>
            <w:lang w:eastAsia="x-none"/>
          </w:rPr>
          <w:t>3</w:t>
        </w:r>
        <w:r w:rsidR="00B24FEE">
          <w:rPr>
            <w:lang w:eastAsia="x-none"/>
          </w:rPr>
          <w:fldChar w:fldCharType="end"/>
        </w:r>
      </w:hyperlink>
      <w:r w:rsidRPr="00591BFC">
        <w:rPr>
          <w:lang w:eastAsia="x-none"/>
        </w:rPr>
        <w:t>.</w:t>
      </w:r>
      <w:r w:rsidR="000052E3" w:rsidRPr="00591BFC">
        <w:rPr>
          <w:lang w:eastAsia="x-none"/>
        </w:rPr>
        <w:t xml:space="preserve"> </w:t>
      </w:r>
      <w:r w:rsidRPr="00591BFC">
        <w:rPr>
          <w:lang w:eastAsia="x-none"/>
        </w:rPr>
        <w:t xml:space="preserve"> </w:t>
      </w:r>
      <w:r w:rsidR="000052E3" w:rsidRPr="000052E3">
        <w:rPr>
          <w:lang w:eastAsia="x-none"/>
        </w:rPr>
        <w:t>Expert consensus recommends that the optimal service model for e</w:t>
      </w:r>
      <w:r w:rsidRPr="00591BFC">
        <w:rPr>
          <w:lang w:eastAsia="x-none"/>
        </w:rPr>
        <w:t>ffective delivery of secondary fracture prevention services in hospitals requires a coordinator based system of care to provide a link between all the multi-disciplinary teams involved in fracture prevention</w:t>
      </w:r>
      <w:hyperlink w:anchor="_ENREF_10" w:tooltip="Marsh, 2011 #18" w:history="1">
        <w:r w:rsidR="00B24FEE">
          <w:rPr>
            <w:lang w:eastAsia="x-none"/>
          </w:rPr>
          <w:fldChar w:fldCharType="begin">
            <w:fldData xml:space="preserve">PEVuZE5vdGU+PENpdGU+PEF1dGhvcj5NYXJzaDwvQXV0aG9yPjxZZWFyPjIwMTE8L1llYXI+PFJl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</w:fldData>
          </w:fldChar>
        </w:r>
        <w:r w:rsidR="00B24FEE">
          <w:rPr>
            <w:lang w:eastAsia="x-none"/>
          </w:rPr>
          <w:instrText xml:space="preserve"> ADDIN EN.CITE </w:instrText>
        </w:r>
        <w:r w:rsidR="00B24FEE">
          <w:rPr>
            <w:lang w:eastAsia="x-none"/>
          </w:rPr>
          <w:fldChar w:fldCharType="begin">
            <w:fldData xml:space="preserve">PEVuZE5vdGU+PENpdGU+PEF1dGhvcj5NYXJzaDwvQXV0aG9yPjxZZWFyPjIwMTE8L1llYXI+PFJl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</w:fldData>
          </w:fldChar>
        </w:r>
        <w:r w:rsidR="00B24FEE">
          <w:rPr>
            <w:lang w:eastAsia="x-none"/>
          </w:rPr>
          <w:instrText xml:space="preserve"> ADDIN EN.CITE.DATA </w:instrText>
        </w:r>
        <w:r w:rsidR="00B24FEE">
          <w:rPr>
            <w:lang w:eastAsia="x-none"/>
          </w:rPr>
        </w:r>
        <w:r w:rsidR="00B24FEE">
          <w:rPr>
            <w:lang w:eastAsia="x-none"/>
          </w:rPr>
          <w:fldChar w:fldCharType="end"/>
        </w:r>
        <w:r w:rsidR="00B24FEE">
          <w:rPr>
            <w:lang w:eastAsia="x-none"/>
          </w:rPr>
        </w:r>
        <w:r w:rsidR="00B24FEE">
          <w:rPr>
            <w:lang w:eastAsia="x-none"/>
          </w:rPr>
          <w:fldChar w:fldCharType="separate"/>
        </w:r>
        <w:r w:rsidR="00B24FEE" w:rsidRPr="00B24FEE">
          <w:rPr>
            <w:noProof/>
            <w:vertAlign w:val="superscript"/>
            <w:lang w:eastAsia="x-none"/>
          </w:rPr>
          <w:t>10</w:t>
        </w:r>
        <w:r w:rsidR="00B24FEE">
          <w:rPr>
            <w:lang w:eastAsia="x-none"/>
          </w:rPr>
          <w:fldChar w:fldCharType="end"/>
        </w:r>
      </w:hyperlink>
      <w:r w:rsidR="00056369" w:rsidRPr="00591BFC">
        <w:rPr>
          <w:lang w:eastAsia="x-none"/>
        </w:rPr>
        <w:t xml:space="preserve"> known as an FLS</w:t>
      </w:r>
      <w:r w:rsidR="009208AA" w:rsidRPr="00591BFC">
        <w:rPr>
          <w:lang w:eastAsia="x-none"/>
        </w:rPr>
        <w:t>.</w:t>
      </w:r>
      <w:r w:rsidRPr="00591BFC">
        <w:rPr>
          <w:lang w:eastAsia="x-none"/>
        </w:rPr>
        <w:t xml:space="preserve"> The model proposed by the Department of Health in the UK is that delivered by a Nurse Specialist supported by a Lead Clinician (‘Champion’) in osteoporosis</w:t>
      </w:r>
      <w:hyperlink w:anchor="_ENREF_1" w:tooltip="British Orthopaedic Association, 2007 #25" w:history="1">
        <w:r w:rsidR="00B24FEE">
          <w:rPr>
            <w:lang w:eastAsia="x-none"/>
          </w:rPr>
          <w:fldChar w:fldCharType="begin"/>
        </w:r>
        <w:r w:rsidR="00B24FEE">
          <w:rPr>
            <w:lang w:eastAsia="x-none"/>
          </w:rPr>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rPr>
            <w:lang w:eastAsia="x-none"/>
          </w:rPr>
          <w:fldChar w:fldCharType="separate"/>
        </w:r>
        <w:r w:rsidR="00B24FEE" w:rsidRPr="00B24FEE">
          <w:rPr>
            <w:noProof/>
            <w:vertAlign w:val="superscript"/>
            <w:lang w:eastAsia="x-none"/>
          </w:rPr>
          <w:t>1</w:t>
        </w:r>
        <w:r w:rsidR="00B24FEE">
          <w:rPr>
            <w:lang w:eastAsia="x-none"/>
          </w:rPr>
          <w:fldChar w:fldCharType="end"/>
        </w:r>
      </w:hyperlink>
      <w:r w:rsidRPr="00591BFC">
        <w:rPr>
          <w:lang w:eastAsia="x-none"/>
        </w:rPr>
        <w:t>.</w:t>
      </w:r>
    </w:p>
    <w:p w14:paraId="54B961C7" w14:textId="77777777" w:rsidR="00721553" w:rsidRPr="00591BFC" w:rsidRDefault="00721553" w:rsidP="00E86771">
      <w:pPr>
        <w:pStyle w:val="Heading2"/>
        <w:spacing w:line="360" w:lineRule="auto"/>
        <w:rPr>
          <w:rFonts w:ascii="Calibri" w:hAnsi="Calibri"/>
          <w:lang w:val="en-GB"/>
        </w:rPr>
      </w:pPr>
      <w:bookmarkStart w:id="514" w:name="_Toc308300835"/>
      <w:bookmarkStart w:id="515" w:name="_Toc311366642"/>
      <w:r w:rsidRPr="00591BFC">
        <w:rPr>
          <w:rFonts w:ascii="Calibri" w:hAnsi="Calibri"/>
          <w:lang w:val="en-GB"/>
        </w:rPr>
        <w:lastRenderedPageBreak/>
        <w:t>Evidence of clinical and cost-effectiveness</w:t>
      </w:r>
      <w:bookmarkEnd w:id="514"/>
      <w:bookmarkEnd w:id="515"/>
    </w:p>
    <w:p w14:paraId="66E8E6BC" w14:textId="00C3FB48" w:rsidR="00721553" w:rsidRPr="00591BFC" w:rsidRDefault="00721553" w:rsidP="00E86771">
      <w:pPr>
        <w:spacing w:line="360" w:lineRule="auto"/>
      </w:pPr>
      <w:r w:rsidRPr="00591BFC">
        <w:t>The evidence regarding the clinical and cost-effectiveness of FLS models that have been used to inform this guidance is limited and has many important weaknesses. The review of the Glasgow Osteoporosis and Falls Strategy reported that hip fracture rates in the city had reduced by 7.3% over the decade compared to a 17% increase in fracture rates for the entire population of England</w:t>
      </w:r>
      <w:r w:rsidR="00B24FEE">
        <w:fldChar w:fldCharType="begin">
          <w:fldData xml:space="preserve">PEVuZE5vdGU+PENpdGU+PEF1dGhvcj5Ta2VsdG9uPC9BdXRob3I+PFllYXI+MjAwOTwvWWVhcj48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</w:fldData>
        </w:fldChar>
      </w:r>
      <w:r w:rsidR="00B24FEE">
        <w:instrText xml:space="preserve"> ADDIN EN.CITE </w:instrText>
      </w:r>
      <w:r w:rsidR="00B24FEE">
        <w:fldChar w:fldCharType="begin">
          <w:fldData xml:space="preserve">PEVuZE5vdGU+PENpdGU+PEF1dGhvcj5Ta2VsdG9uPC9BdXRob3I+PFllYXI+MjAwOTwvWWVhcj48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</w:fldData>
        </w:fldChar>
      </w:r>
      <w:r w:rsidR="00B24FEE">
        <w:instrText xml:space="preserve"> ADDIN EN.CITE.DATA </w:instrText>
      </w:r>
      <w:r w:rsidR="00B24FEE">
        <w:fldChar w:fldCharType="end"/>
      </w:r>
      <w:r w:rsidR="00B24FEE">
        <w:fldChar w:fldCharType="separate"/>
      </w:r>
      <w:hyperlink w:anchor="_ENREF_24" w:tooltip="Skelton, 2009 #49" w:history="1">
        <w:r w:rsidR="00B24FEE" w:rsidRPr="00B24FEE">
          <w:rPr>
            <w:noProof/>
            <w:vertAlign w:val="superscript"/>
          </w:rPr>
          <w:t>24</w:t>
        </w:r>
      </w:hyperlink>
      <w:r w:rsidR="00B24FEE" w:rsidRPr="00B24FEE">
        <w:rPr>
          <w:noProof/>
          <w:vertAlign w:val="superscript"/>
        </w:rPr>
        <w:t xml:space="preserve"> </w:t>
      </w:r>
      <w:hyperlink w:anchor="_ENREF_35" w:tooltip="Mitchell, 2013 #83" w:history="1">
        <w:r w:rsidR="00B24FEE" w:rsidRPr="00B24FEE">
          <w:rPr>
            <w:noProof/>
            <w:vertAlign w:val="superscript"/>
          </w:rPr>
          <w:t>35</w:t>
        </w:r>
      </w:hyperlink>
      <w:r w:rsidR="00B24FEE">
        <w:fldChar w:fldCharType="end"/>
      </w:r>
      <w:r w:rsidRPr="00591BFC">
        <w:fldChar w:fldCharType="begin"/>
      </w:r>
      <w:r w:rsidRPr="00591BFC">
        <w:fldChar w:fldCharType="separate"/>
      </w:r>
      <w:r w:rsidR="009208AA" w:rsidRPr="00591BFC">
        <w:t>{Mitchell, 2011 #46;Skelton, 2009 #49;Skelton, 2009 #49}</w:t>
      </w:r>
      <w:r w:rsidRPr="00591BFC">
        <w:fldChar w:fldCharType="end"/>
      </w:r>
      <w:r w:rsidRPr="00591BFC">
        <w:t>. However, the prescribing rate in the control group was estimated from national audit data; all patients were assumed to remain on treatment for 5 years despite no active monitoring programme</w:t>
      </w:r>
      <w:r w:rsidR="000052E3" w:rsidRPr="00591BFC">
        <w:t xml:space="preserve"> from the FLS</w:t>
      </w:r>
      <w:r w:rsidRPr="00591BFC">
        <w:t>; and the effect of treatment on fracture rate reductions was estimated using published trials. Data from the Kaiser Southern California Healthy Bones Program (Kaiser SCAL) study reported a 37.2% reduction in hip fracture rates</w:t>
      </w:r>
      <w:hyperlink w:anchor="_ENREF_25" w:tooltip="Dell, 2011 #148" w:history="1">
        <w:r w:rsidR="00B24FEE">
          <w:fldChar w:fldCharType="begin">
            <w:fldData xml:space="preserve">PEVuZE5vdGU+PENpdGU+PEF1dGhvcj5EZWxsPC9BdXRob3I+PFllYXI+MjAxMTwvWWVhcj48UmVj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b3JvcyBJbnQ8L2Z1bGwtdGl0bGU+PC9wZXJpb2RpY2FsPjxwYWdlcz40NTctNjA8L3BhZ2VzPjx2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=
</w:fldData>
          </w:fldChar>
        </w:r>
        <w:r w:rsidR="00B24FEE">
          <w:instrText xml:space="preserve"> ADDIN EN.CITE </w:instrText>
        </w:r>
        <w:r w:rsidR="00B24FEE">
          <w:fldChar w:fldCharType="begin">
            <w:fldData xml:space="preserve">PEVuZE5vdGU+PENpdGU+PEF1dGhvcj5EZWxsPC9BdXRob3I+PFllYXI+MjAxMTwvWWVhcj48UmVj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b3JvcyBJbnQ8L2Z1bGwtdGl0bGU+PC9wZXJpb2RpY2FsPjxwYWdlcz40NTctNjA8L3BhZ2VzPjx2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=
</w:fldData>
          </w:fldChar>
        </w:r>
        <w:r w:rsidR="00B24FEE">
          <w:instrText xml:space="preserve"> ADDIN EN.CITE.DATA </w:instrText>
        </w:r>
        <w:r w:rsidR="00B24FEE">
          <w:fldChar w:fldCharType="end"/>
        </w:r>
        <w:r w:rsidR="00B24FEE">
          <w:fldChar w:fldCharType="separate"/>
        </w:r>
        <w:r w:rsidR="00B24FEE" w:rsidRPr="00B24FEE">
          <w:rPr>
            <w:noProof/>
            <w:vertAlign w:val="superscript"/>
          </w:rPr>
          <w:t>25</w:t>
        </w:r>
        <w:r w:rsidR="00B24FEE">
          <w:fldChar w:fldCharType="end"/>
        </w:r>
      </w:hyperlink>
      <w:r w:rsidRPr="00591BFC">
        <w:t xml:space="preserve">. However, </w:t>
      </w:r>
      <w:r w:rsidR="000052E3" w:rsidRPr="000052E3">
        <w:t xml:space="preserve">this was in essence a screening programme and </w:t>
      </w:r>
      <w:r w:rsidRPr="00591BFC">
        <w:t>there was no contemporary control arm and the reduction in hip fractures may have been largely driven by a reduction in primary rather than secondary hip fractures. In the Concord study of non-vertebral fracture</w:t>
      </w:r>
      <w:r w:rsidR="00B24FEE">
        <w:fldChar w:fldCharType="begin">
          <w:fldData xml:space="preserve">PEVuZE5vdGU+PENpdGU+PEF1dGhvcj5Db29wZXI8L0F1dGhvcj48WWVhcj4yMDEyPC9ZZWFyPjxS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=
</w:fldData>
        </w:fldChar>
      </w:r>
      <w:r w:rsidR="00B24FEE">
        <w:instrText xml:space="preserve"> ADDIN EN.CITE </w:instrText>
      </w:r>
      <w:r w:rsidR="00B24FEE">
        <w:fldChar w:fldCharType="begin">
          <w:fldData xml:space="preserve">PEVuZE5vdGU+PENpdGU+PEF1dGhvcj5Db29wZXI8L0F1dGhvcj48WWVhcj4yMDEyPC9ZZWFyPjxS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=
</w:fldData>
        </w:fldChar>
      </w:r>
      <w:r w:rsidR="00B24FEE">
        <w:instrText xml:space="preserve"> ADDIN EN.CITE.DATA </w:instrText>
      </w:r>
      <w:r w:rsidR="00B24FEE">
        <w:fldChar w:fldCharType="end"/>
      </w:r>
      <w:r w:rsidR="00B24FEE">
        <w:fldChar w:fldCharType="separate"/>
      </w:r>
      <w:hyperlink w:anchor="_ENREF_21" w:tooltip="Cooper, 2012 #147" w:history="1">
        <w:r w:rsidR="00B24FEE" w:rsidRPr="00B24FEE">
          <w:rPr>
            <w:noProof/>
            <w:vertAlign w:val="superscript"/>
          </w:rPr>
          <w:t>21</w:t>
        </w:r>
      </w:hyperlink>
      <w:r w:rsidR="00B24FEE" w:rsidRPr="00B24FEE">
        <w:rPr>
          <w:noProof/>
          <w:vertAlign w:val="superscript"/>
        </w:rPr>
        <w:t xml:space="preserve"> </w:t>
      </w:r>
      <w:hyperlink w:anchor="_ENREF_26" w:tooltip="Lih, 2011 #54" w:history="1">
        <w:r w:rsidR="00B24FEE" w:rsidRPr="00B24FEE">
          <w:rPr>
            <w:noProof/>
            <w:vertAlign w:val="superscript"/>
          </w:rPr>
          <w:t>26</w:t>
        </w:r>
      </w:hyperlink>
      <w:r w:rsidR="00B24FEE">
        <w:fldChar w:fldCharType="end"/>
      </w:r>
      <w:hyperlink w:anchor="_ENREF_26" w:tooltip="Lih, 2011 #54" w:history="1"/>
      <w:r w:rsidRPr="00591BFC">
        <w:t>, patients electing to receive care within the intervention programme were found to be at 80% reduced risk of subsequent fracture compared to patients remaining within standard care. However using patients who did not attend the specialist clinic as the ‘comparator’ group meant those who attended were more likely to be healthier and have fewer co-morbidities</w:t>
      </w:r>
      <w:r w:rsidR="000052E3" w:rsidRPr="000052E3">
        <w:t xml:space="preserve"> and so have a lower risk of re-fracture and higher adherence to therapy. A subsequent trial assessing the effect of the monitoring service on adherence was unable to show a significant difference</w:t>
      </w:r>
      <w:hyperlink w:anchor="_ENREF_157" w:tooltip="Ganda, 2014 #1256" w:history="1">
        <w:r w:rsidR="00B24FEE">
          <w:fldChar w:fldCharType="begin">
            <w:fldData xml:space="preserve">PEVuZE5vdGU+PENpdGU+PEF1dGhvcj5HYW5kYTwvQXV0aG9yPjxZZWFyPjIwMTQ8L1llYXI+PFJl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</w:fldData>
          </w:fldChar>
        </w:r>
        <w:r w:rsidR="00B24FEE">
          <w:instrText xml:space="preserve"> ADDIN EN.CITE </w:instrText>
        </w:r>
        <w:r w:rsidR="00B24FEE">
          <w:fldChar w:fldCharType="begin">
            <w:fldData xml:space="preserve">PEVuZE5vdGU+PENpdGU+PEF1dGhvcj5HYW5kYTwvQXV0aG9yPjxZZWFyPjIwMTQ8L1llYXI+PFJl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</w:fldData>
          </w:fldChar>
        </w:r>
        <w:r w:rsidR="00B24FEE">
          <w:instrText xml:space="preserve"> ADDIN EN.CITE.DATA </w:instrText>
        </w:r>
        <w:r w:rsidR="00B24FEE">
          <w:fldChar w:fldCharType="end"/>
        </w:r>
        <w:r w:rsidR="00B24FEE">
          <w:fldChar w:fldCharType="separate"/>
        </w:r>
        <w:r w:rsidR="00B24FEE" w:rsidRPr="00B24FEE">
          <w:rPr>
            <w:noProof/>
            <w:vertAlign w:val="superscript"/>
          </w:rPr>
          <w:t>157</w:t>
        </w:r>
        <w:r w:rsidR="00B24FEE">
          <w:fldChar w:fldCharType="end"/>
        </w:r>
      </w:hyperlink>
      <w:r w:rsidR="000052E3" w:rsidRPr="00591BFC">
        <w:t xml:space="preserve">. </w:t>
      </w:r>
      <w:r w:rsidRPr="00591BFC">
        <w:t>The non-randomisation of allocation to coordinated versus standard care may have influenced persistence to therapy in those on the intervention programme (95% remaining on initial treatment). Finally, only 20% of all fragility fracture patients attend the specialist service, as those with cognitive impairment and other serious comorbidities were excluded</w:t>
      </w:r>
      <w:r w:rsidR="000052E3" w:rsidRPr="00591BFC">
        <w:t xml:space="preserve"> </w:t>
      </w:r>
      <w:r w:rsidR="000052E3" w:rsidRPr="000052E3">
        <w:t>limiting the generali</w:t>
      </w:r>
      <w:r w:rsidR="00EE6819">
        <w:t>s</w:t>
      </w:r>
      <w:r w:rsidR="000052E3" w:rsidRPr="000052E3">
        <w:t>a</w:t>
      </w:r>
      <w:r w:rsidR="000052E3">
        <w:t xml:space="preserve">bility of the study findings.  </w:t>
      </w:r>
    </w:p>
    <w:p w14:paraId="0FE89EA1" w14:textId="77777777" w:rsidR="00721553" w:rsidRPr="00591BFC" w:rsidRDefault="00721553" w:rsidP="00E86771">
      <w:pPr>
        <w:spacing w:line="360" w:lineRule="auto"/>
      </w:pPr>
    </w:p>
    <w:p w14:paraId="6A1A4247" w14:textId="4FC47DA7" w:rsidR="00721553" w:rsidRPr="00591BFC" w:rsidRDefault="00721553" w:rsidP="00E86771">
      <w:pPr>
        <w:spacing w:line="360" w:lineRule="auto"/>
      </w:pPr>
      <w:r w:rsidRPr="00591BFC">
        <w:t xml:space="preserve">There are three studies assessing the cost-effectiveness of models of care for the prevention of fractures. The Canadian study by Majumdar </w:t>
      </w:r>
      <w:r w:rsidRPr="00EE6819">
        <w:rPr>
          <w:i/>
        </w:rPr>
        <w:t>et al.</w:t>
      </w:r>
      <w:r w:rsidRPr="00591BFC">
        <w:t xml:space="preserve"> (2009)</w:t>
      </w:r>
      <w:hyperlink w:anchor="_ENREF_94" w:tooltip="Majumdar, 2009 #1137" w:history="1">
        <w:r w:rsidR="00B24FEE">
          <w:fldChar w:fldCharType="begin">
            <w:fldData xml:space="preserve">PEVuZE5vdGU+PENpdGU+PEF1dGhvcj5NYWp1bWRhcjwvQXV0aG9yPjxZZWFyPjIwMDk8L1llYXI+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==
</w:fldData>
          </w:fldChar>
        </w:r>
        <w:r w:rsidR="00B24FEE">
          <w:instrText xml:space="preserve"> ADDIN EN.CITE </w:instrText>
        </w:r>
        <w:r w:rsidR="00B24FEE">
          <w:fldChar w:fldCharType="begin">
            <w:fldData xml:space="preserve">PEVuZE5vdGU+PENpdGU+PEF1dGhvcj5NYWp1bWRhcjwvQXV0aG9yPjxZZWFyPjIwMDk8L1llYXI+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==
</w:fldData>
          </w:fldChar>
        </w:r>
        <w:r w:rsidR="00B24FEE">
          <w:instrText xml:space="preserve"> ADDIN EN.CITE.DATA </w:instrText>
        </w:r>
        <w:r w:rsidR="00B24FEE">
          <w:fldChar w:fldCharType="end"/>
        </w:r>
        <w:r w:rsidR="00B24FEE">
          <w:fldChar w:fldCharType="separate"/>
        </w:r>
        <w:r w:rsidR="00B24FEE" w:rsidRPr="00B24FEE">
          <w:rPr>
            <w:noProof/>
            <w:vertAlign w:val="superscript"/>
          </w:rPr>
          <w:t>94</w:t>
        </w:r>
        <w:r w:rsidR="00B24FEE">
          <w:fldChar w:fldCharType="end"/>
        </w:r>
      </w:hyperlink>
      <w:r w:rsidRPr="00591BFC">
        <w:t xml:space="preserve"> reported the intervention to be both cost-saving and more effective compared to usual care. However, the model was based on published literature and a small clinical trial of 220 patients followed up for a year. The clinical trial did not evaluate the impact of the intervention in terms of re-fracture rates, quality of life or life expectancy and excluded patients with hip fracture admitted from a care home. The Australian study by Cooper et al. (2012)</w:t>
      </w:r>
      <w:hyperlink w:anchor="_ENREF_21" w:tooltip="Cooper, 2012 #147" w:history="1">
        <w:r w:rsidR="00B24FEE">
          <w:fldChar w:fldCharType="begin">
            <w:fldData xml:space="preserve">PEVuZE5vdGU+PENpdGU+PEF1dGhvcj5Db29wZXI8L0F1dGhvcj48WWVhcj4yMDEyPC9ZZWFyPjxS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</w:fldData>
          </w:fldChar>
        </w:r>
        <w:r w:rsidR="00B24FEE">
          <w:instrText xml:space="preserve"> ADDIN EN.CITE </w:instrText>
        </w:r>
        <w:r w:rsidR="00B24FEE">
          <w:fldChar w:fldCharType="begin">
            <w:fldData xml:space="preserve">PEVuZE5vdGU+PENpdGU+PEF1dGhvcj5Db29wZXI8L0F1dGhvcj48WWVhcj4yMDEyPC9ZZWFyPjxS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</w:fldData>
          </w:fldChar>
        </w:r>
        <w:r w:rsidR="00B24FEE">
          <w:instrText xml:space="preserve"> ADDIN EN.CITE.DATA </w:instrText>
        </w:r>
        <w:r w:rsidR="00B24FEE">
          <w:fldChar w:fldCharType="end"/>
        </w:r>
        <w:r w:rsidR="00B24FEE">
          <w:fldChar w:fldCharType="separate"/>
        </w:r>
        <w:r w:rsidR="00B24FEE" w:rsidRPr="00B24FEE">
          <w:rPr>
            <w:noProof/>
            <w:vertAlign w:val="superscript"/>
          </w:rPr>
          <w:t>21</w:t>
        </w:r>
        <w:r w:rsidR="00B24FEE">
          <w:fldChar w:fldCharType="end"/>
        </w:r>
      </w:hyperlink>
      <w:r w:rsidRPr="00591BFC">
        <w:t xml:space="preserve"> compared an outpatient-based FLS to patients treated in primary care and reported the FLS to be highly cost-effective. No results were provided for the subgroup of hip fracture patients nor did they extrapolate the findings to lifetime. The UK study by McLellan et al. (2011)</w:t>
      </w:r>
      <w:hyperlink w:anchor="_ENREF_20" w:tooltip="McLellan, 2011 #45" w:history="1">
        <w:r w:rsidR="00B24FEE">
          <w:fldChar w:fldCharType="begin"/>
        </w:r>
        <w:r w:rsidR="00B24FEE">
          <w:instrText xml:space="preserve"> ADDIN EN.CITE &lt;EndNote&gt;&lt;Cite&gt;&lt;Author&gt;McLellan&lt;/Author&gt;&lt;Year&gt;2011&lt;/Year&gt;&lt;RecNum&gt;45&lt;/RecNum&gt;&lt;DisplayText&gt;&lt;style face="superscript"&gt;20&lt;/style&gt;&lt;/DisplayText&gt;&lt;record&gt;&lt;rec-number&gt;45&lt;/rec-number&gt;&lt;foreign-keys&gt;&lt;key app="EN" db-id="sxpszd2ti9dx04ewefrvfp5bpf5faazszr9p" timestamp="0"&gt;45&lt;/key&gt;&lt;/foreign-keys&gt;&lt;ref-type name="Journal Article"&gt;17&lt;/ref-type&gt;&lt;contributors&gt;&lt;authors&gt;&lt;author&gt;McLellan, A.&lt;/author&gt;&lt;author&gt;Wolowacz, S.&lt;/author&gt;&lt;author&gt;Zimovetz, E.&lt;/author&gt;&lt;author&gt;Beard, S.&lt;/author&gt;&lt;author&gt;Lock, S.&lt;/author&gt;&lt;author&gt;McCrink, L.&lt;/author&gt;&lt;author&gt;Adekunle, F.&lt;/author&gt;&lt;author&gt;Roberts, D.&lt;/author&gt;&lt;/authors&gt;&lt;/contributors&gt;&lt;titles&gt;&lt;title&gt;Fracture liaison services for the evaluation and management of patients with osteoporotic fracture: a cost-effectiveness evaluation based on data collected over 8 years of service provision&lt;/title&gt;&lt;secondary-title&gt;Osteoporosis International&lt;/secondary-title&gt;&lt;/titles&gt;&lt;pages&gt;2083-2098&lt;/pages&gt;&lt;volume&gt;22&lt;/volume&gt;&lt;number&gt;7&lt;/number&gt;&lt;keywords&gt;&lt;keyword&gt;Medicine&lt;/keyword&gt;&lt;/keywords&gt;&lt;dates&gt;&lt;year&gt;2011&lt;/year&gt;&lt;/dates&gt;&lt;publisher&gt;Springer London&lt;/publisher&gt;&lt;isbn&gt;0937-941X&lt;/isbn&gt;&lt;urls&gt;&lt;related-urls&gt;&lt;url&gt;http://dx.doi.org/10.1007/s00198-011-1534-0&lt;/url&gt;&lt;/related-urls&gt;&lt;/urls&gt;&lt;electronic-resource-num&gt;10.1007/s00198-011-1534-0&lt;/electronic-resource-num&gt;&lt;/record&gt;&lt;/Cite&gt;&lt;/EndNote&gt;</w:instrText>
        </w:r>
        <w:r w:rsidR="00B24FEE">
          <w:fldChar w:fldCharType="separate"/>
        </w:r>
        <w:r w:rsidR="00B24FEE" w:rsidRPr="00B24FEE">
          <w:rPr>
            <w:noProof/>
            <w:vertAlign w:val="superscript"/>
          </w:rPr>
          <w:t>20</w:t>
        </w:r>
        <w:r w:rsidR="00B24FEE">
          <w:fldChar w:fldCharType="end"/>
        </w:r>
      </w:hyperlink>
      <w:r w:rsidRPr="00591BFC">
        <w:t xml:space="preserve"> </w:t>
      </w:r>
      <w:r w:rsidRPr="00591BFC">
        <w:lastRenderedPageBreak/>
        <w:t>compared a FLS for the prevention of further fractures with the absence of FLS</w:t>
      </w:r>
      <w:r w:rsidR="000052E3" w:rsidRPr="00591BFC">
        <w:t xml:space="preserve"> </w:t>
      </w:r>
      <w:r w:rsidR="00B53266" w:rsidRPr="00B53266">
        <w:t xml:space="preserve">using </w:t>
      </w:r>
      <w:r w:rsidR="00B53266">
        <w:t>audit data from the Glasgow FLS</w:t>
      </w:r>
      <w:r w:rsidRPr="00591BFC">
        <w:t xml:space="preserve">. The authors reported the FLS to be more effective and less costly than no FLS. However, no results were provided for a population solely composed by hip fracture patients and there was not comparable control group. Hence, the authors had to rely on published literature and assumptions to model the impact of FLS on fractures relative to its absence. The remaining model inputs were also derived from a range of sources and fracture populations resulting in several assumptions as to how best </w:t>
      </w:r>
      <w:r w:rsidR="00CE2ED9">
        <w:t xml:space="preserve">to </w:t>
      </w:r>
      <w:r w:rsidRPr="00591BFC">
        <w:t>synthesise the available data.</w:t>
      </w:r>
    </w:p>
    <w:p w14:paraId="0C6D9C0D" w14:textId="77777777" w:rsidR="00721553" w:rsidRPr="00591BFC" w:rsidRDefault="00721553" w:rsidP="00E86771">
      <w:pPr>
        <w:spacing w:line="360" w:lineRule="auto"/>
        <w:rPr>
          <w:i/>
        </w:rPr>
      </w:pPr>
    </w:p>
    <w:p w14:paraId="640854AB" w14:textId="77777777" w:rsidR="00721553" w:rsidRPr="00591BFC" w:rsidRDefault="00721553" w:rsidP="00E86771">
      <w:pPr>
        <w:spacing w:line="360" w:lineRule="auto"/>
      </w:pPr>
      <w:r w:rsidRPr="00591BFC">
        <w:t>This highlights the need for robust data on key clinical outcomes and cost effectiveness of FLS models in order to prioritise, guide and inform commissioning decisions.</w:t>
      </w:r>
    </w:p>
    <w:p w14:paraId="2EA51BEF" w14:textId="77777777" w:rsidR="00721553" w:rsidRPr="00591BFC" w:rsidRDefault="00721553" w:rsidP="00E86771">
      <w:pPr>
        <w:spacing w:line="360" w:lineRule="auto"/>
      </w:pPr>
    </w:p>
    <w:p w14:paraId="0F2D6450" w14:textId="77777777" w:rsidR="00721553" w:rsidRPr="00591BFC" w:rsidRDefault="00721553" w:rsidP="00E86771">
      <w:pPr>
        <w:pStyle w:val="Heading2"/>
        <w:spacing w:line="360" w:lineRule="auto"/>
        <w:rPr>
          <w:rFonts w:ascii="Calibri" w:hAnsi="Calibri"/>
          <w:lang w:val="en-GB"/>
        </w:rPr>
      </w:pPr>
      <w:bookmarkStart w:id="516" w:name="_Toc308300836"/>
      <w:bookmarkStart w:id="517" w:name="_Toc311366643"/>
      <w:r w:rsidRPr="00591BFC">
        <w:rPr>
          <w:rFonts w:ascii="Calibri" w:hAnsi="Calibri"/>
          <w:lang w:val="en-GB"/>
        </w:rPr>
        <w:t>Main findings</w:t>
      </w:r>
      <w:bookmarkEnd w:id="516"/>
      <w:bookmarkEnd w:id="517"/>
    </w:p>
    <w:p w14:paraId="5B6E0549" w14:textId="77777777" w:rsidR="00721553" w:rsidRPr="00591BFC" w:rsidRDefault="00721553" w:rsidP="00E86771">
      <w:pPr>
        <w:spacing w:line="360" w:lineRule="auto"/>
        <w:rPr>
          <w:lang w:eastAsia="x-none"/>
        </w:rPr>
      </w:pPr>
      <w:r w:rsidRPr="00591BFC">
        <w:rPr>
          <w:lang w:eastAsia="x-none"/>
        </w:rPr>
        <w:t xml:space="preserve">The </w:t>
      </w:r>
      <w:r w:rsidRPr="00591BFC">
        <w:rPr>
          <w:i/>
          <w:lang w:eastAsia="x-none"/>
        </w:rPr>
        <w:t>service evaluation</w:t>
      </w:r>
      <w:r w:rsidRPr="00591BFC">
        <w:rPr>
          <w:lang w:eastAsia="x-none"/>
        </w:rPr>
        <w:t xml:space="preserve"> provided evidence of significant variation in the way 11 hospitals in a region of England organise and structure the delivery of secondary fracture prevention for hip fracture. This included </w:t>
      </w:r>
      <w:r w:rsidR="000655D1">
        <w:rPr>
          <w:lang w:eastAsia="x-none"/>
        </w:rPr>
        <w:t xml:space="preserve">variation in </w:t>
      </w:r>
      <w:r w:rsidRPr="00591BFC">
        <w:rPr>
          <w:lang w:eastAsia="x-none"/>
        </w:rPr>
        <w:t>current levels of staffing of professionals involved in providing FLS - across hospitals in the region overall orthogeriatric staff ranged from 1 WTE per 1000 patients to 9.6 WTE per 1000 patients, and overall fracture liaison or specialist nursing staff ranging from zero input to 7.6 WTE per 1000 patients. There were different types of coordinator based models of care whether this be a consultant or nurse led service. There was also variation in the processes used by each hospital to case find, assess for osteoporosis and risk of future falls, initiate bone protection treatment and undertake falls prevention and monitor patien</w:t>
      </w:r>
      <w:r w:rsidR="000655D1">
        <w:rPr>
          <w:lang w:eastAsia="x-none"/>
        </w:rPr>
        <w:t>ts. By characteris</w:t>
      </w:r>
      <w:r w:rsidRPr="00591BFC">
        <w:rPr>
          <w:lang w:eastAsia="x-none"/>
        </w:rPr>
        <w:t xml:space="preserve">ing the changes hospitals made to service delivery over the past decade, this demonstrated marked increases in the provision of both orthogeriatric and/or FLS nurse staff in each of the hospitals, although there was little relationship of staffing levels with the size of hospitals hip fracture catchment population. The scale of variation in the way hospitals in the region organise their services highlights the need to link investment in these specialist posts with impact on clinical outcomes and cost effectiveness.  </w:t>
      </w:r>
    </w:p>
    <w:p w14:paraId="26CDB283" w14:textId="77777777" w:rsidR="00721553" w:rsidRPr="00591BFC" w:rsidRDefault="002127E1" w:rsidP="00E86771">
      <w:pPr>
        <w:spacing w:line="360" w:lineRule="auto"/>
        <w:rPr>
          <w:lang w:eastAsia="x-none"/>
        </w:rPr>
      </w:pPr>
      <w:r w:rsidRPr="00803963">
        <w:rPr>
          <w:u w:val="single"/>
          <w:lang w:eastAsia="x-none"/>
        </w:rPr>
        <w:t>Quality of evidence</w:t>
      </w:r>
      <w:r>
        <w:rPr>
          <w:lang w:eastAsia="x-none"/>
        </w:rPr>
        <w:t xml:space="preserve"> – Although wi</w:t>
      </w:r>
      <w:r w:rsidR="00666A9B">
        <w:rPr>
          <w:lang w:eastAsia="x-none"/>
        </w:rPr>
        <w:t>thin a regional area of England,</w:t>
      </w:r>
      <w:r>
        <w:rPr>
          <w:lang w:eastAsia="x-none"/>
        </w:rPr>
        <w:t xml:space="preserve"> a</w:t>
      </w:r>
      <w:r w:rsidRPr="002127E1">
        <w:rPr>
          <w:lang w:eastAsia="x-none"/>
        </w:rPr>
        <w:t xml:space="preserve"> strength of this evaluation is the heterogeneity of NHS hospitals examined from smaller district general hospitals to large tertiary major trauma centres, adding </w:t>
      </w:r>
      <w:r>
        <w:rPr>
          <w:lang w:eastAsia="x-none"/>
        </w:rPr>
        <w:t>to</w:t>
      </w:r>
      <w:r w:rsidRPr="002127E1">
        <w:rPr>
          <w:lang w:eastAsia="x-none"/>
        </w:rPr>
        <w:t xml:space="preserve"> generalisability.</w:t>
      </w:r>
      <w:r w:rsidR="00FB3FE1">
        <w:rPr>
          <w:lang w:eastAsia="x-none"/>
        </w:rPr>
        <w:t xml:space="preserve"> The service evaluation enabled us to characteris</w:t>
      </w:r>
      <w:r w:rsidR="00FB3FE1" w:rsidRPr="00FB3FE1">
        <w:rPr>
          <w:lang w:eastAsia="x-none"/>
        </w:rPr>
        <w:t>e the dates and timing of key changes to service delivery together with underlying detail of processes used to case find, assess</w:t>
      </w:r>
      <w:r w:rsidR="00FB3FE1">
        <w:rPr>
          <w:lang w:eastAsia="x-none"/>
        </w:rPr>
        <w:t xml:space="preserve"> for osteoporosis</w:t>
      </w:r>
      <w:r w:rsidR="00FB3FE1" w:rsidRPr="00FB3FE1">
        <w:rPr>
          <w:lang w:eastAsia="x-none"/>
        </w:rPr>
        <w:t>, initiate treatment and monitor.</w:t>
      </w:r>
      <w:r w:rsidR="00FB3FE1">
        <w:rPr>
          <w:lang w:eastAsia="x-none"/>
        </w:rPr>
        <w:t xml:space="preserve"> This formed detailed data </w:t>
      </w:r>
      <w:r w:rsidR="00FB3FE1">
        <w:rPr>
          <w:lang w:eastAsia="x-none"/>
        </w:rPr>
        <w:lastRenderedPageBreak/>
        <w:t xml:space="preserve">on the interventions of interest used in subsequent analyses. </w:t>
      </w:r>
      <w:r w:rsidR="00FB3FE1" w:rsidRPr="00FB3FE1">
        <w:rPr>
          <w:lang w:eastAsia="x-none"/>
        </w:rPr>
        <w:t xml:space="preserve">A limitation is the reliance on clinicians’ recall and understandings of events over the last decade. </w:t>
      </w:r>
    </w:p>
    <w:p w14:paraId="3C462222" w14:textId="77777777" w:rsidR="00721553" w:rsidRPr="00591BFC" w:rsidRDefault="00721553" w:rsidP="00E86771">
      <w:pPr>
        <w:spacing w:line="360" w:lineRule="auto"/>
        <w:rPr>
          <w:lang w:eastAsia="x-none"/>
        </w:rPr>
      </w:pPr>
      <w:r w:rsidRPr="00591BFC">
        <w:rPr>
          <w:lang w:eastAsia="x-none"/>
        </w:rPr>
        <w:t xml:space="preserve">A </w:t>
      </w:r>
      <w:r w:rsidRPr="00DB4F65">
        <w:rPr>
          <w:i/>
        </w:rPr>
        <w:t>qualitative research</w:t>
      </w:r>
      <w:r w:rsidRPr="00591BFC">
        <w:rPr>
          <w:lang w:eastAsia="x-none"/>
        </w:rPr>
        <w:t xml:space="preserve"> study was undertaken to understand how and why secondary fracture prevention services can be successfully implemented. 43 semi-structured interviews were conducted with healthcare professionals</w:t>
      </w:r>
      <w:r w:rsidR="00B53266" w:rsidRPr="00591BFC">
        <w:rPr>
          <w:lang w:eastAsia="x-none"/>
        </w:rPr>
        <w:t xml:space="preserve"> and managers</w:t>
      </w:r>
      <w:r w:rsidRPr="00591BFC">
        <w:rPr>
          <w:lang w:eastAsia="x-none"/>
        </w:rPr>
        <w:t xml:space="preserve"> involved in delivering secondary fracture prevention within 11 hospitals in the region that included orthogeriatricians, fracture prevention nurses, hospital practitioners in osteoporosis and service managers. The capacity of healthcare professionals to co-operate and co-ordinate their actions was achieved by using dedicated fracture prevention co-ordinators to organi</w:t>
      </w:r>
      <w:r w:rsidR="000655D1">
        <w:rPr>
          <w:lang w:eastAsia="x-none"/>
        </w:rPr>
        <w:t>s</w:t>
      </w:r>
      <w:r w:rsidRPr="00591BFC">
        <w:rPr>
          <w:lang w:eastAsia="x-none"/>
        </w:rPr>
        <w:t xml:space="preserve">e important processes of care. However, participants described </w:t>
      </w:r>
      <w:r w:rsidR="00B53266" w:rsidRPr="00B53266">
        <w:rPr>
          <w:lang w:eastAsia="x-none"/>
        </w:rPr>
        <w:t>securing communication and cooperation</w:t>
      </w:r>
      <w:r w:rsidRPr="00591BFC">
        <w:rPr>
          <w:lang w:eastAsia="x-none"/>
        </w:rPr>
        <w:t xml:space="preserve"> with GPs as challenging. Individual potential and commitment to operationali</w:t>
      </w:r>
      <w:r w:rsidR="000655D1">
        <w:rPr>
          <w:lang w:eastAsia="x-none"/>
        </w:rPr>
        <w:t>s</w:t>
      </w:r>
      <w:r w:rsidRPr="00591BFC">
        <w:rPr>
          <w:lang w:eastAsia="x-none"/>
        </w:rPr>
        <w:t>e services was generally high. Shared commitments were promoted through multi-disciplinary team working, facilitated by fracture</w:t>
      </w:r>
      <w:r w:rsidR="00EE6819">
        <w:rPr>
          <w:lang w:eastAsia="x-none"/>
        </w:rPr>
        <w:t xml:space="preserve"> liaison </w:t>
      </w:r>
      <w:r w:rsidRPr="00591BFC">
        <w:rPr>
          <w:lang w:eastAsia="x-none"/>
        </w:rPr>
        <w:t xml:space="preserve">co-ordinators. Healthcare professionals had capacity to deliver multiple components of services when co-ordinators ‘freed up’ time. Aside from difficulty of co-ordination with primary care, </w:t>
      </w:r>
      <w:r w:rsidR="00EE6819">
        <w:rPr>
          <w:lang w:eastAsia="x-none"/>
        </w:rPr>
        <w:t>FLSs were seen as</w:t>
      </w:r>
      <w:r w:rsidRPr="00591BFC">
        <w:rPr>
          <w:lang w:eastAsia="x-none"/>
        </w:rPr>
        <w:t xml:space="preserve"> highly workable and easily integrated into practice. Nevertheless, successful implementation was threatened by understaffed and under resourced services, a lack of capacity to administer</w:t>
      </w:r>
      <w:r w:rsidR="000655D1">
        <w:rPr>
          <w:lang w:eastAsia="x-none"/>
        </w:rPr>
        <w:t xml:space="preserve"> DXA</w:t>
      </w:r>
      <w:r w:rsidRPr="00591BFC">
        <w:rPr>
          <w:lang w:eastAsia="x-none"/>
        </w:rPr>
        <w:t xml:space="preserve"> scans and</w:t>
      </w:r>
      <w:r w:rsidR="004C6125">
        <w:rPr>
          <w:lang w:eastAsia="x-none"/>
        </w:rPr>
        <w:t xml:space="preserve"> difficulties that </w:t>
      </w:r>
      <w:r w:rsidRPr="00591BFC">
        <w:rPr>
          <w:lang w:eastAsia="x-none"/>
        </w:rPr>
        <w:t>patient</w:t>
      </w:r>
      <w:r w:rsidR="004C6125">
        <w:rPr>
          <w:lang w:eastAsia="x-none"/>
        </w:rPr>
        <w:t>s encountered in</w:t>
      </w:r>
      <w:r w:rsidRPr="00591BFC">
        <w:rPr>
          <w:lang w:eastAsia="x-none"/>
        </w:rPr>
        <w:t xml:space="preserve"> access</w:t>
      </w:r>
      <w:r w:rsidR="004C6125">
        <w:rPr>
          <w:lang w:eastAsia="x-none"/>
        </w:rPr>
        <w:t>ing services</w:t>
      </w:r>
      <w:r w:rsidRPr="00591BFC">
        <w:rPr>
          <w:lang w:eastAsia="x-none"/>
        </w:rPr>
        <w:t>. To ensure ongoing service delivery, the contributions of healthcare professionals were shaped by planning in multi-disciplinary team meetings, use of clinical databases to identify patients and define the composition of clinical work, and monitoring to improve clinical practice. Identifying issues that impact on the implementation of facture prevention services after hip fracture provides information to healthcare professionals and service managers on how best to implement services for patients in the future.</w:t>
      </w:r>
    </w:p>
    <w:p w14:paraId="1181F30E" w14:textId="77777777" w:rsidR="00721553" w:rsidRPr="00591BFC" w:rsidRDefault="00721553" w:rsidP="00E86771">
      <w:pPr>
        <w:spacing w:line="360" w:lineRule="auto"/>
        <w:rPr>
          <w:lang w:eastAsia="x-none"/>
        </w:rPr>
      </w:pPr>
      <w:r w:rsidRPr="00591BFC">
        <w:rPr>
          <w:lang w:eastAsia="x-none"/>
        </w:rPr>
        <w:t xml:space="preserve">The </w:t>
      </w:r>
      <w:r w:rsidRPr="00DB4F65">
        <w:rPr>
          <w:i/>
        </w:rPr>
        <w:t>qualitative study</w:t>
      </w:r>
      <w:r w:rsidRPr="00591BFC">
        <w:rPr>
          <w:lang w:eastAsia="x-none"/>
        </w:rPr>
        <w:t xml:space="preserve"> </w:t>
      </w:r>
      <w:r w:rsidR="004C6125">
        <w:rPr>
          <w:lang w:eastAsia="x-none"/>
        </w:rPr>
        <w:t xml:space="preserve">also </w:t>
      </w:r>
      <w:r w:rsidRPr="00591BFC">
        <w:rPr>
          <w:lang w:eastAsia="x-none"/>
        </w:rPr>
        <w:t>explored the experiences of clinicians and service managers of developing and making business cases for a FLS. Challenges in the development of business cases included collecting all the relevant data and negotiating compartmentalised budgets that impeded service development. Participants described communication and cooperation between providers and commissioners as variable. They felt financial considerations were the most important factor in funding decisions, while improved quality of care was less influential. Other factors included national guidelines and political priorities. The personalities of clinicians championing services, and the clinical interests of commissioners were seen to influe</w:t>
      </w:r>
      <w:r w:rsidR="004C6125">
        <w:rPr>
          <w:lang w:eastAsia="x-none"/>
        </w:rPr>
        <w:t>nce the decision-making process</w:t>
      </w:r>
      <w:r w:rsidRPr="00591BFC">
        <w:rPr>
          <w:lang w:eastAsia="x-none"/>
        </w:rPr>
        <w:t xml:space="preserve">. </w:t>
      </w:r>
      <w:r w:rsidR="004C6125">
        <w:rPr>
          <w:lang w:eastAsia="x-none"/>
        </w:rPr>
        <w:t xml:space="preserve">Participants identified an number of </w:t>
      </w:r>
      <w:r w:rsidRPr="00591BFC">
        <w:rPr>
          <w:lang w:eastAsia="x-none"/>
        </w:rPr>
        <w:t>strategies</w:t>
      </w:r>
      <w:r w:rsidR="004C6125">
        <w:rPr>
          <w:lang w:eastAsia="x-none"/>
        </w:rPr>
        <w:t xml:space="preserve"> </w:t>
      </w:r>
      <w:r w:rsidR="004C6125" w:rsidRPr="004C6125">
        <w:rPr>
          <w:lang w:eastAsia="x-none"/>
        </w:rPr>
        <w:t>that they thought were particularly helpful in the successful devel</w:t>
      </w:r>
      <w:r w:rsidR="004C6125">
        <w:rPr>
          <w:lang w:eastAsia="x-none"/>
        </w:rPr>
        <w:t xml:space="preserve">opment of business cases. These </w:t>
      </w:r>
      <w:r w:rsidRPr="00591BFC">
        <w:rPr>
          <w:lang w:eastAsia="x-none"/>
        </w:rPr>
        <w:t xml:space="preserve">included </w:t>
      </w:r>
      <w:r w:rsidR="004C6125">
        <w:rPr>
          <w:lang w:eastAsia="x-none"/>
        </w:rPr>
        <w:t>support,</w:t>
      </w:r>
      <w:r w:rsidR="004C6125" w:rsidRPr="004C6125">
        <w:rPr>
          <w:lang w:eastAsia="x-none"/>
        </w:rPr>
        <w:t xml:space="preserve"> enhancements to cooperation between stakeholders, and </w:t>
      </w:r>
      <w:r w:rsidR="004C6125">
        <w:rPr>
          <w:lang w:eastAsia="x-none"/>
        </w:rPr>
        <w:t>the demonstration of</w:t>
      </w:r>
      <w:r w:rsidRPr="00591BFC">
        <w:rPr>
          <w:lang w:eastAsia="x-none"/>
        </w:rPr>
        <w:t xml:space="preserve"> potential cost effectiveness and improved quality of care. </w:t>
      </w:r>
      <w:r w:rsidRPr="00591BFC">
        <w:rPr>
          <w:lang w:eastAsia="x-none"/>
        </w:rPr>
        <w:lastRenderedPageBreak/>
        <w:t>Participants felt that the work of commissioners and providers should be better integrated and suggested strategies for doing this. The study provides information to healthcare professionals and service managers about how best to develop business cases for a FLS in the future.</w:t>
      </w:r>
    </w:p>
    <w:p w14:paraId="41561DD4" w14:textId="77777777" w:rsidR="00721553" w:rsidRPr="00591BFC" w:rsidRDefault="00666A9B" w:rsidP="00E86771">
      <w:pPr>
        <w:spacing w:line="360" w:lineRule="auto"/>
        <w:rPr>
          <w:lang w:eastAsia="x-none"/>
        </w:rPr>
      </w:pPr>
      <w:r w:rsidRPr="00803963">
        <w:rPr>
          <w:u w:val="single"/>
          <w:lang w:eastAsia="x-none"/>
        </w:rPr>
        <w:t>Quality of evidence</w:t>
      </w:r>
      <w:r>
        <w:rPr>
          <w:lang w:eastAsia="x-none"/>
        </w:rPr>
        <w:t xml:space="preserve"> – </w:t>
      </w:r>
      <w:r w:rsidR="008F18EB">
        <w:rPr>
          <w:lang w:eastAsia="x-none"/>
        </w:rPr>
        <w:t xml:space="preserve">The </w:t>
      </w:r>
      <w:r w:rsidR="008F18EB" w:rsidRPr="008F18EB">
        <w:rPr>
          <w:lang w:eastAsia="x-none"/>
        </w:rPr>
        <w:t>study did not aim to achieve data saturation</w:t>
      </w:r>
      <w:r w:rsidR="008F18EB">
        <w:rPr>
          <w:lang w:eastAsia="x-none"/>
        </w:rPr>
        <w:t xml:space="preserve"> but used criterion sampling</w:t>
      </w:r>
      <w:r w:rsidR="008F18EB" w:rsidRPr="008F18EB">
        <w:rPr>
          <w:lang w:eastAsia="x-none"/>
        </w:rPr>
        <w:t xml:space="preserve"> to explore a diverse range of views</w:t>
      </w:r>
      <w:r w:rsidR="008F18EB">
        <w:rPr>
          <w:lang w:eastAsia="x-none"/>
        </w:rPr>
        <w:t xml:space="preserve"> </w:t>
      </w:r>
      <w:r w:rsidR="008F18EB" w:rsidRPr="008F18EB">
        <w:rPr>
          <w:lang w:eastAsia="x-none"/>
        </w:rPr>
        <w:t xml:space="preserve">and this was successfully achieved. </w:t>
      </w:r>
      <w:r w:rsidR="005E46BA">
        <w:rPr>
          <w:lang w:eastAsia="x-none"/>
        </w:rPr>
        <w:t>However, o</w:t>
      </w:r>
      <w:r w:rsidR="00C403FA" w:rsidRPr="00C403FA">
        <w:rPr>
          <w:lang w:eastAsia="x-none"/>
        </w:rPr>
        <w:t xml:space="preserve">nly five </w:t>
      </w:r>
      <w:r w:rsidR="00C403FA">
        <w:rPr>
          <w:lang w:eastAsia="x-none"/>
        </w:rPr>
        <w:t>service managers were recruited</w:t>
      </w:r>
      <w:r w:rsidR="00C403FA" w:rsidRPr="00C403FA">
        <w:rPr>
          <w:lang w:eastAsia="x-none"/>
        </w:rPr>
        <w:t xml:space="preserve"> </w:t>
      </w:r>
      <w:r w:rsidR="00C403FA">
        <w:rPr>
          <w:lang w:eastAsia="x-none"/>
        </w:rPr>
        <w:t>and</w:t>
      </w:r>
      <w:r w:rsidR="00C403FA" w:rsidRPr="00C403FA">
        <w:rPr>
          <w:lang w:eastAsia="x-none"/>
        </w:rPr>
        <w:t xml:space="preserve"> </w:t>
      </w:r>
      <w:r w:rsidR="00C403FA">
        <w:rPr>
          <w:lang w:eastAsia="x-none"/>
        </w:rPr>
        <w:t>t</w:t>
      </w:r>
      <w:r w:rsidR="00C403FA" w:rsidRPr="00C403FA">
        <w:rPr>
          <w:lang w:eastAsia="x-none"/>
        </w:rPr>
        <w:t>heir lack of representation made it difficult to fully examine how their opinions on making business cases differed from other participants.</w:t>
      </w:r>
      <w:r w:rsidR="00E72710">
        <w:rPr>
          <w:lang w:eastAsia="x-none"/>
        </w:rPr>
        <w:t xml:space="preserve"> FLS are complex interventions and a strength of the study is the use of extended Normalisation Process Theory as a theoretical framework </w:t>
      </w:r>
      <w:r w:rsidR="00E72710" w:rsidRPr="00E72710">
        <w:rPr>
          <w:lang w:eastAsia="x-none"/>
        </w:rPr>
        <w:t>in order to help understand something of the complexity of change within health services.</w:t>
      </w:r>
      <w:r w:rsidR="00E72710">
        <w:rPr>
          <w:lang w:eastAsia="x-none"/>
        </w:rPr>
        <w:t xml:space="preserve"> </w:t>
      </w:r>
      <w:r w:rsidR="00A13BE2">
        <w:rPr>
          <w:lang w:eastAsia="x-none"/>
        </w:rPr>
        <w:t>R</w:t>
      </w:r>
      <w:r w:rsidR="00A13BE2" w:rsidRPr="00A13BE2">
        <w:rPr>
          <w:lang w:eastAsia="x-none"/>
        </w:rPr>
        <w:t xml:space="preserve">obust strategies </w:t>
      </w:r>
      <w:r w:rsidR="00A13BE2">
        <w:rPr>
          <w:lang w:eastAsia="x-none"/>
        </w:rPr>
        <w:t xml:space="preserve">were used </w:t>
      </w:r>
      <w:r w:rsidR="00A13BE2" w:rsidRPr="00A13BE2">
        <w:rPr>
          <w:lang w:eastAsia="x-none"/>
        </w:rPr>
        <w:t>to analyse the data, such as independent double-co</w:t>
      </w:r>
      <w:r w:rsidR="00A13BE2">
        <w:rPr>
          <w:lang w:eastAsia="x-none"/>
        </w:rPr>
        <w:t>ding by two researchers, providing</w:t>
      </w:r>
      <w:r w:rsidR="00A13BE2" w:rsidRPr="00A13BE2">
        <w:rPr>
          <w:lang w:eastAsia="x-none"/>
        </w:rPr>
        <w:t xml:space="preserve"> confidence the analysis presented reflects views of participants</w:t>
      </w:r>
      <w:r w:rsidR="00A13BE2">
        <w:rPr>
          <w:lang w:eastAsia="x-none"/>
        </w:rPr>
        <w:t xml:space="preserve">. </w:t>
      </w:r>
      <w:r w:rsidR="00946A3C">
        <w:rPr>
          <w:lang w:eastAsia="x-none"/>
        </w:rPr>
        <w:t>P</w:t>
      </w:r>
      <w:r w:rsidR="00946A3C" w:rsidRPr="00946A3C">
        <w:rPr>
          <w:lang w:eastAsia="x-none"/>
        </w:rPr>
        <w:t>articipants were asked to recall their experiences and this may have resulted in bias.</w:t>
      </w:r>
      <w:r w:rsidR="005E60A4">
        <w:rPr>
          <w:lang w:eastAsia="x-none"/>
        </w:rPr>
        <w:t xml:space="preserve"> The study is</w:t>
      </w:r>
      <w:r w:rsidR="005E60A4" w:rsidRPr="005E60A4">
        <w:rPr>
          <w:lang w:eastAsia="x-none"/>
        </w:rPr>
        <w:t xml:space="preserve"> on the perspectives of professionals working in secondary care</w:t>
      </w:r>
      <w:r w:rsidR="005E60A4">
        <w:rPr>
          <w:lang w:eastAsia="x-none"/>
        </w:rPr>
        <w:t>, hence does not reflect the views of those in primary care settings.</w:t>
      </w:r>
    </w:p>
    <w:p w14:paraId="1FC31B45" w14:textId="18AFB89E" w:rsidR="00721553" w:rsidRPr="00591BFC" w:rsidRDefault="00721553" w:rsidP="00E86771">
      <w:pPr>
        <w:spacing w:line="360" w:lineRule="auto"/>
        <w:rPr>
          <w:lang w:eastAsia="x-none"/>
        </w:rPr>
      </w:pPr>
      <w:r w:rsidRPr="00591BFC">
        <w:rPr>
          <w:lang w:eastAsia="x-none"/>
        </w:rPr>
        <w:t xml:space="preserve">A </w:t>
      </w:r>
      <w:r w:rsidRPr="00DB4F65">
        <w:rPr>
          <w:i/>
        </w:rPr>
        <w:t>natural experimental study</w:t>
      </w:r>
      <w:r w:rsidRPr="00591BFC">
        <w:rPr>
          <w:lang w:eastAsia="x-none"/>
        </w:rPr>
        <w:t xml:space="preserve"> design was used </w:t>
      </w:r>
      <w:r w:rsidR="00CE2ED9">
        <w:rPr>
          <w:lang w:eastAsia="x-none"/>
        </w:rPr>
        <w:t xml:space="preserve">to </w:t>
      </w:r>
      <w:r w:rsidRPr="00591BFC">
        <w:rPr>
          <w:lang w:eastAsia="x-none"/>
        </w:rPr>
        <w:t xml:space="preserve">evaluate the clinical effectiveness of orthogeriatric and nurse-led </w:t>
      </w:r>
      <w:r w:rsidR="004C6125">
        <w:rPr>
          <w:lang w:eastAsia="x-none"/>
        </w:rPr>
        <w:t>FLS</w:t>
      </w:r>
      <w:r w:rsidRPr="00591BFC">
        <w:rPr>
          <w:lang w:eastAsia="x-none"/>
        </w:rPr>
        <w:t xml:space="preserve"> models of post hip fracture care in terms of impact on mortality and rates of second hip fracture. The interventions were broadly defined as the introduction or expansion of either an orthogeriatric or FLS model of post-hip fracture care with information on the nature and timing of such changes obtained through the service evaluation. Hospital Episode Statistics data linked to Office for National Statistics mortality records were obtained on 33,152 hip fracture patients across the 11 hospitals in the region between 2003 and 2013. Of these patients 1288 (4.2%) sustained a secondary hip fracture within 2-years, whilst for 30-day and 1-year mortality this was 9.5% (n=3033) and 29.8% (n=9663) respectively. Overall, age and sex standardised 1-year mortality declined from 33.1 to 26.0% from 2003/4 - 2011/12. In contrast, the proportion of second hip fractures remained stable throughout the study period. The pooled estimated impact of introducing an orthogeriatrician on 30-day and 1-year mortality was hazard ratio (HR)=0.73 (95%</w:t>
      </w:r>
      <w:r w:rsidR="00BA4355">
        <w:rPr>
          <w:lang w:eastAsia="x-none"/>
        </w:rPr>
        <w:t xml:space="preserve"> </w:t>
      </w:r>
      <w:r w:rsidRPr="00591BFC">
        <w:rPr>
          <w:lang w:eastAsia="x-none"/>
        </w:rPr>
        <w:t>CI: 0.65-0.82) and HR=0.81 (</w:t>
      </w:r>
      <w:r w:rsidR="00BA4355">
        <w:rPr>
          <w:lang w:eastAsia="x-none"/>
        </w:rPr>
        <w:t xml:space="preserve">95% </w:t>
      </w:r>
      <w:r w:rsidRPr="00591BFC">
        <w:rPr>
          <w:lang w:eastAsia="x-none"/>
        </w:rPr>
        <w:t>CI: 0.75-0.87) respectively. 30-day and 1-year mortality were likewise reduced following the introduction or expansion of a FLS: HR 0.80 (95% CI: 0.71-0.91) and HR 0.84 (</w:t>
      </w:r>
      <w:r w:rsidR="00BA4355">
        <w:rPr>
          <w:lang w:eastAsia="x-none"/>
        </w:rPr>
        <w:t xml:space="preserve">95% CI: </w:t>
      </w:r>
      <w:r w:rsidRPr="00591BFC">
        <w:rPr>
          <w:lang w:eastAsia="x-none"/>
        </w:rPr>
        <w:t>0.77-0.93) respectively. There was no significant impact on time to secondary hip fracture follow</w:t>
      </w:r>
      <w:r w:rsidR="00CE2ED9">
        <w:rPr>
          <w:lang w:eastAsia="x-none"/>
        </w:rPr>
        <w:t>ing</w:t>
      </w:r>
      <w:r w:rsidRPr="00591BFC">
        <w:rPr>
          <w:lang w:eastAsia="x-none"/>
        </w:rPr>
        <w:t xml:space="preserve"> any of the interventions when analysed separately or when pooled by type of intervention: orthogeriatrician (subhazard ratio (SHR) 0.95 (</w:t>
      </w:r>
      <w:r w:rsidR="00BA4355">
        <w:rPr>
          <w:lang w:eastAsia="x-none"/>
        </w:rPr>
        <w:t xml:space="preserve">95% </w:t>
      </w:r>
      <w:r w:rsidRPr="00591BFC">
        <w:rPr>
          <w:lang w:eastAsia="x-none"/>
        </w:rPr>
        <w:t>CI: 0.79-1.15) or FLS (SHR=1.03 (</w:t>
      </w:r>
      <w:r w:rsidR="00BA4355">
        <w:rPr>
          <w:lang w:eastAsia="x-none"/>
        </w:rPr>
        <w:t xml:space="preserve">95% </w:t>
      </w:r>
      <w:r w:rsidRPr="00591BFC">
        <w:rPr>
          <w:lang w:eastAsia="x-none"/>
        </w:rPr>
        <w:t>CI:</w:t>
      </w:r>
      <w:r w:rsidR="009208AA" w:rsidRPr="00591BFC">
        <w:rPr>
          <w:lang w:eastAsia="x-none"/>
        </w:rPr>
        <w:t xml:space="preserve"> </w:t>
      </w:r>
      <w:r w:rsidRPr="00591BFC">
        <w:rPr>
          <w:lang w:eastAsia="x-none"/>
        </w:rPr>
        <w:t xml:space="preserve">0.82-1.31). The study provides evidence that the introduction and/or expansion of such services </w:t>
      </w:r>
      <w:r w:rsidR="00C10A9D">
        <w:rPr>
          <w:lang w:eastAsia="x-none"/>
        </w:rPr>
        <w:t>was associated with</w:t>
      </w:r>
      <w:r w:rsidRPr="00591BFC">
        <w:rPr>
          <w:lang w:eastAsia="x-none"/>
        </w:rPr>
        <w:t xml:space="preserve"> a large beneficial effect on subsequent mortality. Reassuringly the effect was </w:t>
      </w:r>
      <w:r w:rsidRPr="00591BFC">
        <w:rPr>
          <w:lang w:eastAsia="x-none"/>
        </w:rPr>
        <w:lastRenderedPageBreak/>
        <w:t>consistent across hospitals and for interventions that occurred at different time points over the study period. There was no evidence for a re</w:t>
      </w:r>
      <w:r w:rsidR="004C6125">
        <w:rPr>
          <w:lang w:eastAsia="x-none"/>
        </w:rPr>
        <w:t>duction of second hip fracture.</w:t>
      </w:r>
    </w:p>
    <w:p w14:paraId="1AF9E3F6" w14:textId="77777777" w:rsidR="00CD4F56" w:rsidRDefault="00CD4F56" w:rsidP="00E86771">
      <w:pPr>
        <w:spacing w:line="360" w:lineRule="auto"/>
        <w:rPr>
          <w:lang w:eastAsia="x-none"/>
        </w:rPr>
      </w:pPr>
      <w:r w:rsidRPr="00803963">
        <w:rPr>
          <w:u w:val="single"/>
          <w:lang w:eastAsia="x-none"/>
        </w:rPr>
        <w:t>Quality of evidence</w:t>
      </w:r>
      <w:r>
        <w:rPr>
          <w:lang w:eastAsia="x-none"/>
        </w:rPr>
        <w:t xml:space="preserve"> – Our preferred approach would have been to use an interrupted time series design as this would have given the highest level of evidence of effect. </w:t>
      </w:r>
      <w:r w:rsidR="00F75D59">
        <w:rPr>
          <w:lang w:eastAsia="x-none"/>
        </w:rPr>
        <w:t xml:space="preserve">However, there was insufficient statistical power to do so, due to either: not enough pre and post-intervention time points as interventions occurred at the beginning or end of the time series, or having multiple interventions; </w:t>
      </w:r>
      <w:r w:rsidR="00B958AD">
        <w:rPr>
          <w:lang w:eastAsia="x-none"/>
        </w:rPr>
        <w:t xml:space="preserve">insufficient numbers of observations at each time point for rare outcomes such as second hip fracture. </w:t>
      </w:r>
      <w:r w:rsidR="00264FE4">
        <w:rPr>
          <w:lang w:eastAsia="x-none"/>
        </w:rPr>
        <w:t xml:space="preserve">In terms of levels of evidence we instead used the next best observation study design, using </w:t>
      </w:r>
      <w:r w:rsidR="00264FE4" w:rsidRPr="00264FE4">
        <w:rPr>
          <w:lang w:eastAsia="x-none"/>
        </w:rPr>
        <w:t xml:space="preserve">a before-after impact </w:t>
      </w:r>
      <w:r w:rsidR="00264FE4">
        <w:rPr>
          <w:lang w:eastAsia="x-none"/>
        </w:rPr>
        <w:t xml:space="preserve">survival </w:t>
      </w:r>
      <w:r w:rsidR="00264FE4" w:rsidRPr="00264FE4">
        <w:rPr>
          <w:lang w:eastAsia="x-none"/>
        </w:rPr>
        <w:t>analysis where each hosp</w:t>
      </w:r>
      <w:r w:rsidR="00264FE4">
        <w:rPr>
          <w:lang w:eastAsia="x-none"/>
        </w:rPr>
        <w:t>ital acted as its own control</w:t>
      </w:r>
      <w:r w:rsidR="00264FE4" w:rsidRPr="00264FE4">
        <w:rPr>
          <w:lang w:eastAsia="x-none"/>
        </w:rPr>
        <w:t>.</w:t>
      </w:r>
      <w:r w:rsidR="00F83BD1">
        <w:rPr>
          <w:lang w:eastAsia="x-none"/>
        </w:rPr>
        <w:t xml:space="preserve"> As this method can introduce bias by not accounting for pre-existing secular trends, we </w:t>
      </w:r>
      <w:r w:rsidR="00F83BD1" w:rsidRPr="00F83BD1">
        <w:rPr>
          <w:lang w:val="en-US" w:eastAsia="x-none"/>
        </w:rPr>
        <w:t>exclud</w:t>
      </w:r>
      <w:r w:rsidR="00F83BD1">
        <w:rPr>
          <w:lang w:val="en-US" w:eastAsia="x-none"/>
        </w:rPr>
        <w:t>ed</w:t>
      </w:r>
      <w:r w:rsidR="00F83BD1" w:rsidRPr="00F83BD1">
        <w:rPr>
          <w:lang w:val="en-US" w:eastAsia="x-none"/>
        </w:rPr>
        <w:t xml:space="preserve"> from analyses interventions that were preceded by a significant trend in the respective health outcome</w:t>
      </w:r>
      <w:r w:rsidR="00F83BD1">
        <w:rPr>
          <w:lang w:val="en-US" w:eastAsia="x-none"/>
        </w:rPr>
        <w:t xml:space="preserve">. </w:t>
      </w:r>
      <w:r w:rsidR="00BF5079">
        <w:rPr>
          <w:lang w:val="en-US" w:eastAsia="x-none"/>
        </w:rPr>
        <w:t>Strengths of the survival model are that it allows for greater adjustment of confounding factors</w:t>
      </w:r>
      <w:r w:rsidR="00BF5079">
        <w:rPr>
          <w:lang w:eastAsia="x-none"/>
        </w:rPr>
        <w:t>, and the ability to account for competing risk of death with second hip fracture outcome.</w:t>
      </w:r>
      <w:r w:rsidR="00B5075E">
        <w:rPr>
          <w:lang w:eastAsia="x-none"/>
        </w:rPr>
        <w:t xml:space="preserve"> </w:t>
      </w:r>
      <w:r w:rsidR="00D17301">
        <w:rPr>
          <w:lang w:eastAsia="x-none"/>
        </w:rPr>
        <w:t xml:space="preserve">A strength of the study is that interventions were identified a-priori through the audit before data was obtained, and the statistician analysing the data blinded to what the intervention was and audit findings (only knowing date intervention occurred). </w:t>
      </w:r>
      <w:r w:rsidR="00B5075E" w:rsidRPr="00B5075E">
        <w:rPr>
          <w:lang w:eastAsia="x-none"/>
        </w:rPr>
        <w:t xml:space="preserve">A main limitation is that </w:t>
      </w:r>
      <w:r w:rsidR="00B5075E">
        <w:rPr>
          <w:lang w:eastAsia="x-none"/>
        </w:rPr>
        <w:t>other</w:t>
      </w:r>
      <w:r w:rsidR="00B5075E" w:rsidRPr="00B5075E">
        <w:rPr>
          <w:lang w:eastAsia="x-none"/>
        </w:rPr>
        <w:t xml:space="preserve"> events coinciding with the interventions of interest here evaluated cannot be ruled out</w:t>
      </w:r>
      <w:r w:rsidR="00B5075E">
        <w:rPr>
          <w:lang w:eastAsia="x-none"/>
        </w:rPr>
        <w:t>, such as publication of national guidelines. T</w:t>
      </w:r>
      <w:r w:rsidR="00B5075E" w:rsidRPr="00B5075E">
        <w:rPr>
          <w:lang w:eastAsia="x-none"/>
        </w:rPr>
        <w:t>his is unlikely given the estimated impact on each health outcome was consistent across hospitals and for interventions that occurred at different time points over the study period.</w:t>
      </w:r>
      <w:r w:rsidR="003B1D8F">
        <w:rPr>
          <w:lang w:eastAsia="x-none"/>
        </w:rPr>
        <w:t xml:space="preserve"> Further limitations are that we could not assess outcomes seen outside of a secondary care setting as these were not captured in the routine data, not osteoporosis medication use and adherence to treatment.</w:t>
      </w:r>
    </w:p>
    <w:p w14:paraId="7FAB0930" w14:textId="16B44F59" w:rsidR="00904D67" w:rsidRDefault="00453F8B" w:rsidP="00673BB7">
      <w:pPr>
        <w:spacing w:line="360" w:lineRule="auto"/>
      </w:pPr>
      <w:r>
        <w:t xml:space="preserve">A </w:t>
      </w:r>
      <w:r w:rsidRPr="00C43F88">
        <w:rPr>
          <w:i/>
        </w:rPr>
        <w:t>natural experimental study</w:t>
      </w:r>
      <w:r>
        <w:t xml:space="preserve"> design was used to assess </w:t>
      </w:r>
      <w:r w:rsidR="00365C13" w:rsidRPr="00591BFC">
        <w:t>the effect national guidelines have had on altering trends in re-fracture rates, life expectancy (30-day and 1-year) and proportion of patients taking bone strengthening drugs within 1-year after fracture</w:t>
      </w:r>
      <w:r>
        <w:t xml:space="preserve">. </w:t>
      </w:r>
      <w:r w:rsidR="00CE5943" w:rsidRPr="00591BFC">
        <w:t>Five specific guidelines were evaluated: NICE clinical guideline 21 (Nov 2004)</w:t>
      </w:r>
      <w:hyperlink w:anchor="_ENREF_15" w:tooltip="NICE, 2004 #30" w:history="1">
        <w:r w:rsidR="00B24FEE">
          <w:fldChar w:fldCharType="begin"/>
        </w:r>
        <w:r w:rsidR="00B24FEE">
          <w:instrText xml:space="preserve"> ADDIN EN.CITE &lt;EndNote&gt;&lt;Cite&gt;&lt;Author&gt;NICE&lt;/Author&gt;&lt;Year&gt;2004&lt;/Year&gt;&lt;RecNum&gt;30&lt;/RecNum&gt;&lt;DisplayText&gt;&lt;style face="superscript"&gt;15&lt;/style&gt;&lt;/DisplayText&gt;&lt;record&gt;&lt;rec-number&gt;30&lt;/rec-number&gt;&lt;foreign-keys&gt;&lt;key app="EN" db-id="sxpszd2ti9dx04ewefrvfp5bpf5faazszr9p" timestamp="0"&gt;30&lt;/key&gt;&lt;/foreign-keys&gt;&lt;ref-type name="Report"&gt;27&lt;/ref-type&gt;&lt;contributors&gt;&lt;authors&gt;&lt;author&gt;NICE,&lt;/author&gt;&lt;/authors&gt;&lt;/contributors&gt;&lt;titles&gt;&lt;title&gt;Clinical guideline 21.  Clinical practice guideline for the assessment and prevention of falls in older people&lt;/title&gt;&lt;/titles&gt;&lt;dates&gt;&lt;year&gt;2004&lt;/year&gt;&lt;/dates&gt;&lt;urls&gt;&lt;/urls&gt;&lt;/record&gt;&lt;/Cite&gt;&lt;/EndNote&gt;</w:instrText>
        </w:r>
        <w:r w:rsidR="00B24FEE">
          <w:fldChar w:fldCharType="separate"/>
        </w:r>
        <w:r w:rsidR="00B24FEE" w:rsidRPr="00B24FEE">
          <w:rPr>
            <w:noProof/>
            <w:vertAlign w:val="superscript"/>
          </w:rPr>
          <w:t>15</w:t>
        </w:r>
        <w:r w:rsidR="00B24FEE">
          <w:fldChar w:fldCharType="end"/>
        </w:r>
      </w:hyperlink>
      <w:r w:rsidR="00CE5943" w:rsidRPr="00591BFC">
        <w:t xml:space="preserve">, NICE technological appraisal </w:t>
      </w:r>
      <w:r w:rsidR="00CE5943">
        <w:t xml:space="preserve">87 </w:t>
      </w:r>
      <w:r w:rsidR="00CE5943" w:rsidRPr="00591BFC">
        <w:t>(Jan 2005)</w:t>
      </w:r>
      <w:hyperlink w:anchor="_ENREF_33" w:tooltip="NICE, 2005 #51" w:history="1">
        <w:r w:rsidR="00B24FEE">
          <w:fldChar w:fldCharType="begin"/>
        </w:r>
        <w:r w:rsidR="00B24FEE">
          <w:instrText xml:space="preserve"> ADDIN EN.CITE &lt;EndNote&gt;&lt;Cite&gt;&lt;Author&gt;NICE&lt;/Author&gt;&lt;Year&gt;2005&lt;/Year&gt;&lt;RecNum&gt;51&lt;/RecNum&gt;&lt;DisplayText&gt;&lt;style face="superscript"&gt;33&lt;/style&gt;&lt;/DisplayText&gt;&lt;record&gt;&lt;rec-number&gt;51&lt;/rec-number&gt;&lt;foreign-keys&gt;&lt;key app="EN" db-id="sxpszd2ti9dx04ewefrvfp5bpf5faazszr9p" timestamp="0"&gt;51&lt;/key&gt;&lt;/foreign-keys&gt;&lt;ref-type name="Report"&gt;27&lt;/ref-type&gt;&lt;contributors&gt;&lt;authors&gt;&lt;author&gt;NICE,&lt;/author&gt;&lt;/authors&gt;&lt;/contributors&gt;&lt;titles&gt;&lt;title&gt;NICE Technology Appraisal 87: Bisphosphonates (alendronate, etidonate or risedronate), selective oestrogen receptor modulators (raloxifene) and parathyroid hormone (teriparatide) for the secondary prevention of osteoporotic fragility fractures in post menopausal women&lt;/title&gt;&lt;/titles&gt;&lt;dates&gt;&lt;year&gt;2005&lt;/year&gt;&lt;/dates&gt;&lt;urls&gt;&lt;/urls&gt;&lt;/record&gt;&lt;/Cite&gt;&lt;/EndNote&gt;</w:instrText>
        </w:r>
        <w:r w:rsidR="00B24FEE">
          <w:fldChar w:fldCharType="separate"/>
        </w:r>
        <w:r w:rsidR="00B24FEE" w:rsidRPr="00B24FEE">
          <w:rPr>
            <w:noProof/>
            <w:vertAlign w:val="superscript"/>
          </w:rPr>
          <w:t>33</w:t>
        </w:r>
        <w:r w:rsidR="00B24FEE">
          <w:fldChar w:fldCharType="end"/>
        </w:r>
      </w:hyperlink>
      <w:r w:rsidR="00CE5943" w:rsidRPr="00591BFC">
        <w:t>, BOA blue book (Sep 2007)</w:t>
      </w:r>
      <w:hyperlink w:anchor="_ENREF_1" w:tooltip="British Orthopaedic Association, 2007 #25" w:history="1">
        <w:r w:rsidR="00B24FEE">
          <w:fldChar w:fldCharType="begin"/>
        </w:r>
        <w:r w:rsidR="00B24FEE">
          <w:instrText xml:space="preserve"> ADDIN EN.CITE &lt;EndNote&gt;&lt;Cite&gt;&lt;Author&gt;British Orthopaedic Association&lt;/Author&gt;&lt;Year&gt;2007&lt;/Year&gt;&lt;RecNum&gt;25&lt;/RecNum&gt;&lt;DisplayText&gt;&lt;style face="superscript"&gt;1&lt;/style&gt;&lt;/DisplayText&gt;&lt;record&gt;&lt;rec-number&gt;25&lt;/rec-number&gt;&lt;foreign-keys&gt;&lt;key app="EN" db-id="sxpszd2ti9dx04ewefrvfp5bpf5faazszr9p" timestamp="0"&gt;25&lt;/key&gt;&lt;/foreign-keys&gt;&lt;ref-type name="Report"&gt;27&lt;/ref-type&gt;&lt;contributors&gt;&lt;authors&gt;&lt;author&gt;British Orthopaedic Association,&lt;/author&gt;&lt;/authors&gt;&lt;/contributors&gt;&lt;titles&gt;&lt;title&gt;The care of patients with fragility fractures&lt;/title&gt;&lt;/titles&gt;&lt;dates&gt;&lt;year&gt;2007&lt;/year&gt;&lt;/dates&gt;&lt;urls&gt;&lt;/urls&gt;&lt;/record&gt;&lt;/Cite&gt;&lt;/EndNote&gt;</w:instrText>
        </w:r>
        <w:r w:rsidR="00B24FEE">
          <w:fldChar w:fldCharType="separate"/>
        </w:r>
        <w:r w:rsidR="00B24FEE" w:rsidRPr="00B24FEE">
          <w:rPr>
            <w:noProof/>
            <w:vertAlign w:val="superscript"/>
          </w:rPr>
          <w:t>1</w:t>
        </w:r>
        <w:r w:rsidR="00B24FEE">
          <w:fldChar w:fldCharType="end"/>
        </w:r>
      </w:hyperlink>
      <w:r w:rsidR="00CE5943" w:rsidRPr="00591BFC">
        <w:t>, NICE technological appraisal 161 (Oct 2008)</w:t>
      </w:r>
      <w:hyperlink w:anchor="_ENREF_13" w:tooltip="NICE, 2008 #29" w:history="1">
        <w:r w:rsidR="00B24FEE">
          <w:fldChar w:fldCharType="begin"/>
        </w:r>
        <w:r w:rsidR="00B24FEE">
          <w:instrText xml:space="preserve"> ADDIN EN.CITE &lt;EndNote&gt;&lt;Cite&gt;&lt;Author&gt;NICE&lt;/Author&gt;&lt;Year&gt;2008&lt;/Year&gt;&lt;RecNum&gt;29&lt;/RecNum&gt;&lt;DisplayText&gt;&lt;style face="superscript"&gt;13&lt;/style&gt;&lt;/DisplayText&gt;&lt;record&gt;&lt;rec-number&gt;29&lt;/rec-number&gt;&lt;foreign-keys&gt;&lt;key app="EN" db-id="sxpszd2ti9dx04ewefrvfp5bpf5faazszr9p" timestamp="0"&gt;29&lt;/key&gt;&lt;/foreign-keys&gt;&lt;ref-type name="Report"&gt;27&lt;/ref-type&gt;&lt;contributors&gt;&lt;authors&gt;&lt;author&gt;NICE,&lt;/author&gt;&lt;/authors&gt;&lt;/contributors&gt;&lt;titles&gt;&lt;title&gt;Technology appraisal (TA) 161.  Osteoporosis - secondary prevention including strontium ranelate&lt;/title&gt;&lt;/titles&gt;&lt;dates&gt;&lt;year&gt;2008&lt;/year&gt;&lt;/dates&gt;&lt;urls&gt;&lt;/urls&gt;&lt;/record&gt;&lt;/Cite&gt;&lt;/EndNote&gt;</w:instrText>
        </w:r>
        <w:r w:rsidR="00B24FEE">
          <w:fldChar w:fldCharType="separate"/>
        </w:r>
        <w:r w:rsidR="00B24FEE" w:rsidRPr="00B24FEE">
          <w:rPr>
            <w:noProof/>
            <w:vertAlign w:val="superscript"/>
          </w:rPr>
          <w:t>13</w:t>
        </w:r>
        <w:r w:rsidR="00B24FEE">
          <w:fldChar w:fldCharType="end"/>
        </w:r>
      </w:hyperlink>
      <w:r w:rsidR="00CE5943" w:rsidRPr="00591BFC">
        <w:t xml:space="preserve"> and Best Practice Tariff for inpatient hip fracture care (Apr 2010).</w:t>
      </w:r>
      <w:r w:rsidR="00673BB7">
        <w:t xml:space="preserve"> Data from the </w:t>
      </w:r>
      <w:r w:rsidR="00673BB7" w:rsidRPr="00591BFC">
        <w:t>Clinical Practice Research Database (CPRD)</w:t>
      </w:r>
      <w:r w:rsidR="00673BB7">
        <w:t xml:space="preserve"> linked to </w:t>
      </w:r>
      <w:r w:rsidR="00673BB7" w:rsidRPr="00591BFC">
        <w:t>Office for National Statistics</w:t>
      </w:r>
      <w:r w:rsidR="00673BB7">
        <w:t xml:space="preserve"> mortality records were obtained on 11,243 primary</w:t>
      </w:r>
      <w:r w:rsidR="00673BB7" w:rsidRPr="00591BFC">
        <w:t xml:space="preserve"> hip fracture cases </w:t>
      </w:r>
      <w:r w:rsidR="00673BB7">
        <w:t xml:space="preserve">aged over 50 </w:t>
      </w:r>
      <w:r w:rsidR="00673BB7" w:rsidRPr="00591BFC">
        <w:t>occurring between 1</w:t>
      </w:r>
      <w:r w:rsidR="00673BB7" w:rsidRPr="00591BFC">
        <w:rPr>
          <w:vertAlign w:val="superscript"/>
        </w:rPr>
        <w:t>st</w:t>
      </w:r>
      <w:r w:rsidR="00673BB7" w:rsidRPr="00591BFC">
        <w:t xml:space="preserve"> April 1999 and 31</w:t>
      </w:r>
      <w:r w:rsidR="00673BB7" w:rsidRPr="00591BFC">
        <w:rPr>
          <w:vertAlign w:val="superscript"/>
        </w:rPr>
        <w:t>st</w:t>
      </w:r>
      <w:r w:rsidR="00673BB7" w:rsidRPr="00591BFC">
        <w:t xml:space="preserve"> March 2013</w:t>
      </w:r>
      <w:r w:rsidR="00673BB7">
        <w:t>.</w:t>
      </w:r>
      <w:r w:rsidR="004F4E19">
        <w:t xml:space="preserve"> Initiation of anti-osteoporosis medication within 12 months of primary hip fracture increased markedly during the study period (1999-2000 compared to 2011-2012) from 8.1 to 53.9%. However gender differences were observed, with fewer men initiating treatment than women, and this gap increased over time. </w:t>
      </w:r>
      <w:r w:rsidR="004F4E19">
        <w:lastRenderedPageBreak/>
        <w:t xml:space="preserve">Importantly, amongst treatment naïve hip fracture patients the prevalence of bisphosphonate use at 10-14 months post-index hip fracture increased over the study period from less than 5% to over 30%, suggesting more patients were adhering to treatment. A step-change reduction in subsequent hip fracture of -0.95% (95% CI: -1.67 to -0.23) between Oct 2007 and Sept 2008 (publication of the BOA blue book and NICE technological appraisal 161) was found. However this was not observed for subsequent major non-hip fracture. A significant step-change reduction in 30-day mortality occurred of -2.81% (95% CI: -3.73 to -1.85) between Oct 2007 and Sept 2008 (publication of the BOA blue book and NICE technological appraisal 161), with no effect on 1-year mortality. However a significant reduction in 1-year mortality of -5.56% (95% CI: -7.59 to -3.52) was seen immediately following the introduction of the Best Practice Tariff in April 2010. There was a marked step change in the proportion of primary hip fracture patients receiving an incident prescription for a bone strengthening drug of 14.5% (95% CI: 11.1-17.8) taking place between pre-publication of the NICE clinical guideline 21 (Nov 2004) and post-publication of the NICE technological appraisal 87 (Jan 2005). The proportion of patients prescribed at least one bisphosphonate at 10-14 months following index hip fracture showed a step change increase of 8.71% (95% CI: 5.04-12.4) between the pre-publication of the NICE clinical guideline 21 (Nov 2004) and post-publication of the NICE technological appraisal (Jan 2005) followed by a modest step change decrease of -3.79 (95% CI: -7.4- -0.17) between Oct 2007 and Sept 2007 (publication of the BOA blue book and NICE technological appraisal 161). </w:t>
      </w:r>
      <w:r w:rsidR="005B7450">
        <w:t>The study provides evidence of</w:t>
      </w:r>
      <w:r w:rsidR="005B7450" w:rsidRPr="005B7450">
        <w:t xml:space="preserve"> significant temporal associations with a number of national guidelines suggesting these guidelines have positively impacted on clinical decision-making and then patient outcomes.</w:t>
      </w:r>
    </w:p>
    <w:p w14:paraId="5F8C78D0" w14:textId="77777777" w:rsidR="00CD4F56" w:rsidRPr="00591BFC" w:rsidRDefault="00CD4F56" w:rsidP="00673BB7">
      <w:pPr>
        <w:spacing w:line="360" w:lineRule="auto"/>
      </w:pPr>
      <w:r w:rsidRPr="00803963">
        <w:rPr>
          <w:u w:val="single"/>
          <w:lang w:eastAsia="x-none"/>
        </w:rPr>
        <w:t>Quality of evidence</w:t>
      </w:r>
      <w:r>
        <w:rPr>
          <w:lang w:eastAsia="x-none"/>
        </w:rPr>
        <w:t xml:space="preserve"> – </w:t>
      </w:r>
      <w:r w:rsidR="002D1876">
        <w:rPr>
          <w:lang w:eastAsia="x-none"/>
        </w:rPr>
        <w:t xml:space="preserve">Strengths include </w:t>
      </w:r>
      <w:r w:rsidR="003310A3" w:rsidRPr="003310A3">
        <w:rPr>
          <w:lang w:eastAsia="x-none"/>
        </w:rPr>
        <w:t>the large number of primary hip fractures and the generalisability of the CPRD cohort to the general UK population</w:t>
      </w:r>
      <w:r w:rsidR="003310A3">
        <w:rPr>
          <w:lang w:eastAsia="x-none"/>
        </w:rPr>
        <w:t>. We</w:t>
      </w:r>
      <w:r w:rsidR="002D1876">
        <w:rPr>
          <w:lang w:eastAsia="x-none"/>
        </w:rPr>
        <w:t xml:space="preserve"> use</w:t>
      </w:r>
      <w:r w:rsidR="003310A3">
        <w:rPr>
          <w:lang w:eastAsia="x-none"/>
        </w:rPr>
        <w:t>d</w:t>
      </w:r>
      <w:r w:rsidR="002D1876">
        <w:rPr>
          <w:lang w:eastAsia="x-none"/>
        </w:rPr>
        <w:t xml:space="preserve"> </w:t>
      </w:r>
      <w:r w:rsidR="003310A3">
        <w:rPr>
          <w:lang w:eastAsia="x-none"/>
        </w:rPr>
        <w:t>an</w:t>
      </w:r>
      <w:r w:rsidR="002D1876">
        <w:rPr>
          <w:lang w:eastAsia="x-none"/>
        </w:rPr>
        <w:t xml:space="preserve"> interrupted time series analysis that allow </w:t>
      </w:r>
      <w:r w:rsidR="002D1876" w:rsidRPr="002D1876">
        <w:rPr>
          <w:lang w:eastAsia="x-none"/>
        </w:rPr>
        <w:t>for baseline level and pre-intervention tren</w:t>
      </w:r>
      <w:r w:rsidR="002D1876">
        <w:rPr>
          <w:lang w:eastAsia="x-none"/>
        </w:rPr>
        <w:t>d</w:t>
      </w:r>
      <w:r w:rsidR="003310A3">
        <w:rPr>
          <w:lang w:eastAsia="x-none"/>
        </w:rPr>
        <w:t xml:space="preserve"> and is self-</w:t>
      </w:r>
      <w:r w:rsidR="002D1876" w:rsidRPr="002D1876">
        <w:rPr>
          <w:lang w:eastAsia="x-none"/>
        </w:rPr>
        <w:t>controlled by design. Hence the results are valid in the presence of a pre-existing downward secular trend.</w:t>
      </w:r>
      <w:r w:rsidR="002D1876">
        <w:rPr>
          <w:lang w:eastAsia="x-none"/>
        </w:rPr>
        <w:t xml:space="preserve"> </w:t>
      </w:r>
      <w:r w:rsidR="002616A8">
        <w:rPr>
          <w:lang w:eastAsia="x-none"/>
        </w:rPr>
        <w:t>We were able to look at trends in both hip-fracture and non-hip fracture outcomes, and treatment initiation and adherence to osteoporosis medication.</w:t>
      </w:r>
      <w:r w:rsidR="00626B60">
        <w:rPr>
          <w:lang w:eastAsia="x-none"/>
        </w:rPr>
        <w:t xml:space="preserve"> The </w:t>
      </w:r>
      <w:r w:rsidR="00626B60" w:rsidRPr="00626B60">
        <w:rPr>
          <w:lang w:eastAsia="x-none"/>
        </w:rPr>
        <w:t xml:space="preserve">main limitation is the possibility changes in outcomes here associated with </w:t>
      </w:r>
      <w:r w:rsidR="00F67DB8">
        <w:rPr>
          <w:lang w:eastAsia="x-none"/>
        </w:rPr>
        <w:t>national guidelines</w:t>
      </w:r>
      <w:r w:rsidR="00626B60" w:rsidRPr="00626B60">
        <w:rPr>
          <w:lang w:eastAsia="x-none"/>
        </w:rPr>
        <w:t xml:space="preserve"> were confounded by other events occurring </w:t>
      </w:r>
      <w:r w:rsidR="00F67DB8">
        <w:rPr>
          <w:lang w:eastAsia="x-none"/>
        </w:rPr>
        <w:t xml:space="preserve">at the same time period. </w:t>
      </w:r>
      <w:r w:rsidR="00F67DB8" w:rsidRPr="00F67DB8">
        <w:rPr>
          <w:lang w:eastAsia="x-none"/>
        </w:rPr>
        <w:t>The use of routinely collected data with no individual validation of fracture events recorded is another limitation of the analysis, however validation of hip and vertebral fracture coding has been carried out previously and been shown to be accurate</w:t>
      </w:r>
      <w:r w:rsidR="00F67DB8">
        <w:rPr>
          <w:lang w:eastAsia="x-none"/>
        </w:rPr>
        <w:t>.</w:t>
      </w:r>
    </w:p>
    <w:p w14:paraId="2B039F80" w14:textId="284A435E" w:rsidR="00721553" w:rsidRPr="00591BFC" w:rsidRDefault="00721553" w:rsidP="00E86771">
      <w:pPr>
        <w:spacing w:line="360" w:lineRule="auto"/>
        <w:rPr>
          <w:lang w:eastAsia="x-none"/>
        </w:rPr>
      </w:pPr>
      <w:r w:rsidRPr="00591BFC">
        <w:rPr>
          <w:lang w:eastAsia="x-none"/>
        </w:rPr>
        <w:t xml:space="preserve">A </w:t>
      </w:r>
      <w:r w:rsidRPr="00DB4F65">
        <w:rPr>
          <w:i/>
        </w:rPr>
        <w:t>health economics</w:t>
      </w:r>
      <w:r w:rsidRPr="00591BFC">
        <w:rPr>
          <w:lang w:eastAsia="x-none"/>
        </w:rPr>
        <w:t xml:space="preserve"> study was conducted to estimate the primary care and hospital costs of hip fracture up to two years post fracture and compare costs before and after the index fracture. For </w:t>
      </w:r>
      <w:r w:rsidRPr="00591BFC">
        <w:rPr>
          <w:lang w:eastAsia="x-none"/>
        </w:rPr>
        <w:lastRenderedPageBreak/>
        <w:t xml:space="preserve">hospital costs, we used the hospital episode statistics (HES) database of 33,152 hip fracture patients and for primary costs we used the clinical practice research datalink (CPRD GOLD) with 4,433 hip fracture patients, over the years 2003 to 2013. Within the first year following primary hip fracture, the total hospitalisation costs were estimated to be £13,826 (median £10,425, SD 11016), of which 75% were due to hip fracture-related admissions (£10,375, median £8,050). The </w:t>
      </w:r>
      <w:r w:rsidR="00662BB4">
        <w:rPr>
          <w:lang w:eastAsia="x-none"/>
        </w:rPr>
        <w:t>total hospital cost (</w:t>
      </w:r>
      <w:r w:rsidR="00662BB4" w:rsidRPr="00662BB4">
        <w:rPr>
          <w:lang w:eastAsia="x-none"/>
        </w:rPr>
        <w:t xml:space="preserve">including outpatient and emergency care) </w:t>
      </w:r>
      <w:r w:rsidRPr="00591BFC">
        <w:rPr>
          <w:lang w:eastAsia="x-none"/>
        </w:rPr>
        <w:t xml:space="preserve">in the year of the fracture was estimated to be </w:t>
      </w:r>
      <w:r w:rsidR="00662BB4" w:rsidRPr="00662BB4">
        <w:rPr>
          <w:lang w:eastAsia="x-none"/>
        </w:rPr>
        <w:t>£14,264 (95%</w:t>
      </w:r>
      <w:r w:rsidR="00BA4355">
        <w:rPr>
          <w:lang w:eastAsia="x-none"/>
        </w:rPr>
        <w:t xml:space="preserve"> </w:t>
      </w:r>
      <w:r w:rsidR="00662BB4" w:rsidRPr="00662BB4">
        <w:rPr>
          <w:lang w:eastAsia="x-none"/>
        </w:rPr>
        <w:t>CI: £14,092-£14,436) which was £10,964</w:t>
      </w:r>
      <w:r w:rsidRPr="00591BFC">
        <w:rPr>
          <w:lang w:eastAsia="x-none"/>
        </w:rPr>
        <w:t xml:space="preserve"> </w:t>
      </w:r>
      <w:r w:rsidR="00662BB4" w:rsidRPr="00662BB4">
        <w:rPr>
          <w:rFonts w:ascii="Cambria" w:hAnsi="Cambria"/>
        </w:rPr>
        <w:t>(95% CI: £10,767 to £11,161)</w:t>
      </w:r>
      <w:r w:rsidR="00662BB4">
        <w:rPr>
          <w:lang w:eastAsia="x-none"/>
        </w:rPr>
        <w:t xml:space="preserve"> </w:t>
      </w:r>
      <w:r w:rsidRPr="00591BFC">
        <w:rPr>
          <w:lang w:eastAsia="x-none"/>
        </w:rPr>
        <w:t>higher compared to the previous year. The primary care costs associated with index admission for primary hip fracture were £1,</w:t>
      </w:r>
      <w:r w:rsidR="00662BB4">
        <w:rPr>
          <w:lang w:eastAsia="x-none"/>
        </w:rPr>
        <w:t>065 (median £660</w:t>
      </w:r>
      <w:r w:rsidRPr="00591BFC">
        <w:rPr>
          <w:lang w:eastAsia="x-none"/>
        </w:rPr>
        <w:t xml:space="preserve">, SD </w:t>
      </w:r>
      <w:r w:rsidR="00662BB4">
        <w:rPr>
          <w:lang w:eastAsia="x-none"/>
        </w:rPr>
        <w:t>1798</w:t>
      </w:r>
      <w:r w:rsidRPr="00591BFC">
        <w:rPr>
          <w:lang w:eastAsia="x-none"/>
        </w:rPr>
        <w:t xml:space="preserve">), of which </w:t>
      </w:r>
      <w:r w:rsidR="00662BB4" w:rsidRPr="00662BB4">
        <w:rPr>
          <w:lang w:eastAsia="x-none"/>
        </w:rPr>
        <w:t>medications and non-pharmaceutical</w:t>
      </w:r>
      <w:r w:rsidR="00662BB4">
        <w:rPr>
          <w:lang w:eastAsia="x-none"/>
        </w:rPr>
        <w:t xml:space="preserve">s </w:t>
      </w:r>
      <w:r w:rsidRPr="00591BFC">
        <w:rPr>
          <w:lang w:eastAsia="x-none"/>
        </w:rPr>
        <w:t>accounted for £6</w:t>
      </w:r>
      <w:r w:rsidR="00662BB4">
        <w:rPr>
          <w:lang w:eastAsia="x-none"/>
        </w:rPr>
        <w:t>14 (median £248</w:t>
      </w:r>
      <w:r w:rsidRPr="00591BFC">
        <w:rPr>
          <w:lang w:eastAsia="x-none"/>
        </w:rPr>
        <w:t xml:space="preserve">, SD </w:t>
      </w:r>
      <w:r w:rsidR="00662BB4">
        <w:rPr>
          <w:lang w:eastAsia="x-none"/>
        </w:rPr>
        <w:t>1586</w:t>
      </w:r>
      <w:r w:rsidRPr="00591BFC">
        <w:rPr>
          <w:lang w:eastAsia="x-none"/>
        </w:rPr>
        <w:t>) of the costs and GP contacts accounted for £</w:t>
      </w:r>
      <w:r w:rsidR="00662BB4">
        <w:rPr>
          <w:lang w:eastAsia="x-none"/>
        </w:rPr>
        <w:t>358</w:t>
      </w:r>
      <w:r w:rsidRPr="00591BFC">
        <w:rPr>
          <w:lang w:eastAsia="x-none"/>
        </w:rPr>
        <w:t xml:space="preserve"> (median £</w:t>
      </w:r>
      <w:r w:rsidR="00662BB4">
        <w:rPr>
          <w:lang w:eastAsia="x-none"/>
        </w:rPr>
        <w:t>246</w:t>
      </w:r>
      <w:r w:rsidRPr="00591BFC">
        <w:rPr>
          <w:lang w:eastAsia="x-none"/>
        </w:rPr>
        <w:t xml:space="preserve">, SD </w:t>
      </w:r>
      <w:r w:rsidR="00662BB4">
        <w:rPr>
          <w:lang w:eastAsia="x-none"/>
        </w:rPr>
        <w:t>409</w:t>
      </w:r>
      <w:r w:rsidRPr="00591BFC">
        <w:rPr>
          <w:lang w:eastAsia="x-none"/>
        </w:rPr>
        <w:t>).</w:t>
      </w:r>
      <w:r w:rsidR="00662BB4">
        <w:rPr>
          <w:lang w:eastAsia="x-none"/>
        </w:rPr>
        <w:t xml:space="preserve"> </w:t>
      </w:r>
      <w:r w:rsidRPr="00591BFC">
        <w:rPr>
          <w:lang w:eastAsia="x-none"/>
        </w:rPr>
        <w:t xml:space="preserve"> </w:t>
      </w:r>
      <w:r w:rsidR="00662BB4" w:rsidRPr="00662BB4">
        <w:rPr>
          <w:lang w:eastAsia="x-none"/>
        </w:rPr>
        <w:t xml:space="preserve">When we considered only the 2-year survivors, </w:t>
      </w:r>
      <w:r w:rsidR="00662BB4">
        <w:rPr>
          <w:lang w:eastAsia="x-none"/>
        </w:rPr>
        <w:t>c</w:t>
      </w:r>
      <w:r w:rsidRPr="00591BFC">
        <w:rPr>
          <w:lang w:eastAsia="x-none"/>
        </w:rPr>
        <w:t>ompared to the year prior to the hip fractu</w:t>
      </w:r>
      <w:r w:rsidR="00662BB4">
        <w:rPr>
          <w:lang w:eastAsia="x-none"/>
        </w:rPr>
        <w:t>re, primary care costs were £256 (95%</w:t>
      </w:r>
      <w:r w:rsidR="00BA4355">
        <w:rPr>
          <w:lang w:eastAsia="x-none"/>
        </w:rPr>
        <w:t xml:space="preserve"> </w:t>
      </w:r>
      <w:r w:rsidR="00662BB4">
        <w:rPr>
          <w:lang w:eastAsia="x-none"/>
        </w:rPr>
        <w:t>CI: £160 to £273) and £273 (95%</w:t>
      </w:r>
      <w:r w:rsidR="00BA4355">
        <w:rPr>
          <w:lang w:eastAsia="x-none"/>
        </w:rPr>
        <w:t xml:space="preserve"> </w:t>
      </w:r>
      <w:r w:rsidR="00662BB4">
        <w:rPr>
          <w:lang w:eastAsia="x-none"/>
        </w:rPr>
        <w:t>CI: £167 to £380</w:t>
      </w:r>
      <w:r w:rsidRPr="00591BFC">
        <w:rPr>
          <w:lang w:eastAsia="x-none"/>
        </w:rPr>
        <w:t>) higher in the first and second year following hip fracture, respecti</w:t>
      </w:r>
      <w:r w:rsidR="004C6125">
        <w:rPr>
          <w:lang w:eastAsia="x-none"/>
        </w:rPr>
        <w:t>vely. This was mostly led by a considerable</w:t>
      </w:r>
      <w:r w:rsidRPr="00591BFC">
        <w:rPr>
          <w:lang w:eastAsia="x-none"/>
        </w:rPr>
        <w:t xml:space="preserve"> increase in GP contacts and in the costs of prescribed items. </w:t>
      </w:r>
      <w:r w:rsidR="00662BB4">
        <w:rPr>
          <w:lang w:eastAsia="x-none"/>
        </w:rPr>
        <w:t>Hence, t</w:t>
      </w:r>
      <w:r w:rsidRPr="00591BFC">
        <w:rPr>
          <w:lang w:eastAsia="x-none"/>
        </w:rPr>
        <w:t>he total</w:t>
      </w:r>
      <w:r w:rsidR="004C6125">
        <w:rPr>
          <w:lang w:eastAsia="x-none"/>
        </w:rPr>
        <w:t xml:space="preserve"> </w:t>
      </w:r>
      <w:r w:rsidR="00662BB4" w:rsidRPr="00662BB4">
        <w:rPr>
          <w:lang w:eastAsia="x-none"/>
        </w:rPr>
        <w:t xml:space="preserve">primary care and hospital care </w:t>
      </w:r>
      <w:r w:rsidR="00662BB4">
        <w:rPr>
          <w:lang w:eastAsia="x-none"/>
        </w:rPr>
        <w:t xml:space="preserve">costs </w:t>
      </w:r>
      <w:r w:rsidR="00662BB4" w:rsidRPr="00662BB4">
        <w:rPr>
          <w:lang w:eastAsia="x-none"/>
        </w:rPr>
        <w:t>in the year of the hip fracture was estimated to be £15,329, which when extrapolated to</w:t>
      </w:r>
      <w:r w:rsidR="00662BB4">
        <w:rPr>
          <w:lang w:eastAsia="x-none"/>
        </w:rPr>
        <w:t xml:space="preserve"> </w:t>
      </w:r>
      <w:r w:rsidRPr="00591BFC">
        <w:rPr>
          <w:lang w:eastAsia="x-none"/>
        </w:rPr>
        <w:t xml:space="preserve">all incident hip fractures in the UK amongst those aged 50 </w:t>
      </w:r>
      <w:r w:rsidR="00662BB4">
        <w:rPr>
          <w:lang w:eastAsia="x-none"/>
        </w:rPr>
        <w:t>and over</w:t>
      </w:r>
      <w:r w:rsidRPr="00591BFC">
        <w:rPr>
          <w:lang w:eastAsia="x-none"/>
        </w:rPr>
        <w:t xml:space="preserve">(n=79,243) </w:t>
      </w:r>
      <w:r w:rsidR="00662BB4" w:rsidRPr="00662BB4">
        <w:rPr>
          <w:lang w:eastAsia="x-none"/>
        </w:rPr>
        <w:t xml:space="preserve">resulted in a cost of </w:t>
      </w:r>
      <w:r w:rsidRPr="00591BFC">
        <w:rPr>
          <w:lang w:eastAsia="x-none"/>
        </w:rPr>
        <w:t>£1,2</w:t>
      </w:r>
      <w:r w:rsidR="00662BB4">
        <w:rPr>
          <w:lang w:eastAsia="x-none"/>
        </w:rPr>
        <w:t>1</w:t>
      </w:r>
      <w:r w:rsidRPr="00591BFC">
        <w:rPr>
          <w:lang w:eastAsia="x-none"/>
        </w:rPr>
        <w:t>5 million</w:t>
      </w:r>
      <w:r w:rsidR="00662BB4">
        <w:rPr>
          <w:lang w:eastAsia="x-none"/>
        </w:rPr>
        <w:t xml:space="preserve"> in the year of the fracture</w:t>
      </w:r>
      <w:r w:rsidRPr="00591BFC">
        <w:rPr>
          <w:lang w:eastAsia="x-none"/>
        </w:rPr>
        <w:t>. There is a strong economic incentive to prioritise research funds towards identifying the best approaches to prevent inde</w:t>
      </w:r>
      <w:r w:rsidR="004C6125">
        <w:rPr>
          <w:lang w:eastAsia="x-none"/>
        </w:rPr>
        <w:t>x and subsequent hip fractures.</w:t>
      </w:r>
      <w:r w:rsidR="00662BB4">
        <w:rPr>
          <w:lang w:eastAsia="x-none"/>
        </w:rPr>
        <w:t xml:space="preserve"> </w:t>
      </w:r>
      <w:r w:rsidR="00662BB4" w:rsidRPr="00662BB4">
        <w:rPr>
          <w:lang w:eastAsia="x-none"/>
        </w:rPr>
        <w:t>Furthermore, the total primary care and hospital care cost in the second year after hip fracture, conditional on surviving the first year, were estimated to be £4,242, of which £3,</w:t>
      </w:r>
      <w:r w:rsidR="00D62EC9">
        <w:rPr>
          <w:lang w:eastAsia="x-none"/>
        </w:rPr>
        <w:t>07</w:t>
      </w:r>
      <w:r w:rsidR="00662BB4" w:rsidRPr="00662BB4">
        <w:rPr>
          <w:lang w:eastAsia="x-none"/>
        </w:rPr>
        <w:t>2 were due to hospital care and £1,170 were due to primary care.</w:t>
      </w:r>
    </w:p>
    <w:p w14:paraId="450AC678" w14:textId="77777777" w:rsidR="00721553" w:rsidRPr="00591BFC" w:rsidRDefault="00721553" w:rsidP="00E86771">
      <w:pPr>
        <w:spacing w:line="360" w:lineRule="auto"/>
        <w:rPr>
          <w:lang w:eastAsia="x-none"/>
        </w:rPr>
      </w:pPr>
      <w:r w:rsidRPr="00591BFC">
        <w:rPr>
          <w:lang w:eastAsia="x-none"/>
        </w:rPr>
        <w:t xml:space="preserve">A </w:t>
      </w:r>
      <w:r w:rsidRPr="00DB4F65">
        <w:rPr>
          <w:i/>
        </w:rPr>
        <w:t>cost-effectiveness</w:t>
      </w:r>
      <w:r w:rsidRPr="00591BFC">
        <w:rPr>
          <w:lang w:eastAsia="x-none"/>
        </w:rPr>
        <w:t xml:space="preserve"> analysis was undertaken to determine whether introducing an orthogeriatric or nurse-led </w:t>
      </w:r>
      <w:r w:rsidR="004C6125">
        <w:rPr>
          <w:lang w:eastAsia="x-none"/>
        </w:rPr>
        <w:t>FLS</w:t>
      </w:r>
      <w:r w:rsidRPr="00591BFC">
        <w:rPr>
          <w:lang w:eastAsia="x-none"/>
        </w:rPr>
        <w:t xml:space="preserve"> model for post-hip fracture care in hospital is cost-effective when compared to </w:t>
      </w:r>
      <w:r w:rsidR="00662BB4">
        <w:rPr>
          <w:lang w:eastAsia="x-none"/>
        </w:rPr>
        <w:t>usual</w:t>
      </w:r>
      <w:r w:rsidRPr="00591BFC">
        <w:rPr>
          <w:lang w:eastAsia="x-none"/>
        </w:rPr>
        <w:t xml:space="preserve"> care in the English NHS. A decision analytic (Markov) model was developed to evaluate the costs, (quality-adjusted) life expectancy and cost-effectiveness of the different models of secondary care hip fracture prevention under evaluation. The data sources used to inform the model inputs consisted of: </w:t>
      </w:r>
      <w:r w:rsidR="00A577F9">
        <w:rPr>
          <w:lang w:eastAsia="x-none"/>
        </w:rPr>
        <w:t>HES</w:t>
      </w:r>
      <w:r w:rsidRPr="00591BFC">
        <w:rPr>
          <w:lang w:eastAsia="x-none"/>
        </w:rPr>
        <w:t xml:space="preserve">; </w:t>
      </w:r>
      <w:r w:rsidR="00A577F9">
        <w:rPr>
          <w:lang w:eastAsia="x-none"/>
        </w:rPr>
        <w:t>CPRD GOLD</w:t>
      </w:r>
      <w:r w:rsidRPr="00591BFC">
        <w:rPr>
          <w:lang w:eastAsia="x-none"/>
        </w:rPr>
        <w:t xml:space="preserve">; and published literature. Data on clinical effectiveness of </w:t>
      </w:r>
      <w:r w:rsidR="00A577F9">
        <w:rPr>
          <w:lang w:eastAsia="x-none"/>
        </w:rPr>
        <w:t>orthogeriatric</w:t>
      </w:r>
      <w:r w:rsidRPr="00591BFC">
        <w:rPr>
          <w:lang w:eastAsia="x-none"/>
        </w:rPr>
        <w:t xml:space="preserve"> and FLS models was obtained through the Natural Experimental study. For male patients, combining all health and social care costs included in the model, mean discounted costs were £</w:t>
      </w:r>
      <w:r w:rsidR="00662BB4">
        <w:rPr>
          <w:lang w:eastAsia="x-none"/>
        </w:rPr>
        <w:t>41,714</w:t>
      </w:r>
      <w:r w:rsidRPr="00591BFC">
        <w:rPr>
          <w:lang w:eastAsia="x-none"/>
        </w:rPr>
        <w:t xml:space="preserve"> when an orthogeriatrician is introduced, £</w:t>
      </w:r>
      <w:r w:rsidR="00662BB4">
        <w:rPr>
          <w:lang w:eastAsia="x-none"/>
        </w:rPr>
        <w:t>41,068</w:t>
      </w:r>
      <w:r w:rsidRPr="00591BFC">
        <w:rPr>
          <w:lang w:eastAsia="x-none"/>
        </w:rPr>
        <w:t xml:space="preserve"> when a FLN is introduced and £</w:t>
      </w:r>
      <w:r w:rsidR="00662BB4">
        <w:rPr>
          <w:lang w:eastAsia="x-none"/>
        </w:rPr>
        <w:t>39,101</w:t>
      </w:r>
      <w:r w:rsidRPr="00591BFC">
        <w:rPr>
          <w:lang w:eastAsia="x-none"/>
        </w:rPr>
        <w:t xml:space="preserve"> for </w:t>
      </w:r>
      <w:r w:rsidR="00662BB4">
        <w:rPr>
          <w:lang w:eastAsia="x-none"/>
        </w:rPr>
        <w:t>usual</w:t>
      </w:r>
      <w:r w:rsidRPr="00591BFC">
        <w:rPr>
          <w:lang w:eastAsia="x-none"/>
        </w:rPr>
        <w:t xml:space="preserve"> care. The discounted average QALYs gained by male patients were 1.74 with an OG, 1.7</w:t>
      </w:r>
      <w:r w:rsidR="00662BB4">
        <w:rPr>
          <w:lang w:eastAsia="x-none"/>
        </w:rPr>
        <w:t>2</w:t>
      </w:r>
      <w:r w:rsidRPr="00591BFC">
        <w:rPr>
          <w:lang w:eastAsia="x-none"/>
        </w:rPr>
        <w:t xml:space="preserve"> with a FLN and 1.62 with standard care. For female patients, mean discounted costs were £5</w:t>
      </w:r>
      <w:r w:rsidR="00662BB4">
        <w:rPr>
          <w:lang w:eastAsia="x-none"/>
        </w:rPr>
        <w:t>3</w:t>
      </w:r>
      <w:r w:rsidRPr="00591BFC">
        <w:rPr>
          <w:lang w:eastAsia="x-none"/>
        </w:rPr>
        <w:t>,</w:t>
      </w:r>
      <w:r w:rsidR="00662BB4">
        <w:rPr>
          <w:lang w:eastAsia="x-none"/>
        </w:rPr>
        <w:t>104</w:t>
      </w:r>
      <w:r w:rsidRPr="00591BFC">
        <w:rPr>
          <w:lang w:eastAsia="x-none"/>
        </w:rPr>
        <w:t xml:space="preserve"> when an orthogeriatrician is introduced, £5</w:t>
      </w:r>
      <w:r w:rsidR="000E4AD5">
        <w:rPr>
          <w:lang w:eastAsia="x-none"/>
        </w:rPr>
        <w:t>2</w:t>
      </w:r>
      <w:r w:rsidRPr="00591BFC">
        <w:rPr>
          <w:lang w:eastAsia="x-none"/>
        </w:rPr>
        <w:t>,</w:t>
      </w:r>
      <w:r w:rsidR="000E4AD5">
        <w:rPr>
          <w:lang w:eastAsia="x-none"/>
        </w:rPr>
        <w:t>472</w:t>
      </w:r>
      <w:r w:rsidRPr="00591BFC">
        <w:rPr>
          <w:lang w:eastAsia="x-none"/>
        </w:rPr>
        <w:t xml:space="preserve"> when a FLN is introduced and £5</w:t>
      </w:r>
      <w:r w:rsidR="000E4AD5">
        <w:rPr>
          <w:lang w:eastAsia="x-none"/>
        </w:rPr>
        <w:t>0</w:t>
      </w:r>
      <w:r w:rsidRPr="00591BFC">
        <w:rPr>
          <w:lang w:eastAsia="x-none"/>
        </w:rPr>
        <w:t>,</w:t>
      </w:r>
      <w:r w:rsidR="000E4AD5">
        <w:rPr>
          <w:lang w:eastAsia="x-none"/>
        </w:rPr>
        <w:t>573</w:t>
      </w:r>
      <w:r w:rsidRPr="00591BFC">
        <w:rPr>
          <w:lang w:eastAsia="x-none"/>
        </w:rPr>
        <w:t xml:space="preserve"> if </w:t>
      </w:r>
      <w:r w:rsidR="000E4AD5">
        <w:rPr>
          <w:lang w:eastAsia="x-none"/>
        </w:rPr>
        <w:t>usual</w:t>
      </w:r>
      <w:r w:rsidRPr="00591BFC">
        <w:rPr>
          <w:lang w:eastAsia="x-none"/>
        </w:rPr>
        <w:t xml:space="preserve"> care is provided. The discounted average QALYs gained by female patients were 2.50 with an </w:t>
      </w:r>
      <w:r w:rsidRPr="00591BFC">
        <w:rPr>
          <w:lang w:eastAsia="x-none"/>
        </w:rPr>
        <w:lastRenderedPageBreak/>
        <w:t xml:space="preserve">OG, 2.48 with a FLN and 2.38 with standard care. After combining costs and outcomes in an incremental cost-effectiveness analysis, and at a £30,000 per QALY threshold, the most cost-effective model of care was introducing an orthogeriatrician. The probability of adding an OG being the most cost-effective option at £30,000/QALY was estimated to about 70% across both sexes. The population EVPI over 5 years was estimated to be </w:t>
      </w:r>
      <w:r w:rsidR="000E4AD5">
        <w:rPr>
          <w:lang w:eastAsia="x-none"/>
        </w:rPr>
        <w:t>between £23 million and £73 million</w:t>
      </w:r>
      <w:r w:rsidRPr="00591BFC">
        <w:rPr>
          <w:lang w:eastAsia="x-none"/>
        </w:rPr>
        <w:t xml:space="preserve"> at the £30,000 per QALY gained threshold. This suggests tha</w:t>
      </w:r>
      <w:r w:rsidR="00A577F9">
        <w:rPr>
          <w:lang w:eastAsia="x-none"/>
        </w:rPr>
        <w:t xml:space="preserve">t undertaking additional major </w:t>
      </w:r>
      <w:r w:rsidRPr="00591BFC">
        <w:rPr>
          <w:lang w:eastAsia="x-none"/>
        </w:rPr>
        <w:t>research work to further reduce decision uncertainty is likely to be of significant benefit.</w:t>
      </w:r>
    </w:p>
    <w:p w14:paraId="496CC2AF" w14:textId="77777777" w:rsidR="00721553" w:rsidRDefault="00C67DF1" w:rsidP="00E86771">
      <w:pPr>
        <w:spacing w:line="360" w:lineRule="auto"/>
        <w:rPr>
          <w:lang w:eastAsia="x-none"/>
        </w:rPr>
      </w:pPr>
      <w:r w:rsidRPr="00803963">
        <w:rPr>
          <w:u w:val="single"/>
          <w:lang w:eastAsia="x-none"/>
        </w:rPr>
        <w:t>Quality of evidence</w:t>
      </w:r>
      <w:r>
        <w:rPr>
          <w:lang w:eastAsia="x-none"/>
        </w:rPr>
        <w:t xml:space="preserve"> – </w:t>
      </w:r>
      <w:r w:rsidR="00623AB2">
        <w:rPr>
          <w:lang w:eastAsia="x-none"/>
        </w:rPr>
        <w:t xml:space="preserve">A strength is that the Markov model structure </w:t>
      </w:r>
      <w:r w:rsidR="00623AB2" w:rsidRPr="00623AB2">
        <w:rPr>
          <w:lang w:eastAsia="x-none"/>
        </w:rPr>
        <w:t>and assumptions were informed by the hip fracture, the needs of the decision problem and discussions with clinical experts, health economists, statisticians and epidemiologists involved in the project. This meant that an iterative process was used to define the model structure</w:t>
      </w:r>
      <w:r w:rsidR="00455097">
        <w:rPr>
          <w:lang w:eastAsia="x-none"/>
        </w:rPr>
        <w:t xml:space="preserve">. </w:t>
      </w:r>
      <w:r w:rsidR="00C16440">
        <w:rPr>
          <w:lang w:eastAsia="x-none"/>
        </w:rPr>
        <w:t xml:space="preserve">The work </w:t>
      </w:r>
      <w:r w:rsidR="00C16440" w:rsidRPr="00C16440">
        <w:rPr>
          <w:lang w:eastAsia="x-none"/>
        </w:rPr>
        <w:t>benefits from th</w:t>
      </w:r>
      <w:r w:rsidR="00C16440">
        <w:rPr>
          <w:lang w:eastAsia="x-none"/>
        </w:rPr>
        <w:t>e availability</w:t>
      </w:r>
      <w:r w:rsidR="00C16440" w:rsidRPr="00C16440">
        <w:rPr>
          <w:lang w:eastAsia="x-none"/>
        </w:rPr>
        <w:t xml:space="preserve"> of large primary and secondary care administrative datasets that enabled the robust estimation of the impact of the models of care in terms of survival, prevention of second hip fracture, primary care and hospital care costs and cost-effectiveness.</w:t>
      </w:r>
      <w:r w:rsidR="00664E8C">
        <w:rPr>
          <w:lang w:eastAsia="x-none"/>
        </w:rPr>
        <w:t xml:space="preserve"> Limitations were that </w:t>
      </w:r>
      <w:r w:rsidR="00664E8C" w:rsidRPr="00664E8C">
        <w:rPr>
          <w:lang w:eastAsia="x-none"/>
        </w:rPr>
        <w:t xml:space="preserve">we had to obtain health state utility values from a review of the published literature. </w:t>
      </w:r>
      <w:r w:rsidR="00664E8C">
        <w:rPr>
          <w:lang w:eastAsia="x-none"/>
        </w:rPr>
        <w:t xml:space="preserve">Further, </w:t>
      </w:r>
      <w:r w:rsidR="00664E8C" w:rsidRPr="00664E8C">
        <w:rPr>
          <w:lang w:eastAsia="x-none"/>
        </w:rPr>
        <w:t>it was not possible to reliably estimate utility values for non-hip fractures or the additional impact these may have on the quality of life of individuals with a history of hip fracture. Hence, assumptions were needed</w:t>
      </w:r>
      <w:r w:rsidR="00664E8C">
        <w:rPr>
          <w:lang w:eastAsia="x-none"/>
        </w:rPr>
        <w:t>, but these</w:t>
      </w:r>
      <w:r w:rsidR="00664E8C" w:rsidRPr="00664E8C">
        <w:rPr>
          <w:lang w:eastAsia="x-none"/>
        </w:rPr>
        <w:t xml:space="preserve"> were fully explored in sensitivity analysis.</w:t>
      </w:r>
      <w:r w:rsidR="009E7675">
        <w:rPr>
          <w:lang w:eastAsia="x-none"/>
        </w:rPr>
        <w:t xml:space="preserve"> The work d</w:t>
      </w:r>
      <w:r w:rsidR="009E7675" w:rsidRPr="009E7675">
        <w:rPr>
          <w:lang w:eastAsia="x-none"/>
        </w:rPr>
        <w:t>oes not allow for non-health care costs, resulting from the use of social care services, admission to care homes, and provision of unpaid care by friends and relatives</w:t>
      </w:r>
      <w:r w:rsidR="009E7675">
        <w:rPr>
          <w:lang w:eastAsia="x-none"/>
        </w:rPr>
        <w:t>.</w:t>
      </w:r>
    </w:p>
    <w:p w14:paraId="6C758C49" w14:textId="77777777" w:rsidR="00721553" w:rsidRPr="00591BFC" w:rsidRDefault="00721553" w:rsidP="00E86771">
      <w:pPr>
        <w:spacing w:line="360" w:lineRule="auto"/>
        <w:rPr>
          <w:lang w:eastAsia="x-none"/>
        </w:rPr>
      </w:pPr>
    </w:p>
    <w:p w14:paraId="7493CF1E" w14:textId="77777777" w:rsidR="00721553" w:rsidRPr="00591BFC" w:rsidRDefault="00721553" w:rsidP="00E86771">
      <w:pPr>
        <w:pStyle w:val="Heading2"/>
        <w:spacing w:line="360" w:lineRule="auto"/>
        <w:rPr>
          <w:rFonts w:ascii="Calibri" w:hAnsi="Calibri"/>
          <w:lang w:val="en-GB"/>
        </w:rPr>
      </w:pPr>
      <w:bookmarkStart w:id="518" w:name="_Toc308300837"/>
      <w:bookmarkStart w:id="519" w:name="_Toc311366644"/>
      <w:r w:rsidRPr="00591BFC">
        <w:rPr>
          <w:rFonts w:ascii="Calibri" w:hAnsi="Calibri"/>
          <w:lang w:val="en-GB"/>
        </w:rPr>
        <w:t>Research in context</w:t>
      </w:r>
      <w:bookmarkEnd w:id="518"/>
      <w:bookmarkEnd w:id="519"/>
    </w:p>
    <w:p w14:paraId="657DA2D0" w14:textId="21143321" w:rsidR="00721553" w:rsidRPr="00591BFC" w:rsidRDefault="00721553" w:rsidP="00E86771">
      <w:pPr>
        <w:spacing w:line="360" w:lineRule="auto"/>
      </w:pPr>
      <w:r w:rsidRPr="00591BFC">
        <w:t xml:space="preserve">The finding that </w:t>
      </w:r>
      <w:r w:rsidR="001761CF">
        <w:t xml:space="preserve">orthogeriatric </w:t>
      </w:r>
      <w:r w:rsidRPr="00591BFC">
        <w:t>and FLS models of care are associated with lower mortality is consistent with others in the literature</w:t>
      </w:r>
      <w:r w:rsidR="00B24FEE">
        <w:fldChar w:fldCharType="begin">
          <w:fldData xml:space="preserve">PEVuZE5vdGU+PENpdGU+PEF1dGhvcj5aZWx0emVyPC9BdXRob3I+PFllYXI+MjAxNDwvWWVhcj48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</w:fldData>
        </w:fldChar>
      </w:r>
      <w:r w:rsidR="00B24FEE">
        <w:instrText xml:space="preserve"> ADDIN EN.CITE </w:instrText>
      </w:r>
      <w:r w:rsidR="00B24FEE">
        <w:fldChar w:fldCharType="begin">
          <w:fldData xml:space="preserve">PEVuZE5vdGU+PENpdGU+PEF1dGhvcj5aZWx0emVyPC9BdXRob3I+PFllYXI+MjAxNDwvWWVhcj48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</w:fldData>
        </w:fldChar>
      </w:r>
      <w:r w:rsidR="00B24FEE">
        <w:instrText xml:space="preserve"> ADDIN EN.CITE.DATA </w:instrText>
      </w:r>
      <w:r w:rsidR="00B24FEE">
        <w:fldChar w:fldCharType="end"/>
      </w:r>
      <w:r w:rsidR="00B24FEE">
        <w:fldChar w:fldCharType="separate"/>
      </w:r>
      <w:hyperlink w:anchor="_ENREF_91" w:tooltip="Zeltzer, 2014 #1147" w:history="1">
        <w:r w:rsidR="00B24FEE" w:rsidRPr="00B24FEE">
          <w:rPr>
            <w:noProof/>
            <w:vertAlign w:val="superscript"/>
          </w:rPr>
          <w:t>91</w:t>
        </w:r>
      </w:hyperlink>
      <w:r w:rsidR="00B24FEE" w:rsidRPr="00B24FEE">
        <w:rPr>
          <w:noProof/>
          <w:vertAlign w:val="superscript"/>
        </w:rPr>
        <w:t xml:space="preserve"> </w:t>
      </w:r>
      <w:hyperlink w:anchor="_ENREF_98" w:tooltip="Huntjens, 2011 #1151" w:history="1">
        <w:r w:rsidR="00B24FEE" w:rsidRPr="00B24FEE">
          <w:rPr>
            <w:noProof/>
            <w:vertAlign w:val="superscript"/>
          </w:rPr>
          <w:t>98</w:t>
        </w:r>
      </w:hyperlink>
      <w:r w:rsidR="00B24FEE" w:rsidRPr="00B24FEE">
        <w:rPr>
          <w:noProof/>
          <w:vertAlign w:val="superscript"/>
        </w:rPr>
        <w:t xml:space="preserve"> </w:t>
      </w:r>
      <w:hyperlink w:anchor="_ENREF_115" w:tooltip="Huntjens, 2015 #1241" w:history="1">
        <w:r w:rsidR="00B24FEE" w:rsidRPr="00B24FEE">
          <w:rPr>
            <w:noProof/>
            <w:vertAlign w:val="superscript"/>
          </w:rPr>
          <w:t>115</w:t>
        </w:r>
      </w:hyperlink>
      <w:r w:rsidR="00B24FEE">
        <w:fldChar w:fldCharType="end"/>
      </w:r>
      <w:r w:rsidRPr="00591BFC">
        <w:t>. It is very plausible that the role of the orthogeriatrician has implications on mortality risk for hip fracture patients. The mechanism is highlighted through characterisation in the service evaluation and understanding of the changes made to service delivery by orthogeriatricians appointed at hospitals in the region to lead care for hip fracture patients, with examples given below:</w:t>
      </w:r>
    </w:p>
    <w:p w14:paraId="1FDBFB94" w14:textId="77777777" w:rsidR="00721553" w:rsidRPr="00591BFC" w:rsidRDefault="00721553" w:rsidP="00E86771">
      <w:pPr>
        <w:spacing w:line="360" w:lineRule="auto"/>
      </w:pPr>
    </w:p>
    <w:p w14:paraId="554F1376" w14:textId="77777777" w:rsidR="00721553" w:rsidRPr="00591BFC" w:rsidRDefault="00721553" w:rsidP="00E86771">
      <w:pPr>
        <w:spacing w:line="360" w:lineRule="auto"/>
        <w:rPr>
          <w:i/>
          <w:u w:val="single"/>
        </w:rPr>
      </w:pPr>
      <w:r w:rsidRPr="00591BFC">
        <w:rPr>
          <w:i/>
          <w:u w:val="single"/>
        </w:rPr>
        <w:t>Hospital 2</w:t>
      </w:r>
    </w:p>
    <w:p w14:paraId="55AA86A2" w14:textId="77777777" w:rsidR="00721553" w:rsidRPr="00591BFC" w:rsidRDefault="00721553" w:rsidP="00E86771">
      <w:pPr>
        <w:spacing w:line="360" w:lineRule="auto"/>
      </w:pPr>
      <w:r w:rsidRPr="00591BFC">
        <w:lastRenderedPageBreak/>
        <w:t>The involvement of an orthogeriatrician in the care of hip fracture patients has ensured that the majority of patients admitted with a hip fracture are now seen pre-operatively and the ortho</w:t>
      </w:r>
      <w:r w:rsidR="001761CF">
        <w:t>geriatrician attends the daily t</w:t>
      </w:r>
      <w:r w:rsidRPr="00591BFC">
        <w:t xml:space="preserve">rauma meetings and does a daily ward round (assisted by an elderly care Specialist </w:t>
      </w:r>
      <w:r w:rsidRPr="00591BFC">
        <w:rPr>
          <w:iCs/>
        </w:rPr>
        <w:t>Registrar</w:t>
      </w:r>
      <w:r w:rsidR="00A577F9">
        <w:t xml:space="preserve">). This allows </w:t>
      </w:r>
      <w:r w:rsidRPr="00591BFC">
        <w:t>patient</w:t>
      </w:r>
      <w:r w:rsidR="00A577F9">
        <w:t>s</w:t>
      </w:r>
      <w:r w:rsidRPr="00591BFC">
        <w:t xml:space="preserve"> to </w:t>
      </w:r>
      <w:r w:rsidR="00A577F9">
        <w:t>reach theatre quicker and with less physical deterioration</w:t>
      </w:r>
      <w:r w:rsidRPr="00591BFC">
        <w:t xml:space="preserve"> by optimising any pre-operative condition, such as pre-existing medical co-morbidity and acute conditions, ensuring those taking warfarin are identified, and assessing fitness for anaesthesia. Involving the orthogeriatrician in post-operative care ensures early identification and treatment of complications such as chest-infections and </w:t>
      </w:r>
      <w:r w:rsidRPr="00591BFC">
        <w:rPr>
          <w:iCs/>
        </w:rPr>
        <w:t>myocardial infarction</w:t>
      </w:r>
      <w:r w:rsidRPr="00591BFC">
        <w:t>. Rehabilitation goals are set with the orthogeriatrician leading multi-disciplinary team meetings.</w:t>
      </w:r>
    </w:p>
    <w:p w14:paraId="09FBDCDB" w14:textId="77777777" w:rsidR="00721553" w:rsidRPr="00591BFC" w:rsidRDefault="00721553" w:rsidP="00E86771">
      <w:pPr>
        <w:spacing w:line="360" w:lineRule="auto"/>
      </w:pPr>
    </w:p>
    <w:p w14:paraId="1E547588" w14:textId="77777777" w:rsidR="00721553" w:rsidRPr="00591BFC" w:rsidRDefault="00721553" w:rsidP="00E86771">
      <w:pPr>
        <w:spacing w:line="360" w:lineRule="auto"/>
      </w:pPr>
      <w:r w:rsidRPr="00591BFC">
        <w:t>The impact of introducing an orthogeriatrician at this hospital on 30-day and 1-year mortality was hazard ratio (HR)=0.76 (95%</w:t>
      </w:r>
      <w:r w:rsidR="00BA4355">
        <w:t xml:space="preserve"> </w:t>
      </w:r>
      <w:r w:rsidRPr="00591BFC">
        <w:t>CI: 0.58-0.99) and HR=0.78 (</w:t>
      </w:r>
      <w:r w:rsidR="00BA4355">
        <w:t xml:space="preserve">95% </w:t>
      </w:r>
      <w:r w:rsidRPr="00591BFC">
        <w:t xml:space="preserve">CI: 0.67-0.91) respectively. In the year pre-intervention the number of deaths at 30-day and 1-year was 45 (12.0%) and 121 (32.2%) respectively, and after this has now fallen to 29 (6.9%) and 108 (25.6%), respectively. </w:t>
      </w:r>
    </w:p>
    <w:p w14:paraId="292DB02F" w14:textId="77777777" w:rsidR="00721553" w:rsidRPr="00591BFC" w:rsidRDefault="00721553" w:rsidP="00E86771">
      <w:pPr>
        <w:spacing w:line="360" w:lineRule="auto"/>
      </w:pPr>
    </w:p>
    <w:p w14:paraId="58CCC361" w14:textId="77777777" w:rsidR="00721553" w:rsidRPr="00591BFC" w:rsidRDefault="00721553" w:rsidP="00E86771">
      <w:pPr>
        <w:spacing w:line="360" w:lineRule="auto"/>
        <w:rPr>
          <w:i/>
        </w:rPr>
      </w:pPr>
      <w:r w:rsidRPr="00591BFC">
        <w:rPr>
          <w:i/>
        </w:rPr>
        <w:t>Hospital 8</w:t>
      </w:r>
    </w:p>
    <w:p w14:paraId="427044F1" w14:textId="77777777" w:rsidR="00721553" w:rsidRPr="00591BFC" w:rsidRDefault="00A577F9" w:rsidP="00E86771">
      <w:pPr>
        <w:spacing w:line="360" w:lineRule="auto"/>
      </w:pPr>
      <w:r>
        <w:t>On starting in post, the</w:t>
      </w:r>
      <w:r w:rsidR="00721553" w:rsidRPr="00591BFC">
        <w:t xml:space="preserve"> clinical lead orthogeriatrician </w:t>
      </w:r>
      <w:r>
        <w:t>r</w:t>
      </w:r>
      <w:r w:rsidR="00721553" w:rsidRPr="00591BFC">
        <w:t>eviewed the existing service</w:t>
      </w:r>
      <w:r>
        <w:t xml:space="preserve">. </w:t>
      </w:r>
      <w:r w:rsidRPr="00A577F9">
        <w:t>Based on this review, the orthogeriatri</w:t>
      </w:r>
      <w:r>
        <w:t xml:space="preserve">cian changed the pathway </w:t>
      </w:r>
      <w:r w:rsidR="00721553" w:rsidRPr="00591BFC">
        <w:t>after 6 to 8 months</w:t>
      </w:r>
      <w:r>
        <w:t xml:space="preserve"> in post</w:t>
      </w:r>
      <w:r w:rsidR="00721553" w:rsidRPr="00591BFC">
        <w:t xml:space="preserve">, </w:t>
      </w:r>
      <w:r>
        <w:t>moving the service</w:t>
      </w:r>
      <w:r w:rsidR="00721553" w:rsidRPr="00591BFC">
        <w:t xml:space="preserve"> towards an acute model of care for fragility fracture patients. There is now a joint trauma round that includes weekends run by the clinical lead orthogeriatrician and the trauma lead who started at the same time (March 2009) (this is now run jointly by the clinical lead  and a consultant orthogeriatric surgeon who started in July 2012). There are 6 consultant ward rounds per week, resulting in a total of 7.5 DCC. There is a trauma meeting with orthopaedic surgeons where they </w:t>
      </w:r>
      <w:r>
        <w:t xml:space="preserve">ensure that all patients are </w:t>
      </w:r>
      <w:r w:rsidR="00721553" w:rsidRPr="00591BFC">
        <w:t>see</w:t>
      </w:r>
      <w:r>
        <w:t>n</w:t>
      </w:r>
      <w:r w:rsidR="00721553" w:rsidRPr="00591BFC">
        <w:t xml:space="preserve">. All </w:t>
      </w:r>
      <w:r w:rsidR="00404F43">
        <w:t xml:space="preserve">patients with </w:t>
      </w:r>
      <w:r w:rsidR="00721553" w:rsidRPr="00591BFC">
        <w:t xml:space="preserve">fragility fractures </w:t>
      </w:r>
      <w:r w:rsidR="00404F43">
        <w:t xml:space="preserve">who </w:t>
      </w:r>
      <w:r w:rsidR="00721553" w:rsidRPr="00591BFC">
        <w:t xml:space="preserve">are admitted at the hospital are placed under the care of the orthogeriatric team. They see </w:t>
      </w:r>
      <w:r w:rsidR="00404F43">
        <w:t>patients of all ages with any</w:t>
      </w:r>
      <w:r w:rsidR="00721553" w:rsidRPr="00591BFC">
        <w:t xml:space="preserve"> fragility fracture. Younger patients are identified and seen for further follow up. Older fragility fracture patients (and all hip fracture patients whether aged over or under 70) are seen by day 2, and by day 3 on the ward. On the weekends there is another geriatrician who provides cover.  Around 90% of patients are seen pre-operatively to optimise them for surgery. This all matches that in the Best Practice Tariff (BPT)</w:t>
      </w:r>
    </w:p>
    <w:p w14:paraId="6811B02F" w14:textId="77777777" w:rsidR="00721553" w:rsidRPr="00591BFC" w:rsidRDefault="00721553" w:rsidP="00E86771">
      <w:pPr>
        <w:spacing w:line="360" w:lineRule="auto"/>
      </w:pPr>
    </w:p>
    <w:p w14:paraId="09A0E4BA" w14:textId="77777777" w:rsidR="00721553" w:rsidRPr="00591BFC" w:rsidRDefault="00721553" w:rsidP="00E86771">
      <w:pPr>
        <w:spacing w:line="360" w:lineRule="auto"/>
      </w:pPr>
      <w:r w:rsidRPr="00591BFC">
        <w:lastRenderedPageBreak/>
        <w:t>The impact of introducing an orthogeriatrician at this hospital on 30-day and 1-year mortality was hazard ratio (HR)=0.57 (95%</w:t>
      </w:r>
      <w:r w:rsidR="00BA4355">
        <w:t xml:space="preserve"> </w:t>
      </w:r>
      <w:r w:rsidRPr="00591BFC">
        <w:t>CI: 0.45-0.73) and HR=0.81 (</w:t>
      </w:r>
      <w:r w:rsidR="00BA4355">
        <w:t xml:space="preserve">95% </w:t>
      </w:r>
      <w:r w:rsidRPr="00591BFC">
        <w:t>CI: 0.70-0.95) respectively. In the year pre-intervention the number of deaths at 30-day and 1-year was 68 (12.8%) and 176 (33.2%) respectively, and after this has now fallen to 33 (6.5%) and 124 (24.3%), respectively.</w:t>
      </w:r>
    </w:p>
    <w:p w14:paraId="7C736B63" w14:textId="77777777" w:rsidR="00721553" w:rsidRPr="00591BFC" w:rsidRDefault="00721553" w:rsidP="00E86771">
      <w:pPr>
        <w:spacing w:line="360" w:lineRule="auto"/>
      </w:pPr>
    </w:p>
    <w:p w14:paraId="72EBC187" w14:textId="77777777" w:rsidR="00721553" w:rsidRPr="00591BFC" w:rsidRDefault="00721553" w:rsidP="00E86771">
      <w:pPr>
        <w:spacing w:line="360" w:lineRule="auto"/>
        <w:rPr>
          <w:i/>
        </w:rPr>
      </w:pPr>
      <w:r w:rsidRPr="00591BFC">
        <w:rPr>
          <w:i/>
        </w:rPr>
        <w:t>Hospital 7</w:t>
      </w:r>
    </w:p>
    <w:p w14:paraId="596C4EF4" w14:textId="77777777" w:rsidR="00721553" w:rsidRPr="00591BFC" w:rsidRDefault="00721553" w:rsidP="00E86771">
      <w:pPr>
        <w:spacing w:line="360" w:lineRule="auto"/>
      </w:pPr>
      <w:r w:rsidRPr="00591BFC">
        <w:t xml:space="preserve">The consultant geriatrician started to focus on hip fracture in July 2004. </w:t>
      </w:r>
      <w:r w:rsidR="00404F43">
        <w:t>The geriatric</w:t>
      </w:r>
      <w:r w:rsidR="001761CF">
        <w:t>i</w:t>
      </w:r>
      <w:r w:rsidR="00404F43">
        <w:t>an’s</w:t>
      </w:r>
      <w:r w:rsidRPr="00591BFC">
        <w:t xml:space="preserve"> sessions have increased over time to 30.5 hours per week, and an extra session was added in January 2012. There is also a speciality doctor in geriatrics. Th</w:t>
      </w:r>
      <w:r w:rsidR="00404F43">
        <w:t>e service has changed from providing reactive care to become a service that sees all patients</w:t>
      </w:r>
      <w:r w:rsidRPr="00591BFC">
        <w:t xml:space="preserve"> pre-</w:t>
      </w:r>
      <w:r w:rsidR="00404F43" w:rsidRPr="00591BFC">
        <w:t>op</w:t>
      </w:r>
      <w:r w:rsidR="00404F43">
        <w:t>eratively and</w:t>
      </w:r>
      <w:r w:rsidRPr="00591BFC">
        <w:t xml:space="preserve"> post-op</w:t>
      </w:r>
      <w:r w:rsidR="00404F43">
        <w:t>eratively</w:t>
      </w:r>
      <w:r w:rsidRPr="00591BFC">
        <w:t xml:space="preserve">, </w:t>
      </w:r>
      <w:r w:rsidR="00404F43">
        <w:t>assesses and manages</w:t>
      </w:r>
      <w:r w:rsidRPr="00591BFC">
        <w:t xml:space="preserve"> falls and bone health, </w:t>
      </w:r>
      <w:r w:rsidR="001761CF">
        <w:t>and provides</w:t>
      </w:r>
      <w:r w:rsidRPr="00591BFC">
        <w:t xml:space="preserve"> discharge planning. </w:t>
      </w:r>
      <w:r w:rsidR="001761CF">
        <w:t>Patients</w:t>
      </w:r>
      <w:r w:rsidRPr="00591BFC">
        <w:t xml:space="preserve"> are now seen on a dedicated hip fracture ward. The hip fracture unit works in a collaborative fashion, </w:t>
      </w:r>
      <w:r w:rsidR="001761CF">
        <w:t xml:space="preserve"> and uses a care pathway</w:t>
      </w:r>
      <w:r w:rsidRPr="00591BFC">
        <w:t xml:space="preserve"> </w:t>
      </w:r>
      <w:r w:rsidR="001761CF">
        <w:t>and multidisciplinary paperwork. In the unit,</w:t>
      </w:r>
      <w:r w:rsidRPr="00591BFC">
        <w:t xml:space="preserve"> </w:t>
      </w:r>
      <w:r w:rsidR="001761CF">
        <w:t>two</w:t>
      </w:r>
      <w:r w:rsidRPr="00591BFC">
        <w:t xml:space="preserve"> fast track beds</w:t>
      </w:r>
      <w:r w:rsidR="001761CF">
        <w:t xml:space="preserve"> are available</w:t>
      </w:r>
      <w:r w:rsidRPr="00591BFC">
        <w:t xml:space="preserve">, and </w:t>
      </w:r>
      <w:r w:rsidR="001761CF">
        <w:t>the unit</w:t>
      </w:r>
      <w:r w:rsidRPr="00591BFC">
        <w:t xml:space="preserve"> operate</w:t>
      </w:r>
      <w:r w:rsidR="001761CF">
        <w:t>s</w:t>
      </w:r>
      <w:r w:rsidRPr="00591BFC">
        <w:t xml:space="preserve"> within 36 hours to meet the BPT. The hip fracture unit has been crucial in building expertise and experience.</w:t>
      </w:r>
    </w:p>
    <w:p w14:paraId="2B1DCAAC" w14:textId="77777777" w:rsidR="00721553" w:rsidRPr="00591BFC" w:rsidRDefault="00721553" w:rsidP="00E86771">
      <w:pPr>
        <w:spacing w:line="360" w:lineRule="auto"/>
      </w:pPr>
    </w:p>
    <w:p w14:paraId="30F4EEC5" w14:textId="77777777" w:rsidR="00721553" w:rsidRPr="00591BFC" w:rsidRDefault="00721553" w:rsidP="00E86771">
      <w:pPr>
        <w:spacing w:line="360" w:lineRule="auto"/>
      </w:pPr>
      <w:r w:rsidRPr="00591BFC">
        <w:t>The impact of introducing an orthogeriatrician at this hospital on 30-day and 1-year mortality was hazard ratio (HR)=0.69 (95%</w:t>
      </w:r>
      <w:r w:rsidR="00BA4355">
        <w:t xml:space="preserve"> </w:t>
      </w:r>
      <w:r w:rsidRPr="00591BFC">
        <w:t>CI: 0.54-0.0.89) and HR=0.85 (</w:t>
      </w:r>
      <w:r w:rsidR="00BA4355">
        <w:t xml:space="preserve">95% </w:t>
      </w:r>
      <w:r w:rsidRPr="00591BFC">
        <w:t>CI: 0.73-0.99) respectively. In the year pre-intervention the number of deaths at 30-day and 1-year was 50 (8.5%) and 172 (29.4%) respectively, and after this has now fallen to 38 (6.1%)</w:t>
      </w:r>
      <w:r w:rsidR="001761CF">
        <w:t xml:space="preserve"> and 162 (26.1%), respectively.</w:t>
      </w:r>
    </w:p>
    <w:p w14:paraId="3F78BD94" w14:textId="77777777" w:rsidR="00053EBD" w:rsidRDefault="00053EBD" w:rsidP="00E86771">
      <w:pPr>
        <w:spacing w:line="360" w:lineRule="auto"/>
      </w:pPr>
    </w:p>
    <w:p w14:paraId="160DB195" w14:textId="7B164B4F" w:rsidR="00721553" w:rsidRPr="00591BFC" w:rsidRDefault="00721553" w:rsidP="00E86771">
      <w:pPr>
        <w:spacing w:line="360" w:lineRule="auto"/>
      </w:pPr>
      <w:r w:rsidRPr="00591BFC">
        <w:t>The reasons for a significant decrease in mortality following the introduction and/or expansion of a FLS model of care are not as clear as for the orthogeriatric model.  Implementation of osteoporosis guidelines by a fracture nurse has previously been shown to be associated with a 33% reduction in post fracture mortality following any index fragility fracture, prompting the conclusion that measures to prevent fractures also reduce mortality</w:t>
      </w:r>
      <w:r w:rsidR="00B24FEE">
        <w:fldChar w:fldCharType="begin">
          <w:fldData xml:space="preserve">PEVuZE5vdGU+PENpdGU+PEF1dGhvcj5IdW50amVuczwvQXV0aG9yPjxZZWFyPjIwMTE8L1llYXI+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</w:fldData>
        </w:fldChar>
      </w:r>
      <w:r w:rsidR="00B24FEE">
        <w:instrText xml:space="preserve"> ADDIN EN.CITE </w:instrText>
      </w:r>
      <w:r w:rsidR="00B24FEE">
        <w:fldChar w:fldCharType="begin">
          <w:fldData xml:space="preserve">PEVuZE5vdGU+PENpdGU+PEF1dGhvcj5IdW50amVuczwvQXV0aG9yPjxZZWFyPjIwMTE8L1llYXI+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</w:fldData>
        </w:fldChar>
      </w:r>
      <w:r w:rsidR="00B24FEE">
        <w:instrText xml:space="preserve"> ADDIN EN.CITE.DATA </w:instrText>
      </w:r>
      <w:r w:rsidR="00B24FEE">
        <w:fldChar w:fldCharType="end"/>
      </w:r>
      <w:r w:rsidR="00B24FEE">
        <w:fldChar w:fldCharType="separate"/>
      </w:r>
      <w:hyperlink w:anchor="_ENREF_98" w:tooltip="Huntjens, 2011 #1151" w:history="1">
        <w:r w:rsidR="00B24FEE" w:rsidRPr="00B24FEE">
          <w:rPr>
            <w:noProof/>
            <w:vertAlign w:val="superscript"/>
          </w:rPr>
          <w:t>98</w:t>
        </w:r>
      </w:hyperlink>
      <w:r w:rsidR="00B24FEE" w:rsidRPr="00B24FEE">
        <w:rPr>
          <w:noProof/>
          <w:vertAlign w:val="superscript"/>
        </w:rPr>
        <w:t xml:space="preserve"> </w:t>
      </w:r>
      <w:hyperlink w:anchor="_ENREF_115" w:tooltip="Huntjens, 2015 #1241" w:history="1">
        <w:r w:rsidR="00B24FEE" w:rsidRPr="00B24FEE">
          <w:rPr>
            <w:noProof/>
            <w:vertAlign w:val="superscript"/>
          </w:rPr>
          <w:t>115</w:t>
        </w:r>
      </w:hyperlink>
      <w:r w:rsidR="00B24FEE">
        <w:fldChar w:fldCharType="end"/>
      </w:r>
      <w:r w:rsidR="005E4E2F" w:rsidRPr="00591BFC">
        <w:t>.</w:t>
      </w:r>
      <w:r w:rsidRPr="00591BFC">
        <w:t xml:space="preserve"> While </w:t>
      </w:r>
      <w:r w:rsidR="001761CF">
        <w:t xml:space="preserve">FLSs </w:t>
      </w:r>
      <w:r w:rsidRPr="00591BFC">
        <w:t xml:space="preserve">conceivably contribute to an environment of better co-ordination of care with better communication between staff, it may be the appointment of such nurse specialists reflects wider underlying changes to a hospitals service delivery that led up to the successful implementation and change in hospital care model. </w:t>
      </w:r>
      <w:r w:rsidR="001761CF" w:rsidRPr="001761CF">
        <w:t>In addition, a randomi</w:t>
      </w:r>
      <w:r w:rsidR="001F0197">
        <w:t>s</w:t>
      </w:r>
      <w:r w:rsidR="001761CF" w:rsidRPr="001761CF">
        <w:t>ed controlled trial has indicated that patients receiving</w:t>
      </w:r>
      <w:r w:rsidR="001761CF">
        <w:t xml:space="preserve"> </w:t>
      </w:r>
      <w:r w:rsidRPr="00591BFC">
        <w:t>Zoledronic acid were at 28% reduced risk of death compared to those receiving placebo</w:t>
      </w:r>
      <w:hyperlink w:anchor="_ENREF_113" w:tooltip="Lyles, 2007 #24" w:history="1">
        <w:r w:rsidR="00B24FEE">
          <w:fldChar w:fldCharType="begin"/>
        </w:r>
        <w:r w:rsidR="00B24FEE">
          <w:instrText xml:space="preserve"> ADDIN EN.CITE &lt;EndNote&gt;&lt;Cite&gt;&lt;Author&gt;Lyles&lt;/Author&gt;&lt;Year&gt;2007&lt;/Year&gt;&lt;RecNum&gt;24&lt;/RecNum&gt;&lt;DisplayText&gt;&lt;style face="superscript"&gt;113&lt;/style&gt;&lt;/DisplayText&gt;&lt;record&gt;&lt;rec-number&gt;24&lt;/rec-number&gt;&lt;foreign-keys&gt;&lt;key app="EN" db-id="sxpszd2ti9dx04ewefrvfp5bpf5faazszr9p" timestamp="0"&gt;24&lt;/key&gt;&lt;/foreign-keys&gt;&lt;ref-type name="Journal Article"&gt;17&lt;/ref-type&gt;&lt;contributors&gt;&lt;authors&gt;&lt;author&gt;Lyles, Kenneth W.&lt;/author&gt;&lt;author&gt;Col√≥n-Emeric, Cathleen S.&lt;/author&gt;&lt;author&gt;Magaziner, Jay S.&lt;/author&gt;&lt;author&gt;Adachi, Jonathan D.&lt;/author&gt;&lt;author&gt;Pieper, Carl F.&lt;/author&gt;&lt;author&gt;Mautalen, Carlos&lt;/author&gt;&lt;author&gt;Hyldstrup, Lars&lt;/author&gt;&lt;author&gt;Recknor, Chris&lt;/author&gt;&lt;author&gt;Nordsletten, Lars&lt;/author&gt;&lt;author&gt;Moore, Kathy A.&lt;/author&gt;&lt;author&gt;Lavecchia, Catherine&lt;/author&gt;&lt;author&gt;Zhang, Jie&lt;/author&gt;&lt;author&gt;Mesenbrink, Peter&lt;/author&gt;&lt;author&gt;Hodgson, Patricia K.&lt;/author&gt;&lt;author&gt;Abrams, Ken&lt;/author&gt;&lt;author&gt;Orloff, John J.&lt;/author&gt;&lt;author&gt;Horowitz, Zebulun&lt;/author&gt;&lt;author&gt;Eriksen, Erik Fink&lt;/author&gt;&lt;author&gt;Boonen, Steven&lt;/author&gt;&lt;/authors&gt;&lt;/contributors&gt;&lt;titles&gt;&lt;title&gt;Zoledronic Acid and Clinical Fractures and Mortality after Hip Fracture&lt;/title&gt;&lt;secondary-title&gt;New England Journal of Medicine&lt;/secondary-title&gt;&lt;/titles&gt;&lt;pages&gt;1799-1809&lt;/pages&gt;&lt;volume&gt;357&lt;/volume&gt;&lt;number&gt;18&lt;/number&gt;&lt;dates&gt;&lt;year&gt;2007&lt;/year&gt;&lt;/dates&gt;&lt;urls&gt;&lt;related-urls&gt;&lt;url&gt;http://dx.doi.org/10.1056/NEJMoa074941&lt;/url&gt;&lt;/related-urls&gt;&lt;/urls&gt;&lt;electronic-resource-num&gt;10.1056/NEJMoa074941&lt;/electronic-resource-num&gt;&lt;/record&gt;&lt;/Cite&gt;&lt;/EndNote&gt;</w:instrText>
        </w:r>
        <w:r w:rsidR="00B24FEE">
          <w:fldChar w:fldCharType="separate"/>
        </w:r>
        <w:r w:rsidR="00B24FEE" w:rsidRPr="00B24FEE">
          <w:rPr>
            <w:noProof/>
            <w:vertAlign w:val="superscript"/>
          </w:rPr>
          <w:t>113</w:t>
        </w:r>
        <w:r w:rsidR="00B24FEE">
          <w:fldChar w:fldCharType="end"/>
        </w:r>
      </w:hyperlink>
      <w:r w:rsidRPr="00591BFC">
        <w:t xml:space="preserve">, yet only 8% of such a reduction can be </w:t>
      </w:r>
      <w:r w:rsidRPr="00591BFC">
        <w:lastRenderedPageBreak/>
        <w:t>attributed to lower fracture incidence on treatment</w:t>
      </w:r>
      <w:hyperlink w:anchor="_ENREF_114" w:tooltip="Colon-Emeric, 2010 #1191" w:history="1">
        <w:r w:rsidR="00B24FEE">
          <w:fldChar w:fldCharType="begin"/>
        </w:r>
        <w:r w:rsidR="00B24FEE">
          <w:instrText xml:space="preserve"> ADDIN EN.CITE &lt;EndNote&gt;&lt;Cite&gt;&lt;Author&gt;Colon-Emeric&lt;/Author&gt;&lt;Year&gt;2010&lt;/Year&gt;&lt;RecNum&gt;1191&lt;/RecNum&gt;&lt;DisplayText&gt;&lt;style face="superscript"&gt;114&lt;/style&gt;&lt;/DisplayText&gt;&lt;record&gt;&lt;rec-number&gt;1191&lt;/rec-number&gt;&lt;foreign-keys&gt;&lt;key app="EN" db-id="sxpszd2ti9dx04ewefrvfp5bpf5faazszr9p" timestamp="1435667434"&gt;1191&lt;/key&gt;&lt;/foreign-keys&gt;&lt;ref-type name="Journal Article"&gt;17&lt;/ref-type&gt;&lt;contributors&gt;&lt;authors&gt;&lt;author&gt;Colon-Emeric, C. S.&lt;/author&gt;&lt;author&gt;Mesenbrink, P.&lt;/author&gt;&lt;author&gt;Lyles, K. W.&lt;/author&gt;&lt;author&gt;Pieper, C. F.&lt;/author&gt;&lt;author&gt;Boonen, S.&lt;/author&gt;&lt;author&gt;Delmas, P.&lt;/author&gt;&lt;author&gt;Eriksen, E. F.&lt;/author&gt;&lt;author&gt;Magaziner, J.&lt;/author&gt;&lt;/authors&gt;&lt;/contributors&gt;&lt;auth-address&gt;Duke University Medical Center, Durham, NC 27710, USA. colon001@mc.duke.edu&lt;/auth-address&gt;&lt;titles&gt;&lt;title&gt;Potential mediators of the mortality reduction with zoledronic acid after hip fracture&lt;/title&gt;&lt;secondary-title&gt;J Bone Miner Res&lt;/secondary-title&gt;&lt;/titles&gt;&lt;periodical&gt;&lt;full-title&gt;J Bone Miner Res&lt;/full-title&gt;&lt;/periodical&gt;&lt;pages&gt;91-7&lt;/pages&gt;&lt;volume&gt;25&lt;/volume&gt;&lt;number&gt;1&lt;/number&gt;&lt;edition&gt;2009/07/08&lt;/edition&gt;&lt;keywords&gt;&lt;keyword&gt;Aged&lt;/keyword&gt;&lt;keyword&gt;Aged, 80 and over&lt;/keyword&gt;&lt;keyword&gt;Bone Density Conservation Agents/*therapeutic use&lt;/keyword&gt;&lt;keyword&gt;Cause of Death&lt;/keyword&gt;&lt;keyword&gt;Diphosphonates/*therapeutic use&lt;/keyword&gt;&lt;keyword&gt;Female&lt;/keyword&gt;&lt;keyword&gt;Hip Fractures/*drug therapy/*mortality&lt;/keyword&gt;&lt;keyword&gt;Humans&lt;/keyword&gt;&lt;keyword&gt;Imidazoles/*therapeutic use&lt;/keyword&gt;&lt;keyword&gt;Incidence&lt;/keyword&gt;&lt;keyword&gt;Male&lt;/keyword&gt;&lt;keyword&gt;Middle Aged&lt;/keyword&gt;&lt;keyword&gt;Placebos&lt;/keyword&gt;&lt;keyword&gt;Risk Factors&lt;/keyword&gt;&lt;keyword&gt;United States/epidemiology&lt;/keyword&gt;&lt;/keywords&gt;&lt;dates&gt;&lt;year&gt;2010&lt;/year&gt;&lt;pub-dates&gt;&lt;date&gt;Jan&lt;/date&gt;&lt;/pub-dates&gt;&lt;/dates&gt;&lt;isbn&gt;1523-4681 (Electronic)&amp;#xD;0884-0431 (Linking)&lt;/isbn&gt;&lt;accession-num&gt;19580467&lt;/accession-num&gt;&lt;urls&gt;&lt;related-urls&gt;&lt;url&gt;http://www.ncbi.nlm.nih.gov/pubmed/19580467&lt;/url&gt;&lt;/related-urls&gt;&lt;/urls&gt;&lt;electronic-resource-num&gt;10.1359/jbmr.090704&lt;/electronic-resource-num&gt;&lt;language&gt;eng&lt;/language&gt;&lt;/record&gt;&lt;/Cite&gt;&lt;/EndNote&gt;</w:instrText>
        </w:r>
        <w:r w:rsidR="00B24FEE">
          <w:fldChar w:fldCharType="separate"/>
        </w:r>
        <w:r w:rsidR="00B24FEE" w:rsidRPr="00B24FEE">
          <w:rPr>
            <w:noProof/>
            <w:vertAlign w:val="superscript"/>
          </w:rPr>
          <w:t>114</w:t>
        </w:r>
        <w:r w:rsidR="00B24FEE">
          <w:fldChar w:fldCharType="end"/>
        </w:r>
      </w:hyperlink>
      <w:r w:rsidRPr="00591BFC">
        <w:t>. The mechanisms that mediate the remainder of the drugs effect are not known, although an effect on cardiovascular events and pneumonia may play a role.</w:t>
      </w:r>
    </w:p>
    <w:p w14:paraId="26625A4D" w14:textId="77777777" w:rsidR="00721553" w:rsidRPr="00591BFC" w:rsidRDefault="00721553" w:rsidP="00E86771">
      <w:pPr>
        <w:spacing w:line="360" w:lineRule="auto"/>
        <w:rPr>
          <w:i/>
        </w:rPr>
      </w:pPr>
    </w:p>
    <w:p w14:paraId="262F0627" w14:textId="02B64B3E" w:rsidR="00721553" w:rsidRPr="00591BFC" w:rsidRDefault="00721553" w:rsidP="00E86771">
      <w:pPr>
        <w:spacing w:line="360" w:lineRule="auto"/>
      </w:pPr>
      <w:r w:rsidRPr="00591BFC">
        <w:t>To our knowledge this is the first study to evaluate the FLS model in terms of impact on hip re-fracture rate after</w:t>
      </w:r>
      <w:r w:rsidR="0063425A">
        <w:t xml:space="preserve"> primary</w:t>
      </w:r>
      <w:r w:rsidRPr="00591BFC">
        <w:t xml:space="preserve"> hip fracture. We found no evidence that FLS models of care reduce the risk of second hip fractures. The average annual age and sex-standardised proportion of second hip fractures was just 4.2% for hospitals in this region of England, and remained unchanged and stable through the study period from 2003 to 2013. Whilst this might seem surprising, given the positive results reported by the Glasgow</w:t>
      </w:r>
      <w:hyperlink w:anchor="_ENREF_24" w:tooltip="Skelton, 2009 #49" w:history="1">
        <w:r w:rsidR="00B24FEE">
          <w:fldChar w:fldCharType="begin"/>
        </w:r>
        <w:r w:rsidR="00B24FEE">
          <w:instrText xml:space="preserve"> ADDIN EN.CITE &lt;EndNote&gt;&lt;Cite&gt;&lt;Author&gt;Skelton&lt;/Author&gt;&lt;Year&gt;2009&lt;/Year&gt;&lt;RecNum&gt;49&lt;/RecNum&gt;&lt;DisplayText&gt;&lt;style face="superscript"&gt;24&lt;/style&gt;&lt;/DisplayText&gt;&lt;record&gt;&lt;rec-number&gt;49&lt;/rec-number&gt;&lt;foreign-keys&gt;&lt;key app="EN" db-id="sxpszd2ti9dx04ewefrvfp5bpf5faazszr9p" timestamp="0"&gt;49&lt;/key&gt;&lt;/foreign-keys&gt;&lt;ref-type name="Report"&gt;27&lt;/ref-type&gt;&lt;contributors&gt;&lt;authors&gt;&lt;author&gt;Skelton, D.&lt;/author&gt;&lt;author&gt;Neil, F.&lt;/author&gt;&lt;/authors&gt;&lt;/contributors&gt;&lt;titles&gt;&lt;title&gt;NHS Greater Glasgow and Clyde Strategy for Osteoporosis and Falls Prevention 2006–2010: an evaluation 2007–2009.&lt;/title&gt;&lt;/titles&gt;&lt;dates&gt;&lt;year&gt;2009&lt;/year&gt;&lt;/dates&gt;&lt;publisher&gt;Health QWest and Glasgow Caledonian University&lt;/publisher&gt;&lt;urls&gt;&lt;/urls&gt;&lt;/record&gt;&lt;/Cite&gt;&lt;/EndNote&gt;</w:instrText>
        </w:r>
        <w:r w:rsidR="00B24FEE">
          <w:fldChar w:fldCharType="separate"/>
        </w:r>
        <w:r w:rsidR="00B24FEE" w:rsidRPr="00B24FEE">
          <w:rPr>
            <w:noProof/>
            <w:vertAlign w:val="superscript"/>
          </w:rPr>
          <w:t>24</w:t>
        </w:r>
        <w:r w:rsidR="00B24FEE">
          <w:fldChar w:fldCharType="end"/>
        </w:r>
      </w:hyperlink>
      <w:r w:rsidRPr="00591BFC">
        <w:t>, CONCORD</w:t>
      </w:r>
      <w:hyperlink w:anchor="_ENREF_21" w:tooltip="Cooper, 2012 #147" w:history="1">
        <w:r w:rsidR="00B24FEE">
          <w:fldChar w:fldCharType="begin">
            <w:fldData xml:space="preserve">PEVuZE5vdGU+PENpdGU+PEF1dGhvcj5Db29wZXI8L0F1dGhvcj48WWVhcj4yMDEyPC9ZZWFyPjxS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</w:fldData>
          </w:fldChar>
        </w:r>
        <w:r w:rsidR="00B24FEE">
          <w:instrText xml:space="preserve"> ADDIN EN.CITE </w:instrText>
        </w:r>
        <w:r w:rsidR="00B24FEE">
          <w:fldChar w:fldCharType="begin">
            <w:fldData xml:space="preserve">PEVuZE5vdGU+PENpdGU+PEF1dGhvcj5Db29wZXI8L0F1dGhvcj48WWVhcj4yMDEyPC9ZZWFyPjxS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</w:fldData>
          </w:fldChar>
        </w:r>
        <w:r w:rsidR="00B24FEE">
          <w:instrText xml:space="preserve"> ADDIN EN.CITE.DATA </w:instrText>
        </w:r>
        <w:r w:rsidR="00B24FEE">
          <w:fldChar w:fldCharType="end"/>
        </w:r>
        <w:r w:rsidR="00B24FEE">
          <w:fldChar w:fldCharType="separate"/>
        </w:r>
        <w:r w:rsidR="00B24FEE" w:rsidRPr="00B24FEE">
          <w:rPr>
            <w:noProof/>
            <w:vertAlign w:val="superscript"/>
          </w:rPr>
          <w:t>21</w:t>
        </w:r>
        <w:r w:rsidR="00B24FEE">
          <w:fldChar w:fldCharType="end"/>
        </w:r>
      </w:hyperlink>
      <w:r w:rsidRPr="00591BFC">
        <w:t>, and Kaiser SCAL study</w:t>
      </w:r>
      <w:hyperlink w:anchor="_ENREF_25" w:tooltip="Dell, 2011 #148" w:history="1">
        <w:r w:rsidR="00B24FEE">
          <w:fldChar w:fldCharType="begin">
            <w:fldData xml:space="preserve">PEVuZE5vdGU+PENpdGU+PEF1dGhvcj5EZWxsPC9BdXRob3I+PFllYXI+MjAxMTwvWWVhcj48UmVj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b3JvcyBJbnQ8L2Z1bGwtdGl0bGU+PC9wZXJpb2RpY2FsPjxwYWdlcz40NTctNjA8L3BhZ2VzPjx2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=
</w:fldData>
          </w:fldChar>
        </w:r>
        <w:r w:rsidR="00B24FEE">
          <w:instrText xml:space="preserve"> ADDIN EN.CITE </w:instrText>
        </w:r>
        <w:r w:rsidR="00B24FEE">
          <w:fldChar w:fldCharType="begin">
            <w:fldData xml:space="preserve">PEVuZE5vdGU+PENpdGU+PEF1dGhvcj5EZWxsPC9BdXRob3I+PFllYXI+MjAxMTwvWWVhcj48UmVj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b3JvcyBJbnQ8L2Z1bGwtdGl0bGU+PC9wZXJpb2RpY2FsPjxwYWdlcz40NTctNjA8L3BhZ2VzPjx2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=
</w:fldData>
          </w:fldChar>
        </w:r>
        <w:r w:rsidR="00B24FEE">
          <w:instrText xml:space="preserve"> ADDIN EN.CITE.DATA </w:instrText>
        </w:r>
        <w:r w:rsidR="00B24FEE">
          <w:fldChar w:fldCharType="end"/>
        </w:r>
        <w:r w:rsidR="00B24FEE">
          <w:fldChar w:fldCharType="separate"/>
        </w:r>
        <w:r w:rsidR="00B24FEE" w:rsidRPr="00B24FEE">
          <w:rPr>
            <w:noProof/>
            <w:vertAlign w:val="superscript"/>
          </w:rPr>
          <w:t>25</w:t>
        </w:r>
        <w:r w:rsidR="00B24FEE">
          <w:fldChar w:fldCharType="end"/>
        </w:r>
      </w:hyperlink>
      <w:r w:rsidRPr="00591BFC">
        <w:t xml:space="preserve">, there are many important key limitations associated with these studies, as described earlier that may explain this discrepancy. </w:t>
      </w:r>
    </w:p>
    <w:p w14:paraId="750BD943" w14:textId="77777777" w:rsidR="00721553" w:rsidRPr="00591BFC" w:rsidRDefault="00721553" w:rsidP="00E86771">
      <w:pPr>
        <w:spacing w:line="360" w:lineRule="auto"/>
      </w:pPr>
    </w:p>
    <w:p w14:paraId="629ACA09" w14:textId="77777777" w:rsidR="00721553" w:rsidRPr="00591BFC" w:rsidRDefault="00721553" w:rsidP="00E86771">
      <w:pPr>
        <w:spacing w:line="360" w:lineRule="auto"/>
      </w:pPr>
      <w:r w:rsidRPr="00591BFC">
        <w:t>To try and understand the reason for the lack of association it is necessary, to tease apart the key elements of a FLS: case finding; osteoporosis assessment including a DXA scan to measure bone density if appropriate; treatment initiation with bone protection therapy in osteoporosis patients; systems to improve adherence and persistence with therapy. As part of the qualitative study, we identified the elements of care of hip fracture patients that health professionals think are most effective in preventing secondary fractures after hip fracture. This included the processes for undertaking the four main components of a fracture prevention service and coordination of care.</w:t>
      </w:r>
    </w:p>
    <w:p w14:paraId="6745AE48" w14:textId="77777777" w:rsidR="00721553" w:rsidRPr="00591BFC" w:rsidRDefault="00721553" w:rsidP="00E86771">
      <w:pPr>
        <w:spacing w:line="360" w:lineRule="auto"/>
      </w:pPr>
    </w:p>
    <w:p w14:paraId="773BF963" w14:textId="77777777" w:rsidR="00721553" w:rsidRPr="00591BFC" w:rsidRDefault="00721553" w:rsidP="00E86771">
      <w:pPr>
        <w:spacing w:line="360" w:lineRule="auto"/>
      </w:pPr>
      <w:r w:rsidRPr="00591BFC">
        <w:rPr>
          <w:i/>
        </w:rPr>
        <w:t xml:space="preserve">Case finding - </w:t>
      </w:r>
      <w:r w:rsidRPr="00591BFC">
        <w:t>Participants felt that such patients were relatively easy to identify since they were invariably admitted and remained in hospital for a period of time and therefore presented a ‘captive audience’. Attendance of fracture prevention coordinators or other healthcare professionals at daily pre-operative trauma meetings was seen as effective at identifying patients at risk of further fr</w:t>
      </w:r>
      <w:r w:rsidR="00CE2ED9">
        <w:t>actures. Perioperative or post-</w:t>
      </w:r>
      <w:r w:rsidRPr="00591BFC">
        <w:t xml:space="preserve">operative ward rounds were successfully used to identify patients although participants were concerned that </w:t>
      </w:r>
      <w:r w:rsidR="005E4E2F" w:rsidRPr="00591BFC">
        <w:t>patients</w:t>
      </w:r>
      <w:r w:rsidRPr="00591BFC">
        <w:t xml:space="preserve"> seen peri</w:t>
      </w:r>
      <w:r w:rsidR="005E4E2F" w:rsidRPr="00591BFC">
        <w:t>-</w:t>
      </w:r>
      <w:r w:rsidRPr="00591BFC">
        <w:t>operatively could be missed</w:t>
      </w:r>
      <w:r w:rsidR="00F30AE7">
        <w:t xml:space="preserve"> if they were particularly ill or w</w:t>
      </w:r>
      <w:r w:rsidRPr="00591BFC">
        <w:t xml:space="preserve">hen </w:t>
      </w:r>
      <w:r w:rsidR="00F30AE7" w:rsidRPr="00591BFC">
        <w:t xml:space="preserve">staff </w:t>
      </w:r>
      <w:r w:rsidR="00F30AE7">
        <w:t>were</w:t>
      </w:r>
      <w:r w:rsidRPr="00591BFC">
        <w:t xml:space="preserve"> absent as it meant that there was no one to identify cases. To mitigate this, participants emphasised the importance of back-up such as computerised databases to identify patients retrospectively. The processes underlying case finding are done well for this element of an FLS.</w:t>
      </w:r>
    </w:p>
    <w:p w14:paraId="52DB471F" w14:textId="77777777" w:rsidR="00721553" w:rsidRPr="00591BFC" w:rsidRDefault="00721553" w:rsidP="00E86771">
      <w:pPr>
        <w:spacing w:line="360" w:lineRule="auto"/>
      </w:pPr>
    </w:p>
    <w:p w14:paraId="4144495A" w14:textId="77777777" w:rsidR="00721553" w:rsidRPr="00591BFC" w:rsidRDefault="00721553" w:rsidP="00E86771">
      <w:pPr>
        <w:spacing w:line="360" w:lineRule="auto"/>
      </w:pPr>
      <w:r w:rsidRPr="00591BFC">
        <w:rPr>
          <w:i/>
        </w:rPr>
        <w:lastRenderedPageBreak/>
        <w:t xml:space="preserve">Osteoporosis assessment – </w:t>
      </w:r>
      <w:r w:rsidRPr="00591BFC">
        <w:t>This was best done in an inpatient setting where possible to enable clinicians to initiate bone protection therapies more quickly. A risk of ‘losing’ patients after discharge was identified, as at that time they may not receive appointment letters, may be too frail or forget to attend appointments. Participants were of the opinion that services should adhere to NICE guidelines by providing DXA scans to those aged under 75 and treating those aged ≥75 without the absolute need for DXA. The location of the DXA scan, whether in an inpatient, outpatient or community hospital, was seen to impact on whether patients received it. Conducting a scan in the post-discharge outpatient setting gave patients time to recover from their operation. But this was tempered by concern about failure of patients to attend appointments. This was seen as being particularly problematic when patients lived a long way from the scanner. The process of referral to scans was important - while some orthogeriatricians and fracture prevention nurses described how they were able to refer patients directly, others had to request an appointment via primary care. Interviewees felt the latter approach was problematic as it meant patients had to wait longer, delayed the start of treatment and made it more likely that patients would ‘get lost’ in the system. In the under 75 year age group there is greater potential for patients to miss receiving osteoporosis assessment and not receive bone protection therapy if needed</w:t>
      </w:r>
      <w:r w:rsidR="00665FD3" w:rsidRPr="00665FD3">
        <w:t>, although only a small minority of hip fractures patients are aged under 75.</w:t>
      </w:r>
    </w:p>
    <w:p w14:paraId="73BEDA68" w14:textId="77777777" w:rsidR="00721553" w:rsidRPr="00591BFC" w:rsidRDefault="00721553" w:rsidP="00E86771">
      <w:pPr>
        <w:spacing w:line="360" w:lineRule="auto"/>
      </w:pPr>
    </w:p>
    <w:p w14:paraId="7BCDCA61" w14:textId="77777777" w:rsidR="00721553" w:rsidRPr="00591BFC" w:rsidRDefault="00721553" w:rsidP="00E86771">
      <w:pPr>
        <w:spacing w:line="360" w:lineRule="auto"/>
      </w:pPr>
      <w:r w:rsidRPr="00591BFC">
        <w:rPr>
          <w:i/>
        </w:rPr>
        <w:t xml:space="preserve">Treatment initiation - </w:t>
      </w:r>
      <w:r w:rsidRPr="00591BFC">
        <w:t>Patients who were ≥75 and who did not need a DXA scan should have their treatment initiated in an inpatient setting where possible. This meant they could begin treatments more quickly and enabled clinicians to assess whether they could tolerate it. However, some clinicians were concerned that patients were sometimes too ‘shocked’ post operatively to understand how and why they were taking the therapies which could impact on adherence. Some participants were worried that patients were not being prescribed treatments whilst they were in inpatients. One clinician had found it useful to put ‘checks’ in place so that their colleagues were able to spot if they had not been prescribed. Furthermore, treatments were not always included on discharge summaries. For those aged under 75 who received a DXA scan or who needed treatments that could not be initiated immediately, therapies were either initiated in primary care or in an outpatient setting.  However, there was a concern that this was not being done consistently in primary care and that general practitioners (GPs) lacked ‘alertness’ about t</w:t>
      </w:r>
      <w:r w:rsidR="00F30AE7">
        <w:t>he importance of the therapies.</w:t>
      </w:r>
    </w:p>
    <w:p w14:paraId="20D9DC28" w14:textId="08AE5675" w:rsidR="00721553" w:rsidRPr="00591BFC" w:rsidRDefault="00721553" w:rsidP="00E86771">
      <w:pPr>
        <w:spacing w:line="360" w:lineRule="auto"/>
      </w:pPr>
      <w:r w:rsidRPr="00591BFC">
        <w:t xml:space="preserve">Further information is provided by correlating this with statistical analysis of national data from CPRD in chapter 6. </w:t>
      </w:r>
      <w:r w:rsidR="00470C42">
        <w:fldChar w:fldCharType="begin"/>
      </w:r>
      <w:r w:rsidR="00470C42">
        <w:instrText xml:space="preserve"> REF _Ref424565416 \h </w:instrText>
      </w:r>
      <w:r w:rsidR="00470C42">
        <w:fldChar w:fldCharType="separate"/>
      </w:r>
      <w:r w:rsidR="003B70E3">
        <w:t xml:space="preserve">Figure </w:t>
      </w:r>
      <w:r w:rsidR="003B70E3">
        <w:rPr>
          <w:noProof/>
        </w:rPr>
        <w:t>13</w:t>
      </w:r>
      <w:r w:rsidR="00470C42">
        <w:fldChar w:fldCharType="end"/>
      </w:r>
      <w:r w:rsidR="00470C42">
        <w:t>-</w:t>
      </w:r>
      <w:r w:rsidR="00470C42">
        <w:fldChar w:fldCharType="begin"/>
      </w:r>
      <w:r w:rsidR="00470C42">
        <w:instrText xml:space="preserve"> REF _Ref424565656 \h </w:instrText>
      </w:r>
      <w:r w:rsidR="00470C42">
        <w:fldChar w:fldCharType="separate"/>
      </w:r>
      <w:r w:rsidR="003B70E3">
        <w:t xml:space="preserve">Figure </w:t>
      </w:r>
      <w:r w:rsidR="003B70E3">
        <w:rPr>
          <w:noProof/>
        </w:rPr>
        <w:t>15</w:t>
      </w:r>
      <w:r w:rsidR="00470C42">
        <w:fldChar w:fldCharType="end"/>
      </w:r>
      <w:r w:rsidR="00AD7A06" w:rsidRPr="00591BFC">
        <w:t xml:space="preserve"> </w:t>
      </w:r>
      <w:r w:rsidRPr="00591BFC">
        <w:t xml:space="preserve">shows that there has been a substantial increase in </w:t>
      </w:r>
      <w:r w:rsidRPr="00591BFC">
        <w:lastRenderedPageBreak/>
        <w:t>prescribing of anti-</w:t>
      </w:r>
      <w:r w:rsidR="00CE2ED9">
        <w:t>osteoporosis medication</w:t>
      </w:r>
      <w:r w:rsidRPr="00591BFC">
        <w:t xml:space="preserve"> prescribing within 12-months of hip fracture, particularly since 2004. However differences are observed stratified by age. In those aged &gt; 85, prescribing rates have increase</w:t>
      </w:r>
      <w:r w:rsidR="00665FD3">
        <w:t>d</w:t>
      </w:r>
      <w:r w:rsidRPr="00591BFC">
        <w:t xml:space="preserve"> from 10 to 50%, and in those aged 75-84 from 20% to 55%, but in those aged under 75 the increase has been smaller from around 20 to 40%. This would fit with qualitative data that younger patients may be missed</w:t>
      </w:r>
      <w:r w:rsidR="00F30AE7">
        <w:t xml:space="preserve"> </w:t>
      </w:r>
      <w:r w:rsidR="00F30AE7" w:rsidRPr="00F30AE7">
        <w:t xml:space="preserve">or that in earlier years there </w:t>
      </w:r>
      <w:r w:rsidR="00665FD3">
        <w:t>was</w:t>
      </w:r>
      <w:r w:rsidR="00F30AE7" w:rsidRPr="00F30AE7">
        <w:t xml:space="preserve"> differential under treatment of the older patient</w:t>
      </w:r>
      <w:r w:rsidRPr="00591BFC">
        <w:t xml:space="preserve">. An aspect not </w:t>
      </w:r>
      <w:r w:rsidR="00F30AE7">
        <w:t>addressed</w:t>
      </w:r>
      <w:r w:rsidRPr="00591BFC">
        <w:t xml:space="preserve"> in the qualitative </w:t>
      </w:r>
      <w:r w:rsidR="00F30AE7">
        <w:t xml:space="preserve">study </w:t>
      </w:r>
      <w:r w:rsidRPr="00591BFC">
        <w:t xml:space="preserve">is a gender effect </w:t>
      </w:r>
      <w:r w:rsidR="00AD7A06" w:rsidRPr="00591BFC">
        <w:t>(</w:t>
      </w:r>
      <w:r w:rsidR="00665FD3">
        <w:rPr>
          <w:highlight w:val="yellow"/>
        </w:rPr>
        <w:fldChar w:fldCharType="begin"/>
      </w:r>
      <w:r w:rsidR="00665FD3">
        <w:instrText xml:space="preserve"> REF _Ref424565416 \h </w:instrText>
      </w:r>
      <w:r w:rsidR="00665FD3">
        <w:rPr>
          <w:highlight w:val="yellow"/>
        </w:rPr>
      </w:r>
      <w:r w:rsidR="00665FD3">
        <w:rPr>
          <w:highlight w:val="yellow"/>
        </w:rPr>
        <w:fldChar w:fldCharType="separate"/>
      </w:r>
      <w:r w:rsidR="003B70E3">
        <w:t xml:space="preserve">Figure </w:t>
      </w:r>
      <w:r w:rsidR="003B70E3">
        <w:rPr>
          <w:noProof/>
        </w:rPr>
        <w:t>13</w:t>
      </w:r>
      <w:r w:rsidR="00665FD3">
        <w:rPr>
          <w:highlight w:val="yellow"/>
        </w:rPr>
        <w:fldChar w:fldCharType="end"/>
      </w:r>
      <w:r w:rsidR="00AD7A06" w:rsidRPr="00591BFC">
        <w:t>)</w:t>
      </w:r>
      <w:r w:rsidRPr="00591BFC">
        <w:t xml:space="preserve"> where the national increase in anti-o</w:t>
      </w:r>
      <w:r w:rsidR="00665FD3">
        <w:t>steoporosis</w:t>
      </w:r>
      <w:r w:rsidRPr="00591BFC">
        <w:t xml:space="preserve"> medication is much higher</w:t>
      </w:r>
      <w:r w:rsidR="00AD7A06" w:rsidRPr="00591BFC">
        <w:t xml:space="preserve"> in females compared to males. </w:t>
      </w:r>
      <w:r w:rsidRPr="00591BFC">
        <w:t>There is potential for the under 75-year age group, and male patients, to be less likely to</w:t>
      </w:r>
      <w:r w:rsidR="00F30AE7">
        <w:t xml:space="preserve"> initiate osteoporosis therapy.</w:t>
      </w:r>
    </w:p>
    <w:p w14:paraId="60DFBA2E" w14:textId="77777777" w:rsidR="00721553" w:rsidRPr="00591BFC" w:rsidRDefault="00721553" w:rsidP="00E86771">
      <w:pPr>
        <w:spacing w:line="360" w:lineRule="auto"/>
      </w:pPr>
      <w:r w:rsidRPr="00591BFC">
        <w:rPr>
          <w:i/>
        </w:rPr>
        <w:t xml:space="preserve">Monitoring - </w:t>
      </w:r>
      <w:r w:rsidRPr="00591BFC">
        <w:t>Participants were most concerned about the low levels of adherence to bone protection therapies and felt that monitoring had the potential to improve adherence to oral therapies. A number of participants thought that Zolendronic Acid could help improve adherence since it is given at a clinic rather than at home and given once a year rather than being taken regularly. However, they also described how the provision of this therapy was often constrained by local guidelines</w:t>
      </w:r>
      <w:r w:rsidR="00F30AE7">
        <w:t xml:space="preserve"> </w:t>
      </w:r>
      <w:r w:rsidR="00F30AE7" w:rsidRPr="00F30AE7">
        <w:t>as well as the requirement to have good kidney functi</w:t>
      </w:r>
      <w:r w:rsidR="00F30AE7">
        <w:t>on, an issue with many patients</w:t>
      </w:r>
      <w:r w:rsidRPr="00591BFC">
        <w:t xml:space="preserve">. </w:t>
      </w:r>
      <w:r w:rsidR="00F30AE7" w:rsidRPr="00591BFC">
        <w:t>Patients</w:t>
      </w:r>
      <w:r w:rsidRPr="00591BFC">
        <w:t xml:space="preserve"> prescribed oral bisphosphonates </w:t>
      </w:r>
      <w:r w:rsidR="00F30AE7" w:rsidRPr="00F30AE7">
        <w:t xml:space="preserve">had their monitoring delegated to </w:t>
      </w:r>
      <w:r w:rsidRPr="00591BFC">
        <w:t>primary care. However, there was a worry that this management was often ‘sub-optimal’ and some participants were concerned that GPs did not always have enough knowledge to monitor patients effectively. On account of these problems, participants thought that more monitoring could be conducted by secondary care. However, there was no consensus on how this could be systematically achieved. Participants discussed the relative advantages and disadvantages of using questionnaires, telephone calls and outpatient’s appoi</w:t>
      </w:r>
      <w:r w:rsidR="006361CC">
        <w:t xml:space="preserve">ntments to perform monitoring. </w:t>
      </w:r>
    </w:p>
    <w:p w14:paraId="01F653C7" w14:textId="77777777" w:rsidR="00721553" w:rsidRPr="00591BFC" w:rsidRDefault="00721553" w:rsidP="00E86771">
      <w:pPr>
        <w:spacing w:line="360" w:lineRule="auto"/>
      </w:pPr>
      <w:r w:rsidRPr="00591BFC">
        <w:t xml:space="preserve">Within this study, the service evaluation highlights how monitoring was undertaken by secondary care at seven sites and the remainder </w:t>
      </w:r>
      <w:r w:rsidR="006361CC">
        <w:t>delegated to</w:t>
      </w:r>
      <w:r w:rsidRPr="00591BFC">
        <w:t xml:space="preserve"> GPs. Monitoring by secondary care included telephone calls and questionnaires. Only one hospital had a </w:t>
      </w:r>
      <w:r w:rsidR="00665FD3">
        <w:t>FLS</w:t>
      </w:r>
      <w:r w:rsidRPr="00591BFC">
        <w:t xml:space="preserve"> that included a monitoring pathway, but as this happened at the end of 2011, it was not possible to examine the impact of this on outcomes, as the HES data for our analysis was collected up to the end of 2013. The IOF adherence gap report </w:t>
      </w:r>
      <w:r w:rsidR="00AD7A06" w:rsidRPr="00591BFC">
        <w:t>(</w:t>
      </w:r>
      <w:r w:rsidRPr="00591BFC">
        <w:t>2005</w:t>
      </w:r>
      <w:r w:rsidR="00AD7A06" w:rsidRPr="00591BFC">
        <w:t>)</w:t>
      </w:r>
      <w:r w:rsidRPr="00591BFC">
        <w:t xml:space="preserve"> highlights that up to 60% of patients who take a once-weekly bisphosphonate and nearly 80% who take a once-daily bisphosphonate disco</w:t>
      </w:r>
      <w:r w:rsidR="006361CC">
        <w:t>ntinue treatment within a year.</w:t>
      </w:r>
    </w:p>
    <w:p w14:paraId="61F89D55" w14:textId="77777777" w:rsidR="00721553" w:rsidRPr="00591BFC" w:rsidRDefault="00721553" w:rsidP="00E86771">
      <w:pPr>
        <w:spacing w:line="360" w:lineRule="auto"/>
      </w:pPr>
      <w:r w:rsidRPr="00591BFC">
        <w:t>Monitoring and adherence to therapy is the weakest element of FLS for hospitals within the region, and was highlighted as a clear cause for concern by health professionals in the qualitative study. This is a key element that could explain the lack of effecti</w:t>
      </w:r>
      <w:r w:rsidR="006361CC">
        <w:t>veness of the FLS intervention.</w:t>
      </w:r>
    </w:p>
    <w:p w14:paraId="19B8ADE2" w14:textId="2B4DF0F5" w:rsidR="00721553" w:rsidRPr="00591BFC" w:rsidRDefault="00721553" w:rsidP="00E86771">
      <w:pPr>
        <w:spacing w:line="360" w:lineRule="auto"/>
      </w:pPr>
      <w:r w:rsidRPr="00591BFC">
        <w:lastRenderedPageBreak/>
        <w:t xml:space="preserve">The FLS model of secondary fracture prevention is centred </w:t>
      </w:r>
      <w:r w:rsidR="00AD7A06" w:rsidRPr="00591BFC">
        <w:t>on</w:t>
      </w:r>
      <w:r w:rsidRPr="00591BFC">
        <w:t xml:space="preserve"> the efficacy of anti</w:t>
      </w:r>
      <w:r w:rsidR="00AD7A06" w:rsidRPr="00591BFC">
        <w:t>-</w:t>
      </w:r>
      <w:r w:rsidRPr="00591BFC">
        <w:t>resorptive drugs. It is widely known that the risk of further fracture can be reduced by up to half with bone protection therapy</w:t>
      </w:r>
      <w:r w:rsidR="00B24FEE">
        <w:fldChar w:fldCharType="begin">
          <w:fldData xml:space="preserve">PEVuZE5vdGU+PENpdGU+PEF1dGhvcj5Ccml0aXNoIE9ydGhvcGFlZGljIEFzc29jaWF0aW9uPC9B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</w:fldData>
        </w:fldChar>
      </w:r>
      <w:r w:rsidR="00B24FEE">
        <w:instrText xml:space="preserve"> ADDIN EN.CITE </w:instrText>
      </w:r>
      <w:r w:rsidR="00B24FEE">
        <w:fldChar w:fldCharType="begin">
          <w:fldData xml:space="preserve">PEVuZE5vdGU+PENpdGU+PEF1dGhvcj5Ccml0aXNoIE9ydGhvcGFlZGljIEFzc29jaWF0aW9uPC9B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</w:fldData>
        </w:fldChar>
      </w:r>
      <w:r w:rsidR="00B24FEE">
        <w:instrText xml:space="preserve"> ADDIN EN.CITE.DATA </w:instrText>
      </w:r>
      <w:r w:rsidR="00B24FEE">
        <w:fldChar w:fldCharType="end"/>
      </w:r>
      <w:r w:rsidR="00B24FEE">
        <w:fldChar w:fldCharType="separate"/>
      </w:r>
      <w:hyperlink w:anchor="_ENREF_1" w:tooltip="British Orthopaedic Association, 2007 #25" w:history="1">
        <w:r w:rsidR="00B24FEE" w:rsidRPr="00B24FEE">
          <w:rPr>
            <w:noProof/>
            <w:vertAlign w:val="superscript"/>
          </w:rPr>
          <w:t>1</w:t>
        </w:r>
      </w:hyperlink>
      <w:r w:rsidR="00B24FEE" w:rsidRPr="00B24FEE">
        <w:rPr>
          <w:noProof/>
          <w:vertAlign w:val="superscript"/>
        </w:rPr>
        <w:t xml:space="preserve"> </w:t>
      </w:r>
      <w:hyperlink w:anchor="_ENREF_11" w:tooltip="Knopp, 2005 #28" w:history="1">
        <w:r w:rsidR="00B24FEE" w:rsidRPr="00B24FEE">
          <w:rPr>
            <w:noProof/>
            <w:vertAlign w:val="superscript"/>
          </w:rPr>
          <w:t>11-13</w:t>
        </w:r>
      </w:hyperlink>
      <w:r w:rsidR="00B24FEE">
        <w:fldChar w:fldCharType="end"/>
      </w:r>
      <w:r w:rsidRPr="00591BFC">
        <w:t>. Clinical effectiveness of these drugs is reviewed in NICE TA 161 guidance where it is noted that for non-vertebral fracture types, individual data on hip, leg, pelvis, wrist, hand, foot, rib and humerus fractures were sometimes provided, whereas some studies only presented data for all non-vertebral fractures grouped together. In their consideration of the evidence it is interesting that they note that “</w:t>
      </w:r>
      <w:r w:rsidRPr="00665FD3">
        <w:rPr>
          <w:i/>
        </w:rPr>
        <w:t>all these drugs have proven efficacy in reducing the incidence of vertebral fragility fractures in women with osteoporosis, but that there were differences between the drugs as to the degree of certainty that treatment results in a reduction in hip fracture</w:t>
      </w:r>
      <w:r w:rsidRPr="00591BFC">
        <w:t xml:space="preserve">.” They considered evidence for effectiveness of alendronate and risedronate to be robust, but not etidronate, strontium, raloxifene and the effect of teriparitide required more research. Data from 14 </w:t>
      </w:r>
      <w:r w:rsidRPr="00DB4F65">
        <w:t>RCTs</w:t>
      </w:r>
      <w:r w:rsidRPr="00591BFC">
        <w:t xml:space="preserve"> indicated that between 81% and 100% of patients persisted with bisphosphonates in the first year of treatment. This contrasts starkly with adherence and persistence outside of the clinical trial setting that is substantially lower.</w:t>
      </w:r>
    </w:p>
    <w:p w14:paraId="056B71FB" w14:textId="77777777" w:rsidR="00721553" w:rsidRPr="00591BFC" w:rsidRDefault="00721553" w:rsidP="00E86771">
      <w:pPr>
        <w:spacing w:line="360" w:lineRule="auto"/>
      </w:pPr>
      <w:r w:rsidRPr="00591BFC">
        <w:t>Statistical analysis of our UK data from CPRD shows that the increase in bisphosphonate use is largely driven by use of alendronate with minimal use of other bisphosphonate therapies, where the trend over the past decade has been largely flat. This is reassuring given the evidence of effectiv</w:t>
      </w:r>
      <w:r w:rsidR="006361CC">
        <w:t>eness of alendronate from RCTs.</w:t>
      </w:r>
    </w:p>
    <w:p w14:paraId="06004CF4" w14:textId="77777777" w:rsidR="00721553" w:rsidRPr="00591BFC" w:rsidRDefault="00721553" w:rsidP="00E86771">
      <w:pPr>
        <w:spacing w:line="360" w:lineRule="auto"/>
      </w:pPr>
      <w:r w:rsidRPr="00591BFC">
        <w:t>Whilst oral bisphosphonates have been demonstrated to be effective in a trial setting, there is a lack of generali</w:t>
      </w:r>
      <w:r w:rsidR="00CE2ED9">
        <w:t>s</w:t>
      </w:r>
      <w:r w:rsidRPr="00591BFC">
        <w:t>ability in terms of real world effectiveness largely driven by issues in adherence and persistency in therapy.</w:t>
      </w:r>
      <w:r w:rsidR="006361CC" w:rsidRPr="006361CC">
        <w:t xml:space="preserve"> In particular the oral bisphosphonates</w:t>
      </w:r>
      <w:r w:rsidR="006361CC">
        <w:t>,</w:t>
      </w:r>
      <w:r w:rsidR="006361CC" w:rsidRPr="006361CC">
        <w:t xml:space="preserve"> although only taken weekly</w:t>
      </w:r>
      <w:r w:rsidR="006361CC">
        <w:t>,</w:t>
      </w:r>
      <w:r w:rsidR="006361CC" w:rsidRPr="006361CC">
        <w:t xml:space="preserve"> have a very complicated method of administration that needs to be carefully followed to ensure reasonable bioavailability. </w:t>
      </w:r>
      <w:r w:rsidRPr="00591BFC">
        <w:t xml:space="preserve"> Hence the lack of association observed in our study </w:t>
      </w:r>
      <w:r w:rsidR="006361CC">
        <w:t>may reflect</w:t>
      </w:r>
      <w:r w:rsidRPr="00591BFC">
        <w:t xml:space="preserve"> the poor quality of the monitoring element of FLS in the ho</w:t>
      </w:r>
      <w:r w:rsidR="006361CC">
        <w:t>spitals in the region of study.</w:t>
      </w:r>
    </w:p>
    <w:p w14:paraId="5494EAE8" w14:textId="6EBC3AF4" w:rsidR="00721553" w:rsidRPr="00591BFC" w:rsidRDefault="00721553" w:rsidP="00E86771">
      <w:pPr>
        <w:spacing w:line="360" w:lineRule="auto"/>
      </w:pPr>
      <w:r w:rsidRPr="00591BFC">
        <w:t>Problems relating to adherence and persistence with therapy</w:t>
      </w:r>
      <w:r w:rsidR="006361CC">
        <w:t xml:space="preserve"> can be</w:t>
      </w:r>
      <w:r w:rsidRPr="00591BFC">
        <w:t xml:space="preserve"> overcome with </w:t>
      </w:r>
      <w:r w:rsidR="00611656" w:rsidRPr="00591BFC">
        <w:t>intravenous (</w:t>
      </w:r>
      <w:r w:rsidRPr="00591BFC">
        <w:t>IV</w:t>
      </w:r>
      <w:r w:rsidR="00611656" w:rsidRPr="00591BFC">
        <w:t>)</w:t>
      </w:r>
      <w:r w:rsidRPr="00591BFC">
        <w:t xml:space="preserve"> bisphosphonates, which only needs administering once a year. Data from </w:t>
      </w:r>
      <w:r w:rsidR="00314B75">
        <w:t>RCTs</w:t>
      </w:r>
      <w:r w:rsidRPr="00591BFC">
        <w:t xml:space="preserve"> have shown significant reductions in subsequent fracture risk among hip fracture patients on IV antiresorptive treatment</w:t>
      </w:r>
      <w:r w:rsidR="006361CC">
        <w:t xml:space="preserve"> in all patients including those with cognitive impairment</w:t>
      </w:r>
      <w:hyperlink w:anchor="_ENREF_113" w:tooltip="Lyles, 2007 #24" w:history="1">
        <w:r w:rsidR="00B24FEE">
          <w:fldChar w:fldCharType="begin"/>
        </w:r>
        <w:r w:rsidR="00B24FEE">
          <w:instrText xml:space="preserve"> ADDIN EN.CITE &lt;EndNote&gt;&lt;Cite&gt;&lt;Author&gt;Lyles&lt;/Author&gt;&lt;Year&gt;2007&lt;/Year&gt;&lt;RecNum&gt;24&lt;/RecNum&gt;&lt;DisplayText&gt;&lt;style face="superscript"&gt;113&lt;/style&gt;&lt;/DisplayText&gt;&lt;record&gt;&lt;rec-number&gt;24&lt;/rec-number&gt;&lt;foreign-keys&gt;&lt;key app="EN" db-id="sxpszd2ti9dx04ewefrvfp5bpf5faazszr9p" timestamp="0"&gt;24&lt;/key&gt;&lt;/foreign-keys&gt;&lt;ref-type name="Journal Article"&gt;17&lt;/ref-type&gt;&lt;contributors&gt;&lt;authors&gt;&lt;author&gt;Lyles, Kenneth W.&lt;/author&gt;&lt;author&gt;Col√≥n-Emeric, Cathleen S.&lt;/author&gt;&lt;author&gt;Magaziner, Jay S.&lt;/author&gt;&lt;author&gt;Adachi, Jonathan D.&lt;/author&gt;&lt;author&gt;Pieper, Carl F.&lt;/author&gt;&lt;author&gt;Mautalen, Carlos&lt;/author&gt;&lt;author&gt;Hyldstrup, Lars&lt;/author&gt;&lt;author&gt;Recknor, Chris&lt;/author&gt;&lt;author&gt;Nordsletten, Lars&lt;/author&gt;&lt;author&gt;Moore, Kathy A.&lt;/author&gt;&lt;author&gt;Lavecchia, Catherine&lt;/author&gt;&lt;author&gt;Zhang, Jie&lt;/author&gt;&lt;author&gt;Mesenbrink, Peter&lt;/author&gt;&lt;author&gt;Hodgson, Patricia K.&lt;/author&gt;&lt;author&gt;Abrams, Ken&lt;/author&gt;&lt;author&gt;Orloff, John J.&lt;/author&gt;&lt;author&gt;Horowitz, Zebulun&lt;/author&gt;&lt;author&gt;Eriksen, Erik Fink&lt;/author&gt;&lt;author&gt;Boonen, Steven&lt;/author&gt;&lt;/authors&gt;&lt;/contributors&gt;&lt;titles&gt;&lt;title&gt;Zoledronic Acid and Clinical Fractures and Mortality after Hip Fracture&lt;/title&gt;&lt;secondary-title&gt;New England Journal of Medicine&lt;/secondary-title&gt;&lt;/titles&gt;&lt;pages&gt;1799-1809&lt;/pages&gt;&lt;volume&gt;357&lt;/volume&gt;&lt;number&gt;18&lt;/number&gt;&lt;dates&gt;&lt;year&gt;2007&lt;/year&gt;&lt;/dates&gt;&lt;urls&gt;&lt;related-urls&gt;&lt;url&gt;http://dx.doi.org/10.1056/NEJMoa074941&lt;/url&gt;&lt;/related-urls&gt;&lt;/urls&gt;&lt;electronic-resource-num&gt;10.1056/NEJMoa074941&lt;/electronic-resource-num&gt;&lt;/record&gt;&lt;/Cite&gt;&lt;/EndNote&gt;</w:instrText>
        </w:r>
        <w:r w:rsidR="00B24FEE">
          <w:fldChar w:fldCharType="separate"/>
        </w:r>
        <w:r w:rsidR="00B24FEE" w:rsidRPr="00B24FEE">
          <w:rPr>
            <w:noProof/>
            <w:vertAlign w:val="superscript"/>
          </w:rPr>
          <w:t>113</w:t>
        </w:r>
        <w:r w:rsidR="00B24FEE">
          <w:fldChar w:fldCharType="end"/>
        </w:r>
      </w:hyperlink>
      <w:r w:rsidRPr="00591BFC">
        <w:t xml:space="preserve">. </w:t>
      </w:r>
      <w:r w:rsidR="00665FD3">
        <w:t>However</w:t>
      </w:r>
      <w:r w:rsidRPr="00591BFC">
        <w:t xml:space="preserve">, specifically in this trial, Zoledronic acid has only been shown to significantly reduce the risk of second hip fracture after </w:t>
      </w:r>
      <w:r w:rsidR="00665FD3">
        <w:t xml:space="preserve">a primary </w:t>
      </w:r>
      <w:r w:rsidRPr="00591BFC">
        <w:t xml:space="preserve">hip fracture after 12 months, with the same observed for the composite outcome of all non-vertebral fractures. </w:t>
      </w:r>
      <w:r w:rsidR="00665FD3">
        <w:t>Also, g</w:t>
      </w:r>
      <w:r w:rsidRPr="00591BFC">
        <w:t>enerali</w:t>
      </w:r>
      <w:r w:rsidR="00611656" w:rsidRPr="00591BFC">
        <w:t>s</w:t>
      </w:r>
      <w:r w:rsidRPr="00591BFC">
        <w:t xml:space="preserve">ability is primarily </w:t>
      </w:r>
      <w:r w:rsidR="006361CC" w:rsidRPr="00591BFC">
        <w:t>affected</w:t>
      </w:r>
      <w:r w:rsidRPr="00591BFC">
        <w:t xml:space="preserve"> by the trial excluding patients with a life expectancy of less than 6 months in the investigator’s judgment.</w:t>
      </w:r>
      <w:r w:rsidR="006361CC">
        <w:t xml:space="preserve"> </w:t>
      </w:r>
      <w:r w:rsidR="006361CC" w:rsidRPr="006361CC">
        <w:t xml:space="preserve">We could not address this exclusion criteria within </w:t>
      </w:r>
      <w:r w:rsidR="00665FD3">
        <w:t>our</w:t>
      </w:r>
      <w:r w:rsidR="006361CC">
        <w:t xml:space="preserve"> study. </w:t>
      </w:r>
    </w:p>
    <w:p w14:paraId="70049DF2" w14:textId="77777777" w:rsidR="00721553" w:rsidRPr="00591BFC" w:rsidRDefault="00721553" w:rsidP="00E86771">
      <w:pPr>
        <w:spacing w:line="360" w:lineRule="auto"/>
      </w:pPr>
      <w:r w:rsidRPr="00591BFC">
        <w:lastRenderedPageBreak/>
        <w:t xml:space="preserve">Our data from the </w:t>
      </w:r>
      <w:r w:rsidR="00611656" w:rsidRPr="00591BFC">
        <w:t>n</w:t>
      </w:r>
      <w:r w:rsidRPr="00591BFC">
        <w:t xml:space="preserve">atural </w:t>
      </w:r>
      <w:r w:rsidR="00611656" w:rsidRPr="00591BFC">
        <w:t>e</w:t>
      </w:r>
      <w:r w:rsidRPr="00591BFC">
        <w:t>xperiment highlight that 35% and 63% of secondary hip fractures within 2-years occurred within the first 6 and 12 months respectively. Further in our hip fracture population, the mortality rates were 9.5% and 29.8% at 30-days and 1-year respectively with an average life e</w:t>
      </w:r>
      <w:r w:rsidR="006361CC">
        <w:t>xpectancy of just over 2-years.</w:t>
      </w:r>
    </w:p>
    <w:p w14:paraId="7C2C3AAE" w14:textId="77777777" w:rsidR="00721553" w:rsidRPr="00591BFC" w:rsidRDefault="00721553" w:rsidP="00E86771">
      <w:pPr>
        <w:spacing w:line="360" w:lineRule="auto"/>
      </w:pPr>
      <w:r w:rsidRPr="00591BFC">
        <w:t xml:space="preserve">Whilst IV medications such as Zoledronic acid overcome problems with adherence to therapy </w:t>
      </w:r>
      <w:r w:rsidR="00CE2ED9">
        <w:t>monitoring</w:t>
      </w:r>
      <w:r w:rsidRPr="00591BFC">
        <w:t>,</w:t>
      </w:r>
      <w:r w:rsidR="00665FD3">
        <w:t xml:space="preserve"> </w:t>
      </w:r>
      <w:r w:rsidR="00665FD3" w:rsidRPr="00665FD3">
        <w:t xml:space="preserve">a move from oral to IV bisphosphonates may not be as clinically efficacious as perceived due to: a) </w:t>
      </w:r>
      <w:r w:rsidR="008347D7">
        <w:t xml:space="preserve">the high mortality </w:t>
      </w:r>
      <w:r w:rsidRPr="00591BFC">
        <w:t>within the first year</w:t>
      </w:r>
      <w:r w:rsidR="008347D7">
        <w:t xml:space="preserve"> of </w:t>
      </w:r>
      <w:r w:rsidRPr="00591BFC">
        <w:t>hip fracture</w:t>
      </w:r>
      <w:r w:rsidR="00665FD3">
        <w:t>; b)</w:t>
      </w:r>
      <w:r w:rsidRPr="00591BFC">
        <w:t xml:space="preserve"> </w:t>
      </w:r>
      <w:r w:rsidR="00665FD3">
        <w:t>the majority of</w:t>
      </w:r>
      <w:r w:rsidRPr="00591BFC">
        <w:t xml:space="preserve"> </w:t>
      </w:r>
      <w:r w:rsidR="008347D7">
        <w:t>s</w:t>
      </w:r>
      <w:r w:rsidRPr="00591BFC">
        <w:t>econd hip fractures occur</w:t>
      </w:r>
      <w:r w:rsidR="008347D7">
        <w:t xml:space="preserve"> within </w:t>
      </w:r>
      <w:r w:rsidR="00665FD3">
        <w:t>the first year; c)</w:t>
      </w:r>
      <w:r w:rsidR="00665FD3" w:rsidRPr="00665FD3">
        <w:t xml:space="preserve"> the effectiveness of Zoledronic acid on reducing secondary fractures occurs after the first year</w:t>
      </w:r>
      <w:r w:rsidRPr="00591BFC">
        <w:t xml:space="preserve">. A further consideration is that </w:t>
      </w:r>
      <w:r w:rsidR="008347D7">
        <w:t xml:space="preserve">many </w:t>
      </w:r>
      <w:r w:rsidRPr="00591BFC">
        <w:t xml:space="preserve">patients </w:t>
      </w:r>
      <w:r w:rsidR="008347D7" w:rsidRPr="008347D7">
        <w:t xml:space="preserve">will not be eligible for treatment with </w:t>
      </w:r>
      <w:r w:rsidR="008347D7">
        <w:t>Z</w:t>
      </w:r>
      <w:r w:rsidR="008347D7" w:rsidRPr="008347D7">
        <w:t xml:space="preserve">oledronic acid due to their poor renal function. </w:t>
      </w:r>
    </w:p>
    <w:p w14:paraId="47D42976" w14:textId="77777777" w:rsidR="00721553" w:rsidRPr="00591BFC" w:rsidRDefault="00721553" w:rsidP="00E86771">
      <w:pPr>
        <w:pStyle w:val="Heading2"/>
        <w:spacing w:line="360" w:lineRule="auto"/>
        <w:rPr>
          <w:rFonts w:ascii="Calibri" w:hAnsi="Calibri"/>
          <w:lang w:val="en-GB"/>
        </w:rPr>
      </w:pPr>
      <w:bookmarkStart w:id="520" w:name="_Toc308300838"/>
      <w:bookmarkStart w:id="521" w:name="_Toc311366645"/>
      <w:r w:rsidRPr="00591BFC">
        <w:rPr>
          <w:rFonts w:ascii="Calibri" w:hAnsi="Calibri"/>
          <w:lang w:val="en-GB"/>
        </w:rPr>
        <w:t>Final conclusions</w:t>
      </w:r>
      <w:bookmarkEnd w:id="520"/>
      <w:bookmarkEnd w:id="521"/>
    </w:p>
    <w:p w14:paraId="31475E46" w14:textId="77777777" w:rsidR="00721553" w:rsidRPr="00591BFC" w:rsidRDefault="00721553" w:rsidP="00E86771">
      <w:pPr>
        <w:spacing w:line="360" w:lineRule="auto"/>
      </w:pPr>
      <w:r w:rsidRPr="00591BFC">
        <w:t>The finding in relation to the beneficial effects of OG and FLS models of care on reducing 30-day and 1-year mortality is a very positive one. The health economics analysis shows that these models of care are cost-effective.</w:t>
      </w:r>
    </w:p>
    <w:p w14:paraId="19F86512" w14:textId="17EA511E" w:rsidR="00665FD3" w:rsidRDefault="00721553" w:rsidP="00E86771">
      <w:pPr>
        <w:spacing w:line="360" w:lineRule="auto"/>
      </w:pPr>
      <w:r w:rsidRPr="00591BFC">
        <w:t xml:space="preserve">We found that in hip fracture patients an FLS was not effective at reducing the risk of second hip fracture. Whilst this was initially a surprising finding, combining the data from both the qualitative and quantitative components of the study, has helped us to understand the reasons behind the lack of a statistical association. </w:t>
      </w:r>
      <w:r w:rsidR="00665FD3" w:rsidRPr="00665FD3">
        <w:t>There is a need for more monitoring of patients and work to enhance adherence to bisphosphonate therapy if FLS are to provide effective care</w:t>
      </w:r>
      <w:r w:rsidR="00665FD3">
        <w:t xml:space="preserve">. </w:t>
      </w:r>
      <w:r w:rsidR="00665FD3" w:rsidRPr="00665FD3">
        <w:t>This could be achieved by either treating patients with IV Zoledronic acid (a drug which has recently become generic), and through interventions intended to improve persistence with anti-resorptive therapy</w:t>
      </w:r>
      <w:hyperlink w:anchor="_ENREF_158" w:tooltip="White, 2010 #1255" w:history="1">
        <w:r w:rsidR="00B24FEE">
          <w:fldChar w:fldCharType="begin"/>
        </w:r>
        <w:r w:rsidR="00B24FEE">
          <w:instrText xml:space="preserve"> ADDIN EN.CITE &lt;EndNote&gt;&lt;Cite&gt;&lt;Author&gt;White&lt;/Author&gt;&lt;Year&gt;2010&lt;/Year&gt;&lt;RecNum&gt;1255&lt;/RecNum&gt;&lt;DisplayText&gt;&lt;style face="superscript"&gt;158&lt;/style&gt;&lt;/DisplayText&gt;&lt;record&gt;&lt;rec-number&gt;1255&lt;/rec-number&gt;&lt;foreign-keys&gt;&lt;key app="EN" db-id="sxpszd2ti9dx04ewefrvfp5bpf5faazszr9p" timestamp="1436863457"&gt;1255&lt;/key&gt;&lt;/foreign-keys&gt;&lt;ref-type name="Journal Article"&gt;17&lt;/ref-type&gt;&lt;contributors&gt;&lt;authors&gt;&lt;author&gt;White, H. J.&lt;/author&gt;&lt;author&gt;Bettiol, S. S.&lt;/author&gt;&lt;author&gt;Perera, R.&lt;/author&gt;&lt;author&gt;Roberts, N. W.&lt;/author&gt;&lt;author&gt;Javaid, M. K.&lt;/author&gt;&lt;author&gt;Farmer, A. J.&lt;/author&gt;&lt;/authors&gt;&lt;/contributors&gt;&lt;auth-address&gt;University of Oxford Clinical School, John Radcliffe Hospital, Oxford, UK.&lt;/auth-address&gt;&lt;titles&gt;&lt;title&gt;A systematic review assessing the effectiveness of interventions to improve persistence with anti-resorptive therapy in women at high risk of clinical fracture&lt;/title&gt;&lt;secondary-title&gt;Fam Pract&lt;/secondary-title&gt;&lt;/titles&gt;&lt;periodical&gt;&lt;full-title&gt;Fam Pract&lt;/full-title&gt;&lt;/periodical&gt;&lt;pages&gt;593-603&lt;/pages&gt;&lt;volume&gt;27&lt;/volume&gt;&lt;number&gt;6&lt;/number&gt;&lt;edition&gt;2010/08/10&lt;/edition&gt;&lt;keywords&gt;&lt;keyword&gt;Bone Density Conservation Agents/*therapeutic use&lt;/keyword&gt;&lt;keyword&gt;Female&lt;/keyword&gt;&lt;keyword&gt;Humans&lt;/keyword&gt;&lt;keyword&gt;Osteoporosis/*drug therapy&lt;/keyword&gt;&lt;keyword&gt;Osteoporotic Fractures/*prevention &amp;amp; control&lt;/keyword&gt;&lt;keyword&gt;*Patient Compliance&lt;/keyword&gt;&lt;/keywords&gt;&lt;dates&gt;&lt;year&gt;2010&lt;/year&gt;&lt;pub-dates&gt;&lt;date&gt;Dec&lt;/date&gt;&lt;/pub-dates&gt;&lt;/dates&gt;&lt;isbn&gt;1460-2229 (Electronic)&amp;#xD;0263-2136 (Linking)&lt;/isbn&gt;&lt;accession-num&gt;20693238&lt;/accession-num&gt;&lt;urls&gt;&lt;related-urls&gt;&lt;url&gt;http://www.ncbi.nlm.nih.gov/pubmed/20693238&lt;/url&gt;&lt;/related-urls&gt;&lt;/urls&gt;&lt;electronic-resource-num&gt;10.1093/fampra/cmq060&amp;#xD;cmq060 [pii]&lt;/electronic-resource-num&gt;&lt;language&gt;eng&lt;/language&gt;&lt;/record&gt;&lt;/Cite&gt;&lt;/EndNote&gt;</w:instrText>
        </w:r>
        <w:r w:rsidR="00B24FEE">
          <w:fldChar w:fldCharType="separate"/>
        </w:r>
        <w:r w:rsidR="00B24FEE" w:rsidRPr="00B24FEE">
          <w:rPr>
            <w:noProof/>
            <w:vertAlign w:val="superscript"/>
          </w:rPr>
          <w:t>158</w:t>
        </w:r>
        <w:r w:rsidR="00B24FEE">
          <w:fldChar w:fldCharType="end"/>
        </w:r>
      </w:hyperlink>
      <w:r w:rsidR="00665FD3" w:rsidRPr="00665FD3">
        <w:t>.</w:t>
      </w:r>
    </w:p>
    <w:p w14:paraId="694A1B82" w14:textId="77777777" w:rsidR="00801F1F" w:rsidRDefault="00801F1F" w:rsidP="00E86771">
      <w:pPr>
        <w:spacing w:line="360" w:lineRule="auto"/>
      </w:pPr>
      <w:r>
        <w:t>For the project as a whole, a great strength is the use of a mixed-methods approach</w:t>
      </w:r>
      <w:r w:rsidR="00256E9B">
        <w:t xml:space="preserve">, using qualitative research models, together with statistical and health economic analysis that take advantage of large routinely collected datasets from primary and secondary care. The methodology used throughout was robust with the use of extended Normalisation Process Theory as appropriate for complex interventions, a natural experimental study design with before-after impact analysis and Markov modelling. </w:t>
      </w:r>
      <w:r w:rsidR="007A2476">
        <w:t>A strength of mixed methods study is the ability to integrate findings from the different work streams. This was helpful in attempting to understand the reasons why no effect was observed for FLS models on second hip fracture outcome, where information was synthesized from qualitative and quantitative data in order to provide deeper understanding and learning.</w:t>
      </w:r>
      <w:r w:rsidR="004E2857">
        <w:t xml:space="preserve"> The observational nature of the study is a limitation </w:t>
      </w:r>
      <w:r w:rsidR="00F86C02">
        <w:t xml:space="preserve">where the best evidence of effect would ideally be obtained through a RCT. </w:t>
      </w:r>
      <w:r w:rsidR="00ED27D5" w:rsidRPr="00ED27D5">
        <w:t xml:space="preserve">To determine the clinical and cost effectiveness of </w:t>
      </w:r>
      <w:r w:rsidR="00ED27D5">
        <w:t xml:space="preserve">FLS service models </w:t>
      </w:r>
      <w:r w:rsidR="00ED27D5" w:rsidRPr="00ED27D5">
        <w:lastRenderedPageBreak/>
        <w:t xml:space="preserve">requires comparison of </w:t>
      </w:r>
      <w:r w:rsidR="00ED27D5">
        <w:t>hospitals</w:t>
      </w:r>
      <w:r w:rsidR="00ED27D5" w:rsidRPr="00ED27D5">
        <w:t xml:space="preserve"> with and without a service</w:t>
      </w:r>
      <w:r w:rsidR="00ED27D5">
        <w:t>,</w:t>
      </w:r>
      <w:r w:rsidR="00ED27D5" w:rsidRPr="00ED27D5">
        <w:t xml:space="preserve"> as well as between different service models. </w:t>
      </w:r>
      <w:r w:rsidR="00ED27D5">
        <w:t xml:space="preserve">As a complex intervention there is also a need to fully understand the intervention, including which are the key components that are most effective. </w:t>
      </w:r>
      <w:r w:rsidR="00ED27D5" w:rsidRPr="00ED27D5">
        <w:t>Given complexity, projected sample size, ethical issues, cost and lag time in setting up such services, individualized or cluster randomised control designs are not logistically possible</w:t>
      </w:r>
      <w:r w:rsidR="00ED27D5">
        <w:t xml:space="preserve"> or feasible</w:t>
      </w:r>
      <w:r w:rsidR="00ED27D5" w:rsidRPr="00ED27D5">
        <w:t>.</w:t>
      </w:r>
      <w:r w:rsidR="00ED27D5">
        <w:t xml:space="preserve"> </w:t>
      </w:r>
      <w:r w:rsidR="0083544B">
        <w:t xml:space="preserve">Our mixed methods approach using a natural experiment with </w:t>
      </w:r>
      <w:r w:rsidR="001B62D3">
        <w:t xml:space="preserve">large </w:t>
      </w:r>
      <w:r w:rsidR="0083544B">
        <w:t>routinely available data</w:t>
      </w:r>
      <w:r w:rsidR="001B62D3">
        <w:t>sets</w:t>
      </w:r>
      <w:r w:rsidR="0083544B">
        <w:t xml:space="preserve"> is the most efficient approach to address the question.</w:t>
      </w:r>
      <w:r w:rsidR="00A20515">
        <w:t xml:space="preserve"> As this is not a trial, the limitations are mainly in relation to unobserved and unmeasured residual confounding. This is however minimised by using a quasi-expe</w:t>
      </w:r>
      <w:r w:rsidR="00515C25">
        <w:t>rimental approach with a before-</w:t>
      </w:r>
      <w:r w:rsidR="00A20515">
        <w:t xml:space="preserve">after time series design with each hospital acting as its own control and provides the next best level of evidence as a study design. </w:t>
      </w:r>
      <w:r w:rsidR="009F6E98">
        <w:t>In this context the limitation would be through</w:t>
      </w:r>
      <w:r w:rsidR="00555D42">
        <w:t xml:space="preserve"> time varying confounding such as the co-morbidity profile of hip fracture patients changing over time.</w:t>
      </w:r>
      <w:r w:rsidR="0050601D">
        <w:t xml:space="preserve"> Characterisatiuon of the intervention is essential, in order to understand mechanism of effect, but also measurement error relating to timing of intervention. Although we conducted a service evaluation supplemented by qualitative interviews, this is still subject to recall bias. A strength of the study over a </w:t>
      </w:r>
      <w:r w:rsidR="00C35D03">
        <w:t>clinical trial</w:t>
      </w:r>
      <w:r w:rsidR="0050601D">
        <w:t xml:space="preserve"> is in respect of generalizability of the study findings in a real world setting, where we are not restricted </w:t>
      </w:r>
      <w:r w:rsidR="00C35D03">
        <w:t>by</w:t>
      </w:r>
      <w:r w:rsidR="0050601D">
        <w:t xml:space="preserve"> inclusion criteria and capture patients with cognitive impairment.</w:t>
      </w:r>
    </w:p>
    <w:p w14:paraId="5B0E3E5D" w14:textId="77777777" w:rsidR="00721553" w:rsidRPr="00591BFC" w:rsidRDefault="00721553" w:rsidP="00E86771">
      <w:pPr>
        <w:spacing w:line="360" w:lineRule="auto"/>
      </w:pPr>
      <w:r w:rsidRPr="00591BFC">
        <w:t>This study is in hip-fracture patients only. The effectiveness of a FLS for non-hip fracture patients remains unanswered. In this study we were only able to look at second hip re-fracture as an outcome, as other non-hip fractures are not captured by the routine data used in the study. So effectiveness of an FLS for hip fracture patients on non-hip fracture ou</w:t>
      </w:r>
      <w:r w:rsidR="00665FD3">
        <w:t>tcomes also remains unanswered.</w:t>
      </w:r>
    </w:p>
    <w:p w14:paraId="4C7B6474" w14:textId="77777777" w:rsidR="00721553" w:rsidRPr="00591BFC" w:rsidRDefault="00721553" w:rsidP="00E86771">
      <w:pPr>
        <w:spacing w:line="360" w:lineRule="auto"/>
      </w:pPr>
      <w:r w:rsidRPr="00591BFC">
        <w:t>To inform a decision on the value of undertaking further research in order to eliminate the uncertainty surrounding the decision of cost-effectiveness of FLS models of care, the Expected Value of Perfect Information (EVPI) over 5-years was estimated at £2</w:t>
      </w:r>
      <w:r w:rsidR="000E4AD5">
        <w:t>3-73</w:t>
      </w:r>
      <w:r w:rsidRPr="00591BFC">
        <w:t xml:space="preserve"> million at the £30,000 per QALY gained threshold. This suggests that undertaking additional major commissioned research work to further reduce decision uncertainty is likely to be of significant benefit. </w:t>
      </w:r>
    </w:p>
    <w:p w14:paraId="34C99AD8" w14:textId="77777777" w:rsidR="00721553" w:rsidRPr="00C43F88" w:rsidRDefault="00345517" w:rsidP="00C43F88">
      <w:pPr>
        <w:pStyle w:val="Heading2"/>
        <w:rPr>
          <w:rFonts w:ascii="Calibri" w:eastAsia="Calibri" w:hAnsi="Calibri"/>
          <w:color w:val="auto"/>
          <w:sz w:val="22"/>
          <w:szCs w:val="22"/>
          <w:lang w:eastAsia="en-US"/>
        </w:rPr>
      </w:pPr>
      <w:bookmarkStart w:id="522" w:name="_Toc311366646"/>
      <w:r>
        <w:t>Implications for practice</w:t>
      </w:r>
      <w:bookmarkEnd w:id="522"/>
    </w:p>
    <w:p w14:paraId="179E568F" w14:textId="77777777" w:rsidR="002937BD" w:rsidRDefault="002937BD" w:rsidP="00B95DE1">
      <w:pPr>
        <w:spacing w:line="360" w:lineRule="auto"/>
      </w:pPr>
      <w:r>
        <w:rPr>
          <w:bCs/>
        </w:rPr>
        <w:t>T</w:t>
      </w:r>
      <w:r w:rsidRPr="00A1794D">
        <w:rPr>
          <w:bCs/>
        </w:rPr>
        <w:t>his study supports the hypothesis that improving clinical care after hip fracture can reduce mortality, suggesting in this frail elderly multi-morbid population, opportunities exist to avoid preventable death in the short and long term</w:t>
      </w:r>
      <w:r w:rsidRPr="00C43F88">
        <w:t>. The</w:t>
      </w:r>
      <w:r w:rsidRPr="00C71548">
        <w:t xml:space="preserve"> estimated impact of introducing an orthogeriatrician on 30-day and 1-year mortality was </w:t>
      </w:r>
      <w:r>
        <w:t xml:space="preserve">HR </w:t>
      </w:r>
      <w:r w:rsidRPr="00C71548">
        <w:t>0.73 (</w:t>
      </w:r>
      <w:r>
        <w:t xml:space="preserve">95% </w:t>
      </w:r>
      <w:r w:rsidRPr="00C71548">
        <w:t>CI: 0.65-0.82) and HR=0.81 (</w:t>
      </w:r>
      <w:r>
        <w:t xml:space="preserve">95% </w:t>
      </w:r>
      <w:r w:rsidRPr="00C71548">
        <w:t>CI: 0.75-0.87) resp</w:t>
      </w:r>
      <w:r>
        <w:t>ectively</w:t>
      </w:r>
      <w:r w:rsidRPr="00C71548">
        <w:t>. 30-day and 1-year mortality were likewise reduced followin</w:t>
      </w:r>
      <w:r>
        <w:t xml:space="preserve">g the introduction of a FLS: HR 0.80 (95% CI: 0.71-0.91) and HR </w:t>
      </w:r>
      <w:r w:rsidRPr="00C71548">
        <w:t>0.84 (</w:t>
      </w:r>
      <w:r>
        <w:t xml:space="preserve">95% CI: </w:t>
      </w:r>
      <w:r w:rsidRPr="00C71548">
        <w:t>0.77-0.93) respectively.</w:t>
      </w:r>
      <w:r>
        <w:t xml:space="preserve"> </w:t>
      </w:r>
      <w:r w:rsidRPr="00F47352">
        <w:lastRenderedPageBreak/>
        <w:t>Assuming a pre-intervention survival of 90% at 30-days, the number o</w:t>
      </w:r>
      <w:r>
        <w:t>f patients needed to treat</w:t>
      </w:r>
      <w:r w:rsidRPr="00F47352">
        <w:t xml:space="preserve"> to avoid 1 excess death at 30-days is 12 and 17 for orthogeriatric and FLS type interventions respectively.</w:t>
      </w:r>
    </w:p>
    <w:p w14:paraId="6089E218" w14:textId="306B6B31" w:rsidR="00571552" w:rsidRDefault="00571552" w:rsidP="00B95DE1">
      <w:pPr>
        <w:spacing w:line="360" w:lineRule="auto"/>
      </w:pPr>
      <w:r w:rsidRPr="00571552">
        <w:t>After combining costs and outcomes in an incremental cost-effectiveness analysis, and at a £30,000 per QALY threshold, the most cost-effective model of care was introducing an orthogeriatrician. The probability of adding an OG being the most cost-effective option at £30,000/QALY was estimated to about 70% across both sexes.</w:t>
      </w:r>
    </w:p>
    <w:p w14:paraId="24B390E8" w14:textId="45AC68E9" w:rsidR="00DE0EA1" w:rsidRDefault="009C25C8" w:rsidP="00B95DE1">
      <w:pPr>
        <w:spacing w:line="360" w:lineRule="auto"/>
      </w:pPr>
      <w:r>
        <w:t>The mechanism by which an orthogeriatric model of care can reduce subsequent mortality is clea</w:t>
      </w:r>
      <w:r w:rsidR="00B95DE1">
        <w:t>r</w:t>
      </w:r>
      <w:r>
        <w:t xml:space="preserve">er than for the FLS model. </w:t>
      </w:r>
      <w:r w:rsidR="00B95DE1">
        <w:t>It is a plausible finding that is consistent with existing literature</w:t>
      </w:r>
      <w:r w:rsidR="008D2C65">
        <w:t xml:space="preserve"> and from our knowledge of how the service changed detailed in the service evaluation</w:t>
      </w:r>
      <w:r w:rsidR="00B95DE1">
        <w:t xml:space="preserve">. </w:t>
      </w:r>
      <w:r w:rsidR="00F328F8">
        <w:t xml:space="preserve">Ensuring patients are seen </w:t>
      </w:r>
      <w:r w:rsidR="00F328F8" w:rsidRPr="00F328F8">
        <w:t>pre-operatively for optimisation for surgery</w:t>
      </w:r>
      <w:r w:rsidR="00F328F8">
        <w:t xml:space="preserve">, and that </w:t>
      </w:r>
      <w:r w:rsidR="00F328F8" w:rsidRPr="00F328F8">
        <w:t xml:space="preserve">patients </w:t>
      </w:r>
      <w:r w:rsidR="00F328F8">
        <w:t xml:space="preserve">are </w:t>
      </w:r>
      <w:r w:rsidR="00F328F8" w:rsidRPr="00F328F8">
        <w:t>being taken to theatre quicker and in better condition</w:t>
      </w:r>
      <w:r w:rsidR="00DE22D6">
        <w:t xml:space="preserve"> </w:t>
      </w:r>
      <w:r w:rsidR="0064518B" w:rsidRPr="0064518B">
        <w:rPr>
          <w:lang w:val="en-US"/>
        </w:rPr>
        <w:t>are likely to be important factors given previous evidence that trauma related complications play a key role in post-hip fracture mortality</w:t>
      </w:r>
      <w:hyperlink w:anchor="_ENREF_109" w:tooltip="Vestergaard, 2007 #1187" w:history="1">
        <w:r w:rsidR="00B24FEE">
          <w:rPr>
            <w:lang w:val="en-US"/>
          </w:rPr>
          <w:fldChar w:fldCharType="begin"/>
        </w:r>
        <w:r w:rsidR="00B24FEE">
          <w:rPr>
            <w:lang w:val="en-US"/>
          </w:rPr>
          <w:instrText xml:space="preserve"> ADDIN EN.CITE &lt;EndNote&gt;&lt;Cite&gt;&lt;Author&gt;Vestergaard&lt;/Author&gt;&lt;Year&gt;2007&lt;/Year&gt;&lt;RecNum&gt;1187&lt;/RecNum&gt;&lt;DisplayText&gt;&lt;style face="superscript"&gt;109&lt;/style&gt;&lt;/DisplayText&gt;&lt;record&gt;&lt;rec-number&gt;1187&lt;/rec-number&gt;&lt;foreign-keys&gt;&lt;key app="EN" db-id="sxpszd2ti9dx04ewefrvfp5bpf5faazszr9p" timestamp="1435667176"&gt;1187&lt;/key&gt;&lt;/foreign-keys&gt;&lt;ref-type name="Journal Article"&gt;17&lt;/ref-type&gt;&lt;contributors&gt;&lt;authors&gt;&lt;author&gt;Vestergaard, P.&lt;/author&gt;&lt;author&gt;Rejnmark, L.&lt;/author&gt;&lt;author&gt;Mosekilde, L.&lt;/author&gt;&lt;/authors&gt;&lt;/contributors&gt;&lt;auth-address&gt;Department of Endocrinology and Metabolism C, Aarhus Amtssygehus, Aarhus University Hospital, Aarhus, Denmark. p-vest@post4.tele.dk&lt;/auth-address&gt;&lt;titles&gt;&lt;title&gt;Increased mortality in patients with a hip fracture-effect of pre-morbid conditions and post-fracture complications&lt;/title&gt;&lt;secondary-title&gt;Osteoporos Int&lt;/secondary-title&gt;&lt;/titles&gt;&lt;periodical&gt;&lt;full-title&gt;Osteoporos Int&lt;/full-title&gt;&lt;/periodical&gt;&lt;pages&gt;1583-93&lt;/pages&gt;&lt;volume&gt;18&lt;/volume&gt;&lt;number&gt;12&lt;/number&gt;&lt;edition&gt;2007/06/15&lt;/edition&gt;&lt;keywords&gt;&lt;keyword&gt;Age Distribution&lt;/keyword&gt;&lt;keyword&gt;Aged&lt;/keyword&gt;&lt;keyword&gt;Aged, 80 and over&lt;/keyword&gt;&lt;keyword&gt;Denmark/epidemiology&lt;/keyword&gt;&lt;keyword&gt;Epidemiologic Methods&lt;/keyword&gt;&lt;keyword&gt;Female&lt;/keyword&gt;&lt;keyword&gt;Hip Fractures/complications/*mortality&lt;/keyword&gt;&lt;keyword&gt;Humans&lt;/keyword&gt;&lt;keyword&gt;Male&lt;/keyword&gt;&lt;keyword&gt;Middle Aged&lt;/keyword&gt;&lt;keyword&gt;Socioeconomic Factors&lt;/keyword&gt;&lt;/keywords&gt;&lt;dates&gt;&lt;year&gt;2007&lt;/year&gt;&lt;pub-dates&gt;&lt;date&gt;Dec&lt;/date&gt;&lt;/pub-dates&gt;&lt;/dates&gt;&lt;isbn&gt;0937-941X (Print)&amp;#xD;0937-941X (Linking)&lt;/isbn&gt;&lt;accession-num&gt;17566814&lt;/accession-num&gt;&lt;urls&gt;&lt;related-urls&gt;&lt;url&gt;http://www.ncbi.nlm.nih.gov/pubmed/17566814&lt;/url&gt;&lt;/related-urls&gt;&lt;/urls&gt;&lt;electronic-resource-num&gt;10.1007/s00198-007-0403-3&lt;/electronic-resource-num&gt;&lt;language&gt;eng&lt;/language&gt;&lt;/record&gt;&lt;/Cite&gt;&lt;/EndNote&gt;</w:instrText>
        </w:r>
        <w:r w:rsidR="00B24FEE">
          <w:rPr>
            <w:lang w:val="en-US"/>
          </w:rPr>
          <w:fldChar w:fldCharType="separate"/>
        </w:r>
        <w:r w:rsidR="00B24FEE" w:rsidRPr="00B24FEE">
          <w:rPr>
            <w:noProof/>
            <w:vertAlign w:val="superscript"/>
            <w:lang w:val="en-US"/>
          </w:rPr>
          <w:t>109</w:t>
        </w:r>
        <w:r w:rsidR="00B24FEE">
          <w:rPr>
            <w:lang w:val="en-US"/>
          </w:rPr>
          <w:fldChar w:fldCharType="end"/>
        </w:r>
      </w:hyperlink>
      <w:r w:rsidR="0064518B" w:rsidRPr="0064518B">
        <w:rPr>
          <w:lang w:val="en-US"/>
        </w:rPr>
        <w:t>, and that earlier surgery is associated with lower risk of death</w:t>
      </w:r>
      <w:hyperlink w:anchor="_ENREF_110" w:tooltip="Simunovic, 2010 #1188" w:history="1">
        <w:r w:rsidR="00B24FEE">
          <w:rPr>
            <w:lang w:val="en-US"/>
          </w:rPr>
          <w:fldChar w:fldCharType="begin">
            <w:fldData xml:space="preserve">PEVuZE5vdGU+PENpdGU+PEF1dGhvcj5TaW11bm92aWM8L0F1dGhvcj48WWVhcj4yMDEwPC9ZZWFy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</w:fldData>
          </w:fldChar>
        </w:r>
        <w:r w:rsidR="00B24FEE">
          <w:rPr>
            <w:lang w:val="en-US"/>
          </w:rPr>
          <w:instrText xml:space="preserve"> ADDIN EN.CITE </w:instrText>
        </w:r>
        <w:r w:rsidR="00B24FEE">
          <w:rPr>
            <w:lang w:val="en-US"/>
          </w:rPr>
          <w:fldChar w:fldCharType="begin">
            <w:fldData xml:space="preserve">PEVuZE5vdGU+PENpdGU+PEF1dGhvcj5TaW11bm92aWM8L0F1dGhvcj48WWVhcj4yMDEwPC9ZZWFy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</w:fldData>
          </w:fldChar>
        </w:r>
        <w:r w:rsidR="00B24FEE">
          <w:rPr>
            <w:lang w:val="en-US"/>
          </w:rPr>
          <w:instrText xml:space="preserve"> ADDIN EN.CITE.DATA </w:instrText>
        </w:r>
        <w:r w:rsidR="00B24FEE">
          <w:rPr>
            <w:lang w:val="en-US"/>
          </w:rPr>
        </w:r>
        <w:r w:rsidR="00B24FEE">
          <w:rPr>
            <w:lang w:val="en-US"/>
          </w:rPr>
          <w:fldChar w:fldCharType="end"/>
        </w:r>
        <w:r w:rsidR="00B24FEE">
          <w:rPr>
            <w:lang w:val="en-US"/>
          </w:rPr>
        </w:r>
        <w:r w:rsidR="00B24FEE">
          <w:rPr>
            <w:lang w:val="en-US"/>
          </w:rPr>
          <w:fldChar w:fldCharType="separate"/>
        </w:r>
        <w:r w:rsidR="00B24FEE" w:rsidRPr="00B24FEE">
          <w:rPr>
            <w:noProof/>
            <w:vertAlign w:val="superscript"/>
            <w:lang w:val="en-US"/>
          </w:rPr>
          <w:t>110</w:t>
        </w:r>
        <w:r w:rsidR="00B24FEE">
          <w:rPr>
            <w:lang w:val="en-US"/>
          </w:rPr>
          <w:fldChar w:fldCharType="end"/>
        </w:r>
      </w:hyperlink>
      <w:r w:rsidR="0064518B" w:rsidRPr="0064518B">
        <w:rPr>
          <w:lang w:val="en-US"/>
        </w:rPr>
        <w:t>. A recent study similarly reported that hospitals with orthogeriatric services were found to have significantly lower mortality after hip fracture compared to hospitals without such services</w:t>
      </w:r>
      <w:hyperlink w:anchor="_ENREF_91" w:tooltip="Zeltzer, 2014 #1147" w:history="1">
        <w:r w:rsidR="00B24FEE">
          <w:rPr>
            <w:lang w:val="en-US"/>
          </w:rPr>
          <w:fldChar w:fldCharType="begin">
            <w:fldData xml:space="preserve">PEVuZE5vdGU+PENpdGU+PEF1dGhvcj5aZWx0emVyPC9BdXRob3I+PFllYXI+MjAxNDwvWWVhcj48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</w:fldData>
          </w:fldChar>
        </w:r>
        <w:r w:rsidR="00B24FEE">
          <w:rPr>
            <w:lang w:val="en-US"/>
          </w:rPr>
          <w:instrText xml:space="preserve"> ADDIN EN.CITE </w:instrText>
        </w:r>
        <w:r w:rsidR="00B24FEE">
          <w:rPr>
            <w:lang w:val="en-US"/>
          </w:rPr>
          <w:fldChar w:fldCharType="begin">
            <w:fldData xml:space="preserve">PEVuZE5vdGU+PENpdGU+PEF1dGhvcj5aZWx0emVyPC9BdXRob3I+PFllYXI+MjAxNDwvWWVhcj48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</w:fldData>
          </w:fldChar>
        </w:r>
        <w:r w:rsidR="00B24FEE">
          <w:rPr>
            <w:lang w:val="en-US"/>
          </w:rPr>
          <w:instrText xml:space="preserve"> ADDIN EN.CITE.DATA </w:instrText>
        </w:r>
        <w:r w:rsidR="00B24FEE">
          <w:rPr>
            <w:lang w:val="en-US"/>
          </w:rPr>
        </w:r>
        <w:r w:rsidR="00B24FEE">
          <w:rPr>
            <w:lang w:val="en-US"/>
          </w:rPr>
          <w:fldChar w:fldCharType="end"/>
        </w:r>
        <w:r w:rsidR="00B24FEE">
          <w:rPr>
            <w:lang w:val="en-US"/>
          </w:rPr>
        </w:r>
        <w:r w:rsidR="00B24FEE">
          <w:rPr>
            <w:lang w:val="en-US"/>
          </w:rPr>
          <w:fldChar w:fldCharType="separate"/>
        </w:r>
        <w:r w:rsidR="00B24FEE" w:rsidRPr="00B24FEE">
          <w:rPr>
            <w:noProof/>
            <w:vertAlign w:val="superscript"/>
            <w:lang w:val="en-US"/>
          </w:rPr>
          <w:t>91</w:t>
        </w:r>
        <w:r w:rsidR="00B24FEE">
          <w:rPr>
            <w:lang w:val="en-US"/>
          </w:rPr>
          <w:fldChar w:fldCharType="end"/>
        </w:r>
      </w:hyperlink>
      <w:r w:rsidR="0064518B" w:rsidRPr="0064518B">
        <w:rPr>
          <w:lang w:val="en-US"/>
        </w:rPr>
        <w:t>, and findings from randomised controlled trials (RCTs) also demonstrate the benefits of geriatric hip fracture care on mortality</w:t>
      </w:r>
      <w:hyperlink w:anchor="_ENREF_112" w:tooltip="Vidan, 2005 #1190" w:history="1">
        <w:r w:rsidR="00B24FEE">
          <w:rPr>
            <w:lang w:val="en-US"/>
          </w:rPr>
          <w:fldChar w:fldCharType="begin"/>
        </w:r>
        <w:r w:rsidR="00B24FEE">
          <w:rPr>
            <w:lang w:val="en-US"/>
          </w:rPr>
          <w:instrText xml:space="preserve"> ADDIN EN.CITE &lt;EndNote&gt;&lt;Cite&gt;&lt;Author&gt;Vidan&lt;/Author&gt;&lt;Year&gt;2005&lt;/Year&gt;&lt;RecNum&gt;1190&lt;/RecNum&gt;&lt;DisplayText&gt;&lt;style face="superscript"&gt;112&lt;/style&gt;&lt;/DisplayText&gt;&lt;record&gt;&lt;rec-number&gt;1190&lt;/rec-number&gt;&lt;foreign-keys&gt;&lt;key app="EN" db-id="sxpszd2ti9dx04ewefrvfp5bpf5faazszr9p" timestamp="1435667377"&gt;1190&lt;/key&gt;&lt;/foreign-keys&gt;&lt;ref-type name="Journal Article"&gt;17&lt;/ref-type&gt;&lt;contributors&gt;&lt;authors&gt;&lt;author&gt;Vidan, M.&lt;/author&gt;&lt;author&gt;Serra, J. A.&lt;/author&gt;&lt;author&gt;Moreno, C.&lt;/author&gt;&lt;author&gt;Riquelme, G.&lt;/author&gt;&lt;author&gt;Ortiz, J.&lt;/author&gt;&lt;/authors&gt;&lt;/contributors&gt;&lt;auth-address&gt;Department of Geriatric Medicine, Hospital General Universitario Gregorio Maranon, Madrid, Spain. mvidan.hgugm@salud.madrid.org&lt;/auth-address&gt;&lt;titles&gt;&lt;title&gt;Efficacy of a comprehensive geriatric intervention in older patients hospitalized for hip fracture: a randomized, controlled trial&lt;/title&gt;&lt;secondary-title&gt;J Am Geriatr Soc&lt;/secondary-title&gt;&lt;/titles&gt;&lt;periodical&gt;&lt;full-title&gt;J Am Geriatr Soc&lt;/full-title&gt;&lt;/periodical&gt;&lt;pages&gt;1476-82&lt;/pages&gt;&lt;volume&gt;53&lt;/volume&gt;&lt;number&gt;9&lt;/number&gt;&lt;edition&gt;2005/09/03&lt;/edition&gt;&lt;keywords&gt;&lt;keyword&gt;Aged&lt;/keyword&gt;&lt;keyword&gt;Female&lt;/keyword&gt;&lt;keyword&gt;*Health Services for the Aged&lt;/keyword&gt;&lt;keyword&gt;Hip Fractures/complications/mortality/rehabilitation/*therapy&lt;/keyword&gt;&lt;keyword&gt;Hospitalization&lt;/keyword&gt;&lt;keyword&gt;Humans&lt;/keyword&gt;&lt;keyword&gt;Length of Stay&lt;/keyword&gt;&lt;keyword&gt;Male&lt;/keyword&gt;&lt;keyword&gt;*Patient Care Team&lt;/keyword&gt;&lt;keyword&gt;Treatment Outcome&lt;/keyword&gt;&lt;/keywords&gt;&lt;dates&gt;&lt;year&gt;2005&lt;/year&gt;&lt;pub-dates&gt;&lt;date&gt;Sep&lt;/date&gt;&lt;/pub-dates&gt;&lt;/dates&gt;&lt;isbn&gt;0002-8614 (Print)&amp;#xD;0002-8614 (Linking)&lt;/isbn&gt;&lt;accession-num&gt;16137275&lt;/accession-num&gt;&lt;urls&gt;&lt;related-urls&gt;&lt;url&gt;http://www.ncbi.nlm.nih.gov/pubmed/16137275&lt;/url&gt;&lt;/related-urls&gt;&lt;/urls&gt;&lt;electronic-resource-num&gt;JGS53466 [pii]&amp;#xD;10.1111/j.1532-5415.2005.53466.x&lt;/electronic-resource-num&gt;&lt;language&gt;eng&lt;/language&gt;&lt;/record&gt;&lt;/Cite&gt;&lt;/EndNote&gt;</w:instrText>
        </w:r>
        <w:r w:rsidR="00B24FEE">
          <w:rPr>
            <w:lang w:val="en-US"/>
          </w:rPr>
          <w:fldChar w:fldCharType="separate"/>
        </w:r>
        <w:r w:rsidR="00B24FEE" w:rsidRPr="00B24FEE">
          <w:rPr>
            <w:noProof/>
            <w:vertAlign w:val="superscript"/>
            <w:lang w:val="en-US"/>
          </w:rPr>
          <w:t>112</w:t>
        </w:r>
        <w:r w:rsidR="00B24FEE">
          <w:rPr>
            <w:lang w:val="en-US"/>
          </w:rPr>
          <w:fldChar w:fldCharType="end"/>
        </w:r>
      </w:hyperlink>
      <w:r w:rsidR="0064518B" w:rsidRPr="0064518B">
        <w:rPr>
          <w:lang w:val="en-US"/>
        </w:rPr>
        <w:t>.</w:t>
      </w:r>
    </w:p>
    <w:p w14:paraId="17CAD41F" w14:textId="23C53E70" w:rsidR="00CB7211" w:rsidRPr="00CB7211" w:rsidRDefault="00CB7211" w:rsidP="00C43F88">
      <w:pPr>
        <w:spacing w:line="360" w:lineRule="auto"/>
        <w:rPr>
          <w:lang w:val="en-US"/>
        </w:rPr>
      </w:pPr>
      <w:r w:rsidRPr="00CB7211">
        <w:rPr>
          <w:lang w:val="en-US"/>
        </w:rPr>
        <w:t xml:space="preserve">The </w:t>
      </w:r>
      <w:r>
        <w:rPr>
          <w:lang w:val="en-US"/>
        </w:rPr>
        <w:t>orthogeriatric</w:t>
      </w:r>
      <w:r w:rsidRPr="00CB7211">
        <w:rPr>
          <w:lang w:val="en-US"/>
        </w:rPr>
        <w:t xml:space="preserve"> model of care </w:t>
      </w:r>
      <w:r>
        <w:rPr>
          <w:lang w:val="en-US"/>
        </w:rPr>
        <w:t xml:space="preserve">also </w:t>
      </w:r>
      <w:r w:rsidRPr="00CB7211">
        <w:rPr>
          <w:lang w:val="en-US"/>
        </w:rPr>
        <w:t>reflects national guidance</w:t>
      </w:r>
      <w:hyperlink w:anchor="_ENREF_29" w:tooltip="NICE, June 2011 #1099" w:history="1">
        <w:r w:rsidR="00B24FEE">
          <w:rPr>
            <w:lang w:val="en-US"/>
          </w:rPr>
          <w:fldChar w:fldCharType="begin"/>
        </w:r>
        <w:r w:rsidR="00B24FEE">
          <w:rPr>
            <w:lang w:val="en-US"/>
          </w:rPr>
          <w:instrText xml:space="preserve"> ADDIN EN.CITE &lt;EndNote&gt;&lt;Cite&gt;&lt;Author&gt;NICE&lt;/Author&gt;&lt;Year&gt;June 2011&lt;/Year&gt;&lt;RecNum&gt;1099&lt;/RecNum&gt;&lt;DisplayText&gt;&lt;style face="superscript"&gt;29&lt;/style&gt;&lt;/DisplayText&gt;&lt;record&gt;&lt;rec-number&gt;1099&lt;/rec-number&gt;&lt;foreign-keys&gt;&lt;key app="EN" db-id="sxpszd2ti9dx04ewefrvfp5bpf5faazszr9p" timestamp="0"&gt;1099&lt;/key&gt;&lt;/foreign-keys&gt;&lt;ref-type name="Report"&gt;27&lt;/ref-type&gt;&lt;contributors&gt;&lt;authors&gt;&lt;author&gt;NICE &lt;/author&gt;&lt;/authors&gt;&lt;/contributors&gt;&lt;titles&gt;&lt;title&gt;Clinical guidelines 124: The management of hip fracture in adults&lt;/title&gt;&lt;/titles&gt;&lt;dates&gt;&lt;year&gt;June 2011&lt;/year&gt;&lt;/dates&gt;&lt;urls&gt;&lt;/urls&gt;&lt;/record&gt;&lt;/Cite&gt;&lt;/EndNote&gt;</w:instrText>
        </w:r>
        <w:r w:rsidR="00B24FEE">
          <w:rPr>
            <w:lang w:val="en-US"/>
          </w:rPr>
          <w:fldChar w:fldCharType="separate"/>
        </w:r>
        <w:r w:rsidR="00B24FEE" w:rsidRPr="00B24FEE">
          <w:rPr>
            <w:noProof/>
            <w:vertAlign w:val="superscript"/>
            <w:lang w:val="en-US"/>
          </w:rPr>
          <w:t>29</w:t>
        </w:r>
        <w:r w:rsidR="00B24FEE">
          <w:rPr>
            <w:lang w:val="en-US"/>
          </w:rPr>
          <w:fldChar w:fldCharType="end"/>
        </w:r>
      </w:hyperlink>
      <w:r w:rsidRPr="00CB7211">
        <w:rPr>
          <w:lang w:val="en-US"/>
        </w:rPr>
        <w:t xml:space="preserve"> on optimizing initial recovery after hip fracture through</w:t>
      </w:r>
      <w:r>
        <w:rPr>
          <w:lang w:val="en-US"/>
        </w:rPr>
        <w:t xml:space="preserve">: </w:t>
      </w:r>
      <w:r w:rsidRPr="00C43F88">
        <w:rPr>
          <w:i/>
          <w:lang w:val="en-US"/>
        </w:rPr>
        <w:t>Optimising surgical procedure</w:t>
      </w:r>
      <w:r w:rsidRPr="00CB7211">
        <w:rPr>
          <w:lang w:val="en-US"/>
        </w:rPr>
        <w:t xml:space="preserve"> – including early timing of surgery, pre-operative appropriate correction of co-morbidities and type of implant</w:t>
      </w:r>
      <w:r>
        <w:rPr>
          <w:lang w:val="en-US"/>
        </w:rPr>
        <w:t xml:space="preserve">; </w:t>
      </w:r>
      <w:r w:rsidRPr="00C43F88">
        <w:rPr>
          <w:i/>
          <w:lang w:val="en-US"/>
        </w:rPr>
        <w:t>Early mobilization</w:t>
      </w:r>
      <w:r>
        <w:rPr>
          <w:lang w:val="en-US"/>
        </w:rPr>
        <w:t xml:space="preserve">; </w:t>
      </w:r>
      <w:r w:rsidRPr="00C43F88">
        <w:rPr>
          <w:i/>
          <w:lang w:val="en-US"/>
        </w:rPr>
        <w:t>Multidisciplinary management from admission to discharge</w:t>
      </w:r>
      <w:r w:rsidRPr="00CB7211">
        <w:rPr>
          <w:lang w:val="en-US"/>
        </w:rPr>
        <w:t xml:space="preserve">. </w:t>
      </w:r>
    </w:p>
    <w:p w14:paraId="4F0457F1" w14:textId="77777777" w:rsidR="00764825" w:rsidRPr="00CB7211" w:rsidRDefault="00764825" w:rsidP="00764825">
      <w:pPr>
        <w:spacing w:line="360" w:lineRule="auto"/>
        <w:rPr>
          <w:lang w:val="en-US"/>
        </w:rPr>
      </w:pPr>
      <w:r>
        <w:rPr>
          <w:lang w:val="en-US"/>
        </w:rPr>
        <w:t>S</w:t>
      </w:r>
      <w:r w:rsidRPr="00A1794D">
        <w:rPr>
          <w:lang w:val="en-US"/>
        </w:rPr>
        <w:t>ervices should be commissioned to improve the quality of clinical care in the p</w:t>
      </w:r>
      <w:r>
        <w:rPr>
          <w:lang w:val="en-US"/>
        </w:rPr>
        <w:t>re</w:t>
      </w:r>
      <w:r w:rsidRPr="00A1794D">
        <w:rPr>
          <w:lang w:val="en-US"/>
        </w:rPr>
        <w:t>-operative</w:t>
      </w:r>
      <w:r>
        <w:rPr>
          <w:lang w:val="en-US"/>
        </w:rPr>
        <w:t xml:space="preserve"> period</w:t>
      </w:r>
      <w:r w:rsidRPr="00A1794D">
        <w:rPr>
          <w:lang w:val="en-US"/>
        </w:rPr>
        <w:t xml:space="preserve"> for patients admitted with a hip fracture</w:t>
      </w:r>
      <w:r>
        <w:rPr>
          <w:lang w:val="en-US"/>
        </w:rPr>
        <w:t>.</w:t>
      </w:r>
      <w:r w:rsidRPr="00A1794D">
        <w:rPr>
          <w:lang w:val="en-US"/>
        </w:rPr>
        <w:t xml:space="preserve"> </w:t>
      </w:r>
      <w:r>
        <w:rPr>
          <w:lang w:val="en-US"/>
        </w:rPr>
        <w:t xml:space="preserve">Orthogeriatric models of care are increasingly being implemented in hospitals across the NHS. </w:t>
      </w:r>
      <w:r w:rsidRPr="00CB7211">
        <w:rPr>
          <w:lang w:val="en-US"/>
        </w:rPr>
        <w:t>The NHFD has shown a significant increase in the number of consultant grade orthogeriatric hours per week since reporting began in 2009</w:t>
      </w:r>
      <w:r>
        <w:rPr>
          <w:lang w:val="en-US"/>
        </w:rPr>
        <w:t xml:space="preserve">. </w:t>
      </w:r>
      <w:r w:rsidRPr="00CB7211">
        <w:rPr>
          <w:lang w:val="en-US"/>
        </w:rPr>
        <w:t xml:space="preserve"> </w:t>
      </w:r>
      <w:r>
        <w:rPr>
          <w:lang w:val="en-US"/>
        </w:rPr>
        <w:t xml:space="preserve">This study provides evidence of the clinical and cost-effectiveness of this service model. </w:t>
      </w:r>
      <w:r w:rsidRPr="00267AF8">
        <w:rPr>
          <w:lang w:val="en-US"/>
        </w:rPr>
        <w:t xml:space="preserve">Whether </w:t>
      </w:r>
      <w:r>
        <w:rPr>
          <w:lang w:val="en-US"/>
        </w:rPr>
        <w:t>there is a threshold for maximis</w:t>
      </w:r>
      <w:r w:rsidRPr="00267AF8">
        <w:rPr>
          <w:lang w:val="en-US"/>
        </w:rPr>
        <w:t>ing the reduction in mortality and if there is target adjusted mortality rate remains to be tested.</w:t>
      </w:r>
    </w:p>
    <w:p w14:paraId="20A5DE28" w14:textId="74AE8C65" w:rsidR="007813CC" w:rsidRDefault="00764825" w:rsidP="00764825">
      <w:pPr>
        <w:spacing w:line="360" w:lineRule="auto"/>
      </w:pPr>
      <w:r>
        <w:t>I</w:t>
      </w:r>
      <w:r w:rsidRPr="00591BFC">
        <w:t xml:space="preserve">n hip fracture patients an FLS was not effective at reducing the risk of second hip fracture. </w:t>
      </w:r>
      <w:r>
        <w:t>T</w:t>
      </w:r>
      <w:r w:rsidRPr="004B29E5">
        <w:t xml:space="preserve">he lack of effect on second hip fracture highlights the complexity of secondary fracture prevention in its overlay across: secondary and primary care, </w:t>
      </w:r>
      <w:r>
        <w:t>the four</w:t>
      </w:r>
      <w:r w:rsidRPr="004B29E5">
        <w:t xml:space="preserve"> stages (identification, investigation, initiation and monitoring) and across bone health and falls prevention intervention. It is likely that not every </w:t>
      </w:r>
      <w:r w:rsidRPr="004B29E5">
        <w:lastRenderedPageBreak/>
        <w:t>FLS is automatically clinically effective.</w:t>
      </w:r>
      <w:r>
        <w:t xml:space="preserve"> </w:t>
      </w:r>
      <w:r w:rsidRPr="00665FD3">
        <w:t>There is a need for more monitoring of patients and work to enhance adherence to bisphosphonate therapy if FLS are to provide effective care</w:t>
      </w:r>
      <w:r>
        <w:t xml:space="preserve">. </w:t>
      </w:r>
      <w:r w:rsidRPr="004B29E5">
        <w:t>This underscores the need for commissioning of current FLS to include auditing of the FLS using standardized methods (e.g. IOF</w:t>
      </w:r>
      <w:r>
        <w:t xml:space="preserve"> Capture the Fracture Best Practice Framework</w:t>
      </w:r>
      <w:r w:rsidRPr="004B29E5">
        <w:t xml:space="preserve"> and Royal College of Physicians FLS-DB national audit). It also highlights that light touch FLS are unlikely to be effective and the need for an experimental research study to formally test the clinical and cost effectiveness of more complex and expensive secondary fracture prevention services.</w:t>
      </w:r>
    </w:p>
    <w:p w14:paraId="164863D9" w14:textId="77777777" w:rsidR="00721553" w:rsidRPr="00591BFC" w:rsidRDefault="00721553" w:rsidP="00DB4F65">
      <w:pPr>
        <w:rPr>
          <w:lang w:eastAsia="x-none"/>
        </w:rPr>
      </w:pPr>
    </w:p>
    <w:p w14:paraId="722B41F6" w14:textId="77777777" w:rsidR="00721553" w:rsidRPr="00DB4F65" w:rsidRDefault="00E814C1" w:rsidP="00E86771">
      <w:pPr>
        <w:pStyle w:val="Heading2"/>
        <w:spacing w:line="360" w:lineRule="auto"/>
      </w:pPr>
      <w:bookmarkStart w:id="523" w:name="_Toc308300839"/>
      <w:bookmarkStart w:id="524" w:name="_Toc311366647"/>
      <w:r>
        <w:rPr>
          <w:lang w:val="en-GB"/>
        </w:rPr>
        <w:t>Scope for future work</w:t>
      </w:r>
      <w:bookmarkEnd w:id="523"/>
      <w:bookmarkEnd w:id="524"/>
    </w:p>
    <w:p w14:paraId="008E7B2C" w14:textId="77777777" w:rsidR="0087597D" w:rsidRPr="00591BFC" w:rsidRDefault="0087597D" w:rsidP="0087597D">
      <w:pPr>
        <w:spacing w:line="360" w:lineRule="auto"/>
        <w:rPr>
          <w:lang w:eastAsia="x-none"/>
        </w:rPr>
      </w:pPr>
      <w:r w:rsidRPr="00591BFC">
        <w:rPr>
          <w:lang w:eastAsia="x-none"/>
        </w:rPr>
        <w:t>1.</w:t>
      </w:r>
      <w:r w:rsidRPr="00591BFC">
        <w:rPr>
          <w:lang w:eastAsia="x-none"/>
        </w:rPr>
        <w:tab/>
      </w:r>
      <w:r w:rsidR="00E814C1" w:rsidRPr="00E814C1">
        <w:t xml:space="preserve">Further research is urgently needed to assess the clinical and cost-effectiveness of FLS models for non-hip fracture patients. This question cannot be answered using the natural experimental design of this study, as the routine data are not available. This question can only be answered through conducting a </w:t>
      </w:r>
      <w:r w:rsidRPr="00591BFC">
        <w:rPr>
          <w:lang w:eastAsia="x-none"/>
        </w:rPr>
        <w:t>randomised controlled trial.</w:t>
      </w:r>
    </w:p>
    <w:p w14:paraId="751803C0" w14:textId="77777777" w:rsidR="00E814C1" w:rsidRPr="00E814C1" w:rsidRDefault="0087597D" w:rsidP="00DB4F65">
      <w:pPr>
        <w:spacing w:line="360" w:lineRule="auto"/>
      </w:pPr>
      <w:r w:rsidRPr="00591BFC">
        <w:rPr>
          <w:lang w:eastAsia="x-none"/>
        </w:rPr>
        <w:t>2.</w:t>
      </w:r>
      <w:r w:rsidRPr="00591BFC">
        <w:rPr>
          <w:lang w:eastAsia="x-none"/>
        </w:rPr>
        <w:tab/>
      </w:r>
      <w:r w:rsidR="00E814C1" w:rsidRPr="00E814C1">
        <w:t>For hip fracture patients, the clinical and cost-effectiveness of an FLS on non-hip re-fracture outcomes remains unanswered.</w:t>
      </w:r>
    </w:p>
    <w:p w14:paraId="3554C281" w14:textId="77777777" w:rsidR="0087597D" w:rsidRPr="00591BFC" w:rsidRDefault="0087597D" w:rsidP="0087597D">
      <w:pPr>
        <w:spacing w:line="360" w:lineRule="auto"/>
        <w:rPr>
          <w:lang w:eastAsia="x-none"/>
        </w:rPr>
      </w:pPr>
      <w:r w:rsidRPr="00591BFC">
        <w:rPr>
          <w:lang w:eastAsia="x-none"/>
        </w:rPr>
        <w:t>3.</w:t>
      </w:r>
      <w:r w:rsidRPr="00591BFC">
        <w:rPr>
          <w:lang w:eastAsia="x-none"/>
        </w:rPr>
        <w:tab/>
        <w:t>For the cost-effectiveness analysis, although a great proportion of the data used was derived from healthcare records of patients with hip fracture; we had to obtain health state utility values from a review of the published literature. It was not possible to reliably estimate utility values for non-hip fractures or the additional impact these may have on the quality of life of individuals with a history of hip fracture.  To remove uncertainty in the decision model, high quality data on utility values is required.</w:t>
      </w:r>
    </w:p>
    <w:p w14:paraId="0FB6A782" w14:textId="5FB5B979" w:rsidR="00E814C1" w:rsidRPr="00DB4F65" w:rsidRDefault="0087597D" w:rsidP="00DB4F65">
      <w:pPr>
        <w:spacing w:line="360" w:lineRule="auto"/>
      </w:pPr>
      <w:r w:rsidRPr="00591BFC">
        <w:rPr>
          <w:lang w:eastAsia="x-none"/>
        </w:rPr>
        <w:t>4.</w:t>
      </w:r>
      <w:r w:rsidRPr="00591BFC">
        <w:rPr>
          <w:lang w:eastAsia="x-none"/>
        </w:rPr>
        <w:tab/>
      </w:r>
      <w:r w:rsidR="00E814C1" w:rsidRPr="00E814C1">
        <w:t>The qualitative study was focused solely on the perspectives of professionals working in secondary care. Further work could explore their experiences of engagement with fracture prevention services and service provision in primary care. This would offer a comprehensive,</w:t>
      </w:r>
      <w:r w:rsidRPr="00591BFC">
        <w:rPr>
          <w:lang w:eastAsia="x-none"/>
        </w:rPr>
        <w:t xml:space="preserve"> </w:t>
      </w:r>
      <w:r w:rsidR="00E814C1" w:rsidRPr="00E814C1">
        <w:t>‘system-wide’</w:t>
      </w:r>
      <w:r w:rsidRPr="00591BFC">
        <w:rPr>
          <w:lang w:eastAsia="x-none"/>
        </w:rPr>
        <w:t xml:space="preserve"> </w:t>
      </w:r>
      <w:r w:rsidR="00E814C1" w:rsidRPr="00E814C1">
        <w:t>perspective that would over arch the division between primary and secondary care</w:t>
      </w:r>
      <w:r w:rsidR="002C3714">
        <w:t>.</w:t>
      </w:r>
    </w:p>
    <w:p w14:paraId="6D44D521" w14:textId="77777777" w:rsidR="00E814C1" w:rsidRPr="00E814C1" w:rsidRDefault="0087597D" w:rsidP="00DB4F65">
      <w:pPr>
        <w:spacing w:line="360" w:lineRule="auto"/>
      </w:pPr>
      <w:r w:rsidRPr="00591BFC">
        <w:rPr>
          <w:lang w:eastAsia="x-none"/>
        </w:rPr>
        <w:t>5.</w:t>
      </w:r>
      <w:r w:rsidRPr="00591BFC">
        <w:rPr>
          <w:lang w:eastAsia="x-none"/>
        </w:rPr>
        <w:tab/>
      </w:r>
      <w:r w:rsidR="00E814C1" w:rsidRPr="00E814C1">
        <w:t>Further qualitative research should explore the experiences of hip fracture patients and their significant others of accessing these services to add a ‘patient centred’ context to the implementation of these services.</w:t>
      </w:r>
    </w:p>
    <w:p w14:paraId="04B147F5" w14:textId="59993417" w:rsidR="00E814C1" w:rsidRPr="00E814C1" w:rsidRDefault="0087597D" w:rsidP="00DB4F65">
      <w:pPr>
        <w:spacing w:line="360" w:lineRule="auto"/>
      </w:pPr>
      <w:r w:rsidRPr="00591BFC">
        <w:rPr>
          <w:lang w:eastAsia="x-none"/>
        </w:rPr>
        <w:t>6.</w:t>
      </w:r>
      <w:r w:rsidRPr="00591BFC">
        <w:rPr>
          <w:lang w:eastAsia="x-none"/>
        </w:rPr>
        <w:tab/>
      </w:r>
      <w:r w:rsidR="00E814C1" w:rsidRPr="00E814C1">
        <w:t>The study focused on fracture prevention rather than falls prevention services. We acknowledge these are interrelated and this represents an area of further qualitative and quantitative study.</w:t>
      </w:r>
    </w:p>
    <w:p w14:paraId="05400F8F" w14:textId="77777777" w:rsidR="00E814C1" w:rsidRPr="00E814C1" w:rsidRDefault="00E814C1" w:rsidP="00E86771">
      <w:pPr>
        <w:spacing w:line="360" w:lineRule="auto"/>
        <w:rPr>
          <w:lang w:eastAsia="x-none"/>
        </w:rPr>
      </w:pPr>
    </w:p>
    <w:p w14:paraId="05A198C6" w14:textId="77777777" w:rsidR="00EF1761" w:rsidRPr="00591BFC" w:rsidRDefault="00721553" w:rsidP="00E86771">
      <w:pPr>
        <w:spacing w:line="360" w:lineRule="auto"/>
        <w:rPr>
          <w:lang w:eastAsia="x-none"/>
        </w:rPr>
      </w:pPr>
      <w:r w:rsidRPr="00591BFC">
        <w:rPr>
          <w:lang w:eastAsia="x-none"/>
        </w:rPr>
        <w:br w:type="page"/>
      </w:r>
    </w:p>
    <w:p w14:paraId="236EA3C5" w14:textId="77777777" w:rsidR="00EF1761" w:rsidRPr="00591BFC" w:rsidRDefault="007B18C0" w:rsidP="00E86771">
      <w:pPr>
        <w:pStyle w:val="Heading1"/>
        <w:spacing w:line="360" w:lineRule="auto"/>
        <w:rPr>
          <w:rFonts w:ascii="Calibri" w:hAnsi="Calibri"/>
        </w:rPr>
      </w:pPr>
      <w:bookmarkStart w:id="525" w:name="_Toc308300840"/>
      <w:bookmarkStart w:id="526" w:name="_Toc311366648"/>
      <w:r w:rsidRPr="00591BFC">
        <w:rPr>
          <w:rFonts w:ascii="Calibri" w:hAnsi="Calibri"/>
        </w:rPr>
        <w:t>References</w:t>
      </w:r>
      <w:bookmarkEnd w:id="525"/>
      <w:bookmarkEnd w:id="526"/>
    </w:p>
    <w:p w14:paraId="3E0F89E8" w14:textId="77777777" w:rsidR="00B24FEE" w:rsidRDefault="00B24FEE" w:rsidP="00B24FEE">
      <w:pPr>
        <w:spacing w:line="360" w:lineRule="auto"/>
        <w:rPr>
          <w:lang w:eastAsia="x-none"/>
        </w:rPr>
      </w:pPr>
    </w:p>
    <w:p w14:paraId="752A64EA" w14:textId="77777777" w:rsidR="00B24FEE" w:rsidRPr="00B24FEE" w:rsidRDefault="00B24FEE" w:rsidP="00B24FEE">
      <w:pPr>
        <w:pStyle w:val="EndNoteBibliography"/>
        <w:spacing w:after="0"/>
        <w:ind w:left="720" w:hanging="720"/>
        <w:rPr>
          <w:noProof/>
        </w:rPr>
      </w:pPr>
      <w:r>
        <w:rPr>
          <w:lang w:eastAsia="x-none"/>
        </w:rPr>
        <w:fldChar w:fldCharType="begin"/>
      </w:r>
      <w:r>
        <w:rPr>
          <w:lang w:eastAsia="x-none"/>
        </w:rPr>
        <w:instrText xml:space="preserve"> ADDIN EN.REFLIST </w:instrText>
      </w:r>
      <w:r>
        <w:rPr>
          <w:lang w:eastAsia="x-none"/>
        </w:rPr>
        <w:fldChar w:fldCharType="separate"/>
      </w:r>
      <w:bookmarkStart w:id="527" w:name="_ENREF_1"/>
      <w:r w:rsidRPr="00B24FEE">
        <w:rPr>
          <w:noProof/>
        </w:rPr>
        <w:t>1. British Orthopaedic Association. The care of patients with fragility fractures, 2007.</w:t>
      </w:r>
      <w:bookmarkEnd w:id="527"/>
    </w:p>
    <w:p w14:paraId="766E6AD4" w14:textId="77777777" w:rsidR="00B24FEE" w:rsidRPr="00B24FEE" w:rsidRDefault="00B24FEE" w:rsidP="00B24FEE">
      <w:pPr>
        <w:pStyle w:val="EndNoteBibliography"/>
        <w:spacing w:after="0"/>
        <w:ind w:left="720" w:hanging="720"/>
        <w:rPr>
          <w:noProof/>
        </w:rPr>
      </w:pPr>
      <w:bookmarkStart w:id="528" w:name="_ENREF_2"/>
      <w:r w:rsidRPr="00B24FEE">
        <w:rPr>
          <w:noProof/>
        </w:rPr>
        <w:t>2. Dennison E, Mohamed MA, Cooper C. Epidemiology of Osteoporosis. Rheumatic Disease Clinics of North America 2006;</w:t>
      </w:r>
      <w:r w:rsidRPr="00B24FEE">
        <w:rPr>
          <w:b/>
          <w:noProof/>
        </w:rPr>
        <w:t>32</w:t>
      </w:r>
      <w:r w:rsidRPr="00B24FEE">
        <w:rPr>
          <w:noProof/>
        </w:rPr>
        <w:t>(4):617-29.</w:t>
      </w:r>
      <w:bookmarkEnd w:id="528"/>
    </w:p>
    <w:p w14:paraId="050530BE" w14:textId="77777777" w:rsidR="00B24FEE" w:rsidRPr="00B24FEE" w:rsidRDefault="00B24FEE" w:rsidP="00B24FEE">
      <w:pPr>
        <w:pStyle w:val="EndNoteBibliography"/>
        <w:spacing w:after="0"/>
        <w:ind w:left="720" w:hanging="720"/>
        <w:rPr>
          <w:noProof/>
        </w:rPr>
      </w:pPr>
      <w:bookmarkStart w:id="529" w:name="_ENREF_3"/>
      <w:r w:rsidRPr="00B24FEE">
        <w:rPr>
          <w:noProof/>
        </w:rPr>
        <w:t>3. Chesser TJS, Handley R, Swift C. New NICE guideline to improve outcomes for hip fracture patients. Injury 2011;</w:t>
      </w:r>
      <w:r w:rsidRPr="00B24FEE">
        <w:rPr>
          <w:b/>
          <w:noProof/>
        </w:rPr>
        <w:t>42</w:t>
      </w:r>
      <w:r w:rsidRPr="00B24FEE">
        <w:rPr>
          <w:noProof/>
        </w:rPr>
        <w:t>(8):727-29.</w:t>
      </w:r>
      <w:bookmarkEnd w:id="529"/>
    </w:p>
    <w:p w14:paraId="332BA7E4" w14:textId="77777777" w:rsidR="00B24FEE" w:rsidRPr="00B24FEE" w:rsidRDefault="00B24FEE" w:rsidP="00B24FEE">
      <w:pPr>
        <w:pStyle w:val="EndNoteBibliography"/>
        <w:spacing w:after="0"/>
        <w:ind w:left="720" w:hanging="720"/>
        <w:rPr>
          <w:noProof/>
        </w:rPr>
      </w:pPr>
      <w:bookmarkStart w:id="530" w:name="_ENREF_4"/>
      <w:r w:rsidRPr="00B24FEE">
        <w:rPr>
          <w:noProof/>
        </w:rPr>
        <w:t>4. Cooper C, Mitchell P, Kanis J. Breaking the fragility fracture cycle. Osteoporosis International 2011;</w:t>
      </w:r>
      <w:r w:rsidRPr="00B24FEE">
        <w:rPr>
          <w:b/>
          <w:noProof/>
        </w:rPr>
        <w:t>22</w:t>
      </w:r>
      <w:r w:rsidRPr="00B24FEE">
        <w:rPr>
          <w:noProof/>
        </w:rPr>
        <w:t>(7):2049-50.</w:t>
      </w:r>
      <w:bookmarkEnd w:id="530"/>
    </w:p>
    <w:p w14:paraId="2CD49884" w14:textId="77777777" w:rsidR="00B24FEE" w:rsidRPr="00B24FEE" w:rsidRDefault="00B24FEE" w:rsidP="00B24FEE">
      <w:pPr>
        <w:pStyle w:val="EndNoteBibliography"/>
        <w:spacing w:after="0"/>
        <w:ind w:left="720" w:hanging="720"/>
        <w:rPr>
          <w:noProof/>
        </w:rPr>
      </w:pPr>
      <w:bookmarkStart w:id="531" w:name="_ENREF_5"/>
      <w:r w:rsidRPr="00B24FEE">
        <w:rPr>
          <w:noProof/>
        </w:rPr>
        <w:t>5. Abrahamsen B, van Staa T, Ariely R, et al. Excess mortality following hip fracture: a systematic epidemiological review. Osteoporosis International 2009;</w:t>
      </w:r>
      <w:r w:rsidRPr="00B24FEE">
        <w:rPr>
          <w:b/>
          <w:noProof/>
        </w:rPr>
        <w:t>20</w:t>
      </w:r>
      <w:r w:rsidRPr="00B24FEE">
        <w:rPr>
          <w:noProof/>
        </w:rPr>
        <w:t>(10):1633-50.</w:t>
      </w:r>
      <w:bookmarkEnd w:id="531"/>
    </w:p>
    <w:p w14:paraId="72EBCCC0" w14:textId="77777777" w:rsidR="00B24FEE" w:rsidRPr="00B24FEE" w:rsidRDefault="00B24FEE" w:rsidP="00B24FEE">
      <w:pPr>
        <w:pStyle w:val="EndNoteBibliography"/>
        <w:spacing w:after="0"/>
        <w:ind w:left="720" w:hanging="720"/>
        <w:rPr>
          <w:noProof/>
        </w:rPr>
      </w:pPr>
      <w:bookmarkStart w:id="532" w:name="_ENREF_6"/>
      <w:r w:rsidRPr="00B24FEE">
        <w:rPr>
          <w:noProof/>
        </w:rPr>
        <w:t>6. Johnell O, Kanis JA, Odén A, et al. Fracture risk following an osteoporotic fracture. Osteoporosis International 2004;</w:t>
      </w:r>
      <w:r w:rsidRPr="00B24FEE">
        <w:rPr>
          <w:b/>
          <w:noProof/>
        </w:rPr>
        <w:t>15</w:t>
      </w:r>
      <w:r w:rsidRPr="00B24FEE">
        <w:rPr>
          <w:noProof/>
        </w:rPr>
        <w:t>(3):175-79.</w:t>
      </w:r>
      <w:bookmarkEnd w:id="532"/>
    </w:p>
    <w:p w14:paraId="5B1AE8EB" w14:textId="77777777" w:rsidR="00B24FEE" w:rsidRPr="00B24FEE" w:rsidRDefault="00B24FEE" w:rsidP="00B24FEE">
      <w:pPr>
        <w:pStyle w:val="EndNoteBibliography"/>
        <w:spacing w:after="0"/>
        <w:ind w:left="720" w:hanging="720"/>
        <w:rPr>
          <w:noProof/>
        </w:rPr>
      </w:pPr>
      <w:bookmarkStart w:id="533" w:name="_ENREF_7"/>
      <w:r w:rsidRPr="00B24FEE">
        <w:rPr>
          <w:noProof/>
        </w:rPr>
        <w:t>7. George GHM, Patel S. Secondary prevention of hip fracture. Rheumatology 2000;</w:t>
      </w:r>
      <w:r w:rsidRPr="00B24FEE">
        <w:rPr>
          <w:b/>
          <w:noProof/>
        </w:rPr>
        <w:t>39</w:t>
      </w:r>
      <w:r w:rsidRPr="00B24FEE">
        <w:rPr>
          <w:noProof/>
        </w:rPr>
        <w:t>(4):346-49.</w:t>
      </w:r>
      <w:bookmarkEnd w:id="533"/>
    </w:p>
    <w:p w14:paraId="32667349" w14:textId="77777777" w:rsidR="00B24FEE" w:rsidRPr="00B24FEE" w:rsidRDefault="00B24FEE" w:rsidP="00B24FEE">
      <w:pPr>
        <w:pStyle w:val="EndNoteBibliography"/>
        <w:spacing w:after="0"/>
        <w:ind w:left="720" w:hanging="720"/>
        <w:rPr>
          <w:noProof/>
        </w:rPr>
      </w:pPr>
      <w:bookmarkStart w:id="534" w:name="_ENREF_8"/>
      <w:r w:rsidRPr="00B24FEE">
        <w:rPr>
          <w:noProof/>
        </w:rPr>
        <w:t>8. Melton L, Kearns A, Atkinson E, et al. Secular trends in hip fracture incidence and recurrence. Osteoporosis International 2009;</w:t>
      </w:r>
      <w:r w:rsidRPr="00B24FEE">
        <w:rPr>
          <w:b/>
          <w:noProof/>
        </w:rPr>
        <w:t>20</w:t>
      </w:r>
      <w:r w:rsidRPr="00B24FEE">
        <w:rPr>
          <w:noProof/>
        </w:rPr>
        <w:t>(5):687-94.</w:t>
      </w:r>
      <w:bookmarkEnd w:id="534"/>
    </w:p>
    <w:p w14:paraId="1F619149" w14:textId="77777777" w:rsidR="00B24FEE" w:rsidRPr="00B24FEE" w:rsidRDefault="00B24FEE" w:rsidP="00B24FEE">
      <w:pPr>
        <w:pStyle w:val="EndNoteBibliography"/>
        <w:spacing w:after="0"/>
        <w:ind w:left="720" w:hanging="720"/>
        <w:rPr>
          <w:noProof/>
        </w:rPr>
      </w:pPr>
      <w:bookmarkStart w:id="535" w:name="_ENREF_9"/>
      <w:r w:rsidRPr="00B24FEE">
        <w:rPr>
          <w:noProof/>
        </w:rPr>
        <w:t>9. Lloyd BD, Williamson DA, Singh NA, et al. Recurrent and Injurious Falls in the Year Following Hip Fracture: A Prospective Study of Incidence and Risk Factors From the Sarcopenia and Hip Fracture Study. The Journals of Gerontology Series A: Biological Sciences and Medical Sciences 2009;</w:t>
      </w:r>
      <w:r w:rsidRPr="00B24FEE">
        <w:rPr>
          <w:b/>
          <w:noProof/>
        </w:rPr>
        <w:t>64A</w:t>
      </w:r>
      <w:r w:rsidRPr="00B24FEE">
        <w:rPr>
          <w:noProof/>
        </w:rPr>
        <w:t>(5):599-609.</w:t>
      </w:r>
      <w:bookmarkEnd w:id="535"/>
    </w:p>
    <w:p w14:paraId="7D0F6838" w14:textId="77777777" w:rsidR="00B24FEE" w:rsidRPr="00B24FEE" w:rsidRDefault="00B24FEE" w:rsidP="00B24FEE">
      <w:pPr>
        <w:pStyle w:val="EndNoteBibliography"/>
        <w:spacing w:after="0"/>
        <w:ind w:left="720" w:hanging="720"/>
        <w:rPr>
          <w:noProof/>
        </w:rPr>
      </w:pPr>
      <w:bookmarkStart w:id="536" w:name="_ENREF_10"/>
      <w:r w:rsidRPr="00B24FEE">
        <w:rPr>
          <w:noProof/>
        </w:rPr>
        <w:t>10. Marsh D, Åkesson K, Beaton D, et al. Coordinator-based systems for secondary prevention in fragility fracture patients. Osteoporosis International 2011;</w:t>
      </w:r>
      <w:r w:rsidRPr="00B24FEE">
        <w:rPr>
          <w:b/>
          <w:noProof/>
        </w:rPr>
        <w:t>22</w:t>
      </w:r>
      <w:r w:rsidRPr="00B24FEE">
        <w:rPr>
          <w:noProof/>
        </w:rPr>
        <w:t>(7):2051-65.</w:t>
      </w:r>
      <w:bookmarkEnd w:id="536"/>
    </w:p>
    <w:p w14:paraId="531E3037" w14:textId="77777777" w:rsidR="00B24FEE" w:rsidRPr="00B24FEE" w:rsidRDefault="00B24FEE" w:rsidP="00B24FEE">
      <w:pPr>
        <w:pStyle w:val="EndNoteBibliography"/>
        <w:spacing w:after="0"/>
        <w:ind w:left="720" w:hanging="720"/>
        <w:rPr>
          <w:noProof/>
        </w:rPr>
      </w:pPr>
      <w:bookmarkStart w:id="537" w:name="_ENREF_11"/>
      <w:r w:rsidRPr="00B24FEE">
        <w:rPr>
          <w:noProof/>
        </w:rPr>
        <w:t>11. Knopp J, Diner B, Blitz M, et al. Calcitonin for treating acute pain of osteoporotic vertebral compression fractures: a systematic review of randomized, controlled trials. Osteoporosis International 2005;</w:t>
      </w:r>
      <w:r w:rsidRPr="00B24FEE">
        <w:rPr>
          <w:b/>
          <w:noProof/>
        </w:rPr>
        <w:t>16</w:t>
      </w:r>
      <w:r w:rsidRPr="00B24FEE">
        <w:rPr>
          <w:noProof/>
        </w:rPr>
        <w:t>(10):1281-90.</w:t>
      </w:r>
      <w:bookmarkEnd w:id="537"/>
    </w:p>
    <w:p w14:paraId="482CA232" w14:textId="77777777" w:rsidR="00B24FEE" w:rsidRPr="00B24FEE" w:rsidRDefault="00B24FEE" w:rsidP="00B24FEE">
      <w:pPr>
        <w:pStyle w:val="EndNoteBibliography"/>
        <w:spacing w:after="0"/>
        <w:ind w:left="720" w:hanging="720"/>
        <w:rPr>
          <w:noProof/>
        </w:rPr>
      </w:pPr>
      <w:bookmarkStart w:id="538" w:name="_ENREF_12"/>
      <w:r w:rsidRPr="00B24FEE">
        <w:rPr>
          <w:noProof/>
        </w:rPr>
        <w:t>12. Black DM, Arden NK, Palermo L, et al. Prevalent Vertebral Deformities Predict Hip Fractures and New Vertebral Deformities but Not Wrist Fractures. Journal of Bone and Mineral Research 1999;</w:t>
      </w:r>
      <w:r w:rsidRPr="00B24FEE">
        <w:rPr>
          <w:b/>
          <w:noProof/>
        </w:rPr>
        <w:t>14</w:t>
      </w:r>
      <w:r w:rsidRPr="00B24FEE">
        <w:rPr>
          <w:noProof/>
        </w:rPr>
        <w:t>(5):821-28.</w:t>
      </w:r>
      <w:bookmarkEnd w:id="538"/>
    </w:p>
    <w:p w14:paraId="7357276F" w14:textId="77777777" w:rsidR="00B24FEE" w:rsidRPr="00B24FEE" w:rsidRDefault="00B24FEE" w:rsidP="00B24FEE">
      <w:pPr>
        <w:pStyle w:val="EndNoteBibliography"/>
        <w:spacing w:after="0"/>
        <w:ind w:left="720" w:hanging="720"/>
        <w:rPr>
          <w:noProof/>
        </w:rPr>
      </w:pPr>
      <w:bookmarkStart w:id="539" w:name="_ENREF_13"/>
      <w:r w:rsidRPr="00B24FEE">
        <w:rPr>
          <w:noProof/>
        </w:rPr>
        <w:t>13. NICE. Technology appraisal (TA) 161.  Osteoporosis - secondary prevention including strontium ranelate, 2008.</w:t>
      </w:r>
      <w:bookmarkEnd w:id="539"/>
    </w:p>
    <w:p w14:paraId="7190D444" w14:textId="77777777" w:rsidR="00B24FEE" w:rsidRPr="00B24FEE" w:rsidRDefault="00B24FEE" w:rsidP="00B24FEE">
      <w:pPr>
        <w:pStyle w:val="EndNoteBibliography"/>
        <w:spacing w:after="0"/>
        <w:ind w:left="720" w:hanging="720"/>
        <w:rPr>
          <w:noProof/>
        </w:rPr>
      </w:pPr>
      <w:bookmarkStart w:id="540" w:name="_ENREF_14"/>
      <w:r w:rsidRPr="00B24FEE">
        <w:rPr>
          <w:noProof/>
        </w:rPr>
        <w:t>14. Scottish Intercollegiate Guidelines Network. Management of hip fracture in older patients.  A national clinical guideline 111., 2009.</w:t>
      </w:r>
      <w:bookmarkEnd w:id="540"/>
    </w:p>
    <w:p w14:paraId="5C2C3A26" w14:textId="77777777" w:rsidR="00B24FEE" w:rsidRPr="00B24FEE" w:rsidRDefault="00B24FEE" w:rsidP="00B24FEE">
      <w:pPr>
        <w:pStyle w:val="EndNoteBibliography"/>
        <w:spacing w:after="0"/>
        <w:ind w:left="720" w:hanging="720"/>
        <w:rPr>
          <w:noProof/>
        </w:rPr>
      </w:pPr>
      <w:bookmarkStart w:id="541" w:name="_ENREF_15"/>
      <w:r w:rsidRPr="00B24FEE">
        <w:rPr>
          <w:noProof/>
        </w:rPr>
        <w:t>15. NICE. Clinical guideline 21.  Clinical practice guideline for the assessment and prevention of falls in older people, 2004.</w:t>
      </w:r>
      <w:bookmarkEnd w:id="541"/>
    </w:p>
    <w:p w14:paraId="27BFB0FA" w14:textId="77777777" w:rsidR="00B24FEE" w:rsidRPr="00B24FEE" w:rsidRDefault="00B24FEE" w:rsidP="00B24FEE">
      <w:pPr>
        <w:pStyle w:val="EndNoteBibliography"/>
        <w:spacing w:after="0"/>
        <w:ind w:left="720" w:hanging="720"/>
        <w:rPr>
          <w:noProof/>
        </w:rPr>
      </w:pPr>
      <w:bookmarkStart w:id="542" w:name="_ENREF_16"/>
      <w:r w:rsidRPr="00B24FEE">
        <w:rPr>
          <w:noProof/>
        </w:rPr>
        <w:t>16. Johansen A. National Hip Fracture Database report. 2014.</w:t>
      </w:r>
      <w:bookmarkEnd w:id="542"/>
    </w:p>
    <w:p w14:paraId="7FF5333E" w14:textId="77777777" w:rsidR="00B24FEE" w:rsidRPr="00B24FEE" w:rsidRDefault="00B24FEE" w:rsidP="00B24FEE">
      <w:pPr>
        <w:pStyle w:val="EndNoteBibliography"/>
        <w:spacing w:after="0"/>
        <w:ind w:left="720" w:hanging="720"/>
        <w:rPr>
          <w:noProof/>
        </w:rPr>
      </w:pPr>
      <w:bookmarkStart w:id="543" w:name="_ENREF_17"/>
      <w:r w:rsidRPr="00B24FEE">
        <w:rPr>
          <w:noProof/>
        </w:rPr>
        <w:t>17. Johansen A, Wakeman R, Boulton C, et al. National Hip Fracture Database. National report 2013, 2013.</w:t>
      </w:r>
      <w:bookmarkEnd w:id="543"/>
    </w:p>
    <w:p w14:paraId="7CBBDC36" w14:textId="77777777" w:rsidR="00B24FEE" w:rsidRPr="00B24FEE" w:rsidRDefault="00B24FEE" w:rsidP="00B24FEE">
      <w:pPr>
        <w:pStyle w:val="EndNoteBibliography"/>
        <w:spacing w:after="0"/>
        <w:ind w:left="720" w:hanging="720"/>
        <w:rPr>
          <w:noProof/>
        </w:rPr>
      </w:pPr>
      <w:bookmarkStart w:id="544" w:name="_ENREF_18"/>
      <w:r w:rsidRPr="00B24FEE">
        <w:rPr>
          <w:noProof/>
        </w:rPr>
        <w:t>18. Royal College of Physicians. National audit of the organisation of services for falls and bone health for older people, 2009.</w:t>
      </w:r>
      <w:bookmarkEnd w:id="544"/>
    </w:p>
    <w:p w14:paraId="4DFC0C36" w14:textId="77777777" w:rsidR="00B24FEE" w:rsidRPr="00B24FEE" w:rsidRDefault="00B24FEE" w:rsidP="00B24FEE">
      <w:pPr>
        <w:pStyle w:val="EndNoteBibliography"/>
        <w:spacing w:after="0"/>
        <w:ind w:left="720" w:hanging="720"/>
        <w:rPr>
          <w:noProof/>
        </w:rPr>
      </w:pPr>
      <w:bookmarkStart w:id="545" w:name="_ENREF_19"/>
      <w:r w:rsidRPr="00B24FEE">
        <w:rPr>
          <w:noProof/>
        </w:rPr>
        <w:t>19. Mitchell P. Fracture Liaison Services: the UK experience. Osteoporosis International 2011;</w:t>
      </w:r>
      <w:r w:rsidRPr="00B24FEE">
        <w:rPr>
          <w:b/>
          <w:noProof/>
        </w:rPr>
        <w:t>22</w:t>
      </w:r>
      <w:r w:rsidRPr="00B24FEE">
        <w:rPr>
          <w:noProof/>
        </w:rPr>
        <w:t>(0):487-94.</w:t>
      </w:r>
      <w:bookmarkEnd w:id="545"/>
    </w:p>
    <w:p w14:paraId="596D528D" w14:textId="77777777" w:rsidR="00B24FEE" w:rsidRPr="00B24FEE" w:rsidRDefault="00B24FEE" w:rsidP="00B24FEE">
      <w:pPr>
        <w:pStyle w:val="EndNoteBibliography"/>
        <w:spacing w:after="0"/>
        <w:ind w:left="720" w:hanging="720"/>
        <w:rPr>
          <w:noProof/>
        </w:rPr>
      </w:pPr>
      <w:bookmarkStart w:id="546" w:name="_ENREF_20"/>
      <w:r w:rsidRPr="00B24FEE">
        <w:rPr>
          <w:noProof/>
        </w:rPr>
        <w:t>20. McLellan A, Wolowacz S, Zimovetz E, et al. Fracture liaison services for the evaluation and management of patients with osteoporotic fracture: a cost-effectiveness evaluation based on data collected over 8 years of service provision. Osteoporosis International 2011;</w:t>
      </w:r>
      <w:r w:rsidRPr="00B24FEE">
        <w:rPr>
          <w:b/>
          <w:noProof/>
        </w:rPr>
        <w:t>22</w:t>
      </w:r>
      <w:r w:rsidRPr="00B24FEE">
        <w:rPr>
          <w:noProof/>
        </w:rPr>
        <w:t>(7):2083-98.</w:t>
      </w:r>
      <w:bookmarkEnd w:id="546"/>
    </w:p>
    <w:p w14:paraId="5204CA61" w14:textId="77777777" w:rsidR="00B24FEE" w:rsidRPr="00B24FEE" w:rsidRDefault="00B24FEE" w:rsidP="00B24FEE">
      <w:pPr>
        <w:pStyle w:val="EndNoteBibliography"/>
        <w:spacing w:after="0"/>
        <w:ind w:left="720" w:hanging="720"/>
        <w:rPr>
          <w:noProof/>
        </w:rPr>
      </w:pPr>
      <w:bookmarkStart w:id="547" w:name="_ENREF_21"/>
      <w:r w:rsidRPr="00B24FEE">
        <w:rPr>
          <w:noProof/>
        </w:rPr>
        <w:lastRenderedPageBreak/>
        <w:t>21. Cooper MS, Palmer AJ, Seibel MJ. Cost-effectiveness of the Concord Minimal Trauma Fracture Liaison service, a prospective, controlled fracture prevention study. Osteoporos Int 2012;</w:t>
      </w:r>
      <w:r w:rsidRPr="00B24FEE">
        <w:rPr>
          <w:b/>
          <w:noProof/>
        </w:rPr>
        <w:t>23</w:t>
      </w:r>
      <w:r w:rsidRPr="00B24FEE">
        <w:rPr>
          <w:noProof/>
        </w:rPr>
        <w:t>(1):97-107.</w:t>
      </w:r>
      <w:bookmarkEnd w:id="547"/>
    </w:p>
    <w:p w14:paraId="1CD4DF4E" w14:textId="77777777" w:rsidR="00B24FEE" w:rsidRPr="00B24FEE" w:rsidRDefault="00B24FEE" w:rsidP="00B24FEE">
      <w:pPr>
        <w:pStyle w:val="EndNoteBibliography"/>
        <w:spacing w:after="0"/>
        <w:ind w:left="720" w:hanging="720"/>
        <w:rPr>
          <w:noProof/>
        </w:rPr>
      </w:pPr>
      <w:bookmarkStart w:id="548" w:name="_ENREF_22"/>
      <w:r w:rsidRPr="00B24FEE">
        <w:rPr>
          <w:noProof/>
        </w:rPr>
        <w:t>22. Papaioannou A, Morin S, Cheung AM, et al. 2010 clinical practice guidelines for the diagnosis and management of osteoporosis in Canada: summary. CMAJ 2010;</w:t>
      </w:r>
      <w:r w:rsidRPr="00B24FEE">
        <w:rPr>
          <w:b/>
          <w:noProof/>
        </w:rPr>
        <w:t>182</w:t>
      </w:r>
      <w:r w:rsidRPr="00B24FEE">
        <w:rPr>
          <w:noProof/>
        </w:rPr>
        <w:t>(17):1864-73.</w:t>
      </w:r>
      <w:bookmarkEnd w:id="548"/>
    </w:p>
    <w:p w14:paraId="2D8774AD" w14:textId="77777777" w:rsidR="00B24FEE" w:rsidRPr="00B24FEE" w:rsidRDefault="00B24FEE" w:rsidP="00B24FEE">
      <w:pPr>
        <w:pStyle w:val="EndNoteBibliography"/>
        <w:spacing w:after="0"/>
        <w:ind w:left="720" w:hanging="720"/>
        <w:rPr>
          <w:noProof/>
        </w:rPr>
      </w:pPr>
      <w:bookmarkStart w:id="549" w:name="_ENREF_23"/>
      <w:r w:rsidRPr="00B24FEE">
        <w:rPr>
          <w:noProof/>
        </w:rPr>
        <w:t>23. Department of Health. Fracture Prevention Services: an economic evaluation, 2009.</w:t>
      </w:r>
      <w:bookmarkEnd w:id="549"/>
    </w:p>
    <w:p w14:paraId="4093D34F" w14:textId="77777777" w:rsidR="00B24FEE" w:rsidRPr="00B24FEE" w:rsidRDefault="00B24FEE" w:rsidP="00B24FEE">
      <w:pPr>
        <w:pStyle w:val="EndNoteBibliography"/>
        <w:spacing w:after="0"/>
        <w:ind w:left="720" w:hanging="720"/>
        <w:rPr>
          <w:noProof/>
        </w:rPr>
      </w:pPr>
      <w:bookmarkStart w:id="550" w:name="_ENREF_24"/>
      <w:r w:rsidRPr="00B24FEE">
        <w:rPr>
          <w:noProof/>
        </w:rPr>
        <w:t>24. Skelton D, Neil F. NHS Greater Glasgow and Clyde Strategy for Osteoporosis and Falls Prevention 2006–2010: an evaluation 2007–2009.: Health QWest and Glasgow Caledonian University, 2009.</w:t>
      </w:r>
      <w:bookmarkEnd w:id="550"/>
    </w:p>
    <w:p w14:paraId="021E5BF7" w14:textId="77777777" w:rsidR="00B24FEE" w:rsidRPr="00B24FEE" w:rsidRDefault="00B24FEE" w:rsidP="00B24FEE">
      <w:pPr>
        <w:pStyle w:val="EndNoteBibliography"/>
        <w:spacing w:after="0"/>
        <w:ind w:left="720" w:hanging="720"/>
        <w:rPr>
          <w:noProof/>
        </w:rPr>
      </w:pPr>
      <w:bookmarkStart w:id="551" w:name="_ENREF_25"/>
      <w:r w:rsidRPr="00B24FEE">
        <w:rPr>
          <w:noProof/>
        </w:rPr>
        <w:t>25. Dell R. Fracture prevention in Kaiser Permanente Southern California. Osteoporos Int 2011;</w:t>
      </w:r>
      <w:r w:rsidRPr="00B24FEE">
        <w:rPr>
          <w:b/>
          <w:noProof/>
        </w:rPr>
        <w:t>22 Suppl 3</w:t>
      </w:r>
      <w:r w:rsidRPr="00B24FEE">
        <w:rPr>
          <w:noProof/>
        </w:rPr>
        <w:t>:457-60.</w:t>
      </w:r>
      <w:bookmarkEnd w:id="551"/>
    </w:p>
    <w:p w14:paraId="61BAB32C" w14:textId="77777777" w:rsidR="00B24FEE" w:rsidRPr="00B24FEE" w:rsidRDefault="00B24FEE" w:rsidP="00B24FEE">
      <w:pPr>
        <w:pStyle w:val="EndNoteBibliography"/>
        <w:spacing w:after="0"/>
        <w:ind w:left="720" w:hanging="720"/>
        <w:rPr>
          <w:noProof/>
        </w:rPr>
      </w:pPr>
      <w:bookmarkStart w:id="552" w:name="_ENREF_26"/>
      <w:r w:rsidRPr="00B24FEE">
        <w:rPr>
          <w:noProof/>
        </w:rPr>
        <w:t>26. Lih A, Nandapalan H, Kim M, et al. Targeted intervention reduces refracture rates in patients with incident non-vertebral osteoporotic fractures: a 4-year prospective controlled study. Osteoporosis International 2011;</w:t>
      </w:r>
      <w:r w:rsidRPr="00B24FEE">
        <w:rPr>
          <w:b/>
          <w:noProof/>
        </w:rPr>
        <w:t>22</w:t>
      </w:r>
      <w:r w:rsidRPr="00B24FEE">
        <w:rPr>
          <w:noProof/>
        </w:rPr>
        <w:t>(3):849-58.</w:t>
      </w:r>
      <w:bookmarkEnd w:id="552"/>
    </w:p>
    <w:p w14:paraId="527891C7" w14:textId="77777777" w:rsidR="00B24FEE" w:rsidRPr="00B24FEE" w:rsidRDefault="00B24FEE" w:rsidP="00B24FEE">
      <w:pPr>
        <w:pStyle w:val="EndNoteBibliography"/>
        <w:spacing w:after="0"/>
        <w:ind w:left="720" w:hanging="720"/>
        <w:rPr>
          <w:noProof/>
        </w:rPr>
      </w:pPr>
      <w:bookmarkStart w:id="553" w:name="_ENREF_27"/>
      <w:r w:rsidRPr="00B24FEE">
        <w:rPr>
          <w:noProof/>
        </w:rPr>
        <w:t>27. Craig P, Cooper C, Gunnell D, et al. Using natural experiments to evaluate population health interventions: guidance for producers and users of evidence: Medical Research Council, 2011.</w:t>
      </w:r>
      <w:bookmarkEnd w:id="553"/>
    </w:p>
    <w:p w14:paraId="767D5442" w14:textId="77777777" w:rsidR="00B24FEE" w:rsidRPr="00B24FEE" w:rsidRDefault="00B24FEE" w:rsidP="00B24FEE">
      <w:pPr>
        <w:pStyle w:val="EndNoteBibliography"/>
        <w:spacing w:after="0"/>
        <w:ind w:left="720" w:hanging="720"/>
        <w:rPr>
          <w:noProof/>
        </w:rPr>
      </w:pPr>
      <w:bookmarkStart w:id="554" w:name="_ENREF_28"/>
      <w:r w:rsidRPr="00B24FEE">
        <w:rPr>
          <w:noProof/>
        </w:rPr>
        <w:t>28. Torrance GW. Measurement of health state utilities for economic appraisal: A review. Journal of Health Economics 1986;</w:t>
      </w:r>
      <w:r w:rsidRPr="00B24FEE">
        <w:rPr>
          <w:b/>
          <w:noProof/>
        </w:rPr>
        <w:t>5</w:t>
      </w:r>
      <w:r w:rsidRPr="00B24FEE">
        <w:rPr>
          <w:noProof/>
        </w:rPr>
        <w:t>(1):1-30.</w:t>
      </w:r>
      <w:bookmarkEnd w:id="554"/>
    </w:p>
    <w:p w14:paraId="4116676E" w14:textId="77777777" w:rsidR="00B24FEE" w:rsidRPr="00B24FEE" w:rsidRDefault="00B24FEE" w:rsidP="00B24FEE">
      <w:pPr>
        <w:pStyle w:val="EndNoteBibliography"/>
        <w:spacing w:after="0"/>
        <w:ind w:left="720" w:hanging="720"/>
        <w:rPr>
          <w:noProof/>
        </w:rPr>
      </w:pPr>
      <w:bookmarkStart w:id="555" w:name="_ENREF_29"/>
      <w:r w:rsidRPr="00B24FEE">
        <w:rPr>
          <w:noProof/>
        </w:rPr>
        <w:t>29. NICE. Clinical guidelines 124: The management of hip fracture in adults, June 2011.</w:t>
      </w:r>
      <w:bookmarkEnd w:id="555"/>
    </w:p>
    <w:p w14:paraId="138ABFC1" w14:textId="77777777" w:rsidR="00B24FEE" w:rsidRPr="00B24FEE" w:rsidRDefault="00B24FEE" w:rsidP="00B24FEE">
      <w:pPr>
        <w:pStyle w:val="EndNoteBibliography"/>
        <w:spacing w:after="0"/>
        <w:ind w:left="720" w:hanging="720"/>
        <w:rPr>
          <w:noProof/>
        </w:rPr>
      </w:pPr>
      <w:bookmarkStart w:id="556" w:name="_ENREF_30"/>
      <w:r w:rsidRPr="00B24FEE">
        <w:rPr>
          <w:noProof/>
        </w:rPr>
        <w:t>30. Cheung AM, Feig DS, Kapral M, et al. Prevention of osteoporosis and osteoporotic fractures in postmenopausal women: recommendation statement from the Canadian Task Force on Preventive Health Care. CMAJ 2004;</w:t>
      </w:r>
      <w:r w:rsidRPr="00B24FEE">
        <w:rPr>
          <w:b/>
          <w:noProof/>
        </w:rPr>
        <w:t>170</w:t>
      </w:r>
      <w:r w:rsidRPr="00B24FEE">
        <w:rPr>
          <w:noProof/>
        </w:rPr>
        <w:t>(11):1665-7.</w:t>
      </w:r>
      <w:bookmarkEnd w:id="556"/>
    </w:p>
    <w:p w14:paraId="4CEB0BF4" w14:textId="77777777" w:rsidR="00B24FEE" w:rsidRPr="00B24FEE" w:rsidRDefault="00B24FEE" w:rsidP="00B24FEE">
      <w:pPr>
        <w:pStyle w:val="EndNoteBibliography"/>
        <w:spacing w:after="0"/>
        <w:ind w:left="720" w:hanging="720"/>
        <w:rPr>
          <w:noProof/>
        </w:rPr>
      </w:pPr>
      <w:bookmarkStart w:id="557" w:name="_ENREF_31"/>
      <w:r w:rsidRPr="00B24FEE">
        <w:rPr>
          <w:noProof/>
        </w:rPr>
        <w:t>31. Lentle B, Cheung AM, Hanley DA, et al. Osteoporosis Canada 2010 guidelines for the assessment of fracture risk. Can Assoc Radiol J 2011;</w:t>
      </w:r>
      <w:r w:rsidRPr="00B24FEE">
        <w:rPr>
          <w:b/>
          <w:noProof/>
        </w:rPr>
        <w:t>62</w:t>
      </w:r>
      <w:r w:rsidRPr="00B24FEE">
        <w:rPr>
          <w:noProof/>
        </w:rPr>
        <w:t>(4):243-50.</w:t>
      </w:r>
      <w:bookmarkEnd w:id="557"/>
    </w:p>
    <w:p w14:paraId="70367C5C" w14:textId="77777777" w:rsidR="00B24FEE" w:rsidRPr="00B24FEE" w:rsidRDefault="00B24FEE" w:rsidP="00B24FEE">
      <w:pPr>
        <w:pStyle w:val="EndNoteBibliography"/>
        <w:spacing w:after="0"/>
        <w:ind w:left="720" w:hanging="720"/>
        <w:rPr>
          <w:noProof/>
        </w:rPr>
      </w:pPr>
      <w:bookmarkStart w:id="558" w:name="_ENREF_32"/>
      <w:r w:rsidRPr="00B24FEE">
        <w:rPr>
          <w:noProof/>
        </w:rPr>
        <w:t>32. Eisman JAea. Supporting Appendix A: Making the first fracture the last fracture: ASBMR task force report on secondary fracture prevention. Journal of Bone and Mineral Research 2012;</w:t>
      </w:r>
      <w:r w:rsidRPr="00B24FEE">
        <w:rPr>
          <w:b/>
          <w:noProof/>
        </w:rPr>
        <w:t>27</w:t>
      </w:r>
      <w:r w:rsidRPr="00B24FEE">
        <w:rPr>
          <w:noProof/>
        </w:rPr>
        <w:t>(10):2039 - 46.</w:t>
      </w:r>
      <w:bookmarkEnd w:id="558"/>
    </w:p>
    <w:p w14:paraId="754DC4C3" w14:textId="77777777" w:rsidR="00B24FEE" w:rsidRPr="00B24FEE" w:rsidRDefault="00B24FEE" w:rsidP="00B24FEE">
      <w:pPr>
        <w:pStyle w:val="EndNoteBibliography"/>
        <w:spacing w:after="0"/>
        <w:ind w:left="720" w:hanging="720"/>
        <w:rPr>
          <w:noProof/>
        </w:rPr>
      </w:pPr>
      <w:bookmarkStart w:id="559" w:name="_ENREF_33"/>
      <w:r w:rsidRPr="00B24FEE">
        <w:rPr>
          <w:noProof/>
        </w:rPr>
        <w:t>33. NICE. NICE Technology Appraisal 87: Bisphosphonates (alendronate, etidonate or risedronate), selective oestrogen receptor modulators (raloxifene) and parathyroid hormone (teriparatide) for the secondary prevention of osteoporotic fragility fractures in post menopausal women, 2005.</w:t>
      </w:r>
      <w:bookmarkEnd w:id="559"/>
    </w:p>
    <w:p w14:paraId="43826A0C" w14:textId="77777777" w:rsidR="00B24FEE" w:rsidRPr="00B24FEE" w:rsidRDefault="00B24FEE" w:rsidP="00B24FEE">
      <w:pPr>
        <w:pStyle w:val="EndNoteBibliography"/>
        <w:spacing w:after="0"/>
        <w:ind w:left="720" w:hanging="720"/>
        <w:rPr>
          <w:noProof/>
        </w:rPr>
      </w:pPr>
      <w:bookmarkStart w:id="560" w:name="_ENREF_34"/>
      <w:r w:rsidRPr="00B24FEE">
        <w:rPr>
          <w:noProof/>
        </w:rPr>
        <w:t>34. Akesson K, Marsh D, Mitchell PJ, et al. Capture the Fracture: a Best Practice Framework and global campaign to break the fragility fracture cycle. Osteoporos Int 2013;</w:t>
      </w:r>
      <w:r w:rsidRPr="00B24FEE">
        <w:rPr>
          <w:b/>
          <w:noProof/>
        </w:rPr>
        <w:t>24</w:t>
      </w:r>
      <w:r w:rsidRPr="00B24FEE">
        <w:rPr>
          <w:noProof/>
        </w:rPr>
        <w:t>(8):2135-52.</w:t>
      </w:r>
      <w:bookmarkEnd w:id="560"/>
    </w:p>
    <w:p w14:paraId="7D2B15EA" w14:textId="77777777" w:rsidR="00B24FEE" w:rsidRPr="00B24FEE" w:rsidRDefault="00B24FEE" w:rsidP="00B24FEE">
      <w:pPr>
        <w:pStyle w:val="EndNoteBibliography"/>
        <w:spacing w:after="0"/>
        <w:ind w:left="720" w:hanging="720"/>
        <w:rPr>
          <w:noProof/>
        </w:rPr>
      </w:pPr>
      <w:bookmarkStart w:id="561" w:name="_ENREF_35"/>
      <w:r w:rsidRPr="00B24FEE">
        <w:rPr>
          <w:noProof/>
        </w:rPr>
        <w:t>35. Mitchell PJ. Best practices in secondary fracture prevention: fracture liaison services. Curr Osteoporos Rep 2013;</w:t>
      </w:r>
      <w:r w:rsidRPr="00B24FEE">
        <w:rPr>
          <w:b/>
          <w:noProof/>
        </w:rPr>
        <w:t>11</w:t>
      </w:r>
      <w:r w:rsidRPr="00B24FEE">
        <w:rPr>
          <w:noProof/>
        </w:rPr>
        <w:t>(1):52-60.</w:t>
      </w:r>
      <w:bookmarkEnd w:id="561"/>
    </w:p>
    <w:p w14:paraId="78F49DC0" w14:textId="77777777" w:rsidR="00B24FEE" w:rsidRPr="00B24FEE" w:rsidRDefault="00B24FEE" w:rsidP="00B24FEE">
      <w:pPr>
        <w:pStyle w:val="EndNoteBibliography"/>
        <w:spacing w:after="0"/>
        <w:ind w:left="720" w:hanging="720"/>
        <w:rPr>
          <w:noProof/>
        </w:rPr>
      </w:pPr>
      <w:bookmarkStart w:id="562" w:name="_ENREF_36"/>
      <w:r w:rsidRPr="00B24FEE">
        <w:rPr>
          <w:noProof/>
        </w:rPr>
        <w:t>36. Ganda K, Puech M, Chen JS, et al. Models of care for the secondary prevention of osteoporotic fractures: a systematic review and meta-analysis. Osteoporosis International 2013;</w:t>
      </w:r>
      <w:r w:rsidRPr="00B24FEE">
        <w:rPr>
          <w:b/>
          <w:noProof/>
        </w:rPr>
        <w:t>24</w:t>
      </w:r>
      <w:r w:rsidRPr="00B24FEE">
        <w:rPr>
          <w:noProof/>
        </w:rPr>
        <w:t>(2):393-406.</w:t>
      </w:r>
      <w:bookmarkEnd w:id="562"/>
    </w:p>
    <w:p w14:paraId="5B54D6BE" w14:textId="77777777" w:rsidR="00B24FEE" w:rsidRPr="00B24FEE" w:rsidRDefault="00B24FEE" w:rsidP="00B24FEE">
      <w:pPr>
        <w:pStyle w:val="EndNoteBibliography"/>
        <w:spacing w:after="0"/>
        <w:ind w:left="720" w:hanging="720"/>
        <w:rPr>
          <w:noProof/>
        </w:rPr>
      </w:pPr>
      <w:bookmarkStart w:id="563" w:name="_ENREF_37"/>
      <w:r w:rsidRPr="00B24FEE">
        <w:rPr>
          <w:noProof/>
        </w:rPr>
        <w:t>37. Currie CF, S. Partridge, M. Plant, F. Wakeman, R. Williams, A.  . The National Hip Fracture Database National Report 2010, 2010.</w:t>
      </w:r>
      <w:bookmarkEnd w:id="563"/>
    </w:p>
    <w:p w14:paraId="60BF2AF0" w14:textId="77777777" w:rsidR="00B24FEE" w:rsidRPr="00B24FEE" w:rsidRDefault="00B24FEE" w:rsidP="00B24FEE">
      <w:pPr>
        <w:pStyle w:val="EndNoteBibliography"/>
        <w:spacing w:after="0"/>
        <w:ind w:left="720" w:hanging="720"/>
        <w:rPr>
          <w:noProof/>
        </w:rPr>
      </w:pPr>
      <w:bookmarkStart w:id="564" w:name="_ENREF_38"/>
      <w:r w:rsidRPr="00B24FEE">
        <w:rPr>
          <w:noProof/>
        </w:rPr>
        <w:t>38. Currie CP, M. Plant, F. Roberts, J. Wakeman, R. Williams, A. The National Hip Fracture Database National Report 2011, 2011.</w:t>
      </w:r>
      <w:bookmarkEnd w:id="564"/>
    </w:p>
    <w:p w14:paraId="20DF12F4" w14:textId="77777777" w:rsidR="00B24FEE" w:rsidRPr="00B24FEE" w:rsidRDefault="00B24FEE" w:rsidP="00B24FEE">
      <w:pPr>
        <w:pStyle w:val="EndNoteBibliography"/>
        <w:spacing w:after="0"/>
        <w:ind w:left="720" w:hanging="720"/>
        <w:rPr>
          <w:noProof/>
        </w:rPr>
      </w:pPr>
      <w:bookmarkStart w:id="565" w:name="_ENREF_39"/>
      <w:r w:rsidRPr="00B24FEE">
        <w:rPr>
          <w:noProof/>
        </w:rPr>
        <w:t>39. NICE. The management of hip fracture in adults, 2011.</w:t>
      </w:r>
      <w:bookmarkEnd w:id="565"/>
    </w:p>
    <w:p w14:paraId="28E6E559" w14:textId="77777777" w:rsidR="00B24FEE" w:rsidRPr="00B24FEE" w:rsidRDefault="00B24FEE" w:rsidP="00B24FEE">
      <w:pPr>
        <w:pStyle w:val="EndNoteBibliography"/>
        <w:spacing w:after="0"/>
        <w:ind w:left="720" w:hanging="720"/>
        <w:rPr>
          <w:noProof/>
        </w:rPr>
      </w:pPr>
      <w:bookmarkStart w:id="566" w:name="_ENREF_40"/>
      <w:r w:rsidRPr="00B24FEE">
        <w:rPr>
          <w:noProof/>
        </w:rPr>
        <w:t>40. Drew S, Sheard S, Chana J, et al. Describing variation in the delivery of secondary fracture prevention after hip fracture: an overview of 11 hospitals within one regional area in England. Osteoporos Int 2014.</w:t>
      </w:r>
      <w:bookmarkEnd w:id="566"/>
    </w:p>
    <w:p w14:paraId="3CF93E7B" w14:textId="77777777" w:rsidR="00B24FEE" w:rsidRPr="00B24FEE" w:rsidRDefault="00B24FEE" w:rsidP="00B24FEE">
      <w:pPr>
        <w:pStyle w:val="EndNoteBibliography"/>
        <w:spacing w:after="0"/>
        <w:ind w:left="720" w:hanging="720"/>
        <w:rPr>
          <w:noProof/>
        </w:rPr>
      </w:pPr>
      <w:bookmarkStart w:id="567" w:name="_ENREF_41"/>
      <w:r w:rsidRPr="00B24FEE">
        <w:rPr>
          <w:noProof/>
        </w:rPr>
        <w:t>41. Royal College of Physicians. Falling standards, broken promises.  Report of the national audit of falls and bone health in older people 2010, 2011.</w:t>
      </w:r>
      <w:bookmarkEnd w:id="567"/>
    </w:p>
    <w:p w14:paraId="40DEC289" w14:textId="77777777" w:rsidR="00B24FEE" w:rsidRPr="00B24FEE" w:rsidRDefault="00B24FEE" w:rsidP="00B24FEE">
      <w:pPr>
        <w:pStyle w:val="EndNoteBibliography"/>
        <w:spacing w:after="0"/>
        <w:ind w:left="720" w:hanging="720"/>
        <w:rPr>
          <w:noProof/>
        </w:rPr>
      </w:pPr>
      <w:bookmarkStart w:id="568" w:name="_ENREF_42"/>
      <w:r w:rsidRPr="00B24FEE">
        <w:rPr>
          <w:noProof/>
        </w:rPr>
        <w:t>42. Peters DH, Adam T, Alonge O, et al. Implementation research: what it is and how to do it. BMJ 2013;</w:t>
      </w:r>
      <w:r w:rsidRPr="00B24FEE">
        <w:rPr>
          <w:b/>
          <w:noProof/>
        </w:rPr>
        <w:t>347</w:t>
      </w:r>
      <w:r w:rsidRPr="00B24FEE">
        <w:rPr>
          <w:noProof/>
        </w:rPr>
        <w:t>.</w:t>
      </w:r>
      <w:bookmarkEnd w:id="568"/>
    </w:p>
    <w:p w14:paraId="3CD9D10B" w14:textId="77777777" w:rsidR="00B24FEE" w:rsidRPr="00B24FEE" w:rsidRDefault="00B24FEE" w:rsidP="00B24FEE">
      <w:pPr>
        <w:pStyle w:val="EndNoteBibliography"/>
        <w:spacing w:after="0"/>
        <w:ind w:left="720" w:hanging="720"/>
        <w:rPr>
          <w:noProof/>
        </w:rPr>
      </w:pPr>
      <w:bookmarkStart w:id="569" w:name="_ENREF_43"/>
      <w:r w:rsidRPr="00B24FEE">
        <w:rPr>
          <w:noProof/>
        </w:rPr>
        <w:lastRenderedPageBreak/>
        <w:t>43. May C. Towards a general theory of implementation. Implement Sci 2013;</w:t>
      </w:r>
      <w:r w:rsidRPr="00B24FEE">
        <w:rPr>
          <w:b/>
          <w:noProof/>
        </w:rPr>
        <w:t>8</w:t>
      </w:r>
      <w:r w:rsidRPr="00B24FEE">
        <w:rPr>
          <w:noProof/>
        </w:rPr>
        <w:t>:18.</w:t>
      </w:r>
      <w:bookmarkEnd w:id="569"/>
    </w:p>
    <w:p w14:paraId="0B357395" w14:textId="77777777" w:rsidR="00B24FEE" w:rsidRPr="00B24FEE" w:rsidRDefault="00B24FEE" w:rsidP="00B24FEE">
      <w:pPr>
        <w:pStyle w:val="EndNoteBibliography"/>
        <w:spacing w:after="0"/>
        <w:ind w:left="720" w:hanging="720"/>
        <w:rPr>
          <w:noProof/>
        </w:rPr>
      </w:pPr>
      <w:bookmarkStart w:id="570" w:name="_ENREF_44"/>
      <w:r w:rsidRPr="00B24FEE">
        <w:rPr>
          <w:noProof/>
        </w:rPr>
        <w:t>44. May C. A rational model for assessing and evaluating complex interventions in health care. BMC Health Serv Res 2006;</w:t>
      </w:r>
      <w:r w:rsidRPr="00B24FEE">
        <w:rPr>
          <w:b/>
          <w:noProof/>
        </w:rPr>
        <w:t>6</w:t>
      </w:r>
      <w:r w:rsidRPr="00B24FEE">
        <w:rPr>
          <w:noProof/>
        </w:rPr>
        <w:t>:86.</w:t>
      </w:r>
      <w:bookmarkEnd w:id="570"/>
    </w:p>
    <w:p w14:paraId="1C9FD3C7" w14:textId="77777777" w:rsidR="00B24FEE" w:rsidRPr="00B24FEE" w:rsidRDefault="00B24FEE" w:rsidP="00B24FEE">
      <w:pPr>
        <w:pStyle w:val="EndNoteBibliography"/>
        <w:spacing w:after="0"/>
        <w:ind w:left="720" w:hanging="720"/>
        <w:rPr>
          <w:noProof/>
        </w:rPr>
      </w:pPr>
      <w:bookmarkStart w:id="571" w:name="_ENREF_45"/>
      <w:r w:rsidRPr="00B24FEE">
        <w:rPr>
          <w:noProof/>
        </w:rPr>
        <w:t>45. May C, Finch T. Implementing, embedding, and integrating practices: an outline of normalization process theory. Sociology 2009;</w:t>
      </w:r>
      <w:r w:rsidRPr="00B24FEE">
        <w:rPr>
          <w:b/>
          <w:noProof/>
        </w:rPr>
        <w:t>43</w:t>
      </w:r>
      <w:r w:rsidRPr="00B24FEE">
        <w:rPr>
          <w:noProof/>
        </w:rPr>
        <w:t>(3):p535 - p54.</w:t>
      </w:r>
      <w:bookmarkEnd w:id="571"/>
    </w:p>
    <w:p w14:paraId="3A8C390F" w14:textId="77777777" w:rsidR="00B24FEE" w:rsidRPr="00B24FEE" w:rsidRDefault="00B24FEE" w:rsidP="00B24FEE">
      <w:pPr>
        <w:pStyle w:val="EndNoteBibliography"/>
        <w:spacing w:after="0"/>
        <w:ind w:left="720" w:hanging="720"/>
        <w:rPr>
          <w:noProof/>
        </w:rPr>
      </w:pPr>
      <w:bookmarkStart w:id="572" w:name="_ENREF_46"/>
      <w:r w:rsidRPr="00B24FEE">
        <w:rPr>
          <w:noProof/>
        </w:rPr>
        <w:t xml:space="preserve">46. Rogers EM. </w:t>
      </w:r>
      <w:r w:rsidRPr="00B24FEE">
        <w:rPr>
          <w:i/>
          <w:noProof/>
        </w:rPr>
        <w:t xml:space="preserve">The diffusion of innovation </w:t>
      </w:r>
      <w:r w:rsidRPr="00B24FEE">
        <w:rPr>
          <w:noProof/>
        </w:rPr>
        <w:t>4th edition ed. New York: Free Press, 1995.</w:t>
      </w:r>
      <w:bookmarkEnd w:id="572"/>
    </w:p>
    <w:p w14:paraId="3075BE08" w14:textId="77777777" w:rsidR="00B24FEE" w:rsidRPr="00B24FEE" w:rsidRDefault="00B24FEE" w:rsidP="00B24FEE">
      <w:pPr>
        <w:pStyle w:val="EndNoteBibliography"/>
        <w:spacing w:after="0"/>
        <w:ind w:left="720" w:hanging="720"/>
        <w:rPr>
          <w:noProof/>
        </w:rPr>
      </w:pPr>
      <w:bookmarkStart w:id="573" w:name="_ENREF_47"/>
      <w:r w:rsidRPr="00B24FEE">
        <w:rPr>
          <w:noProof/>
        </w:rPr>
        <w:t>47. Rogers EM. A Prospective and Retrospective Look at the Diffusion Model. Journal of Health Communication 2004;</w:t>
      </w:r>
      <w:r w:rsidRPr="00B24FEE">
        <w:rPr>
          <w:b/>
          <w:noProof/>
        </w:rPr>
        <w:t>9</w:t>
      </w:r>
      <w:r w:rsidRPr="00B24FEE">
        <w:rPr>
          <w:noProof/>
        </w:rPr>
        <w:t>(sup1):13-19.</w:t>
      </w:r>
      <w:bookmarkEnd w:id="573"/>
    </w:p>
    <w:p w14:paraId="3007FA9F" w14:textId="77777777" w:rsidR="00B24FEE" w:rsidRPr="00B24FEE" w:rsidRDefault="00B24FEE" w:rsidP="00B24FEE">
      <w:pPr>
        <w:pStyle w:val="EndNoteBibliography"/>
        <w:spacing w:after="0"/>
        <w:ind w:left="720" w:hanging="720"/>
        <w:rPr>
          <w:noProof/>
        </w:rPr>
      </w:pPr>
      <w:bookmarkStart w:id="574" w:name="_ENREF_48"/>
      <w:r w:rsidRPr="00B24FEE">
        <w:rPr>
          <w:noProof/>
        </w:rPr>
        <w:t>48. Grol RP, Bosch MC, Hulscher ME, et al. Planning and studying improvement in patient care: the use of theoretical perspectives. Milbank Q 2007;</w:t>
      </w:r>
      <w:r w:rsidRPr="00B24FEE">
        <w:rPr>
          <w:b/>
          <w:noProof/>
        </w:rPr>
        <w:t>85</w:t>
      </w:r>
      <w:r w:rsidRPr="00B24FEE">
        <w:rPr>
          <w:noProof/>
        </w:rPr>
        <w:t>(1):93-138.</w:t>
      </w:r>
      <w:bookmarkEnd w:id="574"/>
    </w:p>
    <w:p w14:paraId="3D2664B4" w14:textId="77777777" w:rsidR="00B24FEE" w:rsidRPr="00B24FEE" w:rsidRDefault="00B24FEE" w:rsidP="00B24FEE">
      <w:pPr>
        <w:pStyle w:val="EndNoteBibliography"/>
        <w:spacing w:after="0"/>
        <w:ind w:left="720" w:hanging="720"/>
        <w:rPr>
          <w:noProof/>
        </w:rPr>
      </w:pPr>
      <w:bookmarkStart w:id="575" w:name="_ENREF_49"/>
      <w:r w:rsidRPr="00B24FEE">
        <w:rPr>
          <w:noProof/>
        </w:rPr>
        <w:t>49. Michie S, Johnston M, Abraham C, et al. Making psychological theory useful for implementing evidence based practice: a consensus approach. Quality and Safety in Health Care 2005;</w:t>
      </w:r>
      <w:r w:rsidRPr="00B24FEE">
        <w:rPr>
          <w:b/>
          <w:noProof/>
        </w:rPr>
        <w:t>14</w:t>
      </w:r>
      <w:r w:rsidRPr="00B24FEE">
        <w:rPr>
          <w:noProof/>
        </w:rPr>
        <w:t>(1):26-33.</w:t>
      </w:r>
      <w:bookmarkEnd w:id="575"/>
    </w:p>
    <w:p w14:paraId="04F2170D" w14:textId="77777777" w:rsidR="00B24FEE" w:rsidRPr="00B24FEE" w:rsidRDefault="00B24FEE" w:rsidP="00B24FEE">
      <w:pPr>
        <w:pStyle w:val="EndNoteBibliography"/>
        <w:spacing w:after="0"/>
        <w:ind w:left="720" w:hanging="720"/>
        <w:rPr>
          <w:noProof/>
        </w:rPr>
      </w:pPr>
      <w:bookmarkStart w:id="576" w:name="_ENREF_50"/>
      <w:r w:rsidRPr="00B24FEE">
        <w:rPr>
          <w:noProof/>
        </w:rPr>
        <w:t>50. Health Do. Equity and excellence: liberating the NHS. London: The Stationary Office, 2010.</w:t>
      </w:r>
      <w:bookmarkEnd w:id="576"/>
    </w:p>
    <w:p w14:paraId="566AF00A" w14:textId="77777777" w:rsidR="00B24FEE" w:rsidRPr="00B24FEE" w:rsidRDefault="00B24FEE" w:rsidP="00B24FEE">
      <w:pPr>
        <w:pStyle w:val="EndNoteBibliography"/>
        <w:spacing w:after="0"/>
        <w:ind w:left="720" w:hanging="720"/>
        <w:rPr>
          <w:noProof/>
        </w:rPr>
      </w:pPr>
      <w:bookmarkStart w:id="577" w:name="_ENREF_51"/>
      <w:r w:rsidRPr="00B24FEE">
        <w:rPr>
          <w:noProof/>
        </w:rPr>
        <w:t>51. NHS. A short guide to NHS Foundation Trusts: NHS, 2005.</w:t>
      </w:r>
      <w:bookmarkEnd w:id="577"/>
    </w:p>
    <w:p w14:paraId="5F8790D0" w14:textId="77777777" w:rsidR="00B24FEE" w:rsidRPr="00B24FEE" w:rsidRDefault="00B24FEE" w:rsidP="00B24FEE">
      <w:pPr>
        <w:pStyle w:val="EndNoteBibliography"/>
        <w:spacing w:after="0"/>
        <w:ind w:left="720" w:hanging="720"/>
        <w:rPr>
          <w:noProof/>
        </w:rPr>
      </w:pPr>
      <w:bookmarkStart w:id="578" w:name="_ENREF_52"/>
      <w:r w:rsidRPr="00B24FEE">
        <w:rPr>
          <w:noProof/>
        </w:rPr>
        <w:t>52. Board NC. Commissioning Policy: Ethical framework for priority setting and resource allocation: NHS England, 2013.</w:t>
      </w:r>
      <w:bookmarkEnd w:id="578"/>
    </w:p>
    <w:p w14:paraId="6ECB6BF4" w14:textId="77777777" w:rsidR="00B24FEE" w:rsidRPr="00B24FEE" w:rsidRDefault="00B24FEE" w:rsidP="00B24FEE">
      <w:pPr>
        <w:pStyle w:val="EndNoteBibliography"/>
        <w:spacing w:after="0"/>
        <w:ind w:left="720" w:hanging="720"/>
        <w:rPr>
          <w:noProof/>
        </w:rPr>
      </w:pPr>
      <w:bookmarkStart w:id="579" w:name="_ENREF_53"/>
      <w:r w:rsidRPr="00B24FEE">
        <w:rPr>
          <w:noProof/>
        </w:rPr>
        <w:t>53. Putting patients first: The NHS England business plan for 2013/14 - 2015/16: NHS England.</w:t>
      </w:r>
      <w:bookmarkEnd w:id="579"/>
    </w:p>
    <w:p w14:paraId="0CF95B2B" w14:textId="77777777" w:rsidR="00B24FEE" w:rsidRPr="00B24FEE" w:rsidRDefault="00B24FEE" w:rsidP="00B24FEE">
      <w:pPr>
        <w:pStyle w:val="EndNoteBibliography"/>
        <w:spacing w:after="0"/>
        <w:ind w:left="720" w:hanging="720"/>
        <w:rPr>
          <w:noProof/>
        </w:rPr>
      </w:pPr>
      <w:bookmarkStart w:id="580" w:name="_ENREF_54"/>
      <w:r w:rsidRPr="00B24FEE">
        <w:rPr>
          <w:noProof/>
        </w:rPr>
        <w:t>54. Mitchell P. Fracture Liaison Services: resource pack: Novartis, 2010.</w:t>
      </w:r>
      <w:bookmarkEnd w:id="580"/>
    </w:p>
    <w:p w14:paraId="552B26E9" w14:textId="77777777" w:rsidR="00B24FEE" w:rsidRPr="00B24FEE" w:rsidRDefault="00B24FEE" w:rsidP="00B24FEE">
      <w:pPr>
        <w:pStyle w:val="EndNoteBibliography"/>
        <w:spacing w:after="0"/>
        <w:ind w:left="720" w:hanging="720"/>
        <w:rPr>
          <w:noProof/>
        </w:rPr>
      </w:pPr>
      <w:bookmarkStart w:id="581" w:name="_ENREF_55"/>
      <w:r w:rsidRPr="00B24FEE">
        <w:rPr>
          <w:noProof/>
        </w:rPr>
        <w:t>55. Society NO. From zero to FLS: Implementation and beyond National Osteoporosis Society, 2010.</w:t>
      </w:r>
      <w:bookmarkEnd w:id="581"/>
    </w:p>
    <w:p w14:paraId="73808B83" w14:textId="77777777" w:rsidR="00B24FEE" w:rsidRPr="00B24FEE" w:rsidRDefault="00B24FEE" w:rsidP="00B24FEE">
      <w:pPr>
        <w:pStyle w:val="EndNoteBibliography"/>
        <w:spacing w:after="0"/>
        <w:ind w:left="720" w:hanging="720"/>
        <w:rPr>
          <w:noProof/>
        </w:rPr>
      </w:pPr>
      <w:bookmarkStart w:id="582" w:name="_ENREF_56"/>
      <w:r w:rsidRPr="00B24FEE">
        <w:rPr>
          <w:noProof/>
        </w:rPr>
        <w:t>56. Mitchell P. Appenix 3: Generic Fracture Liaison Service business plan template. In: Novartis, ed. Fracture Liaison Services: resource pack, 2010.</w:t>
      </w:r>
      <w:bookmarkEnd w:id="582"/>
    </w:p>
    <w:p w14:paraId="25751CBF" w14:textId="77777777" w:rsidR="00B24FEE" w:rsidRPr="00B24FEE" w:rsidRDefault="00B24FEE" w:rsidP="00B24FEE">
      <w:pPr>
        <w:pStyle w:val="EndNoteBibliography"/>
        <w:spacing w:after="0"/>
        <w:ind w:left="720" w:hanging="720"/>
        <w:rPr>
          <w:noProof/>
        </w:rPr>
      </w:pPr>
      <w:bookmarkStart w:id="583" w:name="_ENREF_57"/>
      <w:r w:rsidRPr="00B24FEE">
        <w:rPr>
          <w:noProof/>
        </w:rPr>
        <w:t>57. Group MKCC. CDG template for approval in principle for service change or new service, 2012.</w:t>
      </w:r>
      <w:bookmarkEnd w:id="583"/>
    </w:p>
    <w:p w14:paraId="18DCA47B" w14:textId="77777777" w:rsidR="00B24FEE" w:rsidRPr="00B24FEE" w:rsidRDefault="00B24FEE" w:rsidP="00B24FEE">
      <w:pPr>
        <w:pStyle w:val="EndNoteBibliography"/>
        <w:spacing w:after="0"/>
        <w:ind w:left="720" w:hanging="720"/>
        <w:rPr>
          <w:noProof/>
        </w:rPr>
      </w:pPr>
      <w:bookmarkStart w:id="584" w:name="_ENREF_58"/>
      <w:r w:rsidRPr="00B24FEE">
        <w:rPr>
          <w:noProof/>
        </w:rPr>
        <w:t>58. Checkland K, Snow S, McDermott I, et al. 'Animateurs' and animation: what makes a good commissioning manager? J Health Serv Res Policy 2012;</w:t>
      </w:r>
      <w:r w:rsidRPr="00B24FEE">
        <w:rPr>
          <w:b/>
          <w:noProof/>
        </w:rPr>
        <w:t>17</w:t>
      </w:r>
      <w:r w:rsidRPr="00B24FEE">
        <w:rPr>
          <w:noProof/>
        </w:rPr>
        <w:t>(1):11-7.</w:t>
      </w:r>
      <w:bookmarkEnd w:id="584"/>
    </w:p>
    <w:p w14:paraId="639EB509" w14:textId="77777777" w:rsidR="00B24FEE" w:rsidRPr="00B24FEE" w:rsidRDefault="00B24FEE" w:rsidP="00B24FEE">
      <w:pPr>
        <w:pStyle w:val="EndNoteBibliography"/>
        <w:spacing w:after="0"/>
        <w:ind w:left="720" w:hanging="720"/>
        <w:rPr>
          <w:noProof/>
        </w:rPr>
      </w:pPr>
      <w:bookmarkStart w:id="585" w:name="_ENREF_59"/>
      <w:r w:rsidRPr="00B24FEE">
        <w:rPr>
          <w:noProof/>
        </w:rPr>
        <w:t>59. Clarke A, Taylor-Phillips S, Swan J, et al. Evidence-based commissioning in the English NHS: who uses which sources of evidence? A survey 2010/2011. BMJ Open 2013;</w:t>
      </w:r>
      <w:r w:rsidRPr="00B24FEE">
        <w:rPr>
          <w:b/>
          <w:noProof/>
        </w:rPr>
        <w:t>3</w:t>
      </w:r>
      <w:r w:rsidRPr="00B24FEE">
        <w:rPr>
          <w:noProof/>
        </w:rPr>
        <w:t>(5).</w:t>
      </w:r>
      <w:bookmarkEnd w:id="585"/>
    </w:p>
    <w:p w14:paraId="5A93F681" w14:textId="77777777" w:rsidR="00B24FEE" w:rsidRPr="00B24FEE" w:rsidRDefault="00B24FEE" w:rsidP="00B24FEE">
      <w:pPr>
        <w:pStyle w:val="EndNoteBibliography"/>
        <w:spacing w:after="0"/>
        <w:ind w:left="720" w:hanging="720"/>
        <w:rPr>
          <w:noProof/>
        </w:rPr>
      </w:pPr>
      <w:bookmarkStart w:id="586" w:name="_ENREF_60"/>
      <w:r w:rsidRPr="00B24FEE">
        <w:rPr>
          <w:noProof/>
        </w:rPr>
        <w:t>60. Checkland K, Coleman A, McDermott I, et al. Primary care-led commissioning: applying lessons from the past to the early development of clinical commissioning groups in England. The British Journal Of General Practice: The Journal Of The Royal College Of General Practitioners 2013;</w:t>
      </w:r>
      <w:r w:rsidRPr="00B24FEE">
        <w:rPr>
          <w:b/>
          <w:noProof/>
        </w:rPr>
        <w:t>63</w:t>
      </w:r>
      <w:r w:rsidRPr="00B24FEE">
        <w:rPr>
          <w:noProof/>
        </w:rPr>
        <w:t>(614):e611-e19.</w:t>
      </w:r>
      <w:bookmarkEnd w:id="586"/>
    </w:p>
    <w:p w14:paraId="7964A3B4" w14:textId="77777777" w:rsidR="00B24FEE" w:rsidRPr="00B24FEE" w:rsidRDefault="00B24FEE" w:rsidP="00B24FEE">
      <w:pPr>
        <w:pStyle w:val="EndNoteBibliography"/>
        <w:spacing w:after="0"/>
        <w:ind w:left="720" w:hanging="720"/>
        <w:rPr>
          <w:noProof/>
        </w:rPr>
      </w:pPr>
      <w:bookmarkStart w:id="587" w:name="_ENREF_61"/>
      <w:r w:rsidRPr="00B24FEE">
        <w:rPr>
          <w:noProof/>
        </w:rPr>
        <w:t>61. Petsoulas C, Allen P, Checkland K, et al. Views of NHS commissioners on commissioning support provision. Evidence from a qualitative study examining the early development of clinical commissioning groups in England. BMJ Open 2014;</w:t>
      </w:r>
      <w:r w:rsidRPr="00B24FEE">
        <w:rPr>
          <w:b/>
          <w:noProof/>
        </w:rPr>
        <w:t>4</w:t>
      </w:r>
      <w:r w:rsidRPr="00B24FEE">
        <w:rPr>
          <w:noProof/>
        </w:rPr>
        <w:t>(10):e005970.</w:t>
      </w:r>
      <w:bookmarkEnd w:id="587"/>
    </w:p>
    <w:p w14:paraId="24E91F5D" w14:textId="77777777" w:rsidR="00B24FEE" w:rsidRPr="00B24FEE" w:rsidRDefault="00B24FEE" w:rsidP="00B24FEE">
      <w:pPr>
        <w:pStyle w:val="EndNoteBibliography"/>
        <w:spacing w:after="0"/>
        <w:ind w:left="720" w:hanging="720"/>
        <w:rPr>
          <w:noProof/>
        </w:rPr>
      </w:pPr>
      <w:bookmarkStart w:id="588" w:name="_ENREF_62"/>
      <w:r w:rsidRPr="00B24FEE">
        <w:rPr>
          <w:noProof/>
        </w:rPr>
        <w:t>62. Sampson F, O'Cathain A, Strong M, et al. Commissioning processes in primary care trusts: a repeated cross-sectional survey of health care commissioners in England. J Health Serv Res Policy 2012;</w:t>
      </w:r>
      <w:r w:rsidRPr="00B24FEE">
        <w:rPr>
          <w:b/>
          <w:noProof/>
        </w:rPr>
        <w:t>17 Suppl 1</w:t>
      </w:r>
      <w:r w:rsidRPr="00B24FEE">
        <w:rPr>
          <w:noProof/>
        </w:rPr>
        <w:t>:31-9.</w:t>
      </w:r>
      <w:bookmarkEnd w:id="588"/>
    </w:p>
    <w:p w14:paraId="1E64E6B6" w14:textId="77777777" w:rsidR="00B24FEE" w:rsidRPr="00B24FEE" w:rsidRDefault="00B24FEE" w:rsidP="00B24FEE">
      <w:pPr>
        <w:pStyle w:val="EndNoteBibliography"/>
        <w:spacing w:after="0"/>
        <w:ind w:left="720" w:hanging="720"/>
        <w:rPr>
          <w:noProof/>
        </w:rPr>
      </w:pPr>
      <w:bookmarkStart w:id="589" w:name="_ENREF_63"/>
      <w:r w:rsidRPr="00B24FEE">
        <w:rPr>
          <w:noProof/>
        </w:rPr>
        <w:t>63. Zachariadis M, Oborn E, Barrett M, et al. Leadership of healthcare commissioning networks in England: a mixed-methods study on clinical commissioning groups. BMJ Open 2013;</w:t>
      </w:r>
      <w:r w:rsidRPr="00B24FEE">
        <w:rPr>
          <w:b/>
          <w:noProof/>
        </w:rPr>
        <w:t>3</w:t>
      </w:r>
      <w:r w:rsidRPr="00B24FEE">
        <w:rPr>
          <w:noProof/>
        </w:rPr>
        <w:t>(2).</w:t>
      </w:r>
      <w:bookmarkEnd w:id="589"/>
    </w:p>
    <w:p w14:paraId="1FF3A93D" w14:textId="77777777" w:rsidR="00B24FEE" w:rsidRPr="00B24FEE" w:rsidRDefault="00B24FEE" w:rsidP="00B24FEE">
      <w:pPr>
        <w:pStyle w:val="EndNoteBibliography"/>
        <w:spacing w:after="0"/>
        <w:ind w:left="720" w:hanging="720"/>
        <w:rPr>
          <w:noProof/>
        </w:rPr>
      </w:pPr>
      <w:bookmarkStart w:id="590" w:name="_ENREF_64"/>
      <w:r w:rsidRPr="00B24FEE">
        <w:rPr>
          <w:noProof/>
        </w:rPr>
        <w:t>64. Bravo Vergel Y, Ferguson B. Difficult commissioning choices: lessons from English primary care trusts. J Health Serv Res Policy 2006;</w:t>
      </w:r>
      <w:r w:rsidRPr="00B24FEE">
        <w:rPr>
          <w:b/>
          <w:noProof/>
        </w:rPr>
        <w:t>11</w:t>
      </w:r>
      <w:r w:rsidRPr="00B24FEE">
        <w:rPr>
          <w:noProof/>
        </w:rPr>
        <w:t>(3):150-4.</w:t>
      </w:r>
      <w:bookmarkEnd w:id="590"/>
    </w:p>
    <w:p w14:paraId="61B049D2" w14:textId="77777777" w:rsidR="00B24FEE" w:rsidRPr="00B24FEE" w:rsidRDefault="00B24FEE" w:rsidP="00B24FEE">
      <w:pPr>
        <w:pStyle w:val="EndNoteBibliography"/>
        <w:spacing w:after="0"/>
        <w:ind w:left="720" w:hanging="720"/>
        <w:rPr>
          <w:noProof/>
        </w:rPr>
      </w:pPr>
      <w:bookmarkStart w:id="591" w:name="_ENREF_65"/>
      <w:r w:rsidRPr="00B24FEE">
        <w:rPr>
          <w:noProof/>
        </w:rPr>
        <w:t>65. Ashman I, Willcocks S. Engaging with clinical commissioning: the attitudes of general practitioners in East Lancashire. Quality in Primary Care 2014;</w:t>
      </w:r>
      <w:r w:rsidRPr="00B24FEE">
        <w:rPr>
          <w:b/>
          <w:noProof/>
        </w:rPr>
        <w:t>22</w:t>
      </w:r>
      <w:r w:rsidRPr="00B24FEE">
        <w:rPr>
          <w:noProof/>
        </w:rPr>
        <w:t>(2):91-99.</w:t>
      </w:r>
      <w:bookmarkEnd w:id="591"/>
    </w:p>
    <w:p w14:paraId="430CF420" w14:textId="77777777" w:rsidR="00B24FEE" w:rsidRPr="00B24FEE" w:rsidRDefault="00B24FEE" w:rsidP="00B24FEE">
      <w:pPr>
        <w:pStyle w:val="EndNoteBibliography"/>
        <w:spacing w:after="0"/>
        <w:ind w:left="720" w:hanging="720"/>
        <w:rPr>
          <w:noProof/>
        </w:rPr>
      </w:pPr>
      <w:bookmarkStart w:id="592" w:name="_ENREF_66"/>
      <w:r w:rsidRPr="00B24FEE">
        <w:rPr>
          <w:noProof/>
        </w:rPr>
        <w:t>66. Sabey A, Hardy H. Prepared for commissioning? A qualitative study into the views of recently qualified GPs. Education for Primary Care 2013;</w:t>
      </w:r>
      <w:r w:rsidRPr="00B24FEE">
        <w:rPr>
          <w:b/>
          <w:noProof/>
        </w:rPr>
        <w:t>24</w:t>
      </w:r>
      <w:r w:rsidRPr="00B24FEE">
        <w:rPr>
          <w:noProof/>
        </w:rPr>
        <w:t>(5):314-20.</w:t>
      </w:r>
      <w:bookmarkEnd w:id="592"/>
    </w:p>
    <w:p w14:paraId="62FE4C9C" w14:textId="77777777" w:rsidR="00B24FEE" w:rsidRPr="00B24FEE" w:rsidRDefault="00B24FEE" w:rsidP="00B24FEE">
      <w:pPr>
        <w:pStyle w:val="EndNoteBibliography"/>
        <w:spacing w:after="0"/>
        <w:ind w:left="720" w:hanging="720"/>
        <w:rPr>
          <w:noProof/>
        </w:rPr>
      </w:pPr>
      <w:bookmarkStart w:id="593" w:name="_ENREF_67"/>
      <w:r w:rsidRPr="00B24FEE">
        <w:rPr>
          <w:noProof/>
        </w:rPr>
        <w:t>67. Shaw SE, Smith JA, Porter A, et al. The work of commissioning: a multisite case study of healthcare commissioning in England's NHS. BMJ Open 2013;</w:t>
      </w:r>
      <w:r w:rsidRPr="00B24FEE">
        <w:rPr>
          <w:b/>
          <w:noProof/>
        </w:rPr>
        <w:t>3</w:t>
      </w:r>
      <w:r w:rsidRPr="00B24FEE">
        <w:rPr>
          <w:noProof/>
        </w:rPr>
        <w:t>(9):e003341-e41.</w:t>
      </w:r>
      <w:bookmarkEnd w:id="593"/>
    </w:p>
    <w:p w14:paraId="50CDE678" w14:textId="77777777" w:rsidR="00B24FEE" w:rsidRPr="00B24FEE" w:rsidRDefault="00B24FEE" w:rsidP="00B24FEE">
      <w:pPr>
        <w:pStyle w:val="EndNoteBibliography"/>
        <w:spacing w:after="0"/>
        <w:ind w:left="720" w:hanging="720"/>
        <w:rPr>
          <w:noProof/>
        </w:rPr>
      </w:pPr>
      <w:bookmarkStart w:id="594" w:name="_ENREF_68"/>
      <w:r w:rsidRPr="00B24FEE">
        <w:rPr>
          <w:noProof/>
        </w:rPr>
        <w:t xml:space="preserve">68. Miles MBH, A M. </w:t>
      </w:r>
      <w:r w:rsidRPr="00B24FEE">
        <w:rPr>
          <w:i/>
          <w:noProof/>
        </w:rPr>
        <w:t>Qualitative data analysis: a sourcebook of new methods</w:t>
      </w:r>
      <w:r w:rsidRPr="00B24FEE">
        <w:rPr>
          <w:noProof/>
        </w:rPr>
        <w:t>. Thousand Oaks, CA: Sage, 1994.</w:t>
      </w:r>
      <w:bookmarkEnd w:id="594"/>
    </w:p>
    <w:p w14:paraId="060F75B8" w14:textId="77777777" w:rsidR="00B24FEE" w:rsidRPr="00B24FEE" w:rsidRDefault="00B24FEE" w:rsidP="00B24FEE">
      <w:pPr>
        <w:pStyle w:val="EndNoteBibliography"/>
        <w:spacing w:after="0"/>
        <w:ind w:left="720" w:hanging="720"/>
        <w:rPr>
          <w:noProof/>
        </w:rPr>
      </w:pPr>
      <w:bookmarkStart w:id="595" w:name="_ENREF_69"/>
      <w:r w:rsidRPr="00B24FEE">
        <w:rPr>
          <w:noProof/>
        </w:rPr>
        <w:t xml:space="preserve">69. ROWLAND ATKINSON JF. </w:t>
      </w:r>
      <w:r w:rsidRPr="00B24FEE">
        <w:rPr>
          <w:i/>
          <w:noProof/>
        </w:rPr>
        <w:t>Sampling, snowball: accessing hidden and hard-to-reach populations. The A-Z of Social Research. SAGE Publications, Ltd</w:t>
      </w:r>
      <w:r w:rsidRPr="00B24FEE">
        <w:rPr>
          <w:noProof/>
        </w:rPr>
        <w:t>. London, England: SAGE Publications, Ltd.</w:t>
      </w:r>
      <w:bookmarkEnd w:id="595"/>
    </w:p>
    <w:p w14:paraId="1A23CB71" w14:textId="77777777" w:rsidR="00B24FEE" w:rsidRPr="00B24FEE" w:rsidRDefault="00B24FEE" w:rsidP="00B24FEE">
      <w:pPr>
        <w:pStyle w:val="EndNoteBibliography"/>
        <w:spacing w:after="0"/>
        <w:ind w:left="720" w:hanging="720"/>
        <w:rPr>
          <w:noProof/>
        </w:rPr>
      </w:pPr>
      <w:bookmarkStart w:id="596" w:name="_ENREF_70"/>
      <w:r w:rsidRPr="00B24FEE">
        <w:rPr>
          <w:noProof/>
        </w:rPr>
        <w:lastRenderedPageBreak/>
        <w:t xml:space="preserve">70. Kristie Saumure LMG. </w:t>
      </w:r>
      <w:r w:rsidRPr="00B24FEE">
        <w:rPr>
          <w:i/>
          <w:noProof/>
        </w:rPr>
        <w:t>Data Saturation. The SAGE Encyclopedia of Qualitative Research Methods. SAGE Publications, Inc</w:t>
      </w:r>
      <w:r w:rsidRPr="00B24FEE">
        <w:rPr>
          <w:noProof/>
        </w:rPr>
        <w:t>. Thousand Oaks, CA: SAGE Publications, Inc.</w:t>
      </w:r>
      <w:bookmarkEnd w:id="596"/>
    </w:p>
    <w:p w14:paraId="6A407F59" w14:textId="77777777" w:rsidR="00B24FEE" w:rsidRPr="00B24FEE" w:rsidRDefault="00B24FEE" w:rsidP="00B24FEE">
      <w:pPr>
        <w:pStyle w:val="EndNoteBibliography"/>
        <w:spacing w:after="0"/>
        <w:ind w:left="720" w:hanging="720"/>
        <w:rPr>
          <w:noProof/>
        </w:rPr>
      </w:pPr>
      <w:bookmarkStart w:id="597" w:name="_ENREF_71"/>
      <w:r w:rsidRPr="00B24FEE">
        <w:rPr>
          <w:noProof/>
        </w:rPr>
        <w:t>71. Baker SE, Edwards, R. How many qualitative interviews is enough?: National Centre for Research Methods, 2012.</w:t>
      </w:r>
      <w:bookmarkEnd w:id="597"/>
    </w:p>
    <w:p w14:paraId="4762563E" w14:textId="77777777" w:rsidR="00B24FEE" w:rsidRPr="00B24FEE" w:rsidRDefault="00B24FEE" w:rsidP="00B24FEE">
      <w:pPr>
        <w:pStyle w:val="EndNoteBibliography"/>
        <w:spacing w:after="0"/>
        <w:ind w:left="720" w:hanging="720"/>
        <w:rPr>
          <w:noProof/>
        </w:rPr>
      </w:pPr>
      <w:bookmarkStart w:id="598" w:name="_ENREF_72"/>
      <w:r w:rsidRPr="00B24FEE">
        <w:rPr>
          <w:noProof/>
        </w:rPr>
        <w:t xml:space="preserve">72. Ayres L. </w:t>
      </w:r>
      <w:r w:rsidRPr="00B24FEE">
        <w:rPr>
          <w:i/>
          <w:noProof/>
        </w:rPr>
        <w:t>Semi-Structured Interview. The SAGE Encyclopedia of Qualitative Research Methods</w:t>
      </w:r>
      <w:r w:rsidRPr="00B24FEE">
        <w:rPr>
          <w:noProof/>
        </w:rPr>
        <w:t>: SAGE Publications, Inc.</w:t>
      </w:r>
      <w:bookmarkEnd w:id="598"/>
    </w:p>
    <w:p w14:paraId="22936B5B" w14:textId="77777777" w:rsidR="00B24FEE" w:rsidRPr="00B24FEE" w:rsidRDefault="00B24FEE" w:rsidP="00B24FEE">
      <w:pPr>
        <w:pStyle w:val="EndNoteBibliography"/>
        <w:spacing w:after="0"/>
        <w:ind w:left="720" w:hanging="720"/>
        <w:rPr>
          <w:noProof/>
        </w:rPr>
      </w:pPr>
      <w:bookmarkStart w:id="599" w:name="_ENREF_73"/>
      <w:r w:rsidRPr="00B24FEE">
        <w:rPr>
          <w:noProof/>
        </w:rPr>
        <w:t xml:space="preserve">73. Shank G. </w:t>
      </w:r>
      <w:r w:rsidRPr="00B24FEE">
        <w:rPr>
          <w:i/>
          <w:noProof/>
        </w:rPr>
        <w:t>Abduction. The SAGE Encyclopedia of Qualitative Research Methods. SAGE Publications, Inc</w:t>
      </w:r>
      <w:r w:rsidRPr="00B24FEE">
        <w:rPr>
          <w:noProof/>
        </w:rPr>
        <w:t>. Thousand Oaks, CA: SAGE Publications, Inc.</w:t>
      </w:r>
      <w:bookmarkEnd w:id="599"/>
    </w:p>
    <w:p w14:paraId="0C8A4BF1" w14:textId="77777777" w:rsidR="00B24FEE" w:rsidRPr="00B24FEE" w:rsidRDefault="00B24FEE" w:rsidP="00B24FEE">
      <w:pPr>
        <w:pStyle w:val="EndNoteBibliography"/>
        <w:spacing w:after="0"/>
        <w:ind w:left="720" w:hanging="720"/>
        <w:rPr>
          <w:noProof/>
        </w:rPr>
      </w:pPr>
      <w:bookmarkStart w:id="600" w:name="_ENREF_74"/>
      <w:r w:rsidRPr="00B24FEE">
        <w:rPr>
          <w:noProof/>
        </w:rPr>
        <w:t>74. Braun V, Clarke V. Using thematic analysis in psychology. Qualitative Research in Psychology 2006;</w:t>
      </w:r>
      <w:r w:rsidRPr="00B24FEE">
        <w:rPr>
          <w:b/>
          <w:noProof/>
        </w:rPr>
        <w:t>3</w:t>
      </w:r>
      <w:r w:rsidRPr="00B24FEE">
        <w:rPr>
          <w:noProof/>
        </w:rPr>
        <w:t>(2):77-101.</w:t>
      </w:r>
      <w:bookmarkEnd w:id="600"/>
    </w:p>
    <w:p w14:paraId="309013C6" w14:textId="77777777" w:rsidR="00B24FEE" w:rsidRPr="00B24FEE" w:rsidRDefault="00B24FEE" w:rsidP="00B24FEE">
      <w:pPr>
        <w:pStyle w:val="EndNoteBibliography"/>
        <w:spacing w:after="0"/>
        <w:ind w:left="720" w:hanging="720"/>
        <w:rPr>
          <w:noProof/>
        </w:rPr>
      </w:pPr>
      <w:bookmarkStart w:id="601" w:name="_ENREF_75"/>
      <w:r w:rsidRPr="00B24FEE">
        <w:rPr>
          <w:noProof/>
        </w:rPr>
        <w:t xml:space="preserve">75. Ritchie J, Lewis J, (eds). </w:t>
      </w:r>
      <w:r w:rsidRPr="00B24FEE">
        <w:rPr>
          <w:i/>
          <w:noProof/>
        </w:rPr>
        <w:t xml:space="preserve">Qualitative research practice: a guide for social science students and researchers. </w:t>
      </w:r>
      <w:r w:rsidRPr="00B24FEE">
        <w:rPr>
          <w:noProof/>
        </w:rPr>
        <w:t>: London: Sage., 2003.</w:t>
      </w:r>
      <w:bookmarkEnd w:id="601"/>
    </w:p>
    <w:p w14:paraId="225367C0" w14:textId="77777777" w:rsidR="00B24FEE" w:rsidRPr="00B24FEE" w:rsidRDefault="00B24FEE" w:rsidP="00B24FEE">
      <w:pPr>
        <w:pStyle w:val="EndNoteBibliography"/>
        <w:spacing w:after="0"/>
        <w:ind w:left="720" w:hanging="720"/>
        <w:rPr>
          <w:noProof/>
        </w:rPr>
      </w:pPr>
      <w:bookmarkStart w:id="602" w:name="_ENREF_76"/>
      <w:r w:rsidRPr="00B24FEE">
        <w:rPr>
          <w:noProof/>
        </w:rPr>
        <w:t>76. Pope C, Ziebland S, Mays N. Analysing qualitative data. BMJ 2000;</w:t>
      </w:r>
      <w:r w:rsidRPr="00B24FEE">
        <w:rPr>
          <w:b/>
          <w:noProof/>
        </w:rPr>
        <w:t>320</w:t>
      </w:r>
      <w:r w:rsidRPr="00B24FEE">
        <w:rPr>
          <w:noProof/>
        </w:rPr>
        <w:t>(7227):114-16.</w:t>
      </w:r>
      <w:bookmarkEnd w:id="602"/>
    </w:p>
    <w:p w14:paraId="74BFFBE6" w14:textId="77777777" w:rsidR="00B24FEE" w:rsidRPr="00B24FEE" w:rsidRDefault="00B24FEE" w:rsidP="00B24FEE">
      <w:pPr>
        <w:pStyle w:val="EndNoteBibliography"/>
        <w:spacing w:after="0"/>
        <w:ind w:left="720" w:hanging="720"/>
        <w:rPr>
          <w:noProof/>
        </w:rPr>
      </w:pPr>
      <w:bookmarkStart w:id="603" w:name="_ENREF_77"/>
      <w:r w:rsidRPr="00B24FEE">
        <w:rPr>
          <w:noProof/>
        </w:rPr>
        <w:t>77. Mason B, Epiphaniou E, Nanton V, et al. Coordination of care for individuals with advanced progressive conditions: a multi-site ethnographic and serial interview study. Br J Gen Pract 2013;</w:t>
      </w:r>
      <w:r w:rsidRPr="00B24FEE">
        <w:rPr>
          <w:b/>
          <w:noProof/>
        </w:rPr>
        <w:t>63</w:t>
      </w:r>
      <w:r w:rsidRPr="00B24FEE">
        <w:rPr>
          <w:noProof/>
        </w:rPr>
        <w:t>(613):e580-8.</w:t>
      </w:r>
      <w:bookmarkEnd w:id="603"/>
    </w:p>
    <w:p w14:paraId="042FADE1" w14:textId="77777777" w:rsidR="00B24FEE" w:rsidRPr="00B24FEE" w:rsidRDefault="00B24FEE" w:rsidP="00B24FEE">
      <w:pPr>
        <w:pStyle w:val="EndNoteBibliography"/>
        <w:spacing w:after="0"/>
        <w:ind w:left="720" w:hanging="720"/>
        <w:rPr>
          <w:noProof/>
        </w:rPr>
      </w:pPr>
      <w:bookmarkStart w:id="604" w:name="_ENREF_78"/>
      <w:r w:rsidRPr="00B24FEE">
        <w:rPr>
          <w:noProof/>
        </w:rPr>
        <w:t>78. Bevan G, Janus K. Why hasn't integrated health care developed widely in the United States and not at all in England? Journal Of Health Politics, Policy And Law 2011;</w:t>
      </w:r>
      <w:r w:rsidRPr="00B24FEE">
        <w:rPr>
          <w:b/>
          <w:noProof/>
        </w:rPr>
        <w:t>36</w:t>
      </w:r>
      <w:r w:rsidRPr="00B24FEE">
        <w:rPr>
          <w:noProof/>
        </w:rPr>
        <w:t>(1):141-64.</w:t>
      </w:r>
      <w:bookmarkEnd w:id="604"/>
    </w:p>
    <w:p w14:paraId="342E4603" w14:textId="77777777" w:rsidR="00B24FEE" w:rsidRPr="00B24FEE" w:rsidRDefault="00B24FEE" w:rsidP="00B24FEE">
      <w:pPr>
        <w:pStyle w:val="EndNoteBibliography"/>
        <w:spacing w:after="0"/>
        <w:ind w:left="720" w:hanging="720"/>
        <w:rPr>
          <w:noProof/>
        </w:rPr>
      </w:pPr>
      <w:bookmarkStart w:id="605" w:name="_ENREF_79"/>
      <w:r w:rsidRPr="00B24FEE">
        <w:rPr>
          <w:noProof/>
        </w:rPr>
        <w:t>79. Stevens PE, O'Donoghue DJ. The UK model for system redesign and chronic kidney disease services. Seminars In Nephrology 2009;</w:t>
      </w:r>
      <w:r w:rsidRPr="00B24FEE">
        <w:rPr>
          <w:b/>
          <w:noProof/>
        </w:rPr>
        <w:t>29</w:t>
      </w:r>
      <w:r w:rsidRPr="00B24FEE">
        <w:rPr>
          <w:noProof/>
        </w:rPr>
        <w:t>(5):475-82.</w:t>
      </w:r>
      <w:bookmarkEnd w:id="605"/>
    </w:p>
    <w:p w14:paraId="6E40C08C" w14:textId="77777777" w:rsidR="00B24FEE" w:rsidRPr="00B24FEE" w:rsidRDefault="00B24FEE" w:rsidP="00B24FEE">
      <w:pPr>
        <w:pStyle w:val="EndNoteBibliography"/>
        <w:spacing w:after="0"/>
        <w:ind w:left="720" w:hanging="720"/>
        <w:rPr>
          <w:noProof/>
        </w:rPr>
      </w:pPr>
      <w:bookmarkStart w:id="606" w:name="_ENREF_80"/>
      <w:r w:rsidRPr="00B24FEE">
        <w:rPr>
          <w:noProof/>
        </w:rPr>
        <w:t>80. Limb M. NHS England slips further behind on its efficiency savings target. BMJ 2013;</w:t>
      </w:r>
      <w:r w:rsidRPr="00B24FEE">
        <w:rPr>
          <w:b/>
          <w:noProof/>
        </w:rPr>
        <w:t>347</w:t>
      </w:r>
      <w:r w:rsidRPr="00B24FEE">
        <w:rPr>
          <w:noProof/>
        </w:rPr>
        <w:t>.</w:t>
      </w:r>
      <w:bookmarkEnd w:id="606"/>
    </w:p>
    <w:p w14:paraId="4527A46F" w14:textId="77777777" w:rsidR="00B24FEE" w:rsidRPr="00B24FEE" w:rsidRDefault="00B24FEE" w:rsidP="00B24FEE">
      <w:pPr>
        <w:pStyle w:val="EndNoteBibliography"/>
        <w:spacing w:after="0"/>
        <w:ind w:left="720" w:hanging="720"/>
        <w:rPr>
          <w:noProof/>
        </w:rPr>
      </w:pPr>
      <w:bookmarkStart w:id="607" w:name="_ENREF_81"/>
      <w:r w:rsidRPr="00B24FEE">
        <w:rPr>
          <w:noProof/>
        </w:rPr>
        <w:t>81. Gooberman-Hill R. Qualitative approaches to understanding patient preferences. The Patient 2012;</w:t>
      </w:r>
      <w:r w:rsidRPr="00B24FEE">
        <w:rPr>
          <w:b/>
          <w:noProof/>
        </w:rPr>
        <w:t>5</w:t>
      </w:r>
      <w:r w:rsidRPr="00B24FEE">
        <w:rPr>
          <w:noProof/>
        </w:rPr>
        <w:t>(4):215-23.</w:t>
      </w:r>
      <w:bookmarkEnd w:id="607"/>
    </w:p>
    <w:p w14:paraId="1CDC0D9E" w14:textId="77777777" w:rsidR="00B24FEE" w:rsidRPr="00B24FEE" w:rsidRDefault="00B24FEE" w:rsidP="00B24FEE">
      <w:pPr>
        <w:pStyle w:val="EndNoteBibliography"/>
        <w:spacing w:after="0"/>
        <w:ind w:left="720" w:hanging="720"/>
        <w:rPr>
          <w:noProof/>
        </w:rPr>
      </w:pPr>
      <w:bookmarkStart w:id="608" w:name="_ENREF_82"/>
      <w:r w:rsidRPr="00B24FEE">
        <w:rPr>
          <w:noProof/>
        </w:rPr>
        <w:t>82. Health Do. Our NHS: our future. NHS next stage review - interim report. London: Department of Health, 2007.</w:t>
      </w:r>
      <w:bookmarkEnd w:id="608"/>
    </w:p>
    <w:p w14:paraId="41033154" w14:textId="77777777" w:rsidR="00B24FEE" w:rsidRPr="00B24FEE" w:rsidRDefault="00B24FEE" w:rsidP="00B24FEE">
      <w:pPr>
        <w:pStyle w:val="EndNoteBibliography"/>
        <w:spacing w:after="0"/>
        <w:ind w:left="720" w:hanging="720"/>
        <w:rPr>
          <w:noProof/>
        </w:rPr>
      </w:pPr>
      <w:bookmarkStart w:id="609" w:name="_ENREF_83"/>
      <w:r w:rsidRPr="00B24FEE">
        <w:rPr>
          <w:noProof/>
        </w:rPr>
        <w:t xml:space="preserve">83. Health and Social Care Information Centre. Hospital Episode Statistics. Secondary Hospital Episode Statistics. </w:t>
      </w:r>
      <w:hyperlink r:id="rId50" w:history="1">
        <w:r w:rsidRPr="00B24FEE">
          <w:rPr>
            <w:rStyle w:val="Hyperlink"/>
            <w:noProof/>
            <w:lang w:val="en-GB"/>
          </w:rPr>
          <w:t>http://www.hscic.gov.uk/hes</w:t>
        </w:r>
      </w:hyperlink>
      <w:r w:rsidRPr="00B24FEE">
        <w:rPr>
          <w:noProof/>
        </w:rPr>
        <w:t>.</w:t>
      </w:r>
      <w:bookmarkEnd w:id="609"/>
    </w:p>
    <w:p w14:paraId="32882F92" w14:textId="77777777" w:rsidR="00B24FEE" w:rsidRPr="00B24FEE" w:rsidRDefault="00B24FEE" w:rsidP="00B24FEE">
      <w:pPr>
        <w:pStyle w:val="EndNoteBibliography"/>
        <w:spacing w:after="0"/>
        <w:ind w:left="720" w:hanging="720"/>
        <w:rPr>
          <w:noProof/>
        </w:rPr>
      </w:pPr>
      <w:bookmarkStart w:id="610" w:name="_ENREF_84"/>
      <w:r w:rsidRPr="00B24FEE">
        <w:rPr>
          <w:noProof/>
        </w:rPr>
        <w:t>84. Health Do. NHS Patient experience framework, 2012.</w:t>
      </w:r>
      <w:bookmarkEnd w:id="610"/>
    </w:p>
    <w:p w14:paraId="2D95B587" w14:textId="77777777" w:rsidR="00B24FEE" w:rsidRPr="00B24FEE" w:rsidRDefault="00B24FEE" w:rsidP="00B24FEE">
      <w:pPr>
        <w:pStyle w:val="EndNoteBibliography"/>
        <w:spacing w:after="0"/>
        <w:ind w:left="720" w:hanging="720"/>
        <w:rPr>
          <w:noProof/>
        </w:rPr>
      </w:pPr>
      <w:bookmarkStart w:id="611" w:name="_ENREF_85"/>
      <w:r w:rsidRPr="00B24FEE">
        <w:rPr>
          <w:noProof/>
        </w:rPr>
        <w:t>85. Sinclair E. Developing stroke-specific vocational rehabilitation: a soft systems analysis of current service provision. Disability &amp; Rehabilitation 2014;</w:t>
      </w:r>
      <w:r w:rsidRPr="00B24FEE">
        <w:rPr>
          <w:b/>
          <w:noProof/>
        </w:rPr>
        <w:t>36</w:t>
      </w:r>
      <w:r w:rsidRPr="00B24FEE">
        <w:rPr>
          <w:noProof/>
        </w:rPr>
        <w:t>(5):409-17.</w:t>
      </w:r>
      <w:bookmarkEnd w:id="611"/>
    </w:p>
    <w:p w14:paraId="6361CC70" w14:textId="77777777" w:rsidR="00B24FEE" w:rsidRPr="00B24FEE" w:rsidRDefault="00B24FEE" w:rsidP="00B24FEE">
      <w:pPr>
        <w:pStyle w:val="EndNoteBibliography"/>
        <w:spacing w:after="0"/>
        <w:ind w:left="720" w:hanging="720"/>
        <w:rPr>
          <w:noProof/>
        </w:rPr>
      </w:pPr>
      <w:bookmarkStart w:id="612" w:name="_ENREF_86"/>
      <w:r w:rsidRPr="00B24FEE">
        <w:rPr>
          <w:noProof/>
        </w:rPr>
        <w:t>86. Gridley K, Spiers G, Aspinal F, et al. Can general practitioner commissioning deliver equity and excellence? Evidence from two studies of service improvement in the English NHS. J Health Serv Res Policy 2012;</w:t>
      </w:r>
      <w:r w:rsidRPr="00B24FEE">
        <w:rPr>
          <w:b/>
          <w:noProof/>
        </w:rPr>
        <w:t>17</w:t>
      </w:r>
      <w:r w:rsidRPr="00B24FEE">
        <w:rPr>
          <w:noProof/>
        </w:rPr>
        <w:t>(2):87-93.</w:t>
      </w:r>
      <w:bookmarkEnd w:id="612"/>
    </w:p>
    <w:p w14:paraId="39ECE112" w14:textId="77777777" w:rsidR="00B24FEE" w:rsidRPr="00B24FEE" w:rsidRDefault="00B24FEE" w:rsidP="00B24FEE">
      <w:pPr>
        <w:pStyle w:val="EndNoteBibliography"/>
        <w:spacing w:after="0"/>
        <w:ind w:left="720" w:hanging="720"/>
        <w:rPr>
          <w:noProof/>
        </w:rPr>
      </w:pPr>
      <w:bookmarkStart w:id="613" w:name="_ENREF_87"/>
      <w:r w:rsidRPr="00B24FEE">
        <w:rPr>
          <w:noProof/>
        </w:rPr>
        <w:t>87. Taylor-Phillips S, Clarke A, Grove A, et al. Coproduction in commissioning decisions: is there an association with decision satisfaction for commissioners working in the NHS? A cross-sectional survey 2010/2011. BMJ Open 2014;</w:t>
      </w:r>
      <w:r w:rsidRPr="00B24FEE">
        <w:rPr>
          <w:b/>
          <w:noProof/>
        </w:rPr>
        <w:t>4</w:t>
      </w:r>
      <w:r w:rsidRPr="00B24FEE">
        <w:rPr>
          <w:noProof/>
        </w:rPr>
        <w:t>(6):e004810.</w:t>
      </w:r>
      <w:bookmarkEnd w:id="613"/>
    </w:p>
    <w:p w14:paraId="4F833718" w14:textId="77777777" w:rsidR="00B24FEE" w:rsidRPr="00B24FEE" w:rsidRDefault="00B24FEE" w:rsidP="00B24FEE">
      <w:pPr>
        <w:pStyle w:val="EndNoteBibliography"/>
        <w:spacing w:after="0"/>
        <w:ind w:left="720" w:hanging="720"/>
        <w:rPr>
          <w:noProof/>
        </w:rPr>
      </w:pPr>
      <w:bookmarkStart w:id="614" w:name="_ENREF_88"/>
      <w:r w:rsidRPr="00B24FEE">
        <w:rPr>
          <w:noProof/>
        </w:rPr>
        <w:t xml:space="preserve">88. </w:t>
      </w:r>
      <w:r w:rsidRPr="00B24FEE">
        <w:rPr>
          <w:i/>
          <w:noProof/>
        </w:rPr>
        <w:t>The SAGE Encyclopedia of Qualitative Research Methods. The SAGE Encyclopedia of Qualitative Research Methods. SAGE Publications, Inc</w:t>
      </w:r>
      <w:r w:rsidRPr="00B24FEE">
        <w:rPr>
          <w:noProof/>
        </w:rPr>
        <w:t>. Thousand Oaks, CA: SAGE Publications, Inc.</w:t>
      </w:r>
      <w:bookmarkEnd w:id="614"/>
    </w:p>
    <w:p w14:paraId="77E57F76" w14:textId="77777777" w:rsidR="00B24FEE" w:rsidRPr="00B24FEE" w:rsidRDefault="00B24FEE" w:rsidP="00B24FEE">
      <w:pPr>
        <w:pStyle w:val="EndNoteBibliography"/>
        <w:spacing w:after="0"/>
        <w:ind w:left="720" w:hanging="720"/>
        <w:rPr>
          <w:noProof/>
        </w:rPr>
      </w:pPr>
      <w:bookmarkStart w:id="615" w:name="_ENREF_89"/>
      <w:r w:rsidRPr="00B24FEE">
        <w:rPr>
          <w:noProof/>
        </w:rPr>
        <w:t>89. Kennie DC, Reid J, Richardson IR, et al. Effectiveness of geriatric rehabilitative care after fractures of the proximal femur in elderly women: a randomised clinical trial. BMJ 1988;</w:t>
      </w:r>
      <w:r w:rsidRPr="00B24FEE">
        <w:rPr>
          <w:b/>
          <w:noProof/>
        </w:rPr>
        <w:t>297</w:t>
      </w:r>
      <w:r w:rsidRPr="00B24FEE">
        <w:rPr>
          <w:noProof/>
        </w:rPr>
        <w:t>(6656):1083-6.</w:t>
      </w:r>
      <w:bookmarkEnd w:id="615"/>
    </w:p>
    <w:p w14:paraId="3A57D9B6" w14:textId="77777777" w:rsidR="00B24FEE" w:rsidRPr="00B24FEE" w:rsidRDefault="00B24FEE" w:rsidP="00B24FEE">
      <w:pPr>
        <w:pStyle w:val="EndNoteBibliography"/>
        <w:spacing w:after="0"/>
        <w:ind w:left="720" w:hanging="720"/>
        <w:rPr>
          <w:noProof/>
        </w:rPr>
      </w:pPr>
      <w:bookmarkStart w:id="616" w:name="_ENREF_90"/>
      <w:r w:rsidRPr="00B24FEE">
        <w:rPr>
          <w:noProof/>
        </w:rPr>
        <w:t>90. Gilchrist WJ, Newman RJ, Hamblen DL, et al. Prospective randomised study of an orthopaedic geriatric inpatient service. BMJ 1988;</w:t>
      </w:r>
      <w:r w:rsidRPr="00B24FEE">
        <w:rPr>
          <w:b/>
          <w:noProof/>
        </w:rPr>
        <w:t>297</w:t>
      </w:r>
      <w:r w:rsidRPr="00B24FEE">
        <w:rPr>
          <w:noProof/>
        </w:rPr>
        <w:t>(6656):1116-8.</w:t>
      </w:r>
      <w:bookmarkEnd w:id="616"/>
    </w:p>
    <w:p w14:paraId="57480118" w14:textId="77777777" w:rsidR="00B24FEE" w:rsidRPr="00B24FEE" w:rsidRDefault="00B24FEE" w:rsidP="00B24FEE">
      <w:pPr>
        <w:pStyle w:val="EndNoteBibliography"/>
        <w:spacing w:after="0"/>
        <w:ind w:left="720" w:hanging="720"/>
        <w:rPr>
          <w:noProof/>
        </w:rPr>
      </w:pPr>
      <w:bookmarkStart w:id="617" w:name="_ENREF_91"/>
      <w:r w:rsidRPr="00B24FEE">
        <w:rPr>
          <w:noProof/>
        </w:rPr>
        <w:t>91. Zeltzer J, Mitchell RJ, Toson B, et al. Orthogeriatric services associated with lower 30-day mortality for older patients who undergo surgery for hip fracture. Med J Aust 2014;</w:t>
      </w:r>
      <w:r w:rsidRPr="00B24FEE">
        <w:rPr>
          <w:b/>
          <w:noProof/>
        </w:rPr>
        <w:t>201</w:t>
      </w:r>
      <w:r w:rsidRPr="00B24FEE">
        <w:rPr>
          <w:noProof/>
        </w:rPr>
        <w:t>(7):409-11.</w:t>
      </w:r>
      <w:bookmarkEnd w:id="617"/>
    </w:p>
    <w:p w14:paraId="005ED7BB" w14:textId="77777777" w:rsidR="00B24FEE" w:rsidRPr="00B24FEE" w:rsidRDefault="00B24FEE" w:rsidP="00B24FEE">
      <w:pPr>
        <w:pStyle w:val="EndNoteBibliography"/>
        <w:spacing w:after="0"/>
        <w:ind w:left="720" w:hanging="720"/>
        <w:rPr>
          <w:noProof/>
        </w:rPr>
      </w:pPr>
      <w:bookmarkStart w:id="618" w:name="_ENREF_92"/>
      <w:r w:rsidRPr="00B24FEE">
        <w:rPr>
          <w:noProof/>
        </w:rPr>
        <w:t>92. Sale JEM, Beaton D, Posen J, et al. Systematic review on interventions to improve osteoporosis investigation and treatment in fragility fracture patients. Osteoporosis International: A Journal Established As Result Of Cooperation Between The European Foundation For Osteoporosis And The National Osteoporosis Foundation Of The USA 2011;</w:t>
      </w:r>
      <w:r w:rsidRPr="00B24FEE">
        <w:rPr>
          <w:b/>
          <w:noProof/>
        </w:rPr>
        <w:t>22</w:t>
      </w:r>
      <w:r w:rsidRPr="00B24FEE">
        <w:rPr>
          <w:noProof/>
        </w:rPr>
        <w:t>(7):2067-82.</w:t>
      </w:r>
      <w:bookmarkEnd w:id="618"/>
    </w:p>
    <w:p w14:paraId="5186C486" w14:textId="77777777" w:rsidR="00B24FEE" w:rsidRPr="00B24FEE" w:rsidRDefault="00B24FEE" w:rsidP="00B24FEE">
      <w:pPr>
        <w:pStyle w:val="EndNoteBibliography"/>
        <w:spacing w:after="0"/>
        <w:ind w:left="720" w:hanging="720"/>
        <w:rPr>
          <w:noProof/>
        </w:rPr>
      </w:pPr>
      <w:bookmarkStart w:id="619" w:name="_ENREF_93"/>
      <w:r w:rsidRPr="00B24FEE">
        <w:rPr>
          <w:noProof/>
        </w:rPr>
        <w:lastRenderedPageBreak/>
        <w:t>93. Dell RG, D. Schelkun, S. R. Williams, K. Osteoporosis disease management: the role of the orthopaedic surgeon. J Bone Joint Surg Am 2008;</w:t>
      </w:r>
      <w:r w:rsidRPr="00B24FEE">
        <w:rPr>
          <w:b/>
          <w:noProof/>
        </w:rPr>
        <w:t>90</w:t>
      </w:r>
      <w:r w:rsidRPr="00B24FEE">
        <w:rPr>
          <w:noProof/>
        </w:rPr>
        <w:t>(Suppl 4):188-94.</w:t>
      </w:r>
      <w:bookmarkEnd w:id="619"/>
    </w:p>
    <w:p w14:paraId="3A2E2D3C" w14:textId="77777777" w:rsidR="00B24FEE" w:rsidRPr="00B24FEE" w:rsidRDefault="00B24FEE" w:rsidP="00B24FEE">
      <w:pPr>
        <w:pStyle w:val="EndNoteBibliography"/>
        <w:spacing w:after="0"/>
        <w:ind w:left="720" w:hanging="720"/>
        <w:rPr>
          <w:noProof/>
        </w:rPr>
      </w:pPr>
      <w:bookmarkStart w:id="620" w:name="_ENREF_94"/>
      <w:r w:rsidRPr="00B24FEE">
        <w:rPr>
          <w:noProof/>
        </w:rPr>
        <w:t>94. Majumdar SR, Lier DA, Beaupre LA, et al. Osteoporosis case manager for patients with hip fractures: results of a cost-effectiveness analysis conducted alongside a randomized trial. Arch Intern Med 2009;</w:t>
      </w:r>
      <w:r w:rsidRPr="00B24FEE">
        <w:rPr>
          <w:b/>
          <w:noProof/>
        </w:rPr>
        <w:t>169</w:t>
      </w:r>
      <w:r w:rsidRPr="00B24FEE">
        <w:rPr>
          <w:noProof/>
        </w:rPr>
        <w:t>(1):25-31.</w:t>
      </w:r>
      <w:bookmarkEnd w:id="620"/>
    </w:p>
    <w:p w14:paraId="188A35E2" w14:textId="77777777" w:rsidR="00B24FEE" w:rsidRPr="00B24FEE" w:rsidRDefault="00B24FEE" w:rsidP="00B24FEE">
      <w:pPr>
        <w:pStyle w:val="EndNoteBibliography"/>
        <w:spacing w:after="0"/>
        <w:ind w:left="720" w:hanging="720"/>
        <w:rPr>
          <w:noProof/>
        </w:rPr>
      </w:pPr>
      <w:bookmarkStart w:id="621" w:name="_ENREF_95"/>
      <w:r w:rsidRPr="00B24FEE">
        <w:rPr>
          <w:noProof/>
        </w:rPr>
        <w:t>95. Sander B, Elliot-Gibson V, Beaton DE, et al. A coordinator program in post-fracture osteoporosis management improves outcomes and saves costs. J Bone Joint Surg Am 2008;</w:t>
      </w:r>
      <w:r w:rsidRPr="00B24FEE">
        <w:rPr>
          <w:b/>
          <w:noProof/>
        </w:rPr>
        <w:t>90</w:t>
      </w:r>
      <w:r w:rsidRPr="00B24FEE">
        <w:rPr>
          <w:noProof/>
        </w:rPr>
        <w:t>(6):1197-205.</w:t>
      </w:r>
      <w:bookmarkEnd w:id="621"/>
    </w:p>
    <w:p w14:paraId="0941E5D6" w14:textId="77777777" w:rsidR="00B24FEE" w:rsidRPr="00B24FEE" w:rsidRDefault="00B24FEE" w:rsidP="00B24FEE">
      <w:pPr>
        <w:pStyle w:val="EndNoteBibliography"/>
        <w:spacing w:after="0"/>
        <w:ind w:left="720" w:hanging="720"/>
        <w:rPr>
          <w:noProof/>
        </w:rPr>
      </w:pPr>
      <w:bookmarkStart w:id="622" w:name="_ENREF_96"/>
      <w:r w:rsidRPr="00B24FEE">
        <w:rPr>
          <w:noProof/>
        </w:rPr>
        <w:t>96. Sale JEM, Gignac MA, Hawker G, et al. Decision to take osteoporosis medication in patients who have had a fracture and are 'high' risk for future fracture: a qualitative study. BMC Musculoskeletal Disorders 2011;</w:t>
      </w:r>
      <w:r w:rsidRPr="00B24FEE">
        <w:rPr>
          <w:b/>
          <w:noProof/>
        </w:rPr>
        <w:t>12</w:t>
      </w:r>
      <w:r w:rsidRPr="00B24FEE">
        <w:rPr>
          <w:noProof/>
        </w:rPr>
        <w:t>:92-92.</w:t>
      </w:r>
      <w:bookmarkEnd w:id="622"/>
    </w:p>
    <w:p w14:paraId="401B0833" w14:textId="77777777" w:rsidR="00B24FEE" w:rsidRPr="00B24FEE" w:rsidRDefault="00B24FEE" w:rsidP="00B24FEE">
      <w:pPr>
        <w:pStyle w:val="EndNoteBibliography"/>
        <w:spacing w:after="0"/>
        <w:ind w:left="720" w:hanging="720"/>
        <w:rPr>
          <w:noProof/>
        </w:rPr>
      </w:pPr>
      <w:bookmarkStart w:id="623" w:name="_ENREF_97"/>
      <w:r w:rsidRPr="00B24FEE">
        <w:rPr>
          <w:noProof/>
        </w:rPr>
        <w:t>97. Sale JE, Beaton D, Posen J, et al. Key outcomes are usually not reported in published fracture secondary prevention programs: results of a systematic review. Arch Orthop Trauma Surg 2014;</w:t>
      </w:r>
      <w:r w:rsidRPr="00B24FEE">
        <w:rPr>
          <w:b/>
          <w:noProof/>
        </w:rPr>
        <w:t>134</w:t>
      </w:r>
      <w:r w:rsidRPr="00B24FEE">
        <w:rPr>
          <w:noProof/>
        </w:rPr>
        <w:t>(2):283-9.</w:t>
      </w:r>
      <w:bookmarkEnd w:id="623"/>
    </w:p>
    <w:p w14:paraId="681674FA" w14:textId="77777777" w:rsidR="00B24FEE" w:rsidRPr="00B24FEE" w:rsidRDefault="00B24FEE" w:rsidP="00B24FEE">
      <w:pPr>
        <w:pStyle w:val="EndNoteBibliography"/>
        <w:spacing w:after="0"/>
        <w:ind w:left="720" w:hanging="720"/>
        <w:rPr>
          <w:noProof/>
        </w:rPr>
      </w:pPr>
      <w:bookmarkStart w:id="624" w:name="_ENREF_98"/>
      <w:r w:rsidRPr="00B24FEE">
        <w:rPr>
          <w:noProof/>
        </w:rPr>
        <w:t>98. Huntjens KM, van Geel TC, Geusens PP, et al. Impact of guideline implementation by a fracture nurse on subsequent fractures and mortality in patients presenting with non-vertebral fractures. Injury 2011;</w:t>
      </w:r>
      <w:r w:rsidRPr="00B24FEE">
        <w:rPr>
          <w:b/>
          <w:noProof/>
        </w:rPr>
        <w:t>42 Suppl 4</w:t>
      </w:r>
      <w:r w:rsidRPr="00B24FEE">
        <w:rPr>
          <w:noProof/>
        </w:rPr>
        <w:t>:S39-43.</w:t>
      </w:r>
      <w:bookmarkEnd w:id="624"/>
    </w:p>
    <w:p w14:paraId="40927C9A" w14:textId="77777777" w:rsidR="00B24FEE" w:rsidRPr="00B24FEE" w:rsidRDefault="00B24FEE" w:rsidP="00B24FEE">
      <w:pPr>
        <w:pStyle w:val="EndNoteBibliography"/>
        <w:spacing w:after="0"/>
        <w:ind w:left="720" w:hanging="720"/>
        <w:rPr>
          <w:noProof/>
        </w:rPr>
      </w:pPr>
      <w:bookmarkStart w:id="625" w:name="_ENREF_99"/>
      <w:r w:rsidRPr="00B24FEE">
        <w:rPr>
          <w:noProof/>
        </w:rPr>
        <w:t>99. Van der Kallen J, Giles M, Cooper K, et al. A fracture prevention service reduces further fractures two years after incident minimal trauma fracture. Int J Rheum Dis 2014;</w:t>
      </w:r>
      <w:r w:rsidRPr="00B24FEE">
        <w:rPr>
          <w:b/>
          <w:noProof/>
        </w:rPr>
        <w:t>17</w:t>
      </w:r>
      <w:r w:rsidRPr="00B24FEE">
        <w:rPr>
          <w:noProof/>
        </w:rPr>
        <w:t>(2):195-203.</w:t>
      </w:r>
      <w:bookmarkEnd w:id="625"/>
    </w:p>
    <w:p w14:paraId="4EC2FB5B" w14:textId="77777777" w:rsidR="00B24FEE" w:rsidRPr="00B24FEE" w:rsidRDefault="00B24FEE" w:rsidP="00B24FEE">
      <w:pPr>
        <w:pStyle w:val="EndNoteBibliography"/>
        <w:spacing w:after="0"/>
        <w:ind w:left="720" w:hanging="720"/>
        <w:rPr>
          <w:noProof/>
        </w:rPr>
      </w:pPr>
      <w:bookmarkStart w:id="626" w:name="_ENREF_100"/>
      <w:r w:rsidRPr="00B24FEE">
        <w:rPr>
          <w:noProof/>
        </w:rPr>
        <w:t>100. Jandoc R, Burden AM, Mamdani M, et al. Interrupted time series analysis in drug utilization research is increasing: systematic review and recommendations. Journal of clinical epidemiology 2015;</w:t>
      </w:r>
      <w:r w:rsidRPr="00B24FEE">
        <w:rPr>
          <w:b/>
          <w:noProof/>
        </w:rPr>
        <w:t>68</w:t>
      </w:r>
      <w:r w:rsidRPr="00B24FEE">
        <w:rPr>
          <w:noProof/>
        </w:rPr>
        <w:t>(8):950-6.</w:t>
      </w:r>
      <w:bookmarkEnd w:id="626"/>
    </w:p>
    <w:p w14:paraId="2931C2FA" w14:textId="77777777" w:rsidR="00B24FEE" w:rsidRPr="00B24FEE" w:rsidRDefault="00B24FEE" w:rsidP="00B24FEE">
      <w:pPr>
        <w:pStyle w:val="EndNoteBibliography"/>
        <w:spacing w:after="0"/>
        <w:ind w:left="720" w:hanging="720"/>
        <w:rPr>
          <w:noProof/>
        </w:rPr>
      </w:pPr>
      <w:bookmarkStart w:id="627" w:name="_ENREF_101"/>
      <w:r w:rsidRPr="00B24FEE">
        <w:rPr>
          <w:noProof/>
        </w:rPr>
        <w:t>101. Cochrane Effective Practice and Organisation of Care Review Group: Data Collection Checklist.</w:t>
      </w:r>
      <w:bookmarkEnd w:id="627"/>
    </w:p>
    <w:p w14:paraId="7511C064" w14:textId="77777777" w:rsidR="00B24FEE" w:rsidRPr="00B24FEE" w:rsidRDefault="00B24FEE" w:rsidP="00B24FEE">
      <w:pPr>
        <w:pStyle w:val="EndNoteBibliography"/>
        <w:spacing w:after="0"/>
        <w:ind w:left="720" w:hanging="720"/>
        <w:rPr>
          <w:noProof/>
        </w:rPr>
      </w:pPr>
      <w:bookmarkStart w:id="628" w:name="_ENREF_102"/>
      <w:r w:rsidRPr="00B24FEE">
        <w:rPr>
          <w:noProof/>
        </w:rPr>
        <w:t>102. Wagner AK, Soumerai SB, Zhang F, et al. Segmented regression analysis of interrupted time series studies in medication use research. Journal of Clinical Pharmacy and Therapeutics 2002;</w:t>
      </w:r>
      <w:r w:rsidRPr="00B24FEE">
        <w:rPr>
          <w:b/>
          <w:noProof/>
        </w:rPr>
        <w:t>27</w:t>
      </w:r>
      <w:r w:rsidRPr="00B24FEE">
        <w:rPr>
          <w:noProof/>
        </w:rPr>
        <w:t>(4):299-309.</w:t>
      </w:r>
      <w:bookmarkEnd w:id="628"/>
    </w:p>
    <w:p w14:paraId="450EB8C9" w14:textId="77777777" w:rsidR="00B24FEE" w:rsidRPr="00B24FEE" w:rsidRDefault="00B24FEE" w:rsidP="00B24FEE">
      <w:pPr>
        <w:pStyle w:val="EndNoteBibliography"/>
        <w:spacing w:after="0"/>
        <w:ind w:left="720" w:hanging="720"/>
        <w:rPr>
          <w:noProof/>
        </w:rPr>
      </w:pPr>
      <w:bookmarkStart w:id="629" w:name="_ENREF_103"/>
      <w:r w:rsidRPr="00B24FEE">
        <w:rPr>
          <w:noProof/>
        </w:rPr>
        <w:t>103. Berry SD, Ngo L, Samelson EJ, et al. Competing risk of death: an important consideration in studies of older adults. J Am Geriatr Soc 2010;</w:t>
      </w:r>
      <w:r w:rsidRPr="00B24FEE">
        <w:rPr>
          <w:b/>
          <w:noProof/>
        </w:rPr>
        <w:t>58</w:t>
      </w:r>
      <w:r w:rsidRPr="00B24FEE">
        <w:rPr>
          <w:noProof/>
        </w:rPr>
        <w:t>(4):783-7.</w:t>
      </w:r>
      <w:bookmarkEnd w:id="629"/>
    </w:p>
    <w:p w14:paraId="60D3C59E" w14:textId="77777777" w:rsidR="00B24FEE" w:rsidRPr="00B24FEE" w:rsidRDefault="00B24FEE" w:rsidP="00B24FEE">
      <w:pPr>
        <w:pStyle w:val="EndNoteBibliography"/>
        <w:spacing w:after="0"/>
        <w:ind w:left="720" w:hanging="720"/>
        <w:rPr>
          <w:noProof/>
        </w:rPr>
      </w:pPr>
      <w:bookmarkStart w:id="630" w:name="_ENREF_104"/>
      <w:r w:rsidRPr="00B24FEE">
        <w:rPr>
          <w:noProof/>
        </w:rPr>
        <w:t>104. Fine JPG, R.J. A proportional hazards model for the subdistribution of a competing risk. Journal of the American Statistical Association 1999;</w:t>
      </w:r>
      <w:r w:rsidRPr="00B24FEE">
        <w:rPr>
          <w:b/>
          <w:noProof/>
        </w:rPr>
        <w:t>94</w:t>
      </w:r>
      <w:r w:rsidRPr="00B24FEE">
        <w:rPr>
          <w:noProof/>
        </w:rPr>
        <w:t>(446):496-509.</w:t>
      </w:r>
      <w:bookmarkEnd w:id="630"/>
    </w:p>
    <w:p w14:paraId="37512CFE" w14:textId="77777777" w:rsidR="00B24FEE" w:rsidRPr="00B24FEE" w:rsidRDefault="00B24FEE" w:rsidP="00B24FEE">
      <w:pPr>
        <w:pStyle w:val="EndNoteBibliography"/>
        <w:spacing w:after="0"/>
        <w:ind w:left="720" w:hanging="720"/>
        <w:rPr>
          <w:noProof/>
        </w:rPr>
      </w:pPr>
      <w:bookmarkStart w:id="631" w:name="_ENREF_105"/>
      <w:r w:rsidRPr="00B24FEE">
        <w:rPr>
          <w:noProof/>
        </w:rPr>
        <w:t>105. Altman DG, Andersen PK. Calculating the number needed to treat for trials where the outcome is time to an event. BMJ 1999;</w:t>
      </w:r>
      <w:r w:rsidRPr="00B24FEE">
        <w:rPr>
          <w:b/>
          <w:noProof/>
        </w:rPr>
        <w:t>319</w:t>
      </w:r>
      <w:r w:rsidRPr="00B24FEE">
        <w:rPr>
          <w:noProof/>
        </w:rPr>
        <w:t>(7223):1492-5.</w:t>
      </w:r>
      <w:bookmarkEnd w:id="631"/>
    </w:p>
    <w:p w14:paraId="4037EA02" w14:textId="77777777" w:rsidR="00B24FEE" w:rsidRPr="00B24FEE" w:rsidRDefault="00B24FEE" w:rsidP="00B24FEE">
      <w:pPr>
        <w:pStyle w:val="EndNoteBibliography"/>
        <w:spacing w:after="0"/>
        <w:ind w:left="720" w:hanging="720"/>
        <w:rPr>
          <w:noProof/>
        </w:rPr>
      </w:pPr>
      <w:bookmarkStart w:id="632" w:name="_ENREF_106"/>
      <w:r w:rsidRPr="00B24FEE">
        <w:rPr>
          <w:noProof/>
        </w:rPr>
        <w:t>106. Roche JJ, Wenn RT, Sahota O, et al. Effect of comorbidities and postoperative complications on mortality after hip fracture in elderly people: prospective observational cohort study. BMJ 2005;</w:t>
      </w:r>
      <w:r w:rsidRPr="00B24FEE">
        <w:rPr>
          <w:b/>
          <w:noProof/>
        </w:rPr>
        <w:t>331</w:t>
      </w:r>
      <w:r w:rsidRPr="00B24FEE">
        <w:rPr>
          <w:noProof/>
        </w:rPr>
        <w:t>(7529):1374.</w:t>
      </w:r>
      <w:bookmarkEnd w:id="632"/>
    </w:p>
    <w:p w14:paraId="3C19317C" w14:textId="77777777" w:rsidR="00B24FEE" w:rsidRPr="00B24FEE" w:rsidRDefault="00B24FEE" w:rsidP="00B24FEE">
      <w:pPr>
        <w:pStyle w:val="EndNoteBibliography"/>
        <w:spacing w:after="0"/>
        <w:ind w:left="720" w:hanging="720"/>
        <w:rPr>
          <w:noProof/>
        </w:rPr>
      </w:pPr>
      <w:bookmarkStart w:id="633" w:name="_ENREF_107"/>
      <w:r w:rsidRPr="00B24FEE">
        <w:rPr>
          <w:noProof/>
        </w:rPr>
        <w:t>107. Roberts SE, Goldacre MJ. Time trends and demography of mortality after fractured neck of femur in an English population, 1968-98: database study. BMJ 2003;</w:t>
      </w:r>
      <w:r w:rsidRPr="00B24FEE">
        <w:rPr>
          <w:b/>
          <w:noProof/>
        </w:rPr>
        <w:t>327</w:t>
      </w:r>
      <w:r w:rsidRPr="00B24FEE">
        <w:rPr>
          <w:noProof/>
        </w:rPr>
        <w:t>(7418):771-5.</w:t>
      </w:r>
      <w:bookmarkEnd w:id="633"/>
    </w:p>
    <w:p w14:paraId="2D8C24F6" w14:textId="77777777" w:rsidR="00B24FEE" w:rsidRPr="00B24FEE" w:rsidRDefault="00B24FEE" w:rsidP="00B24FEE">
      <w:pPr>
        <w:pStyle w:val="EndNoteBibliography"/>
        <w:spacing w:after="0"/>
        <w:ind w:left="720" w:hanging="720"/>
        <w:rPr>
          <w:noProof/>
        </w:rPr>
      </w:pPr>
      <w:bookmarkStart w:id="634" w:name="_ENREF_108"/>
      <w:r w:rsidRPr="00B24FEE">
        <w:rPr>
          <w:noProof/>
        </w:rPr>
        <w:t>108. Wu TY, Jen MH, Bottle A, et al. Admission rates and in-hospital mortality for hip fractures in England 1998 to 2009: time trends study. J Public Health (Oxf) 2011;</w:t>
      </w:r>
      <w:r w:rsidRPr="00B24FEE">
        <w:rPr>
          <w:b/>
          <w:noProof/>
        </w:rPr>
        <w:t>33</w:t>
      </w:r>
      <w:r w:rsidRPr="00B24FEE">
        <w:rPr>
          <w:noProof/>
        </w:rPr>
        <w:t>(2):284-91.</w:t>
      </w:r>
      <w:bookmarkEnd w:id="634"/>
    </w:p>
    <w:p w14:paraId="7472ACB5" w14:textId="77777777" w:rsidR="00B24FEE" w:rsidRPr="00B24FEE" w:rsidRDefault="00B24FEE" w:rsidP="00B24FEE">
      <w:pPr>
        <w:pStyle w:val="EndNoteBibliography"/>
        <w:spacing w:after="0"/>
        <w:ind w:left="720" w:hanging="720"/>
        <w:rPr>
          <w:noProof/>
        </w:rPr>
      </w:pPr>
      <w:bookmarkStart w:id="635" w:name="_ENREF_109"/>
      <w:r w:rsidRPr="00B24FEE">
        <w:rPr>
          <w:noProof/>
        </w:rPr>
        <w:t>109. Vestergaard P, Rejnmark L, Mosekilde L. Increased mortality in patients with a hip fracture-effect of pre-morbid conditions and post-fracture complications. Osteoporos Int 2007;</w:t>
      </w:r>
      <w:r w:rsidRPr="00B24FEE">
        <w:rPr>
          <w:b/>
          <w:noProof/>
        </w:rPr>
        <w:t>18</w:t>
      </w:r>
      <w:r w:rsidRPr="00B24FEE">
        <w:rPr>
          <w:noProof/>
        </w:rPr>
        <w:t>(12):1583-93.</w:t>
      </w:r>
      <w:bookmarkEnd w:id="635"/>
    </w:p>
    <w:p w14:paraId="6E58968F" w14:textId="77777777" w:rsidR="00B24FEE" w:rsidRPr="00B24FEE" w:rsidRDefault="00B24FEE" w:rsidP="00B24FEE">
      <w:pPr>
        <w:pStyle w:val="EndNoteBibliography"/>
        <w:spacing w:after="0"/>
        <w:ind w:left="720" w:hanging="720"/>
        <w:rPr>
          <w:noProof/>
        </w:rPr>
      </w:pPr>
      <w:bookmarkStart w:id="636" w:name="_ENREF_110"/>
      <w:r w:rsidRPr="00B24FEE">
        <w:rPr>
          <w:noProof/>
        </w:rPr>
        <w:t>110. Simunovic N, Devereaux PJ, Sprague S, et al. Effect of early surgery after hip fracture on mortality and complications: systematic review and meta-analysis. CMAJ 2010;</w:t>
      </w:r>
      <w:r w:rsidRPr="00B24FEE">
        <w:rPr>
          <w:b/>
          <w:noProof/>
        </w:rPr>
        <w:t>182</w:t>
      </w:r>
      <w:r w:rsidRPr="00B24FEE">
        <w:rPr>
          <w:noProof/>
        </w:rPr>
        <w:t>(15):1609-16.</w:t>
      </w:r>
      <w:bookmarkEnd w:id="636"/>
    </w:p>
    <w:p w14:paraId="5794E110" w14:textId="77777777" w:rsidR="00B24FEE" w:rsidRPr="00B24FEE" w:rsidRDefault="00B24FEE" w:rsidP="00B24FEE">
      <w:pPr>
        <w:pStyle w:val="EndNoteBibliography"/>
        <w:spacing w:after="0"/>
        <w:ind w:left="720" w:hanging="720"/>
        <w:rPr>
          <w:noProof/>
        </w:rPr>
      </w:pPr>
      <w:bookmarkStart w:id="637" w:name="_ENREF_111"/>
      <w:r w:rsidRPr="00B24FEE">
        <w:rPr>
          <w:noProof/>
        </w:rPr>
        <w:t>111. Marcantonio ER, Flacker JM, Wright RJ, et al. Reducing delirium after hip fracture: a randomized trial. J Am Geriatr Soc 2001;</w:t>
      </w:r>
      <w:r w:rsidRPr="00B24FEE">
        <w:rPr>
          <w:b/>
          <w:noProof/>
        </w:rPr>
        <w:t>49</w:t>
      </w:r>
      <w:r w:rsidRPr="00B24FEE">
        <w:rPr>
          <w:noProof/>
        </w:rPr>
        <w:t>(5):516-22.</w:t>
      </w:r>
      <w:bookmarkEnd w:id="637"/>
    </w:p>
    <w:p w14:paraId="058AF90F" w14:textId="77777777" w:rsidR="00B24FEE" w:rsidRPr="00B24FEE" w:rsidRDefault="00B24FEE" w:rsidP="00B24FEE">
      <w:pPr>
        <w:pStyle w:val="EndNoteBibliography"/>
        <w:spacing w:after="0"/>
        <w:ind w:left="720" w:hanging="720"/>
        <w:rPr>
          <w:noProof/>
        </w:rPr>
      </w:pPr>
      <w:bookmarkStart w:id="638" w:name="_ENREF_112"/>
      <w:r w:rsidRPr="00B24FEE">
        <w:rPr>
          <w:noProof/>
        </w:rPr>
        <w:t>112. Vidan M, Serra JA, Moreno C, et al. Efficacy of a comprehensive geriatric intervention in older patients hospitalized for hip fracture: a randomized, controlled trial. J Am Geriatr Soc 2005;</w:t>
      </w:r>
      <w:r w:rsidRPr="00B24FEE">
        <w:rPr>
          <w:b/>
          <w:noProof/>
        </w:rPr>
        <w:t>53</w:t>
      </w:r>
      <w:r w:rsidRPr="00B24FEE">
        <w:rPr>
          <w:noProof/>
        </w:rPr>
        <w:t>(9):1476-82.</w:t>
      </w:r>
      <w:bookmarkEnd w:id="638"/>
    </w:p>
    <w:p w14:paraId="3F816A8C" w14:textId="77777777" w:rsidR="00B24FEE" w:rsidRPr="00B24FEE" w:rsidRDefault="00B24FEE" w:rsidP="00B24FEE">
      <w:pPr>
        <w:pStyle w:val="EndNoteBibliography"/>
        <w:spacing w:after="0"/>
        <w:ind w:left="720" w:hanging="720"/>
        <w:rPr>
          <w:noProof/>
        </w:rPr>
      </w:pPr>
      <w:bookmarkStart w:id="639" w:name="_ENREF_113"/>
      <w:r w:rsidRPr="00B24FEE">
        <w:rPr>
          <w:noProof/>
        </w:rPr>
        <w:lastRenderedPageBreak/>
        <w:t>113. Lyles KW, Col√≥n-Emeric CS, Magaziner JS, et al. Zoledronic Acid and Clinical Fractures and Mortality after Hip Fracture. New England Journal of Medicine 2007;</w:t>
      </w:r>
      <w:r w:rsidRPr="00B24FEE">
        <w:rPr>
          <w:b/>
          <w:noProof/>
        </w:rPr>
        <w:t>357</w:t>
      </w:r>
      <w:r w:rsidRPr="00B24FEE">
        <w:rPr>
          <w:noProof/>
        </w:rPr>
        <w:t>(18):1799-809.</w:t>
      </w:r>
      <w:bookmarkEnd w:id="639"/>
    </w:p>
    <w:p w14:paraId="62E15C3E" w14:textId="77777777" w:rsidR="00B24FEE" w:rsidRPr="00B24FEE" w:rsidRDefault="00B24FEE" w:rsidP="00B24FEE">
      <w:pPr>
        <w:pStyle w:val="EndNoteBibliography"/>
        <w:spacing w:after="0"/>
        <w:ind w:left="720" w:hanging="720"/>
        <w:rPr>
          <w:noProof/>
        </w:rPr>
      </w:pPr>
      <w:bookmarkStart w:id="640" w:name="_ENREF_114"/>
      <w:r w:rsidRPr="00B24FEE">
        <w:rPr>
          <w:noProof/>
        </w:rPr>
        <w:t>114. Colon-Emeric CS, Mesenbrink P, Lyles KW, et al. Potential mediators of the mortality reduction with zoledronic acid after hip fracture. J Bone Miner Res 2010;</w:t>
      </w:r>
      <w:r w:rsidRPr="00B24FEE">
        <w:rPr>
          <w:b/>
          <w:noProof/>
        </w:rPr>
        <w:t>25</w:t>
      </w:r>
      <w:r w:rsidRPr="00B24FEE">
        <w:rPr>
          <w:noProof/>
        </w:rPr>
        <w:t>(1):91-7.</w:t>
      </w:r>
      <w:bookmarkEnd w:id="640"/>
    </w:p>
    <w:p w14:paraId="7A9C9920" w14:textId="77777777" w:rsidR="00B24FEE" w:rsidRPr="00B24FEE" w:rsidRDefault="00B24FEE" w:rsidP="00B24FEE">
      <w:pPr>
        <w:pStyle w:val="EndNoteBibliography"/>
        <w:spacing w:after="0"/>
        <w:ind w:left="720" w:hanging="720"/>
        <w:rPr>
          <w:noProof/>
        </w:rPr>
      </w:pPr>
      <w:bookmarkStart w:id="641" w:name="_ENREF_115"/>
      <w:r w:rsidRPr="00B24FEE">
        <w:rPr>
          <w:noProof/>
        </w:rPr>
        <w:t xml:space="preserve">115. Huntjens KMBvG, T.A.C.M. van den Bergh, J.P.W. van Helden, S. Willems, Brink P.R.J. </w:t>
      </w:r>
      <w:r w:rsidRPr="00B24FEE">
        <w:rPr>
          <w:i/>
          <w:noProof/>
        </w:rPr>
        <w:t xml:space="preserve">et al. </w:t>
      </w:r>
      <w:r w:rsidRPr="00B24FEE">
        <w:rPr>
          <w:noProof/>
        </w:rPr>
        <w:t>. Fracture Liaison Service: Impact on Subsequent Nonvertebral Fracture Incidence and Mortality. J Bone Joint Surg Am 2015;</w:t>
      </w:r>
      <w:r w:rsidRPr="00B24FEE">
        <w:rPr>
          <w:b/>
          <w:noProof/>
        </w:rPr>
        <w:t>96</w:t>
      </w:r>
      <w:r w:rsidRPr="00B24FEE">
        <w:rPr>
          <w:noProof/>
        </w:rPr>
        <w:t>(e29):1-8.</w:t>
      </w:r>
      <w:bookmarkEnd w:id="641"/>
    </w:p>
    <w:p w14:paraId="64AB6253" w14:textId="77777777" w:rsidR="00B24FEE" w:rsidRPr="00B24FEE" w:rsidRDefault="00B24FEE" w:rsidP="00B24FEE">
      <w:pPr>
        <w:pStyle w:val="EndNoteBibliography"/>
        <w:spacing w:after="0"/>
        <w:ind w:left="720" w:hanging="720"/>
        <w:rPr>
          <w:noProof/>
        </w:rPr>
      </w:pPr>
      <w:bookmarkStart w:id="642" w:name="_ENREF_116"/>
      <w:r w:rsidRPr="00B24FEE">
        <w:rPr>
          <w:noProof/>
        </w:rPr>
        <w:t>116. Lawrence TM, Wenn R, Boulton CT, et al. Age-specific incidence of first and second fractures of the hip. J Bone Joint Surg Br 2010;</w:t>
      </w:r>
      <w:r w:rsidRPr="00B24FEE">
        <w:rPr>
          <w:b/>
          <w:noProof/>
        </w:rPr>
        <w:t>92</w:t>
      </w:r>
      <w:r w:rsidRPr="00B24FEE">
        <w:rPr>
          <w:noProof/>
        </w:rPr>
        <w:t>(2):258-61.</w:t>
      </w:r>
      <w:bookmarkEnd w:id="642"/>
    </w:p>
    <w:p w14:paraId="1DE7F42E" w14:textId="77777777" w:rsidR="00B24FEE" w:rsidRPr="00B24FEE" w:rsidRDefault="00B24FEE" w:rsidP="00B24FEE">
      <w:pPr>
        <w:pStyle w:val="EndNoteBibliography"/>
        <w:spacing w:after="0"/>
        <w:ind w:left="720" w:hanging="720"/>
        <w:rPr>
          <w:noProof/>
        </w:rPr>
      </w:pPr>
      <w:bookmarkStart w:id="643" w:name="_ENREF_117"/>
      <w:r w:rsidRPr="00B24FEE">
        <w:rPr>
          <w:noProof/>
        </w:rPr>
        <w:t>117. Chapurlat RD, Bauer DC, Nevitt M, et al. Incidence and risk factors for a second hip fracture in elderly women. The Study of Osteoporotic Fractures. Osteoporos Int 2003;</w:t>
      </w:r>
      <w:r w:rsidRPr="00B24FEE">
        <w:rPr>
          <w:b/>
          <w:noProof/>
        </w:rPr>
        <w:t>14</w:t>
      </w:r>
      <w:r w:rsidRPr="00B24FEE">
        <w:rPr>
          <w:noProof/>
        </w:rPr>
        <w:t>(2):130-6.</w:t>
      </w:r>
      <w:bookmarkEnd w:id="643"/>
    </w:p>
    <w:p w14:paraId="668F3D02" w14:textId="77777777" w:rsidR="00B24FEE" w:rsidRPr="00B24FEE" w:rsidRDefault="00B24FEE" w:rsidP="00B24FEE">
      <w:pPr>
        <w:pStyle w:val="EndNoteBibliography"/>
        <w:spacing w:after="0"/>
        <w:ind w:left="720" w:hanging="720"/>
        <w:rPr>
          <w:noProof/>
        </w:rPr>
      </w:pPr>
      <w:bookmarkStart w:id="644" w:name="_ENREF_118"/>
      <w:r w:rsidRPr="00B24FEE">
        <w:rPr>
          <w:noProof/>
        </w:rPr>
        <w:t>118. Melton LJ, 3rd, Ilstrup DM, Beckenbaugh RD, et al. Hip fracture recurrence. A population-based study. Clin Orthop Relat Res 1982(167):131-8.</w:t>
      </w:r>
      <w:bookmarkEnd w:id="644"/>
    </w:p>
    <w:p w14:paraId="20246DB0" w14:textId="77777777" w:rsidR="00B24FEE" w:rsidRPr="00B24FEE" w:rsidRDefault="00B24FEE" w:rsidP="00B24FEE">
      <w:pPr>
        <w:pStyle w:val="EndNoteBibliography"/>
        <w:spacing w:after="0"/>
        <w:ind w:left="720" w:hanging="720"/>
        <w:rPr>
          <w:noProof/>
        </w:rPr>
      </w:pPr>
      <w:bookmarkStart w:id="645" w:name="_ENREF_119"/>
      <w:r w:rsidRPr="00B24FEE">
        <w:rPr>
          <w:noProof/>
        </w:rPr>
        <w:t>119. Li L, Roddam A, Gitlin M, et al. Persistence with osteoporosis medications among postmenopausal women in the UK General Practice Research Database. Menopause 2012;</w:t>
      </w:r>
      <w:r w:rsidRPr="00B24FEE">
        <w:rPr>
          <w:b/>
          <w:noProof/>
        </w:rPr>
        <w:t>19</w:t>
      </w:r>
      <w:r w:rsidRPr="00B24FEE">
        <w:rPr>
          <w:noProof/>
        </w:rPr>
        <w:t>(1):33-40.</w:t>
      </w:r>
      <w:bookmarkEnd w:id="645"/>
    </w:p>
    <w:p w14:paraId="3090CB5C" w14:textId="77777777" w:rsidR="00B24FEE" w:rsidRPr="00B24FEE" w:rsidRDefault="00B24FEE" w:rsidP="00B24FEE">
      <w:pPr>
        <w:pStyle w:val="EndNoteBibliography"/>
        <w:spacing w:after="0"/>
        <w:ind w:left="720" w:hanging="720"/>
        <w:rPr>
          <w:noProof/>
        </w:rPr>
      </w:pPr>
      <w:bookmarkStart w:id="646" w:name="_ENREF_120"/>
      <w:r w:rsidRPr="00B24FEE">
        <w:rPr>
          <w:noProof/>
        </w:rPr>
        <w:t>120. Inderjeeth CA, Chan K, Kwan K, et al. Time to onset of efficacy in fracture reduction with current anti-osteoporosis treatments. J Bone Miner Metab 2012;</w:t>
      </w:r>
      <w:r w:rsidRPr="00B24FEE">
        <w:rPr>
          <w:b/>
          <w:noProof/>
        </w:rPr>
        <w:t>30</w:t>
      </w:r>
      <w:r w:rsidRPr="00B24FEE">
        <w:rPr>
          <w:noProof/>
        </w:rPr>
        <w:t>(5):493-503.</w:t>
      </w:r>
      <w:bookmarkEnd w:id="646"/>
    </w:p>
    <w:p w14:paraId="3DD65AC5" w14:textId="77777777" w:rsidR="00B24FEE" w:rsidRPr="00B24FEE" w:rsidRDefault="00B24FEE" w:rsidP="00B24FEE">
      <w:pPr>
        <w:pStyle w:val="EndNoteBibliography"/>
        <w:spacing w:after="0"/>
        <w:ind w:left="720" w:hanging="720"/>
        <w:rPr>
          <w:noProof/>
        </w:rPr>
      </w:pPr>
      <w:bookmarkStart w:id="647" w:name="_ENREF_121"/>
      <w:r w:rsidRPr="00B24FEE">
        <w:rPr>
          <w:noProof/>
        </w:rPr>
        <w:t>121. Langridge CR, McQuillian C, Watson WS, et al. Refracture following fracture liaison service assessment illustrates the requirement for integrated falls and fracture services. Calcified Tissue International 2007;</w:t>
      </w:r>
      <w:r w:rsidRPr="00B24FEE">
        <w:rPr>
          <w:b/>
          <w:noProof/>
        </w:rPr>
        <w:t>81</w:t>
      </w:r>
      <w:r w:rsidRPr="00B24FEE">
        <w:rPr>
          <w:noProof/>
        </w:rPr>
        <w:t>(2):85-91.</w:t>
      </w:r>
      <w:bookmarkEnd w:id="647"/>
    </w:p>
    <w:p w14:paraId="636502F1" w14:textId="77777777" w:rsidR="00B24FEE" w:rsidRPr="00B24FEE" w:rsidRDefault="00B24FEE" w:rsidP="00B24FEE">
      <w:pPr>
        <w:pStyle w:val="EndNoteBibliography"/>
        <w:spacing w:after="0"/>
        <w:ind w:left="720" w:hanging="720"/>
        <w:rPr>
          <w:noProof/>
        </w:rPr>
      </w:pPr>
      <w:bookmarkStart w:id="648" w:name="_ENREF_122"/>
      <w:r w:rsidRPr="00B24FEE">
        <w:rPr>
          <w:noProof/>
        </w:rPr>
        <w:t>122. Nymark T, Lauritsen JM, Ovesen O, et al. Short time-frame from first to second hip fracture in the Funen County Hip Fracture Study. Osteoporos Int 2006;</w:t>
      </w:r>
      <w:r w:rsidRPr="00B24FEE">
        <w:rPr>
          <w:b/>
          <w:noProof/>
        </w:rPr>
        <w:t>17</w:t>
      </w:r>
      <w:r w:rsidRPr="00B24FEE">
        <w:rPr>
          <w:noProof/>
        </w:rPr>
        <w:t>(9):1353-7.</w:t>
      </w:r>
      <w:bookmarkEnd w:id="648"/>
    </w:p>
    <w:p w14:paraId="352ECD6A" w14:textId="77777777" w:rsidR="00B24FEE" w:rsidRPr="00B24FEE" w:rsidRDefault="00B24FEE" w:rsidP="00B24FEE">
      <w:pPr>
        <w:pStyle w:val="EndNoteBibliography"/>
        <w:spacing w:after="0"/>
        <w:ind w:left="720" w:hanging="720"/>
        <w:rPr>
          <w:noProof/>
        </w:rPr>
      </w:pPr>
      <w:bookmarkStart w:id="649" w:name="_ENREF_123"/>
      <w:r w:rsidRPr="00B24FEE">
        <w:rPr>
          <w:noProof/>
        </w:rPr>
        <w:t>123. Curtis JR, Arora T, Matthews RS, et al. Is withholding osteoporosis medication after fracture sometimes rational? A comparison of the risk for second fracture versus death. J Am Med Dir Assoc 2010;</w:t>
      </w:r>
      <w:r w:rsidRPr="00B24FEE">
        <w:rPr>
          <w:b/>
          <w:noProof/>
        </w:rPr>
        <w:t>11</w:t>
      </w:r>
      <w:r w:rsidRPr="00B24FEE">
        <w:rPr>
          <w:noProof/>
        </w:rPr>
        <w:t>(8):584-91.</w:t>
      </w:r>
      <w:bookmarkEnd w:id="649"/>
    </w:p>
    <w:p w14:paraId="5F8B2AA1" w14:textId="77777777" w:rsidR="00B24FEE" w:rsidRPr="00B24FEE" w:rsidRDefault="00B24FEE" w:rsidP="00B24FEE">
      <w:pPr>
        <w:pStyle w:val="EndNoteBibliography"/>
        <w:spacing w:after="0"/>
        <w:ind w:left="720" w:hanging="720"/>
        <w:rPr>
          <w:noProof/>
        </w:rPr>
      </w:pPr>
      <w:bookmarkStart w:id="650" w:name="_ENREF_124"/>
      <w:r w:rsidRPr="00B24FEE">
        <w:rPr>
          <w:noProof/>
        </w:rPr>
        <w:t>124. Gibson-Smith D, Klop C, Elders PJ, et al. The risk of major and any (non-hip) fragility fracture after hip fracture in the United Kingdom: 2000-2010. Osteoporos Int 2014;</w:t>
      </w:r>
      <w:r w:rsidRPr="00B24FEE">
        <w:rPr>
          <w:b/>
          <w:noProof/>
        </w:rPr>
        <w:t>25</w:t>
      </w:r>
      <w:r w:rsidRPr="00B24FEE">
        <w:rPr>
          <w:noProof/>
        </w:rPr>
        <w:t>(11):2555-63.</w:t>
      </w:r>
      <w:bookmarkEnd w:id="650"/>
    </w:p>
    <w:p w14:paraId="78EF5B7F" w14:textId="77777777" w:rsidR="00B24FEE" w:rsidRPr="00B24FEE" w:rsidRDefault="00B24FEE" w:rsidP="00B24FEE">
      <w:pPr>
        <w:pStyle w:val="EndNoteBibliography"/>
        <w:spacing w:after="0"/>
        <w:ind w:left="720" w:hanging="720"/>
        <w:rPr>
          <w:noProof/>
        </w:rPr>
      </w:pPr>
      <w:bookmarkStart w:id="651" w:name="_ENREF_125"/>
      <w:r w:rsidRPr="00B24FEE">
        <w:rPr>
          <w:noProof/>
        </w:rPr>
        <w:t>125. Whitworth JA. Best practices in use of research evidence to inform health decisions. Health Res Policy Syst 2006;</w:t>
      </w:r>
      <w:r w:rsidRPr="00B24FEE">
        <w:rPr>
          <w:b/>
          <w:noProof/>
        </w:rPr>
        <w:t>4</w:t>
      </w:r>
      <w:r w:rsidRPr="00B24FEE">
        <w:rPr>
          <w:noProof/>
        </w:rPr>
        <w:t>:11.</w:t>
      </w:r>
      <w:bookmarkEnd w:id="651"/>
    </w:p>
    <w:p w14:paraId="1195FE64" w14:textId="77777777" w:rsidR="00B24FEE" w:rsidRPr="00B24FEE" w:rsidRDefault="00B24FEE" w:rsidP="00B24FEE">
      <w:pPr>
        <w:pStyle w:val="EndNoteBibliography"/>
        <w:spacing w:after="0"/>
        <w:ind w:left="720" w:hanging="720"/>
        <w:rPr>
          <w:noProof/>
        </w:rPr>
      </w:pPr>
      <w:bookmarkStart w:id="652" w:name="_ENREF_126"/>
      <w:r w:rsidRPr="00B24FEE">
        <w:rPr>
          <w:noProof/>
        </w:rPr>
        <w:t>126. Penfold RB, Zhang F. Use of interrupted time series analysis in evaluating health care quality improvements. Acad Pediatr 2013;</w:t>
      </w:r>
      <w:r w:rsidRPr="00B24FEE">
        <w:rPr>
          <w:b/>
          <w:noProof/>
        </w:rPr>
        <w:t>13</w:t>
      </w:r>
      <w:r w:rsidRPr="00B24FEE">
        <w:rPr>
          <w:noProof/>
        </w:rPr>
        <w:t>(6 Suppl):S38-44.</w:t>
      </w:r>
      <w:bookmarkEnd w:id="652"/>
    </w:p>
    <w:p w14:paraId="424D017E" w14:textId="77777777" w:rsidR="00B24FEE" w:rsidRPr="00B24FEE" w:rsidRDefault="00B24FEE" w:rsidP="00B24FEE">
      <w:pPr>
        <w:pStyle w:val="EndNoteBibliography"/>
        <w:spacing w:after="0"/>
        <w:ind w:left="720" w:hanging="720"/>
        <w:rPr>
          <w:noProof/>
        </w:rPr>
      </w:pPr>
      <w:bookmarkStart w:id="653" w:name="_ENREF_127"/>
      <w:r w:rsidRPr="00B24FEE">
        <w:rPr>
          <w:noProof/>
        </w:rPr>
        <w:t>127. Van Staa TP, Abenhaim L, Cooper C, et al. The use of a large pharmacoepidemiological database to study exposure to oral corticosteroids and risk of fractures: validation of study population and results. Pharmacoepidemiology and Drug Safety 2000;</w:t>
      </w:r>
      <w:r w:rsidRPr="00B24FEE">
        <w:rPr>
          <w:b/>
          <w:noProof/>
        </w:rPr>
        <w:t>9</w:t>
      </w:r>
      <w:r w:rsidRPr="00B24FEE">
        <w:rPr>
          <w:noProof/>
        </w:rPr>
        <w:t>(5):359-66.</w:t>
      </w:r>
      <w:bookmarkEnd w:id="653"/>
    </w:p>
    <w:p w14:paraId="1F3F1D56" w14:textId="77777777" w:rsidR="00B24FEE" w:rsidRPr="00B24FEE" w:rsidRDefault="00B24FEE" w:rsidP="00B24FEE">
      <w:pPr>
        <w:pStyle w:val="EndNoteBibliography"/>
        <w:spacing w:after="0"/>
        <w:ind w:left="720" w:hanging="720"/>
        <w:rPr>
          <w:noProof/>
        </w:rPr>
      </w:pPr>
      <w:bookmarkStart w:id="654" w:name="_ENREF_128"/>
      <w:r w:rsidRPr="00B24FEE">
        <w:rPr>
          <w:noProof/>
        </w:rPr>
        <w:t>128. Johnell O, Kanis J. An estimate of the worldwide prevalence and disability associated with osteoporotic fractures. Osteoporosis International 2006;</w:t>
      </w:r>
      <w:r w:rsidRPr="00B24FEE">
        <w:rPr>
          <w:b/>
          <w:noProof/>
        </w:rPr>
        <w:t>17</w:t>
      </w:r>
      <w:r w:rsidRPr="00B24FEE">
        <w:rPr>
          <w:noProof/>
        </w:rPr>
        <w:t>(12):1726-33.</w:t>
      </w:r>
      <w:bookmarkEnd w:id="654"/>
    </w:p>
    <w:p w14:paraId="5355288F" w14:textId="77777777" w:rsidR="00B24FEE" w:rsidRPr="00B24FEE" w:rsidRDefault="00B24FEE" w:rsidP="00B24FEE">
      <w:pPr>
        <w:pStyle w:val="EndNoteBibliography"/>
        <w:spacing w:after="0"/>
        <w:ind w:left="720" w:hanging="720"/>
        <w:rPr>
          <w:noProof/>
        </w:rPr>
      </w:pPr>
      <w:bookmarkStart w:id="655" w:name="_ENREF_129"/>
      <w:r w:rsidRPr="00B24FEE">
        <w:rPr>
          <w:noProof/>
        </w:rPr>
        <w:t>129. Hernlund E, Svedbom A, Ivergard M, et al. Osteoporosis in the European Union: medical management, epidemiology and economic burden. A report prepared in collaboration with the International Osteoporosis Foundation (IOF) and the European Federation of Pharmaceutical Industry Associations (EFPIA). Arch Osteoporos 2013;</w:t>
      </w:r>
      <w:r w:rsidRPr="00B24FEE">
        <w:rPr>
          <w:b/>
          <w:noProof/>
        </w:rPr>
        <w:t>8</w:t>
      </w:r>
      <w:r w:rsidRPr="00B24FEE">
        <w:rPr>
          <w:noProof/>
        </w:rPr>
        <w:t>:136.</w:t>
      </w:r>
      <w:bookmarkEnd w:id="655"/>
    </w:p>
    <w:p w14:paraId="0501D842" w14:textId="77777777" w:rsidR="00B24FEE" w:rsidRPr="00B24FEE" w:rsidRDefault="00B24FEE" w:rsidP="00B24FEE">
      <w:pPr>
        <w:pStyle w:val="EndNoteBibliography"/>
        <w:spacing w:after="0"/>
        <w:ind w:left="720" w:hanging="720"/>
        <w:rPr>
          <w:noProof/>
        </w:rPr>
      </w:pPr>
      <w:bookmarkStart w:id="656" w:name="_ENREF_130"/>
      <w:r w:rsidRPr="00B24FEE">
        <w:rPr>
          <w:noProof/>
        </w:rPr>
        <w:t>130. Burge RTW, D. Johansen, A. Bhattacharyya, S. Bose, U. . The cost of osteoporotic fractures in the UK: projections for 2000–2020. J Med Econ 2001;</w:t>
      </w:r>
      <w:r w:rsidRPr="00B24FEE">
        <w:rPr>
          <w:b/>
          <w:noProof/>
        </w:rPr>
        <w:t>4</w:t>
      </w:r>
      <w:r w:rsidRPr="00B24FEE">
        <w:rPr>
          <w:noProof/>
        </w:rPr>
        <w:t>:51-62.</w:t>
      </w:r>
      <w:bookmarkEnd w:id="656"/>
    </w:p>
    <w:p w14:paraId="32D21B71" w14:textId="77777777" w:rsidR="00B24FEE" w:rsidRPr="00B24FEE" w:rsidRDefault="00B24FEE" w:rsidP="00B24FEE">
      <w:pPr>
        <w:pStyle w:val="EndNoteBibliography"/>
        <w:spacing w:after="0"/>
        <w:ind w:left="720" w:hanging="720"/>
        <w:rPr>
          <w:noProof/>
        </w:rPr>
      </w:pPr>
      <w:bookmarkStart w:id="657" w:name="_ENREF_131"/>
      <w:r w:rsidRPr="00B24FEE">
        <w:rPr>
          <w:noProof/>
        </w:rPr>
        <w:t>131. Gutierrez L, Roskell N, Castellsague J, et al. Study of the incremental cost and clinical burden of hip fractures in postmenopausal women in the United Kingdom. J Med Econ 2011;</w:t>
      </w:r>
      <w:r w:rsidRPr="00B24FEE">
        <w:rPr>
          <w:b/>
          <w:noProof/>
        </w:rPr>
        <w:t>14</w:t>
      </w:r>
      <w:r w:rsidRPr="00B24FEE">
        <w:rPr>
          <w:noProof/>
        </w:rPr>
        <w:t>(1):99-107.</w:t>
      </w:r>
      <w:bookmarkEnd w:id="657"/>
    </w:p>
    <w:p w14:paraId="4173921F" w14:textId="77777777" w:rsidR="00B24FEE" w:rsidRPr="00B24FEE" w:rsidRDefault="00B24FEE" w:rsidP="00B24FEE">
      <w:pPr>
        <w:pStyle w:val="EndNoteBibliography"/>
        <w:spacing w:after="0"/>
        <w:ind w:left="720" w:hanging="720"/>
        <w:rPr>
          <w:noProof/>
        </w:rPr>
      </w:pPr>
      <w:bookmarkStart w:id="658" w:name="_ENREF_132"/>
      <w:r w:rsidRPr="00B24FEE">
        <w:rPr>
          <w:noProof/>
        </w:rPr>
        <w:t>132. Sahota O, Morgan N, Moran CG. The direct cost of acute hip fracture care in care home residents in the UK. Osteoporos Int 2012;</w:t>
      </w:r>
      <w:r w:rsidRPr="00B24FEE">
        <w:rPr>
          <w:b/>
          <w:noProof/>
        </w:rPr>
        <w:t>23</w:t>
      </w:r>
      <w:r w:rsidRPr="00B24FEE">
        <w:rPr>
          <w:noProof/>
        </w:rPr>
        <w:t>(3):917-20.</w:t>
      </w:r>
      <w:bookmarkEnd w:id="658"/>
    </w:p>
    <w:p w14:paraId="09B98176" w14:textId="77777777" w:rsidR="00B24FEE" w:rsidRPr="00B24FEE" w:rsidRDefault="00B24FEE" w:rsidP="00B24FEE">
      <w:pPr>
        <w:pStyle w:val="EndNoteBibliography"/>
        <w:spacing w:after="0"/>
        <w:ind w:left="720" w:hanging="720"/>
        <w:rPr>
          <w:noProof/>
        </w:rPr>
      </w:pPr>
      <w:bookmarkStart w:id="659" w:name="_ENREF_133"/>
      <w:r w:rsidRPr="00B24FEE">
        <w:rPr>
          <w:noProof/>
        </w:rPr>
        <w:t>133. Thakar C, Alsousou J, Hamilton TW, et al. The cost and consequences of proximal femoral fractures which require further surgery following initial fixation. J Bone Joint Surg Br 2010;</w:t>
      </w:r>
      <w:r w:rsidRPr="00B24FEE">
        <w:rPr>
          <w:b/>
          <w:noProof/>
        </w:rPr>
        <w:t>92</w:t>
      </w:r>
      <w:r w:rsidRPr="00B24FEE">
        <w:rPr>
          <w:noProof/>
        </w:rPr>
        <w:t>(12):1669-77.</w:t>
      </w:r>
      <w:bookmarkEnd w:id="659"/>
    </w:p>
    <w:p w14:paraId="2CA8494F" w14:textId="77777777" w:rsidR="00B24FEE" w:rsidRPr="00B24FEE" w:rsidRDefault="00B24FEE" w:rsidP="00B24FEE">
      <w:pPr>
        <w:pStyle w:val="EndNoteBibliography"/>
        <w:spacing w:after="0"/>
        <w:ind w:left="720" w:hanging="720"/>
        <w:rPr>
          <w:noProof/>
        </w:rPr>
      </w:pPr>
      <w:bookmarkStart w:id="660" w:name="_ENREF_134"/>
      <w:r w:rsidRPr="00B24FEE">
        <w:rPr>
          <w:noProof/>
        </w:rPr>
        <w:lastRenderedPageBreak/>
        <w:t>134. Kazi HA, Acharya A. Comparison of trauma and elective income in a district general hospital. British Journal of Medical Practitioners. British Journal of Medical Practitioners 2011;</w:t>
      </w:r>
      <w:r w:rsidRPr="00B24FEE">
        <w:rPr>
          <w:b/>
          <w:noProof/>
        </w:rPr>
        <w:t>4</w:t>
      </w:r>
      <w:r w:rsidRPr="00B24FEE">
        <w:rPr>
          <w:noProof/>
        </w:rPr>
        <w:t>(4).</w:t>
      </w:r>
      <w:bookmarkEnd w:id="660"/>
    </w:p>
    <w:p w14:paraId="4F113371" w14:textId="77777777" w:rsidR="00B24FEE" w:rsidRPr="00B24FEE" w:rsidRDefault="00B24FEE" w:rsidP="00B24FEE">
      <w:pPr>
        <w:pStyle w:val="EndNoteBibliography"/>
        <w:spacing w:after="0"/>
        <w:ind w:left="720" w:hanging="720"/>
        <w:rPr>
          <w:noProof/>
        </w:rPr>
      </w:pPr>
      <w:bookmarkStart w:id="661" w:name="_ENREF_135"/>
      <w:r w:rsidRPr="00B24FEE">
        <w:rPr>
          <w:noProof/>
        </w:rPr>
        <w:t>135. Hippisley-Cox JV, Y. Trends in Consultation Rates in General Practice 1995/1996 to 2008/2009: Analysis of the QResearch® database, 2009.</w:t>
      </w:r>
      <w:bookmarkEnd w:id="661"/>
    </w:p>
    <w:p w14:paraId="61EF446D" w14:textId="77777777" w:rsidR="00B24FEE" w:rsidRPr="00B24FEE" w:rsidRDefault="00B24FEE" w:rsidP="00B24FEE">
      <w:pPr>
        <w:pStyle w:val="EndNoteBibliography"/>
        <w:spacing w:after="0"/>
        <w:ind w:left="720" w:hanging="720"/>
        <w:rPr>
          <w:noProof/>
        </w:rPr>
      </w:pPr>
      <w:bookmarkStart w:id="662" w:name="_ENREF_136"/>
      <w:r w:rsidRPr="00B24FEE">
        <w:rPr>
          <w:noProof/>
        </w:rPr>
        <w:t>136. Violato M, Gray A, Papanicolas I, et al. Resource use and costs associated with coeliac disease before and after diagnosis in 3,646 cases: results of a UK primary care database analysis. PLoS One 2012;</w:t>
      </w:r>
      <w:r w:rsidRPr="00B24FEE">
        <w:rPr>
          <w:b/>
          <w:noProof/>
        </w:rPr>
        <w:t>7</w:t>
      </w:r>
      <w:r w:rsidRPr="00B24FEE">
        <w:rPr>
          <w:noProof/>
        </w:rPr>
        <w:t>(7):e41308.</w:t>
      </w:r>
      <w:bookmarkEnd w:id="662"/>
    </w:p>
    <w:p w14:paraId="3320E34A" w14:textId="77777777" w:rsidR="00B24FEE" w:rsidRPr="00B24FEE" w:rsidRDefault="00B24FEE" w:rsidP="00B24FEE">
      <w:pPr>
        <w:pStyle w:val="EndNoteBibliography"/>
        <w:spacing w:after="0"/>
        <w:ind w:left="720" w:hanging="720"/>
        <w:rPr>
          <w:noProof/>
        </w:rPr>
      </w:pPr>
      <w:bookmarkStart w:id="663" w:name="_ENREF_137"/>
      <w:r w:rsidRPr="00B24FEE">
        <w:rPr>
          <w:noProof/>
        </w:rPr>
        <w:t>137. Curtis LH. Unit costs of health and social care 2013: Personal Social Services Research Unit, 2013.</w:t>
      </w:r>
      <w:bookmarkEnd w:id="663"/>
    </w:p>
    <w:p w14:paraId="0FBC519F" w14:textId="77777777" w:rsidR="00B24FEE" w:rsidRPr="00B24FEE" w:rsidRDefault="00B24FEE" w:rsidP="00B24FEE">
      <w:pPr>
        <w:pStyle w:val="EndNoteBibliography"/>
        <w:spacing w:after="0"/>
        <w:ind w:left="720" w:hanging="720"/>
        <w:rPr>
          <w:noProof/>
        </w:rPr>
      </w:pPr>
      <w:bookmarkStart w:id="664" w:name="_ENREF_138"/>
      <w:r w:rsidRPr="00B24FEE">
        <w:rPr>
          <w:noProof/>
        </w:rPr>
        <w:t xml:space="preserve">138. Royal Pharmaceutical Society. British National Formulary BNF Categories. Secondary British National Formulary BNF Categories. </w:t>
      </w:r>
      <w:hyperlink r:id="rId51" w:history="1">
        <w:r w:rsidRPr="00B24FEE">
          <w:rPr>
            <w:rStyle w:val="Hyperlink"/>
            <w:noProof/>
            <w:lang w:val="en-GB"/>
          </w:rPr>
          <w:t>http://www.bnf.org/bnf/org_450080.htm</w:t>
        </w:r>
      </w:hyperlink>
      <w:r w:rsidRPr="00B24FEE">
        <w:rPr>
          <w:noProof/>
        </w:rPr>
        <w:t>.</w:t>
      </w:r>
      <w:bookmarkEnd w:id="664"/>
    </w:p>
    <w:p w14:paraId="4693FC08" w14:textId="77777777" w:rsidR="00B24FEE" w:rsidRPr="00B24FEE" w:rsidRDefault="00B24FEE" w:rsidP="00B24FEE">
      <w:pPr>
        <w:pStyle w:val="EndNoteBibliography"/>
        <w:spacing w:after="0"/>
        <w:ind w:left="720" w:hanging="720"/>
        <w:rPr>
          <w:noProof/>
        </w:rPr>
      </w:pPr>
      <w:bookmarkStart w:id="665" w:name="_ENREF_139"/>
      <w:r w:rsidRPr="00B24FEE">
        <w:rPr>
          <w:noProof/>
        </w:rPr>
        <w:t>139. Health and Social Care Information Centre. Prescription Cost Analysis, England, 2013.</w:t>
      </w:r>
      <w:bookmarkEnd w:id="665"/>
    </w:p>
    <w:p w14:paraId="36388C62" w14:textId="77777777" w:rsidR="00B24FEE" w:rsidRPr="00B24FEE" w:rsidRDefault="00B24FEE" w:rsidP="00B24FEE">
      <w:pPr>
        <w:pStyle w:val="EndNoteBibliography"/>
        <w:spacing w:after="0"/>
        <w:ind w:left="720" w:hanging="720"/>
        <w:rPr>
          <w:noProof/>
        </w:rPr>
      </w:pPr>
      <w:bookmarkStart w:id="666" w:name="_ENREF_140"/>
      <w:r w:rsidRPr="00B24FEE">
        <w:rPr>
          <w:noProof/>
        </w:rPr>
        <w:t>140. Health &amp; Social Care Information Centre  Casemix Grouper, 2013.</w:t>
      </w:r>
      <w:bookmarkEnd w:id="666"/>
    </w:p>
    <w:p w14:paraId="326E5E66" w14:textId="77777777" w:rsidR="00B24FEE" w:rsidRPr="00B24FEE" w:rsidRDefault="00B24FEE" w:rsidP="00B24FEE">
      <w:pPr>
        <w:pStyle w:val="EndNoteBibliography"/>
        <w:spacing w:after="0"/>
        <w:ind w:left="720" w:hanging="720"/>
        <w:rPr>
          <w:noProof/>
        </w:rPr>
      </w:pPr>
      <w:bookmarkStart w:id="667" w:name="_ENREF_141"/>
      <w:r w:rsidRPr="00B24FEE">
        <w:rPr>
          <w:noProof/>
        </w:rPr>
        <w:t>141. Department of Health. NHS reference costs 2009-2010, 2011.</w:t>
      </w:r>
      <w:bookmarkEnd w:id="667"/>
    </w:p>
    <w:p w14:paraId="4F283DE1" w14:textId="77777777" w:rsidR="00B24FEE" w:rsidRPr="00B24FEE" w:rsidRDefault="00B24FEE" w:rsidP="00B24FEE">
      <w:pPr>
        <w:pStyle w:val="EndNoteBibliography"/>
        <w:spacing w:after="0"/>
        <w:ind w:left="720" w:hanging="720"/>
        <w:rPr>
          <w:noProof/>
        </w:rPr>
      </w:pPr>
      <w:bookmarkStart w:id="668" w:name="_ENREF_142"/>
      <w:r w:rsidRPr="00B24FEE">
        <w:rPr>
          <w:noProof/>
        </w:rPr>
        <w:t>142. Lin DY. Linear regression analysis of censored medical costs. Biostatistics 2000;</w:t>
      </w:r>
      <w:r w:rsidRPr="00B24FEE">
        <w:rPr>
          <w:b/>
          <w:noProof/>
        </w:rPr>
        <w:t>1</w:t>
      </w:r>
      <w:r w:rsidRPr="00B24FEE">
        <w:rPr>
          <w:noProof/>
        </w:rPr>
        <w:t>(1):35-47.</w:t>
      </w:r>
      <w:bookmarkEnd w:id="668"/>
    </w:p>
    <w:p w14:paraId="55DABDE0" w14:textId="77777777" w:rsidR="00B24FEE" w:rsidRPr="00B24FEE" w:rsidRDefault="00B24FEE" w:rsidP="00B24FEE">
      <w:pPr>
        <w:pStyle w:val="EndNoteBibliography"/>
        <w:spacing w:after="0"/>
        <w:ind w:left="720" w:hanging="720"/>
        <w:rPr>
          <w:noProof/>
        </w:rPr>
      </w:pPr>
      <w:bookmarkStart w:id="669" w:name="_ENREF_143"/>
      <w:r w:rsidRPr="00B24FEE">
        <w:rPr>
          <w:noProof/>
        </w:rPr>
        <w:t>143. Charlson ME, Pompei P, Ales KL, et al. A new method of classifying prognostic comorbidity in longitudinal studies: development and validation. J Chronic Dis 1987;</w:t>
      </w:r>
      <w:r w:rsidRPr="00B24FEE">
        <w:rPr>
          <w:b/>
          <w:noProof/>
        </w:rPr>
        <w:t>40</w:t>
      </w:r>
      <w:r w:rsidRPr="00B24FEE">
        <w:rPr>
          <w:noProof/>
        </w:rPr>
        <w:t>(5):373-83.</w:t>
      </w:r>
      <w:bookmarkEnd w:id="669"/>
    </w:p>
    <w:p w14:paraId="43B30BBF" w14:textId="77777777" w:rsidR="00B24FEE" w:rsidRPr="00B24FEE" w:rsidRDefault="00B24FEE" w:rsidP="00B24FEE">
      <w:pPr>
        <w:pStyle w:val="EndNoteBibliography"/>
        <w:spacing w:after="0"/>
        <w:ind w:left="720" w:hanging="720"/>
        <w:rPr>
          <w:noProof/>
        </w:rPr>
      </w:pPr>
      <w:bookmarkStart w:id="670" w:name="_ENREF_144"/>
      <w:r w:rsidRPr="00B24FEE">
        <w:rPr>
          <w:noProof/>
        </w:rPr>
        <w:t>144. National Joint Registry OPCS Codes relevant to procedures recorded in the NJR. Version 3, 2013.</w:t>
      </w:r>
      <w:bookmarkEnd w:id="670"/>
    </w:p>
    <w:p w14:paraId="46D68244" w14:textId="77777777" w:rsidR="00B24FEE" w:rsidRPr="00B24FEE" w:rsidRDefault="00B24FEE" w:rsidP="00B24FEE">
      <w:pPr>
        <w:pStyle w:val="EndNoteBibliography"/>
        <w:spacing w:after="0"/>
        <w:ind w:left="720" w:hanging="720"/>
        <w:rPr>
          <w:noProof/>
        </w:rPr>
      </w:pPr>
      <w:bookmarkStart w:id="671" w:name="_ENREF_145"/>
      <w:r w:rsidRPr="00B24FEE">
        <w:rPr>
          <w:noProof/>
        </w:rPr>
        <w:t>145. Iglesias CP, Manca A, Torgerson DJ. The health-related quality of life and cost implications of falls in elderly women. Osteoporos Int 2009;</w:t>
      </w:r>
      <w:r w:rsidRPr="00B24FEE">
        <w:rPr>
          <w:b/>
          <w:noProof/>
        </w:rPr>
        <w:t>20</w:t>
      </w:r>
      <w:r w:rsidRPr="00B24FEE">
        <w:rPr>
          <w:noProof/>
        </w:rPr>
        <w:t>(6):869-78.</w:t>
      </w:r>
      <w:bookmarkEnd w:id="671"/>
    </w:p>
    <w:p w14:paraId="2E50496A" w14:textId="77777777" w:rsidR="00B24FEE" w:rsidRPr="00B24FEE" w:rsidRDefault="00B24FEE" w:rsidP="00B24FEE">
      <w:pPr>
        <w:pStyle w:val="EndNoteBibliography"/>
        <w:spacing w:after="0"/>
        <w:ind w:left="720" w:hanging="720"/>
        <w:rPr>
          <w:noProof/>
        </w:rPr>
      </w:pPr>
      <w:bookmarkStart w:id="672" w:name="_ENREF_146"/>
      <w:r w:rsidRPr="00B24FEE">
        <w:rPr>
          <w:noProof/>
        </w:rPr>
        <w:t>146. Lawrence TM, White CT, Wenn R, et al. The current hospital costs of treating hip fractures. Injury 2005;</w:t>
      </w:r>
      <w:r w:rsidRPr="00B24FEE">
        <w:rPr>
          <w:b/>
          <w:noProof/>
        </w:rPr>
        <w:t>36</w:t>
      </w:r>
      <w:r w:rsidRPr="00B24FEE">
        <w:rPr>
          <w:noProof/>
        </w:rPr>
        <w:t>(1):88-91.</w:t>
      </w:r>
      <w:bookmarkEnd w:id="672"/>
    </w:p>
    <w:p w14:paraId="591D31C3" w14:textId="77777777" w:rsidR="00B24FEE" w:rsidRPr="00B24FEE" w:rsidRDefault="00B24FEE" w:rsidP="00B24FEE">
      <w:pPr>
        <w:pStyle w:val="EndNoteBibliography"/>
        <w:spacing w:after="0"/>
        <w:ind w:left="720" w:hanging="720"/>
        <w:rPr>
          <w:noProof/>
        </w:rPr>
      </w:pPr>
      <w:bookmarkStart w:id="673" w:name="_ENREF_147"/>
      <w:r w:rsidRPr="00B24FEE">
        <w:rPr>
          <w:noProof/>
        </w:rPr>
        <w:t>147. Luengo-Fernandez R, Gray AM, Rothwell PM. A population-based study of hospital care costs during 5 years after transient ischemic attack and stroke. Stroke 2012;</w:t>
      </w:r>
      <w:r w:rsidRPr="00B24FEE">
        <w:rPr>
          <w:b/>
          <w:noProof/>
        </w:rPr>
        <w:t>43</w:t>
      </w:r>
      <w:r w:rsidRPr="00B24FEE">
        <w:rPr>
          <w:noProof/>
        </w:rPr>
        <w:t>(12):3343-51.</w:t>
      </w:r>
      <w:bookmarkEnd w:id="673"/>
    </w:p>
    <w:p w14:paraId="500ADFE7" w14:textId="77777777" w:rsidR="00B24FEE" w:rsidRPr="00B24FEE" w:rsidRDefault="00B24FEE" w:rsidP="00B24FEE">
      <w:pPr>
        <w:pStyle w:val="EndNoteBibliography"/>
        <w:spacing w:after="0"/>
        <w:ind w:left="720" w:hanging="720"/>
        <w:rPr>
          <w:noProof/>
        </w:rPr>
      </w:pPr>
      <w:bookmarkStart w:id="674" w:name="_ENREF_148"/>
      <w:r w:rsidRPr="00B24FEE">
        <w:rPr>
          <w:noProof/>
        </w:rPr>
        <w:t>148. Hansen L, Mathiesen AS, Vestergaard P, et al. A health economic analysis of osteoporotic fractures: who carries the burden? Arch Osteoporos 2013;</w:t>
      </w:r>
      <w:r w:rsidRPr="00B24FEE">
        <w:rPr>
          <w:b/>
          <w:noProof/>
        </w:rPr>
        <w:t>8</w:t>
      </w:r>
      <w:r w:rsidRPr="00B24FEE">
        <w:rPr>
          <w:noProof/>
        </w:rPr>
        <w:t>:126.</w:t>
      </w:r>
      <w:bookmarkEnd w:id="674"/>
    </w:p>
    <w:p w14:paraId="4C3C877F" w14:textId="77777777" w:rsidR="00B24FEE" w:rsidRPr="00B24FEE" w:rsidRDefault="00B24FEE" w:rsidP="00B24FEE">
      <w:pPr>
        <w:pStyle w:val="EndNoteBibliography"/>
        <w:spacing w:after="0"/>
        <w:ind w:left="720" w:hanging="720"/>
        <w:rPr>
          <w:noProof/>
        </w:rPr>
      </w:pPr>
      <w:bookmarkStart w:id="675" w:name="_ENREF_149"/>
      <w:r w:rsidRPr="00B24FEE">
        <w:rPr>
          <w:noProof/>
        </w:rPr>
        <w:t>149. Barendregt JJ. The half-cycle correction: banish rather than explain it. Med Decis Making 2009;</w:t>
      </w:r>
      <w:r w:rsidRPr="00B24FEE">
        <w:rPr>
          <w:b/>
          <w:noProof/>
        </w:rPr>
        <w:t>29</w:t>
      </w:r>
      <w:r w:rsidRPr="00B24FEE">
        <w:rPr>
          <w:noProof/>
        </w:rPr>
        <w:t>(4):500-2.</w:t>
      </w:r>
      <w:bookmarkEnd w:id="675"/>
    </w:p>
    <w:p w14:paraId="4926E02A" w14:textId="77777777" w:rsidR="00B24FEE" w:rsidRPr="00B24FEE" w:rsidRDefault="00B24FEE" w:rsidP="00B24FEE">
      <w:pPr>
        <w:pStyle w:val="EndNoteBibliography"/>
        <w:spacing w:after="0"/>
        <w:ind w:left="720" w:hanging="720"/>
        <w:rPr>
          <w:noProof/>
        </w:rPr>
      </w:pPr>
      <w:bookmarkStart w:id="676" w:name="_ENREF_150"/>
      <w:r w:rsidRPr="00B24FEE">
        <w:rPr>
          <w:noProof/>
        </w:rPr>
        <w:t>150. Hayes AJ, Leal J, Gray AM, et al. UKPDS outcomes model 2: a new version of a model to simulate lifetime health outcomes of patients with type 2 diabetes mellitus using data from the 30 year United Kingdom Prospective Diabetes Study: UKPDS 82. Diabetologia 2013;</w:t>
      </w:r>
      <w:r w:rsidRPr="00B24FEE">
        <w:rPr>
          <w:b/>
          <w:noProof/>
        </w:rPr>
        <w:t>56</w:t>
      </w:r>
      <w:r w:rsidRPr="00B24FEE">
        <w:rPr>
          <w:noProof/>
        </w:rPr>
        <w:t>(9):1925-33.</w:t>
      </w:r>
      <w:bookmarkEnd w:id="676"/>
    </w:p>
    <w:p w14:paraId="73727A9B" w14:textId="77777777" w:rsidR="00B24FEE" w:rsidRPr="00B24FEE" w:rsidRDefault="00B24FEE" w:rsidP="00B24FEE">
      <w:pPr>
        <w:pStyle w:val="EndNoteBibliography"/>
        <w:spacing w:after="0"/>
        <w:ind w:left="720" w:hanging="720"/>
        <w:rPr>
          <w:noProof/>
        </w:rPr>
      </w:pPr>
      <w:bookmarkStart w:id="677" w:name="_ENREF_151"/>
      <w:r w:rsidRPr="00B24FEE">
        <w:rPr>
          <w:noProof/>
        </w:rPr>
        <w:t>151. Scoenfeld D. Partial residuals for the proportional hazards regression model. Biometrika 1982;</w:t>
      </w:r>
      <w:r w:rsidRPr="00B24FEE">
        <w:rPr>
          <w:b/>
          <w:noProof/>
        </w:rPr>
        <w:t>69</w:t>
      </w:r>
      <w:r w:rsidRPr="00B24FEE">
        <w:rPr>
          <w:noProof/>
        </w:rPr>
        <w:t>:239-41.</w:t>
      </w:r>
      <w:bookmarkEnd w:id="677"/>
    </w:p>
    <w:p w14:paraId="09D673DD" w14:textId="77777777" w:rsidR="00B24FEE" w:rsidRPr="00B24FEE" w:rsidRDefault="00B24FEE" w:rsidP="00B24FEE">
      <w:pPr>
        <w:pStyle w:val="EndNoteBibliography"/>
        <w:spacing w:after="0"/>
        <w:ind w:left="720" w:hanging="720"/>
        <w:rPr>
          <w:noProof/>
        </w:rPr>
      </w:pPr>
      <w:bookmarkStart w:id="678" w:name="_ENREF_152"/>
      <w:r w:rsidRPr="00B24FEE">
        <w:rPr>
          <w:noProof/>
        </w:rPr>
        <w:t>152. Pregibon D. Resistant fits for some commonly used logistic models with medical application. Biometrics 1982;</w:t>
      </w:r>
      <w:r w:rsidRPr="00B24FEE">
        <w:rPr>
          <w:b/>
          <w:noProof/>
        </w:rPr>
        <w:t>38</w:t>
      </w:r>
      <w:r w:rsidRPr="00B24FEE">
        <w:rPr>
          <w:noProof/>
        </w:rPr>
        <w:t>(2):485-98.</w:t>
      </w:r>
      <w:bookmarkEnd w:id="678"/>
    </w:p>
    <w:p w14:paraId="032799F7" w14:textId="77777777" w:rsidR="00B24FEE" w:rsidRPr="00B24FEE" w:rsidRDefault="00B24FEE" w:rsidP="00B24FEE">
      <w:pPr>
        <w:pStyle w:val="EndNoteBibliography"/>
        <w:spacing w:after="0"/>
        <w:ind w:left="720" w:hanging="720"/>
        <w:rPr>
          <w:noProof/>
        </w:rPr>
      </w:pPr>
      <w:bookmarkStart w:id="679" w:name="_ENREF_153"/>
      <w:r w:rsidRPr="00B24FEE">
        <w:rPr>
          <w:noProof/>
        </w:rPr>
        <w:t>153. Claxton K, Posnett J. An economic approach to clinical trial design and research priority-setting. Health Econ 1996;</w:t>
      </w:r>
      <w:r w:rsidRPr="00B24FEE">
        <w:rPr>
          <w:b/>
          <w:noProof/>
        </w:rPr>
        <w:t>5</w:t>
      </w:r>
      <w:r w:rsidRPr="00B24FEE">
        <w:rPr>
          <w:noProof/>
        </w:rPr>
        <w:t>(6):513-24.</w:t>
      </w:r>
      <w:bookmarkEnd w:id="679"/>
    </w:p>
    <w:p w14:paraId="214A4072" w14:textId="77777777" w:rsidR="00B24FEE" w:rsidRPr="00B24FEE" w:rsidRDefault="00B24FEE" w:rsidP="00B24FEE">
      <w:pPr>
        <w:pStyle w:val="EndNoteBibliography"/>
        <w:spacing w:after="0"/>
        <w:ind w:left="720" w:hanging="720"/>
        <w:rPr>
          <w:noProof/>
        </w:rPr>
      </w:pPr>
      <w:bookmarkStart w:id="680" w:name="_ENREF_154"/>
      <w:r w:rsidRPr="00B24FEE">
        <w:rPr>
          <w:noProof/>
        </w:rPr>
        <w:t xml:space="preserve">154. Briggs AS, M. Claxton, K. </w:t>
      </w:r>
      <w:r w:rsidRPr="00B24FEE">
        <w:rPr>
          <w:i/>
          <w:noProof/>
        </w:rPr>
        <w:t>Decision Modelling for Health Economic Evaluation</w:t>
      </w:r>
      <w:r w:rsidRPr="00B24FEE">
        <w:rPr>
          <w:noProof/>
        </w:rPr>
        <w:t>: Oxford University Press, 2006.</w:t>
      </w:r>
      <w:bookmarkEnd w:id="680"/>
    </w:p>
    <w:p w14:paraId="3897133C" w14:textId="77777777" w:rsidR="00B24FEE" w:rsidRPr="00B24FEE" w:rsidRDefault="00B24FEE" w:rsidP="00B24FEE">
      <w:pPr>
        <w:pStyle w:val="EndNoteBibliography"/>
        <w:spacing w:after="0"/>
        <w:ind w:left="720" w:hanging="720"/>
        <w:rPr>
          <w:noProof/>
        </w:rPr>
      </w:pPr>
      <w:bookmarkStart w:id="681" w:name="_ENREF_155"/>
      <w:r w:rsidRPr="00B24FEE">
        <w:rPr>
          <w:noProof/>
        </w:rPr>
        <w:t>155. Fenwick EC, K. Sculpher, M. . Representing uncertainty: the role of cost-effectiveness acceptability curves. Health Economics 2001;</w:t>
      </w:r>
      <w:r w:rsidRPr="00B24FEE">
        <w:rPr>
          <w:b/>
          <w:noProof/>
        </w:rPr>
        <w:t>10</w:t>
      </w:r>
      <w:r w:rsidRPr="00B24FEE">
        <w:rPr>
          <w:noProof/>
        </w:rPr>
        <w:t>(8):779-87.</w:t>
      </w:r>
      <w:bookmarkEnd w:id="681"/>
    </w:p>
    <w:p w14:paraId="16C9A9A9" w14:textId="77777777" w:rsidR="00B24FEE" w:rsidRPr="00B24FEE" w:rsidRDefault="00B24FEE" w:rsidP="00B24FEE">
      <w:pPr>
        <w:pStyle w:val="EndNoteBibliography"/>
        <w:spacing w:after="0"/>
        <w:ind w:left="720" w:hanging="720"/>
        <w:rPr>
          <w:noProof/>
        </w:rPr>
      </w:pPr>
      <w:bookmarkStart w:id="682" w:name="_ENREF_156"/>
      <w:r w:rsidRPr="00B24FEE">
        <w:rPr>
          <w:noProof/>
        </w:rPr>
        <w:t>156. Siebert U, Alagoz O, Bayoumi AM, et al. State-transition modeling: a report of the ISPOR-SMDM Modeling Good Research Practices Task Force--3. Value Health 2012;</w:t>
      </w:r>
      <w:r w:rsidRPr="00B24FEE">
        <w:rPr>
          <w:b/>
          <w:noProof/>
        </w:rPr>
        <w:t>15</w:t>
      </w:r>
      <w:r w:rsidRPr="00B24FEE">
        <w:rPr>
          <w:noProof/>
        </w:rPr>
        <w:t>(6):812-20.</w:t>
      </w:r>
      <w:bookmarkEnd w:id="682"/>
    </w:p>
    <w:p w14:paraId="517E6919" w14:textId="77777777" w:rsidR="00B24FEE" w:rsidRPr="00B24FEE" w:rsidRDefault="00B24FEE" w:rsidP="00B24FEE">
      <w:pPr>
        <w:pStyle w:val="EndNoteBibliography"/>
        <w:spacing w:after="0"/>
        <w:ind w:left="720" w:hanging="720"/>
        <w:rPr>
          <w:noProof/>
        </w:rPr>
      </w:pPr>
      <w:bookmarkStart w:id="683" w:name="_ENREF_157"/>
      <w:r w:rsidRPr="00B24FEE">
        <w:rPr>
          <w:noProof/>
        </w:rPr>
        <w:t>157. Ganda K, Schaffer A, Pearson S, et al. Compliance and persistence to oral bisphosphonate therapy following initiation within a secondary fracture prevention program: a randomised controlled trial of specialist vs. non-specialist management. Osteoporos Int 2014;</w:t>
      </w:r>
      <w:r w:rsidRPr="00B24FEE">
        <w:rPr>
          <w:b/>
          <w:noProof/>
        </w:rPr>
        <w:t>25</w:t>
      </w:r>
      <w:r w:rsidRPr="00B24FEE">
        <w:rPr>
          <w:noProof/>
        </w:rPr>
        <w:t>(4):1345-55.</w:t>
      </w:r>
      <w:bookmarkEnd w:id="683"/>
    </w:p>
    <w:p w14:paraId="7992C077" w14:textId="77777777" w:rsidR="00B24FEE" w:rsidRPr="00B24FEE" w:rsidRDefault="00B24FEE" w:rsidP="00B24FEE">
      <w:pPr>
        <w:pStyle w:val="EndNoteBibliography"/>
        <w:ind w:left="720" w:hanging="720"/>
        <w:rPr>
          <w:noProof/>
        </w:rPr>
      </w:pPr>
      <w:bookmarkStart w:id="684" w:name="_ENREF_158"/>
      <w:r w:rsidRPr="00B24FEE">
        <w:rPr>
          <w:noProof/>
        </w:rPr>
        <w:t>158. White HJ, Bettiol SS, Perera R, et al. A systematic review assessing the effectiveness of interventions to improve persistence with anti-resorptive therapy in women at high risk of clinical fracture. Fam Pract 2010;</w:t>
      </w:r>
      <w:r w:rsidRPr="00B24FEE">
        <w:rPr>
          <w:b/>
          <w:noProof/>
        </w:rPr>
        <w:t>27</w:t>
      </w:r>
      <w:r w:rsidRPr="00B24FEE">
        <w:rPr>
          <w:noProof/>
        </w:rPr>
        <w:t>(6):593-603.</w:t>
      </w:r>
      <w:bookmarkEnd w:id="684"/>
    </w:p>
    <w:p w14:paraId="6CD67728" w14:textId="0DEE9403" w:rsidR="00527826" w:rsidRPr="00591BFC" w:rsidRDefault="00B24FEE" w:rsidP="00B24FEE">
      <w:pPr>
        <w:spacing w:line="360" w:lineRule="auto"/>
      </w:pPr>
      <w:r>
        <w:rPr>
          <w:lang w:eastAsia="x-none"/>
        </w:rPr>
        <w:lastRenderedPageBreak/>
        <w:fldChar w:fldCharType="end"/>
      </w:r>
    </w:p>
    <w:p w14:paraId="7AA62EDE" w14:textId="77777777" w:rsidR="00AD533F" w:rsidRPr="00591BFC" w:rsidRDefault="00AD533F" w:rsidP="00E86771">
      <w:pPr>
        <w:spacing w:line="360" w:lineRule="auto"/>
        <w:rPr>
          <w:b/>
        </w:rPr>
      </w:pPr>
    </w:p>
    <w:p w14:paraId="5460E5DF" w14:textId="77777777" w:rsidR="005512D2" w:rsidRPr="00591BFC" w:rsidRDefault="00527826" w:rsidP="00E86771">
      <w:pPr>
        <w:pStyle w:val="Heading1"/>
        <w:spacing w:line="360" w:lineRule="auto"/>
        <w:rPr>
          <w:rFonts w:ascii="Calibri" w:hAnsi="Calibri"/>
        </w:rPr>
      </w:pPr>
      <w:r w:rsidRPr="00591BFC">
        <w:rPr>
          <w:rFonts w:ascii="Calibri" w:hAnsi="Calibri"/>
        </w:rPr>
        <w:br w:type="page"/>
      </w:r>
      <w:bookmarkStart w:id="685" w:name="_Toc308300841"/>
      <w:bookmarkStart w:id="686" w:name="_Toc311366649"/>
      <w:r w:rsidR="005512D2" w:rsidRPr="00591BFC">
        <w:rPr>
          <w:rFonts w:ascii="Calibri" w:hAnsi="Calibri"/>
        </w:rPr>
        <w:lastRenderedPageBreak/>
        <w:t>Appendices</w:t>
      </w:r>
      <w:bookmarkEnd w:id="685"/>
      <w:bookmarkEnd w:id="686"/>
    </w:p>
    <w:p w14:paraId="245F7328" w14:textId="0FC01EA7" w:rsidR="00F021B1" w:rsidRPr="00591BFC" w:rsidRDefault="002149AD" w:rsidP="00E86771">
      <w:pPr>
        <w:pStyle w:val="Heading2"/>
        <w:spacing w:line="360" w:lineRule="auto"/>
        <w:rPr>
          <w:rFonts w:ascii="Calibri" w:hAnsi="Calibri"/>
        </w:rPr>
      </w:pPr>
      <w:bookmarkStart w:id="687" w:name="_Toc308300842"/>
      <w:bookmarkStart w:id="688" w:name="_Toc311366650"/>
      <w:r>
        <w:rPr>
          <w:rFonts w:ascii="Calibri" w:hAnsi="Calibri"/>
          <w:noProof/>
        </w:rPr>
        <w:pict w14:anchorId="21017EB7">
          <v:shape id="_x0000_s1033" type="#_x0000_t75" style="position:absolute;margin-left:-4.6pt;margin-top:27.65pt;width:451pt;height:681.4pt;z-index:251652096">
            <v:imagedata r:id="rId52" o:title="Picture1"/>
          </v:shape>
        </w:pict>
      </w:r>
      <w:r w:rsidR="00AD533F" w:rsidRPr="00591BFC">
        <w:rPr>
          <w:rFonts w:ascii="Calibri" w:hAnsi="Calibri"/>
        </w:rPr>
        <w:t>Appendix 1 Service evaluation questionnaire</w:t>
      </w:r>
      <w:bookmarkEnd w:id="687"/>
      <w:bookmarkEnd w:id="688"/>
    </w:p>
    <w:p w14:paraId="7CD18285" w14:textId="77777777" w:rsidR="00F021B1" w:rsidRPr="00591BFC" w:rsidRDefault="002149AD" w:rsidP="00E86771">
      <w:pPr>
        <w:spacing w:line="360" w:lineRule="auto"/>
        <w:rPr>
          <w:b/>
        </w:rPr>
      </w:pPr>
      <w:r>
        <w:rPr>
          <w:b/>
        </w:rPr>
        <w:lastRenderedPageBreak/>
        <w:pict w14:anchorId="5166FD42">
          <v:shape id="_x0000_i1061" type="#_x0000_t75" style="width:451.25pt;height:684.5pt">
            <v:imagedata r:id="rId53" o:title="Picture2"/>
          </v:shape>
        </w:pict>
      </w:r>
    </w:p>
    <w:p w14:paraId="0C8922FA" w14:textId="77777777" w:rsidR="00F021B1" w:rsidRPr="00591BFC" w:rsidRDefault="002149AD" w:rsidP="00E86771">
      <w:pPr>
        <w:spacing w:line="360" w:lineRule="auto"/>
        <w:rPr>
          <w:b/>
        </w:rPr>
      </w:pPr>
      <w:r>
        <w:rPr>
          <w:b/>
        </w:rPr>
        <w:lastRenderedPageBreak/>
        <w:pict w14:anchorId="770EB174">
          <v:shape id="_x0000_i1062" type="#_x0000_t75" style="width:451.25pt;height:685pt">
            <v:imagedata r:id="rId54" o:title="Picture3"/>
          </v:shape>
        </w:pict>
      </w:r>
    </w:p>
    <w:p w14:paraId="040F91A3" w14:textId="77777777" w:rsidR="00F021B1" w:rsidRPr="00591BFC" w:rsidRDefault="002149AD" w:rsidP="00E86771">
      <w:pPr>
        <w:spacing w:line="360" w:lineRule="auto"/>
        <w:rPr>
          <w:b/>
        </w:rPr>
      </w:pPr>
      <w:r>
        <w:rPr>
          <w:b/>
        </w:rPr>
        <w:lastRenderedPageBreak/>
        <w:pict w14:anchorId="09BA9F3D">
          <v:shape id="_x0000_i1063" type="#_x0000_t75" style="width:451.25pt;height:684.5pt">
            <v:imagedata r:id="rId55" o:title="Picture4"/>
          </v:shape>
        </w:pict>
      </w:r>
    </w:p>
    <w:p w14:paraId="6452D242" w14:textId="77777777" w:rsidR="00F021B1" w:rsidRPr="00591BFC" w:rsidRDefault="002149AD" w:rsidP="00E86771">
      <w:pPr>
        <w:spacing w:line="360" w:lineRule="auto"/>
        <w:rPr>
          <w:b/>
        </w:rPr>
      </w:pPr>
      <w:r>
        <w:rPr>
          <w:b/>
        </w:rPr>
        <w:lastRenderedPageBreak/>
        <w:pict w14:anchorId="577B9072">
          <v:shape id="_x0000_i1064" type="#_x0000_t75" style="width:451.25pt;height:680.45pt">
            <v:imagedata r:id="rId56" o:title="Picture5"/>
          </v:shape>
        </w:pict>
      </w:r>
    </w:p>
    <w:p w14:paraId="58592915" w14:textId="77777777" w:rsidR="00F021B1" w:rsidRPr="00591BFC" w:rsidRDefault="002149AD" w:rsidP="00E86771">
      <w:pPr>
        <w:spacing w:line="360" w:lineRule="auto"/>
        <w:rPr>
          <w:b/>
        </w:rPr>
      </w:pPr>
      <w:r>
        <w:rPr>
          <w:b/>
        </w:rPr>
        <w:lastRenderedPageBreak/>
        <w:pict w14:anchorId="3A61427A">
          <v:shape id="_x0000_i1065" type="#_x0000_t75" style="width:451.25pt;height:680.95pt">
            <v:imagedata r:id="rId57" o:title="Picture6"/>
          </v:shape>
        </w:pict>
      </w:r>
    </w:p>
    <w:p w14:paraId="6F89F52D" w14:textId="77777777" w:rsidR="00F021B1" w:rsidRPr="00591BFC" w:rsidRDefault="002149AD" w:rsidP="00E86771">
      <w:pPr>
        <w:spacing w:line="360" w:lineRule="auto"/>
        <w:rPr>
          <w:b/>
        </w:rPr>
      </w:pPr>
      <w:r>
        <w:rPr>
          <w:b/>
        </w:rPr>
        <w:lastRenderedPageBreak/>
        <w:pict w14:anchorId="40400CB9">
          <v:shape id="_x0000_i1066" type="#_x0000_t75" style="width:451.25pt;height:675.4pt">
            <v:imagedata r:id="rId58" o:title="Picture7"/>
          </v:shape>
        </w:pict>
      </w:r>
    </w:p>
    <w:p w14:paraId="1A8FA46E" w14:textId="77777777" w:rsidR="00AD533F" w:rsidRPr="00591BFC" w:rsidRDefault="002149AD" w:rsidP="00E86771">
      <w:pPr>
        <w:spacing w:line="360" w:lineRule="auto"/>
        <w:rPr>
          <w:b/>
        </w:rPr>
      </w:pPr>
      <w:r>
        <w:rPr>
          <w:b/>
        </w:rPr>
        <w:lastRenderedPageBreak/>
        <w:pict w14:anchorId="7434FD34">
          <v:shape id="_x0000_i1067" type="#_x0000_t75" style="width:451.25pt;height:668.3pt">
            <v:imagedata r:id="rId59" o:title="Picture8"/>
          </v:shape>
        </w:pict>
      </w:r>
    </w:p>
    <w:p w14:paraId="13A3C4CA" w14:textId="77777777" w:rsidR="00815953" w:rsidRPr="00591BFC" w:rsidRDefault="00815953" w:rsidP="00E86771">
      <w:pPr>
        <w:spacing w:line="360" w:lineRule="auto"/>
        <w:rPr>
          <w:b/>
        </w:rPr>
      </w:pPr>
    </w:p>
    <w:p w14:paraId="0CC12F09" w14:textId="77777777" w:rsidR="00FC769E" w:rsidRPr="00591BFC" w:rsidRDefault="00FC769E" w:rsidP="00E86771">
      <w:pPr>
        <w:pStyle w:val="Heading2"/>
        <w:spacing w:line="360" w:lineRule="auto"/>
        <w:rPr>
          <w:rFonts w:ascii="Calibri" w:hAnsi="Calibri"/>
          <w:lang w:val="en-GB"/>
        </w:rPr>
      </w:pPr>
      <w:bookmarkStart w:id="689" w:name="_Toc308300843"/>
      <w:bookmarkStart w:id="690" w:name="_Toc311366651"/>
      <w:r w:rsidRPr="00591BFC">
        <w:rPr>
          <w:rFonts w:ascii="Calibri" w:hAnsi="Calibri"/>
          <w:lang w:val="en-GB"/>
        </w:rPr>
        <w:t>Appendix 2: Interview guide for qualitative interviews</w:t>
      </w:r>
      <w:bookmarkEnd w:id="689"/>
      <w:bookmarkEnd w:id="690"/>
    </w:p>
    <w:p w14:paraId="6A3621D7" w14:textId="77777777" w:rsidR="00FC769E" w:rsidRPr="00591BFC" w:rsidRDefault="00FC769E" w:rsidP="00E86771">
      <w:pPr>
        <w:spacing w:line="360" w:lineRule="auto"/>
        <w:rPr>
          <w:lang w:eastAsia="x-none"/>
        </w:rPr>
      </w:pPr>
      <w:r w:rsidRPr="00591BFC">
        <w:rPr>
          <w:lang w:eastAsia="x-none"/>
        </w:rPr>
        <w:t>Theme 1</w:t>
      </w:r>
    </w:p>
    <w:p w14:paraId="39BD3070" w14:textId="77777777" w:rsidR="00FC769E" w:rsidRPr="00591BFC" w:rsidRDefault="00FC769E" w:rsidP="00E86771">
      <w:pPr>
        <w:spacing w:line="360" w:lineRule="auto"/>
        <w:rPr>
          <w:lang w:eastAsia="x-none"/>
        </w:rPr>
      </w:pPr>
      <w:r w:rsidRPr="00591BFC">
        <w:rPr>
          <w:lang w:eastAsia="x-none"/>
        </w:rPr>
        <w:t>Current service provision – things that work well/ not so well/ improvements/ best way of doing this</w:t>
      </w:r>
    </w:p>
    <w:p w14:paraId="29F811C7" w14:textId="77777777" w:rsidR="00FC769E" w:rsidRPr="00591BFC" w:rsidRDefault="00FC769E" w:rsidP="00E86771">
      <w:pPr>
        <w:spacing w:line="360" w:lineRule="auto"/>
        <w:rPr>
          <w:lang w:eastAsia="x-none"/>
        </w:rPr>
      </w:pPr>
      <w:r w:rsidRPr="00591BFC">
        <w:rPr>
          <w:lang w:eastAsia="x-none"/>
        </w:rPr>
        <w:t>•</w:t>
      </w:r>
      <w:r w:rsidRPr="00591BFC">
        <w:rPr>
          <w:lang w:eastAsia="x-none"/>
        </w:rPr>
        <w:tab/>
        <w:t>Case finding or identifying those at risk</w:t>
      </w:r>
    </w:p>
    <w:p w14:paraId="2CCED802" w14:textId="77777777" w:rsidR="00FC769E" w:rsidRPr="00591BFC" w:rsidRDefault="00FC769E" w:rsidP="00E86771">
      <w:pPr>
        <w:spacing w:line="360" w:lineRule="auto"/>
        <w:rPr>
          <w:lang w:eastAsia="x-none"/>
        </w:rPr>
      </w:pPr>
      <w:r w:rsidRPr="00591BFC">
        <w:rPr>
          <w:lang w:eastAsia="x-none"/>
        </w:rPr>
        <w:t>•</w:t>
      </w:r>
      <w:r w:rsidRPr="00591BFC">
        <w:rPr>
          <w:lang w:eastAsia="x-none"/>
        </w:rPr>
        <w:tab/>
        <w:t xml:space="preserve">Assessing patients ‘at risk’ </w:t>
      </w:r>
    </w:p>
    <w:p w14:paraId="1641A0F7" w14:textId="77777777" w:rsidR="00FC769E" w:rsidRPr="00591BFC" w:rsidRDefault="00FC769E" w:rsidP="00E86771">
      <w:pPr>
        <w:spacing w:line="360" w:lineRule="auto"/>
        <w:rPr>
          <w:lang w:eastAsia="x-none"/>
        </w:rPr>
      </w:pPr>
      <w:r w:rsidRPr="00591BFC">
        <w:rPr>
          <w:lang w:eastAsia="x-none"/>
        </w:rPr>
        <w:t>•</w:t>
      </w:r>
      <w:r w:rsidRPr="00591BFC">
        <w:rPr>
          <w:lang w:eastAsia="x-none"/>
        </w:rPr>
        <w:tab/>
        <w:t xml:space="preserve">Treating patients </w:t>
      </w:r>
    </w:p>
    <w:p w14:paraId="6EC8EE35" w14:textId="77777777" w:rsidR="00FC769E" w:rsidRPr="00591BFC" w:rsidRDefault="00FC769E" w:rsidP="00E86771">
      <w:pPr>
        <w:spacing w:line="360" w:lineRule="auto"/>
        <w:rPr>
          <w:lang w:eastAsia="x-none"/>
        </w:rPr>
      </w:pPr>
      <w:r w:rsidRPr="00591BFC">
        <w:rPr>
          <w:lang w:eastAsia="x-none"/>
        </w:rPr>
        <w:t>•</w:t>
      </w:r>
      <w:r w:rsidRPr="00591BFC">
        <w:rPr>
          <w:lang w:eastAsia="x-none"/>
        </w:rPr>
        <w:tab/>
        <w:t>Monitoring patients</w:t>
      </w:r>
    </w:p>
    <w:p w14:paraId="2D675639" w14:textId="77777777" w:rsidR="00FC769E" w:rsidRPr="00591BFC" w:rsidRDefault="00FC769E" w:rsidP="00E86771">
      <w:pPr>
        <w:spacing w:line="360" w:lineRule="auto"/>
        <w:rPr>
          <w:lang w:eastAsia="x-none"/>
        </w:rPr>
      </w:pPr>
      <w:r w:rsidRPr="00591BFC">
        <w:rPr>
          <w:lang w:eastAsia="x-none"/>
        </w:rPr>
        <w:t>Co-ordination of care - things that work well/ not so well/ improvements/ best way of doing this</w:t>
      </w:r>
    </w:p>
    <w:p w14:paraId="7063A2FE" w14:textId="77777777" w:rsidR="00FC769E" w:rsidRPr="00591BFC" w:rsidRDefault="00FC769E" w:rsidP="00E86771">
      <w:pPr>
        <w:spacing w:line="360" w:lineRule="auto"/>
        <w:rPr>
          <w:lang w:eastAsia="x-none"/>
        </w:rPr>
      </w:pPr>
      <w:r w:rsidRPr="00591BFC">
        <w:rPr>
          <w:lang w:eastAsia="x-none"/>
        </w:rPr>
        <w:t>•</w:t>
      </w:r>
      <w:r w:rsidRPr="00591BFC">
        <w:rPr>
          <w:lang w:eastAsia="x-none"/>
        </w:rPr>
        <w:tab/>
        <w:t>Within hospital services</w:t>
      </w:r>
    </w:p>
    <w:p w14:paraId="3970E5C2" w14:textId="77777777" w:rsidR="00FC769E" w:rsidRPr="00591BFC" w:rsidRDefault="00FC769E" w:rsidP="00E86771">
      <w:pPr>
        <w:spacing w:line="360" w:lineRule="auto"/>
        <w:rPr>
          <w:lang w:eastAsia="x-none"/>
        </w:rPr>
      </w:pPr>
      <w:r w:rsidRPr="00591BFC">
        <w:rPr>
          <w:lang w:eastAsia="x-none"/>
        </w:rPr>
        <w:t>•</w:t>
      </w:r>
      <w:r w:rsidRPr="00591BFC">
        <w:rPr>
          <w:lang w:eastAsia="x-none"/>
        </w:rPr>
        <w:tab/>
        <w:t>With primary care services</w:t>
      </w:r>
    </w:p>
    <w:p w14:paraId="3B2B0424" w14:textId="77777777" w:rsidR="00FC769E" w:rsidRPr="00591BFC" w:rsidRDefault="00FC769E" w:rsidP="00E86771">
      <w:pPr>
        <w:spacing w:line="360" w:lineRule="auto"/>
        <w:rPr>
          <w:lang w:eastAsia="x-none"/>
        </w:rPr>
      </w:pPr>
      <w:r w:rsidRPr="00591BFC">
        <w:rPr>
          <w:lang w:eastAsia="x-none"/>
        </w:rPr>
        <w:t>Theme 2</w:t>
      </w:r>
    </w:p>
    <w:p w14:paraId="7C4AA98C" w14:textId="77777777" w:rsidR="00FC769E" w:rsidRPr="00591BFC" w:rsidRDefault="00FC769E" w:rsidP="00E86771">
      <w:pPr>
        <w:spacing w:line="360" w:lineRule="auto"/>
        <w:rPr>
          <w:lang w:eastAsia="x-none"/>
        </w:rPr>
      </w:pPr>
      <w:r w:rsidRPr="00591BFC">
        <w:rPr>
          <w:lang w:eastAsia="x-none"/>
        </w:rPr>
        <w:t>Change in services - Most significant change in how services to prevent secondary fractures after hip fracture were delivered whilst at the hospital</w:t>
      </w:r>
    </w:p>
    <w:p w14:paraId="57576335" w14:textId="77777777" w:rsidR="00FC769E" w:rsidRPr="00591BFC" w:rsidRDefault="00FC769E" w:rsidP="00E86771">
      <w:pPr>
        <w:spacing w:line="360" w:lineRule="auto"/>
        <w:rPr>
          <w:lang w:eastAsia="x-none"/>
        </w:rPr>
      </w:pPr>
      <w:r w:rsidRPr="00591BFC">
        <w:rPr>
          <w:lang w:eastAsia="x-none"/>
        </w:rPr>
        <w:t>•</w:t>
      </w:r>
      <w:r w:rsidRPr="00591BFC">
        <w:rPr>
          <w:lang w:eastAsia="x-none"/>
        </w:rPr>
        <w:tab/>
        <w:t xml:space="preserve">How easy/ difficult process was </w:t>
      </w:r>
    </w:p>
    <w:p w14:paraId="4E85D221" w14:textId="77777777" w:rsidR="00FC769E" w:rsidRPr="00591BFC" w:rsidRDefault="00FC769E" w:rsidP="00E86771">
      <w:pPr>
        <w:spacing w:line="360" w:lineRule="auto"/>
        <w:rPr>
          <w:lang w:eastAsia="x-none"/>
        </w:rPr>
      </w:pPr>
      <w:r w:rsidRPr="00591BFC">
        <w:rPr>
          <w:lang w:eastAsia="x-none"/>
        </w:rPr>
        <w:t>Capability</w:t>
      </w:r>
    </w:p>
    <w:p w14:paraId="7EDB08B6" w14:textId="77777777" w:rsidR="00FC769E" w:rsidRPr="00591BFC" w:rsidRDefault="00FC769E" w:rsidP="00E86771">
      <w:pPr>
        <w:spacing w:line="360" w:lineRule="auto"/>
        <w:rPr>
          <w:lang w:eastAsia="x-none"/>
        </w:rPr>
      </w:pPr>
      <w:r w:rsidRPr="00591BFC">
        <w:rPr>
          <w:lang w:eastAsia="x-none"/>
        </w:rPr>
        <w:t>•</w:t>
      </w:r>
      <w:r w:rsidRPr="00591BFC">
        <w:rPr>
          <w:lang w:eastAsia="x-none"/>
        </w:rPr>
        <w:tab/>
        <w:t>Change in work done</w:t>
      </w:r>
    </w:p>
    <w:p w14:paraId="33EA2E52" w14:textId="77777777" w:rsidR="00FC769E" w:rsidRPr="00591BFC" w:rsidRDefault="00FC769E" w:rsidP="00E86771">
      <w:pPr>
        <w:spacing w:line="360" w:lineRule="auto"/>
        <w:rPr>
          <w:lang w:eastAsia="x-none"/>
        </w:rPr>
      </w:pPr>
      <w:r w:rsidRPr="00591BFC">
        <w:rPr>
          <w:lang w:eastAsia="x-none"/>
        </w:rPr>
        <w:t>•</w:t>
      </w:r>
      <w:r w:rsidRPr="00591BFC">
        <w:rPr>
          <w:lang w:eastAsia="x-none"/>
        </w:rPr>
        <w:tab/>
        <w:t>Access to resources</w:t>
      </w:r>
    </w:p>
    <w:p w14:paraId="39FFD189" w14:textId="77777777" w:rsidR="00FC769E" w:rsidRPr="00591BFC" w:rsidRDefault="00FC769E" w:rsidP="00E86771">
      <w:pPr>
        <w:spacing w:line="360" w:lineRule="auto"/>
        <w:rPr>
          <w:lang w:eastAsia="x-none"/>
        </w:rPr>
      </w:pPr>
      <w:r w:rsidRPr="00591BFC">
        <w:rPr>
          <w:lang w:eastAsia="x-none"/>
        </w:rPr>
        <w:t>-</w:t>
      </w:r>
      <w:r w:rsidRPr="00591BFC">
        <w:rPr>
          <w:lang w:eastAsia="x-none"/>
        </w:rPr>
        <w:tab/>
        <w:t>Finances, staffing, technology</w:t>
      </w:r>
    </w:p>
    <w:p w14:paraId="26165521" w14:textId="77777777" w:rsidR="00FC769E" w:rsidRPr="00591BFC" w:rsidRDefault="00FC769E" w:rsidP="00E86771">
      <w:pPr>
        <w:spacing w:line="360" w:lineRule="auto"/>
        <w:rPr>
          <w:lang w:eastAsia="x-none"/>
        </w:rPr>
      </w:pPr>
      <w:r w:rsidRPr="00591BFC">
        <w:rPr>
          <w:lang w:eastAsia="x-none"/>
        </w:rPr>
        <w:t>Capacity</w:t>
      </w:r>
    </w:p>
    <w:p w14:paraId="41CC9D18" w14:textId="77777777" w:rsidR="00FC769E" w:rsidRPr="00591BFC" w:rsidRDefault="00FC769E" w:rsidP="00E86771">
      <w:pPr>
        <w:spacing w:line="360" w:lineRule="auto"/>
        <w:rPr>
          <w:lang w:eastAsia="x-none"/>
        </w:rPr>
      </w:pPr>
      <w:r w:rsidRPr="00591BFC">
        <w:rPr>
          <w:lang w:eastAsia="x-none"/>
        </w:rPr>
        <w:t>•</w:t>
      </w:r>
      <w:r w:rsidRPr="00591BFC">
        <w:rPr>
          <w:lang w:eastAsia="x-none"/>
        </w:rPr>
        <w:tab/>
        <w:t>How well everyone communicated with each other during the process</w:t>
      </w:r>
    </w:p>
    <w:p w14:paraId="61B36DD8" w14:textId="77777777" w:rsidR="00FC769E" w:rsidRPr="00591BFC" w:rsidRDefault="00FC769E" w:rsidP="00E86771">
      <w:pPr>
        <w:spacing w:line="360" w:lineRule="auto"/>
        <w:rPr>
          <w:lang w:eastAsia="x-none"/>
        </w:rPr>
      </w:pPr>
      <w:r w:rsidRPr="00591BFC">
        <w:rPr>
          <w:lang w:eastAsia="x-none"/>
        </w:rPr>
        <w:t>•</w:t>
      </w:r>
      <w:r w:rsidRPr="00591BFC">
        <w:rPr>
          <w:lang w:eastAsia="x-none"/>
        </w:rPr>
        <w:tab/>
        <w:t>How well everyone worked together to introduce the service</w:t>
      </w:r>
    </w:p>
    <w:p w14:paraId="3B89E64A" w14:textId="77777777" w:rsidR="00FC769E" w:rsidRPr="00591BFC" w:rsidRDefault="00FC769E" w:rsidP="00E86771">
      <w:pPr>
        <w:spacing w:line="360" w:lineRule="auto"/>
        <w:rPr>
          <w:lang w:eastAsia="x-none"/>
        </w:rPr>
      </w:pPr>
      <w:r w:rsidRPr="00591BFC">
        <w:rPr>
          <w:lang w:eastAsia="x-none"/>
        </w:rPr>
        <w:t>Potential</w:t>
      </w:r>
    </w:p>
    <w:p w14:paraId="34547129" w14:textId="77777777" w:rsidR="00FC769E" w:rsidRPr="00591BFC" w:rsidRDefault="00FC769E" w:rsidP="00E86771">
      <w:pPr>
        <w:spacing w:line="360" w:lineRule="auto"/>
        <w:rPr>
          <w:lang w:eastAsia="x-none"/>
        </w:rPr>
      </w:pPr>
      <w:r w:rsidRPr="00591BFC">
        <w:rPr>
          <w:lang w:eastAsia="x-none"/>
        </w:rPr>
        <w:lastRenderedPageBreak/>
        <w:t>•</w:t>
      </w:r>
      <w:r w:rsidRPr="00591BFC">
        <w:rPr>
          <w:lang w:eastAsia="x-none"/>
        </w:rPr>
        <w:tab/>
        <w:t>How useful YOU thought the service was that was being introduced/ how useful you thought other colleagues felt about the service was that was being introduced</w:t>
      </w:r>
    </w:p>
    <w:p w14:paraId="2686084A" w14:textId="77777777" w:rsidR="00FC769E" w:rsidRPr="00591BFC" w:rsidRDefault="00FC769E" w:rsidP="00E86771">
      <w:pPr>
        <w:spacing w:line="360" w:lineRule="auto"/>
        <w:rPr>
          <w:lang w:eastAsia="x-none"/>
        </w:rPr>
      </w:pPr>
      <w:r w:rsidRPr="00591BFC">
        <w:rPr>
          <w:lang w:eastAsia="x-none"/>
        </w:rPr>
        <w:t xml:space="preserve">Contribution </w:t>
      </w:r>
    </w:p>
    <w:p w14:paraId="7EF8C2EA" w14:textId="77777777" w:rsidR="00FC769E" w:rsidRPr="00591BFC" w:rsidRDefault="00FC769E" w:rsidP="00E86771">
      <w:pPr>
        <w:spacing w:line="360" w:lineRule="auto"/>
        <w:rPr>
          <w:lang w:eastAsia="x-none"/>
        </w:rPr>
      </w:pPr>
      <w:r w:rsidRPr="00591BFC">
        <w:rPr>
          <w:lang w:eastAsia="x-none"/>
        </w:rPr>
        <w:t>•</w:t>
      </w:r>
      <w:r w:rsidRPr="00591BFC">
        <w:rPr>
          <w:lang w:eastAsia="x-none"/>
        </w:rPr>
        <w:tab/>
        <w:t>Collection of outcomes data</w:t>
      </w:r>
    </w:p>
    <w:p w14:paraId="285A8884" w14:textId="77777777" w:rsidR="003013C2" w:rsidRPr="00591BFC" w:rsidRDefault="00FC769E" w:rsidP="00E86771">
      <w:pPr>
        <w:pStyle w:val="Heading2"/>
        <w:spacing w:line="360" w:lineRule="auto"/>
        <w:rPr>
          <w:rFonts w:ascii="Calibri" w:hAnsi="Calibri"/>
        </w:rPr>
      </w:pPr>
      <w:r w:rsidRPr="00591BFC">
        <w:rPr>
          <w:rFonts w:ascii="Calibri" w:hAnsi="Calibri"/>
        </w:rPr>
        <w:br w:type="page"/>
      </w:r>
      <w:bookmarkStart w:id="691" w:name="_Toc308300844"/>
      <w:bookmarkStart w:id="692" w:name="_Toc311366652"/>
      <w:r w:rsidR="00BB67BB" w:rsidRPr="00591BFC">
        <w:rPr>
          <w:rFonts w:ascii="Calibri" w:hAnsi="Calibri"/>
        </w:rPr>
        <w:lastRenderedPageBreak/>
        <w:t xml:space="preserve">Appendix </w:t>
      </w:r>
      <w:r w:rsidRPr="00591BFC">
        <w:rPr>
          <w:rFonts w:ascii="Calibri" w:hAnsi="Calibri"/>
          <w:lang w:val="en-GB"/>
        </w:rPr>
        <w:t>3</w:t>
      </w:r>
      <w:r w:rsidR="00BB67BB" w:rsidRPr="00591BFC">
        <w:rPr>
          <w:rFonts w:ascii="Calibri" w:hAnsi="Calibri"/>
        </w:rPr>
        <w:t>: Medical codes for identifying hip fractures in the CPRD</w:t>
      </w:r>
      <w:bookmarkEnd w:id="691"/>
      <w:bookmarkEnd w:id="692"/>
    </w:p>
    <w:tbl>
      <w:tblPr>
        <w:tblW w:w="8132" w:type="dxa"/>
        <w:tblInd w:w="93" w:type="dxa"/>
        <w:tblLook w:val="0000" w:firstRow="0" w:lastRow="0" w:firstColumn="0" w:lastColumn="0" w:noHBand="0" w:noVBand="0"/>
      </w:tblPr>
      <w:tblGrid>
        <w:gridCol w:w="1095"/>
        <w:gridCol w:w="1106"/>
        <w:gridCol w:w="5931"/>
      </w:tblGrid>
      <w:tr w:rsidR="00BB67BB" w:rsidRPr="00591BFC" w14:paraId="26B0B6B4" w14:textId="77777777" w:rsidTr="00B5138E">
        <w:trPr>
          <w:trHeight w:val="255"/>
        </w:trPr>
        <w:tc>
          <w:tcPr>
            <w:tcW w:w="1095" w:type="dxa"/>
            <w:tcBorders>
              <w:top w:val="nil"/>
              <w:left w:val="nil"/>
              <w:bottom w:val="nil"/>
              <w:right w:val="nil"/>
            </w:tcBorders>
            <w:shd w:val="clear" w:color="auto" w:fill="auto"/>
            <w:noWrap/>
            <w:vAlign w:val="bottom"/>
          </w:tcPr>
          <w:p w14:paraId="3433ED05" w14:textId="77777777" w:rsidR="00BB67BB" w:rsidRPr="00591BFC" w:rsidRDefault="00BB67BB" w:rsidP="00E86771">
            <w:pPr>
              <w:spacing w:after="0" w:line="360" w:lineRule="auto"/>
              <w:rPr>
                <w:rFonts w:eastAsia="Times New Roman" w:cs="Arial"/>
                <w:b/>
                <w:sz w:val="20"/>
                <w:szCs w:val="20"/>
                <w:lang w:eastAsia="en-GB"/>
              </w:rPr>
            </w:pPr>
            <w:r w:rsidRPr="00591BFC">
              <w:rPr>
                <w:rFonts w:eastAsia="Times New Roman" w:cs="Arial"/>
                <w:b/>
                <w:sz w:val="20"/>
                <w:szCs w:val="20"/>
                <w:lang w:eastAsia="en-GB"/>
              </w:rPr>
              <w:t>medcode</w:t>
            </w:r>
          </w:p>
        </w:tc>
        <w:tc>
          <w:tcPr>
            <w:tcW w:w="1106" w:type="dxa"/>
            <w:tcBorders>
              <w:top w:val="nil"/>
              <w:left w:val="nil"/>
              <w:bottom w:val="nil"/>
              <w:right w:val="nil"/>
            </w:tcBorders>
            <w:shd w:val="clear" w:color="auto" w:fill="auto"/>
            <w:noWrap/>
            <w:vAlign w:val="bottom"/>
          </w:tcPr>
          <w:p w14:paraId="4718B414" w14:textId="77777777" w:rsidR="00BB67BB" w:rsidRPr="00591BFC" w:rsidRDefault="00BB67BB" w:rsidP="00E86771">
            <w:pPr>
              <w:spacing w:after="0" w:line="360" w:lineRule="auto"/>
              <w:rPr>
                <w:rFonts w:eastAsia="Times New Roman" w:cs="Arial"/>
                <w:b/>
                <w:sz w:val="20"/>
                <w:szCs w:val="20"/>
                <w:lang w:eastAsia="en-GB"/>
              </w:rPr>
            </w:pPr>
            <w:r w:rsidRPr="00591BFC">
              <w:rPr>
                <w:rFonts w:eastAsia="Times New Roman" w:cs="Arial"/>
                <w:b/>
                <w:sz w:val="20"/>
                <w:szCs w:val="20"/>
                <w:lang w:eastAsia="en-GB"/>
              </w:rPr>
              <w:t>readcode</w:t>
            </w:r>
          </w:p>
        </w:tc>
        <w:tc>
          <w:tcPr>
            <w:tcW w:w="5931" w:type="dxa"/>
            <w:tcBorders>
              <w:top w:val="nil"/>
              <w:left w:val="nil"/>
              <w:bottom w:val="nil"/>
              <w:right w:val="nil"/>
            </w:tcBorders>
            <w:shd w:val="clear" w:color="auto" w:fill="auto"/>
            <w:noWrap/>
            <w:vAlign w:val="bottom"/>
          </w:tcPr>
          <w:p w14:paraId="19C14640" w14:textId="77777777" w:rsidR="00BB67BB" w:rsidRPr="00591BFC" w:rsidRDefault="00BB67BB" w:rsidP="00E86771">
            <w:pPr>
              <w:spacing w:after="0" w:line="360" w:lineRule="auto"/>
              <w:rPr>
                <w:rFonts w:eastAsia="Times New Roman" w:cs="Arial"/>
                <w:b/>
                <w:sz w:val="20"/>
                <w:szCs w:val="20"/>
                <w:lang w:eastAsia="en-GB"/>
              </w:rPr>
            </w:pPr>
            <w:r w:rsidRPr="00591BFC">
              <w:rPr>
                <w:rFonts w:eastAsia="Times New Roman" w:cs="Arial"/>
                <w:b/>
                <w:sz w:val="20"/>
                <w:szCs w:val="20"/>
                <w:lang w:eastAsia="en-GB"/>
              </w:rPr>
              <w:t>readterm</w:t>
            </w:r>
          </w:p>
        </w:tc>
      </w:tr>
      <w:tr w:rsidR="00BB67BB" w:rsidRPr="00591BFC" w14:paraId="02373D98" w14:textId="77777777" w:rsidTr="00B5138E">
        <w:trPr>
          <w:trHeight w:val="255"/>
        </w:trPr>
        <w:tc>
          <w:tcPr>
            <w:tcW w:w="1095" w:type="dxa"/>
            <w:tcBorders>
              <w:top w:val="nil"/>
              <w:left w:val="nil"/>
              <w:bottom w:val="nil"/>
              <w:right w:val="nil"/>
            </w:tcBorders>
            <w:shd w:val="clear" w:color="auto" w:fill="auto"/>
            <w:noWrap/>
            <w:vAlign w:val="bottom"/>
          </w:tcPr>
          <w:p w14:paraId="645DECBB"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5742</w:t>
            </w:r>
          </w:p>
        </w:tc>
        <w:tc>
          <w:tcPr>
            <w:tcW w:w="1106" w:type="dxa"/>
            <w:tcBorders>
              <w:top w:val="nil"/>
              <w:left w:val="nil"/>
              <w:bottom w:val="nil"/>
              <w:right w:val="nil"/>
            </w:tcBorders>
            <w:shd w:val="clear" w:color="auto" w:fill="auto"/>
            <w:noWrap/>
            <w:vAlign w:val="bottom"/>
          </w:tcPr>
          <w:p w14:paraId="024FBDD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7K1D000</w:t>
            </w:r>
          </w:p>
        </w:tc>
        <w:tc>
          <w:tcPr>
            <w:tcW w:w="5931" w:type="dxa"/>
            <w:tcBorders>
              <w:top w:val="nil"/>
              <w:left w:val="nil"/>
              <w:bottom w:val="nil"/>
              <w:right w:val="nil"/>
            </w:tcBorders>
            <w:shd w:val="clear" w:color="auto" w:fill="auto"/>
            <w:noWrap/>
            <w:vAlign w:val="bottom"/>
          </w:tcPr>
          <w:p w14:paraId="4833B1C2"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Prmy open red+int fxn prox femoral #+screw/nail+plate device</w:t>
            </w:r>
          </w:p>
        </w:tc>
      </w:tr>
      <w:tr w:rsidR="00BB67BB" w:rsidRPr="00591BFC" w14:paraId="03E04B69" w14:textId="77777777" w:rsidTr="00B5138E">
        <w:trPr>
          <w:trHeight w:val="255"/>
        </w:trPr>
        <w:tc>
          <w:tcPr>
            <w:tcW w:w="1095" w:type="dxa"/>
            <w:tcBorders>
              <w:top w:val="nil"/>
              <w:left w:val="nil"/>
              <w:bottom w:val="nil"/>
              <w:right w:val="nil"/>
            </w:tcBorders>
            <w:shd w:val="clear" w:color="auto" w:fill="auto"/>
            <w:noWrap/>
            <w:vAlign w:val="bottom"/>
          </w:tcPr>
          <w:p w14:paraId="1C4299BB"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58817</w:t>
            </w:r>
          </w:p>
        </w:tc>
        <w:tc>
          <w:tcPr>
            <w:tcW w:w="1106" w:type="dxa"/>
            <w:tcBorders>
              <w:top w:val="nil"/>
              <w:left w:val="nil"/>
              <w:bottom w:val="nil"/>
              <w:right w:val="nil"/>
            </w:tcBorders>
            <w:shd w:val="clear" w:color="auto" w:fill="auto"/>
            <w:noWrap/>
            <w:vAlign w:val="bottom"/>
          </w:tcPr>
          <w:p w14:paraId="4210668A"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7K1D011</w:t>
            </w:r>
          </w:p>
        </w:tc>
        <w:tc>
          <w:tcPr>
            <w:tcW w:w="5931" w:type="dxa"/>
            <w:tcBorders>
              <w:top w:val="nil"/>
              <w:left w:val="nil"/>
              <w:bottom w:val="nil"/>
              <w:right w:val="nil"/>
            </w:tcBorders>
            <w:shd w:val="clear" w:color="auto" w:fill="auto"/>
            <w:noWrap/>
            <w:vAlign w:val="bottom"/>
          </w:tcPr>
          <w:p w14:paraId="0A3A912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 open reduct # neck femur &amp; op fix - Blount nail plate</w:t>
            </w:r>
          </w:p>
        </w:tc>
      </w:tr>
      <w:tr w:rsidR="00BB67BB" w:rsidRPr="00591BFC" w14:paraId="6A68EE82" w14:textId="77777777" w:rsidTr="00B5138E">
        <w:trPr>
          <w:trHeight w:val="255"/>
        </w:trPr>
        <w:tc>
          <w:tcPr>
            <w:tcW w:w="1095" w:type="dxa"/>
            <w:tcBorders>
              <w:top w:val="nil"/>
              <w:left w:val="nil"/>
              <w:bottom w:val="nil"/>
              <w:right w:val="nil"/>
            </w:tcBorders>
            <w:shd w:val="clear" w:color="auto" w:fill="auto"/>
            <w:noWrap/>
            <w:vAlign w:val="bottom"/>
          </w:tcPr>
          <w:p w14:paraId="4EB9A960"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52395</w:t>
            </w:r>
          </w:p>
        </w:tc>
        <w:tc>
          <w:tcPr>
            <w:tcW w:w="1106" w:type="dxa"/>
            <w:tcBorders>
              <w:top w:val="nil"/>
              <w:left w:val="nil"/>
              <w:bottom w:val="nil"/>
              <w:right w:val="nil"/>
            </w:tcBorders>
            <w:shd w:val="clear" w:color="auto" w:fill="auto"/>
            <w:noWrap/>
            <w:vAlign w:val="bottom"/>
          </w:tcPr>
          <w:p w14:paraId="43A3A47D"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7K1D012</w:t>
            </w:r>
          </w:p>
        </w:tc>
        <w:tc>
          <w:tcPr>
            <w:tcW w:w="5931" w:type="dxa"/>
            <w:tcBorders>
              <w:top w:val="nil"/>
              <w:left w:val="nil"/>
              <w:bottom w:val="nil"/>
              <w:right w:val="nil"/>
            </w:tcBorders>
            <w:shd w:val="clear" w:color="auto" w:fill="auto"/>
            <w:noWrap/>
            <w:vAlign w:val="bottom"/>
          </w:tcPr>
          <w:p w14:paraId="77EA165D"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 op red # nck femur &amp; op fix- Charnley compression screw</w:t>
            </w:r>
          </w:p>
        </w:tc>
      </w:tr>
      <w:tr w:rsidR="00BB67BB" w:rsidRPr="00591BFC" w14:paraId="62DDE93C" w14:textId="77777777" w:rsidTr="00B5138E">
        <w:trPr>
          <w:trHeight w:val="255"/>
        </w:trPr>
        <w:tc>
          <w:tcPr>
            <w:tcW w:w="1095" w:type="dxa"/>
            <w:tcBorders>
              <w:top w:val="nil"/>
              <w:left w:val="nil"/>
              <w:bottom w:val="nil"/>
              <w:right w:val="nil"/>
            </w:tcBorders>
            <w:shd w:val="clear" w:color="auto" w:fill="auto"/>
            <w:noWrap/>
            <w:vAlign w:val="bottom"/>
          </w:tcPr>
          <w:p w14:paraId="5692F3D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97337</w:t>
            </w:r>
          </w:p>
        </w:tc>
        <w:tc>
          <w:tcPr>
            <w:tcW w:w="1106" w:type="dxa"/>
            <w:tcBorders>
              <w:top w:val="nil"/>
              <w:left w:val="nil"/>
              <w:bottom w:val="nil"/>
              <w:right w:val="nil"/>
            </w:tcBorders>
            <w:shd w:val="clear" w:color="auto" w:fill="auto"/>
            <w:noWrap/>
            <w:vAlign w:val="bottom"/>
          </w:tcPr>
          <w:p w14:paraId="5EA0D67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7K1D013</w:t>
            </w:r>
          </w:p>
        </w:tc>
        <w:tc>
          <w:tcPr>
            <w:tcW w:w="5931" w:type="dxa"/>
            <w:tcBorders>
              <w:top w:val="nil"/>
              <w:left w:val="nil"/>
              <w:bottom w:val="nil"/>
              <w:right w:val="nil"/>
            </w:tcBorders>
            <w:shd w:val="clear" w:color="auto" w:fill="auto"/>
            <w:noWrap/>
            <w:vAlign w:val="bottom"/>
          </w:tcPr>
          <w:p w14:paraId="5B518EB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 op red # nck femur &amp; op fix - Deyerle multiple hip pin</w:t>
            </w:r>
          </w:p>
        </w:tc>
      </w:tr>
      <w:tr w:rsidR="00BB67BB" w:rsidRPr="00591BFC" w14:paraId="037A4AB7" w14:textId="77777777" w:rsidTr="00B5138E">
        <w:trPr>
          <w:trHeight w:val="255"/>
        </w:trPr>
        <w:tc>
          <w:tcPr>
            <w:tcW w:w="1095" w:type="dxa"/>
            <w:tcBorders>
              <w:top w:val="nil"/>
              <w:left w:val="nil"/>
              <w:bottom w:val="nil"/>
              <w:right w:val="nil"/>
            </w:tcBorders>
            <w:shd w:val="clear" w:color="auto" w:fill="auto"/>
            <w:noWrap/>
            <w:vAlign w:val="bottom"/>
          </w:tcPr>
          <w:p w14:paraId="7649974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94714</w:t>
            </w:r>
          </w:p>
        </w:tc>
        <w:tc>
          <w:tcPr>
            <w:tcW w:w="1106" w:type="dxa"/>
            <w:tcBorders>
              <w:top w:val="nil"/>
              <w:left w:val="nil"/>
              <w:bottom w:val="nil"/>
              <w:right w:val="nil"/>
            </w:tcBorders>
            <w:shd w:val="clear" w:color="auto" w:fill="auto"/>
            <w:noWrap/>
            <w:vAlign w:val="bottom"/>
          </w:tcPr>
          <w:p w14:paraId="003E9CDA"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7K1D014</w:t>
            </w:r>
          </w:p>
        </w:tc>
        <w:tc>
          <w:tcPr>
            <w:tcW w:w="5931" w:type="dxa"/>
            <w:tcBorders>
              <w:top w:val="nil"/>
              <w:left w:val="nil"/>
              <w:bottom w:val="nil"/>
              <w:right w:val="nil"/>
            </w:tcBorders>
            <w:shd w:val="clear" w:color="auto" w:fill="auto"/>
            <w:noWrap/>
            <w:vAlign w:val="bottom"/>
          </w:tcPr>
          <w:p w14:paraId="7D14011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 open reduct # neck femur &amp; op fix - Holt nail</w:t>
            </w:r>
          </w:p>
        </w:tc>
      </w:tr>
      <w:tr w:rsidR="00BB67BB" w:rsidRPr="00591BFC" w14:paraId="13C2D926" w14:textId="77777777" w:rsidTr="00B5138E">
        <w:trPr>
          <w:trHeight w:val="255"/>
        </w:trPr>
        <w:tc>
          <w:tcPr>
            <w:tcW w:w="1095" w:type="dxa"/>
            <w:tcBorders>
              <w:top w:val="nil"/>
              <w:left w:val="nil"/>
              <w:bottom w:val="nil"/>
              <w:right w:val="nil"/>
            </w:tcBorders>
            <w:shd w:val="clear" w:color="auto" w:fill="auto"/>
            <w:noWrap/>
            <w:vAlign w:val="bottom"/>
          </w:tcPr>
          <w:p w14:paraId="0591064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105352</w:t>
            </w:r>
          </w:p>
        </w:tc>
        <w:tc>
          <w:tcPr>
            <w:tcW w:w="1106" w:type="dxa"/>
            <w:tcBorders>
              <w:top w:val="nil"/>
              <w:left w:val="nil"/>
              <w:bottom w:val="nil"/>
              <w:right w:val="nil"/>
            </w:tcBorders>
            <w:shd w:val="clear" w:color="auto" w:fill="auto"/>
            <w:noWrap/>
            <w:vAlign w:val="bottom"/>
          </w:tcPr>
          <w:p w14:paraId="27AB9E2D"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7K1D015</w:t>
            </w:r>
          </w:p>
        </w:tc>
        <w:tc>
          <w:tcPr>
            <w:tcW w:w="5931" w:type="dxa"/>
            <w:tcBorders>
              <w:top w:val="nil"/>
              <w:left w:val="nil"/>
              <w:bottom w:val="nil"/>
              <w:right w:val="nil"/>
            </w:tcBorders>
            <w:shd w:val="clear" w:color="auto" w:fill="auto"/>
            <w:noWrap/>
            <w:vAlign w:val="bottom"/>
          </w:tcPr>
          <w:p w14:paraId="7DDFF4E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 open reduct # neck femur &amp; op fix - Jewett nail plate</w:t>
            </w:r>
          </w:p>
        </w:tc>
      </w:tr>
      <w:tr w:rsidR="00BB67BB" w:rsidRPr="00591BFC" w14:paraId="4E15BF86" w14:textId="77777777" w:rsidTr="00B5138E">
        <w:trPr>
          <w:trHeight w:val="255"/>
        </w:trPr>
        <w:tc>
          <w:tcPr>
            <w:tcW w:w="1095" w:type="dxa"/>
            <w:tcBorders>
              <w:top w:val="nil"/>
              <w:left w:val="nil"/>
              <w:bottom w:val="nil"/>
              <w:right w:val="nil"/>
            </w:tcBorders>
            <w:shd w:val="clear" w:color="auto" w:fill="auto"/>
            <w:noWrap/>
            <w:vAlign w:val="bottom"/>
          </w:tcPr>
          <w:p w14:paraId="35114645"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56568</w:t>
            </w:r>
          </w:p>
        </w:tc>
        <w:tc>
          <w:tcPr>
            <w:tcW w:w="1106" w:type="dxa"/>
            <w:tcBorders>
              <w:top w:val="nil"/>
              <w:left w:val="nil"/>
              <w:bottom w:val="nil"/>
              <w:right w:val="nil"/>
            </w:tcBorders>
            <w:shd w:val="clear" w:color="auto" w:fill="auto"/>
            <w:noWrap/>
            <w:vAlign w:val="bottom"/>
          </w:tcPr>
          <w:p w14:paraId="72C19922"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7K1D017</w:t>
            </w:r>
          </w:p>
        </w:tc>
        <w:tc>
          <w:tcPr>
            <w:tcW w:w="5931" w:type="dxa"/>
            <w:tcBorders>
              <w:top w:val="nil"/>
              <w:left w:val="nil"/>
              <w:bottom w:val="nil"/>
              <w:right w:val="nil"/>
            </w:tcBorders>
            <w:shd w:val="clear" w:color="auto" w:fill="auto"/>
            <w:noWrap/>
            <w:vAlign w:val="bottom"/>
          </w:tcPr>
          <w:p w14:paraId="081CA5EA"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 open red # neck femur &amp; op fix - McLaughlin nail plate</w:t>
            </w:r>
          </w:p>
        </w:tc>
      </w:tr>
      <w:tr w:rsidR="00BB67BB" w:rsidRPr="00591BFC" w14:paraId="21C31861" w14:textId="77777777" w:rsidTr="00B5138E">
        <w:trPr>
          <w:trHeight w:val="255"/>
        </w:trPr>
        <w:tc>
          <w:tcPr>
            <w:tcW w:w="1095" w:type="dxa"/>
            <w:tcBorders>
              <w:top w:val="nil"/>
              <w:left w:val="nil"/>
              <w:bottom w:val="nil"/>
              <w:right w:val="nil"/>
            </w:tcBorders>
            <w:shd w:val="clear" w:color="auto" w:fill="auto"/>
            <w:noWrap/>
            <w:vAlign w:val="bottom"/>
          </w:tcPr>
          <w:p w14:paraId="3361566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46258</w:t>
            </w:r>
          </w:p>
        </w:tc>
        <w:tc>
          <w:tcPr>
            <w:tcW w:w="1106" w:type="dxa"/>
            <w:tcBorders>
              <w:top w:val="nil"/>
              <w:left w:val="nil"/>
              <w:bottom w:val="nil"/>
              <w:right w:val="nil"/>
            </w:tcBorders>
            <w:shd w:val="clear" w:color="auto" w:fill="auto"/>
            <w:noWrap/>
            <w:vAlign w:val="bottom"/>
          </w:tcPr>
          <w:p w14:paraId="383C0495"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7K1D018</w:t>
            </w:r>
          </w:p>
        </w:tc>
        <w:tc>
          <w:tcPr>
            <w:tcW w:w="5931" w:type="dxa"/>
            <w:tcBorders>
              <w:top w:val="nil"/>
              <w:left w:val="nil"/>
              <w:bottom w:val="nil"/>
              <w:right w:val="nil"/>
            </w:tcBorders>
            <w:shd w:val="clear" w:color="auto" w:fill="auto"/>
            <w:noWrap/>
            <w:vAlign w:val="bottom"/>
          </w:tcPr>
          <w:p w14:paraId="7188A23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 open reduct # neck femur &amp; op fix - Neufield nail plate</w:t>
            </w:r>
          </w:p>
        </w:tc>
      </w:tr>
      <w:tr w:rsidR="00BB67BB" w:rsidRPr="00591BFC" w14:paraId="3ADB2099" w14:textId="77777777" w:rsidTr="00B5138E">
        <w:trPr>
          <w:trHeight w:val="255"/>
        </w:trPr>
        <w:tc>
          <w:tcPr>
            <w:tcW w:w="1095" w:type="dxa"/>
            <w:tcBorders>
              <w:top w:val="nil"/>
              <w:left w:val="nil"/>
              <w:bottom w:val="nil"/>
              <w:right w:val="nil"/>
            </w:tcBorders>
            <w:shd w:val="clear" w:color="auto" w:fill="auto"/>
            <w:noWrap/>
            <w:vAlign w:val="bottom"/>
          </w:tcPr>
          <w:p w14:paraId="548B0E57"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65536</w:t>
            </w:r>
          </w:p>
        </w:tc>
        <w:tc>
          <w:tcPr>
            <w:tcW w:w="1106" w:type="dxa"/>
            <w:tcBorders>
              <w:top w:val="nil"/>
              <w:left w:val="nil"/>
              <w:bottom w:val="nil"/>
              <w:right w:val="nil"/>
            </w:tcBorders>
            <w:shd w:val="clear" w:color="auto" w:fill="auto"/>
            <w:noWrap/>
            <w:vAlign w:val="bottom"/>
          </w:tcPr>
          <w:p w14:paraId="75B1F5EB"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7K1D019</w:t>
            </w:r>
          </w:p>
        </w:tc>
        <w:tc>
          <w:tcPr>
            <w:tcW w:w="5931" w:type="dxa"/>
            <w:tcBorders>
              <w:top w:val="nil"/>
              <w:left w:val="nil"/>
              <w:bottom w:val="nil"/>
              <w:right w:val="nil"/>
            </w:tcBorders>
            <w:shd w:val="clear" w:color="auto" w:fill="auto"/>
            <w:noWrap/>
            <w:vAlign w:val="bottom"/>
          </w:tcPr>
          <w:p w14:paraId="4734422A"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 open reduct # neck femur &amp; op fix - Pugh nail plate</w:t>
            </w:r>
          </w:p>
        </w:tc>
      </w:tr>
      <w:tr w:rsidR="00BB67BB" w:rsidRPr="00591BFC" w14:paraId="22EC947D" w14:textId="77777777" w:rsidTr="00B5138E">
        <w:trPr>
          <w:trHeight w:val="255"/>
        </w:trPr>
        <w:tc>
          <w:tcPr>
            <w:tcW w:w="1095" w:type="dxa"/>
            <w:tcBorders>
              <w:top w:val="nil"/>
              <w:left w:val="nil"/>
              <w:bottom w:val="nil"/>
              <w:right w:val="nil"/>
            </w:tcBorders>
            <w:shd w:val="clear" w:color="auto" w:fill="auto"/>
            <w:noWrap/>
            <w:vAlign w:val="bottom"/>
          </w:tcPr>
          <w:p w14:paraId="037E512C"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24493</w:t>
            </w:r>
          </w:p>
        </w:tc>
        <w:tc>
          <w:tcPr>
            <w:tcW w:w="1106" w:type="dxa"/>
            <w:tcBorders>
              <w:top w:val="nil"/>
              <w:left w:val="nil"/>
              <w:bottom w:val="nil"/>
              <w:right w:val="nil"/>
            </w:tcBorders>
            <w:shd w:val="clear" w:color="auto" w:fill="auto"/>
            <w:noWrap/>
            <w:vAlign w:val="bottom"/>
          </w:tcPr>
          <w:p w14:paraId="1FFCB25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7K1D01A</w:t>
            </w:r>
          </w:p>
        </w:tc>
        <w:tc>
          <w:tcPr>
            <w:tcW w:w="5931" w:type="dxa"/>
            <w:tcBorders>
              <w:top w:val="nil"/>
              <w:left w:val="nil"/>
              <w:bottom w:val="nil"/>
              <w:right w:val="nil"/>
            </w:tcBorders>
            <w:shd w:val="clear" w:color="auto" w:fill="auto"/>
            <w:noWrap/>
            <w:vAlign w:val="bottom"/>
          </w:tcPr>
          <w:p w14:paraId="3C51A325"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 open reduct # neck femur &amp; op fix - Richards screw</w:t>
            </w:r>
          </w:p>
        </w:tc>
      </w:tr>
      <w:tr w:rsidR="00BB67BB" w:rsidRPr="00591BFC" w14:paraId="12095F1B" w14:textId="77777777" w:rsidTr="00B5138E">
        <w:trPr>
          <w:trHeight w:val="255"/>
        </w:trPr>
        <w:tc>
          <w:tcPr>
            <w:tcW w:w="1095" w:type="dxa"/>
            <w:tcBorders>
              <w:top w:val="nil"/>
              <w:left w:val="nil"/>
              <w:bottom w:val="nil"/>
              <w:right w:val="nil"/>
            </w:tcBorders>
            <w:shd w:val="clear" w:color="auto" w:fill="auto"/>
            <w:noWrap/>
            <w:vAlign w:val="bottom"/>
          </w:tcPr>
          <w:p w14:paraId="69095547"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57884</w:t>
            </w:r>
          </w:p>
        </w:tc>
        <w:tc>
          <w:tcPr>
            <w:tcW w:w="1106" w:type="dxa"/>
            <w:tcBorders>
              <w:top w:val="nil"/>
              <w:left w:val="nil"/>
              <w:bottom w:val="nil"/>
              <w:right w:val="nil"/>
            </w:tcBorders>
            <w:shd w:val="clear" w:color="auto" w:fill="auto"/>
            <w:noWrap/>
            <w:vAlign w:val="bottom"/>
          </w:tcPr>
          <w:p w14:paraId="261964C7"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7K1D01B</w:t>
            </w:r>
          </w:p>
        </w:tc>
        <w:tc>
          <w:tcPr>
            <w:tcW w:w="5931" w:type="dxa"/>
            <w:tcBorders>
              <w:top w:val="nil"/>
              <w:left w:val="nil"/>
              <w:bottom w:val="nil"/>
              <w:right w:val="nil"/>
            </w:tcBorders>
            <w:shd w:val="clear" w:color="auto" w:fill="auto"/>
            <w:noWrap/>
            <w:vAlign w:val="bottom"/>
          </w:tcPr>
          <w:p w14:paraId="373BF3EB"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 open reduct # neck femur &amp; op fix - Ross Brown nail</w:t>
            </w:r>
          </w:p>
        </w:tc>
      </w:tr>
      <w:tr w:rsidR="00BB67BB" w:rsidRPr="00591BFC" w14:paraId="300072BC" w14:textId="77777777" w:rsidTr="00B5138E">
        <w:trPr>
          <w:trHeight w:val="255"/>
        </w:trPr>
        <w:tc>
          <w:tcPr>
            <w:tcW w:w="1095" w:type="dxa"/>
            <w:tcBorders>
              <w:top w:val="nil"/>
              <w:left w:val="nil"/>
              <w:bottom w:val="nil"/>
              <w:right w:val="nil"/>
            </w:tcBorders>
            <w:shd w:val="clear" w:color="auto" w:fill="auto"/>
            <w:noWrap/>
            <w:vAlign w:val="bottom"/>
          </w:tcPr>
          <w:p w14:paraId="0C925565"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57889</w:t>
            </w:r>
          </w:p>
        </w:tc>
        <w:tc>
          <w:tcPr>
            <w:tcW w:w="1106" w:type="dxa"/>
            <w:tcBorders>
              <w:top w:val="nil"/>
              <w:left w:val="nil"/>
              <w:bottom w:val="nil"/>
              <w:right w:val="nil"/>
            </w:tcBorders>
            <w:shd w:val="clear" w:color="auto" w:fill="auto"/>
            <w:noWrap/>
            <w:vAlign w:val="bottom"/>
          </w:tcPr>
          <w:p w14:paraId="64E2BB36"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7K1D01D</w:t>
            </w:r>
          </w:p>
        </w:tc>
        <w:tc>
          <w:tcPr>
            <w:tcW w:w="5931" w:type="dxa"/>
            <w:tcBorders>
              <w:top w:val="nil"/>
              <w:left w:val="nil"/>
              <w:bottom w:val="nil"/>
              <w:right w:val="nil"/>
            </w:tcBorders>
            <w:shd w:val="clear" w:color="auto" w:fill="auto"/>
            <w:noWrap/>
            <w:vAlign w:val="bottom"/>
          </w:tcPr>
          <w:p w14:paraId="6934F74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 op red # nck femur &amp; op fix- Zickel intramed nail plate</w:t>
            </w:r>
          </w:p>
        </w:tc>
      </w:tr>
      <w:tr w:rsidR="00BB67BB" w:rsidRPr="00591BFC" w14:paraId="1E8163CA" w14:textId="77777777" w:rsidTr="00B5138E">
        <w:trPr>
          <w:trHeight w:val="255"/>
        </w:trPr>
        <w:tc>
          <w:tcPr>
            <w:tcW w:w="1095" w:type="dxa"/>
            <w:tcBorders>
              <w:top w:val="nil"/>
              <w:left w:val="nil"/>
              <w:bottom w:val="nil"/>
              <w:right w:val="nil"/>
            </w:tcBorders>
            <w:shd w:val="clear" w:color="auto" w:fill="auto"/>
            <w:noWrap/>
            <w:vAlign w:val="bottom"/>
          </w:tcPr>
          <w:p w14:paraId="1C3E526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9792</w:t>
            </w:r>
          </w:p>
        </w:tc>
        <w:tc>
          <w:tcPr>
            <w:tcW w:w="1106" w:type="dxa"/>
            <w:tcBorders>
              <w:top w:val="nil"/>
              <w:left w:val="nil"/>
              <w:bottom w:val="nil"/>
              <w:right w:val="nil"/>
            </w:tcBorders>
            <w:shd w:val="clear" w:color="auto" w:fill="auto"/>
            <w:noWrap/>
            <w:vAlign w:val="bottom"/>
          </w:tcPr>
          <w:p w14:paraId="1DEB93BB"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7K1D01E</w:t>
            </w:r>
          </w:p>
        </w:tc>
        <w:tc>
          <w:tcPr>
            <w:tcW w:w="5931" w:type="dxa"/>
            <w:tcBorders>
              <w:top w:val="nil"/>
              <w:left w:val="nil"/>
              <w:bottom w:val="nil"/>
              <w:right w:val="nil"/>
            </w:tcBorders>
            <w:shd w:val="clear" w:color="auto" w:fill="auto"/>
            <w:noWrap/>
            <w:vAlign w:val="bottom"/>
          </w:tcPr>
          <w:p w14:paraId="718F38C2"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DHS - Dynamic hip screw primary fixation of neck of femur</w:t>
            </w:r>
          </w:p>
        </w:tc>
      </w:tr>
      <w:tr w:rsidR="00BB67BB" w:rsidRPr="00591BFC" w14:paraId="38275302" w14:textId="77777777" w:rsidTr="00B5138E">
        <w:trPr>
          <w:trHeight w:val="255"/>
        </w:trPr>
        <w:tc>
          <w:tcPr>
            <w:tcW w:w="1095" w:type="dxa"/>
            <w:tcBorders>
              <w:top w:val="nil"/>
              <w:left w:val="nil"/>
              <w:bottom w:val="nil"/>
              <w:right w:val="nil"/>
            </w:tcBorders>
            <w:shd w:val="clear" w:color="auto" w:fill="auto"/>
            <w:noWrap/>
            <w:vAlign w:val="bottom"/>
          </w:tcPr>
          <w:p w14:paraId="64DDF2DB"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12544</w:t>
            </w:r>
          </w:p>
        </w:tc>
        <w:tc>
          <w:tcPr>
            <w:tcW w:w="1106" w:type="dxa"/>
            <w:tcBorders>
              <w:top w:val="nil"/>
              <w:left w:val="nil"/>
              <w:bottom w:val="nil"/>
              <w:right w:val="nil"/>
            </w:tcBorders>
            <w:shd w:val="clear" w:color="auto" w:fill="auto"/>
            <w:noWrap/>
            <w:vAlign w:val="bottom"/>
          </w:tcPr>
          <w:p w14:paraId="31BA976C"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7K1D01F</w:t>
            </w:r>
          </w:p>
        </w:tc>
        <w:tc>
          <w:tcPr>
            <w:tcW w:w="5931" w:type="dxa"/>
            <w:tcBorders>
              <w:top w:val="nil"/>
              <w:left w:val="nil"/>
              <w:bottom w:val="nil"/>
              <w:right w:val="nil"/>
            </w:tcBorders>
            <w:shd w:val="clear" w:color="auto" w:fill="auto"/>
            <w:noWrap/>
            <w:vAlign w:val="bottom"/>
          </w:tcPr>
          <w:p w14:paraId="5E4FD83C"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Dynamic hip screw primary fixation of neck of femur</w:t>
            </w:r>
          </w:p>
        </w:tc>
      </w:tr>
      <w:tr w:rsidR="00BB67BB" w:rsidRPr="00591BFC" w14:paraId="019CC375" w14:textId="77777777" w:rsidTr="00B5138E">
        <w:trPr>
          <w:trHeight w:val="255"/>
        </w:trPr>
        <w:tc>
          <w:tcPr>
            <w:tcW w:w="1095" w:type="dxa"/>
            <w:tcBorders>
              <w:top w:val="nil"/>
              <w:left w:val="nil"/>
              <w:bottom w:val="nil"/>
              <w:right w:val="nil"/>
            </w:tcBorders>
            <w:shd w:val="clear" w:color="auto" w:fill="auto"/>
            <w:noWrap/>
            <w:vAlign w:val="bottom"/>
          </w:tcPr>
          <w:p w14:paraId="57A84C1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33624</w:t>
            </w:r>
          </w:p>
        </w:tc>
        <w:tc>
          <w:tcPr>
            <w:tcW w:w="1106" w:type="dxa"/>
            <w:tcBorders>
              <w:top w:val="nil"/>
              <w:left w:val="nil"/>
              <w:bottom w:val="nil"/>
              <w:right w:val="nil"/>
            </w:tcBorders>
            <w:shd w:val="clear" w:color="auto" w:fill="auto"/>
            <w:noWrap/>
            <w:vAlign w:val="bottom"/>
          </w:tcPr>
          <w:p w14:paraId="6E7B07E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7K1D600</w:t>
            </w:r>
          </w:p>
        </w:tc>
        <w:tc>
          <w:tcPr>
            <w:tcW w:w="5931" w:type="dxa"/>
            <w:tcBorders>
              <w:top w:val="nil"/>
              <w:left w:val="nil"/>
              <w:bottom w:val="nil"/>
              <w:right w:val="nil"/>
            </w:tcBorders>
            <w:shd w:val="clear" w:color="auto" w:fill="auto"/>
            <w:noWrap/>
            <w:vAlign w:val="bottom"/>
          </w:tcPr>
          <w:p w14:paraId="00EC3AEA"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Prmy open red+int fxn prox femoral #+screw/nail device alone</w:t>
            </w:r>
          </w:p>
        </w:tc>
      </w:tr>
      <w:tr w:rsidR="00BB67BB" w:rsidRPr="00591BFC" w14:paraId="415D1423" w14:textId="77777777" w:rsidTr="00B5138E">
        <w:trPr>
          <w:trHeight w:val="255"/>
        </w:trPr>
        <w:tc>
          <w:tcPr>
            <w:tcW w:w="1095" w:type="dxa"/>
            <w:tcBorders>
              <w:top w:val="nil"/>
              <w:left w:val="nil"/>
              <w:bottom w:val="nil"/>
              <w:right w:val="nil"/>
            </w:tcBorders>
            <w:shd w:val="clear" w:color="auto" w:fill="auto"/>
            <w:noWrap/>
            <w:vAlign w:val="bottom"/>
          </w:tcPr>
          <w:p w14:paraId="7603059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34764</w:t>
            </w:r>
          </w:p>
        </w:tc>
        <w:tc>
          <w:tcPr>
            <w:tcW w:w="1106" w:type="dxa"/>
            <w:tcBorders>
              <w:top w:val="nil"/>
              <w:left w:val="nil"/>
              <w:bottom w:val="nil"/>
              <w:right w:val="nil"/>
            </w:tcBorders>
            <w:shd w:val="clear" w:color="auto" w:fill="auto"/>
            <w:noWrap/>
            <w:vAlign w:val="bottom"/>
          </w:tcPr>
          <w:p w14:paraId="6CF97B80"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7K1D700</w:t>
            </w:r>
          </w:p>
        </w:tc>
        <w:tc>
          <w:tcPr>
            <w:tcW w:w="5931" w:type="dxa"/>
            <w:tcBorders>
              <w:top w:val="nil"/>
              <w:left w:val="nil"/>
              <w:bottom w:val="nil"/>
              <w:right w:val="nil"/>
            </w:tcBorders>
            <w:shd w:val="clear" w:color="auto" w:fill="auto"/>
            <w:noWrap/>
            <w:vAlign w:val="bottom"/>
          </w:tcPr>
          <w:p w14:paraId="3A03DDB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Prmy open red+int fxn prox fem #+screw/nail+intramed device</w:t>
            </w:r>
          </w:p>
        </w:tc>
      </w:tr>
      <w:tr w:rsidR="00BB67BB" w:rsidRPr="00591BFC" w14:paraId="54B93C03" w14:textId="77777777" w:rsidTr="00B5138E">
        <w:trPr>
          <w:trHeight w:val="255"/>
        </w:trPr>
        <w:tc>
          <w:tcPr>
            <w:tcW w:w="1095" w:type="dxa"/>
            <w:tcBorders>
              <w:top w:val="nil"/>
              <w:left w:val="nil"/>
              <w:bottom w:val="nil"/>
              <w:right w:val="nil"/>
            </w:tcBorders>
            <w:shd w:val="clear" w:color="auto" w:fill="auto"/>
            <w:noWrap/>
            <w:vAlign w:val="bottom"/>
          </w:tcPr>
          <w:p w14:paraId="2ADA631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105803</w:t>
            </w:r>
          </w:p>
        </w:tc>
        <w:tc>
          <w:tcPr>
            <w:tcW w:w="1106" w:type="dxa"/>
            <w:tcBorders>
              <w:top w:val="nil"/>
              <w:left w:val="nil"/>
              <w:bottom w:val="nil"/>
              <w:right w:val="nil"/>
            </w:tcBorders>
            <w:shd w:val="clear" w:color="auto" w:fill="auto"/>
            <w:noWrap/>
            <w:vAlign w:val="bottom"/>
          </w:tcPr>
          <w:p w14:paraId="17179A02"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7K1DE00</w:t>
            </w:r>
          </w:p>
        </w:tc>
        <w:tc>
          <w:tcPr>
            <w:tcW w:w="5931" w:type="dxa"/>
            <w:tcBorders>
              <w:top w:val="nil"/>
              <w:left w:val="nil"/>
              <w:bottom w:val="nil"/>
              <w:right w:val="nil"/>
            </w:tcBorders>
            <w:shd w:val="clear" w:color="auto" w:fill="auto"/>
            <w:noWrap/>
            <w:vAlign w:val="bottom"/>
          </w:tcPr>
          <w:p w14:paraId="7F7C0ADA"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 op red frac neck fem op fix us prox fem nail antirotatn</w:t>
            </w:r>
          </w:p>
        </w:tc>
      </w:tr>
      <w:tr w:rsidR="00BB67BB" w:rsidRPr="00591BFC" w14:paraId="4B09ABA4" w14:textId="77777777" w:rsidTr="00B5138E">
        <w:trPr>
          <w:trHeight w:val="255"/>
        </w:trPr>
        <w:tc>
          <w:tcPr>
            <w:tcW w:w="1095" w:type="dxa"/>
            <w:tcBorders>
              <w:top w:val="nil"/>
              <w:left w:val="nil"/>
              <w:bottom w:val="nil"/>
              <w:right w:val="nil"/>
            </w:tcBorders>
            <w:shd w:val="clear" w:color="auto" w:fill="auto"/>
            <w:noWrap/>
            <w:vAlign w:val="bottom"/>
          </w:tcPr>
          <w:p w14:paraId="614031C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41888</w:t>
            </w:r>
          </w:p>
        </w:tc>
        <w:tc>
          <w:tcPr>
            <w:tcW w:w="1106" w:type="dxa"/>
            <w:tcBorders>
              <w:top w:val="nil"/>
              <w:left w:val="nil"/>
              <w:bottom w:val="nil"/>
              <w:right w:val="nil"/>
            </w:tcBorders>
            <w:shd w:val="clear" w:color="auto" w:fill="auto"/>
            <w:noWrap/>
            <w:vAlign w:val="bottom"/>
          </w:tcPr>
          <w:p w14:paraId="76C38932"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7K1G200</w:t>
            </w:r>
          </w:p>
        </w:tc>
        <w:tc>
          <w:tcPr>
            <w:tcW w:w="5931" w:type="dxa"/>
            <w:tcBorders>
              <w:top w:val="nil"/>
              <w:left w:val="nil"/>
              <w:bottom w:val="nil"/>
              <w:right w:val="nil"/>
            </w:tcBorders>
            <w:shd w:val="clear" w:color="auto" w:fill="auto"/>
            <w:noWrap/>
            <w:vAlign w:val="bottom"/>
          </w:tcPr>
          <w:p w14:paraId="4673297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Primary open reduction+external fixation of femoral fracture</w:t>
            </w:r>
          </w:p>
        </w:tc>
      </w:tr>
      <w:tr w:rsidR="00BB67BB" w:rsidRPr="00591BFC" w14:paraId="0FD8C4C6" w14:textId="77777777" w:rsidTr="00B5138E">
        <w:trPr>
          <w:trHeight w:val="255"/>
        </w:trPr>
        <w:tc>
          <w:tcPr>
            <w:tcW w:w="1095" w:type="dxa"/>
            <w:tcBorders>
              <w:top w:val="nil"/>
              <w:left w:val="nil"/>
              <w:bottom w:val="nil"/>
              <w:right w:val="nil"/>
            </w:tcBorders>
            <w:shd w:val="clear" w:color="auto" w:fill="auto"/>
            <w:noWrap/>
            <w:vAlign w:val="bottom"/>
          </w:tcPr>
          <w:p w14:paraId="4D0A996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8719</w:t>
            </w:r>
          </w:p>
        </w:tc>
        <w:tc>
          <w:tcPr>
            <w:tcW w:w="1106" w:type="dxa"/>
            <w:tcBorders>
              <w:top w:val="nil"/>
              <w:left w:val="nil"/>
              <w:bottom w:val="nil"/>
              <w:right w:val="nil"/>
            </w:tcBorders>
            <w:shd w:val="clear" w:color="auto" w:fill="auto"/>
            <w:noWrap/>
            <w:vAlign w:val="bottom"/>
          </w:tcPr>
          <w:p w14:paraId="2AAB002C"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7K1J000</w:t>
            </w:r>
          </w:p>
        </w:tc>
        <w:tc>
          <w:tcPr>
            <w:tcW w:w="5931" w:type="dxa"/>
            <w:tcBorders>
              <w:top w:val="nil"/>
              <w:left w:val="nil"/>
              <w:bottom w:val="nil"/>
              <w:right w:val="nil"/>
            </w:tcBorders>
            <w:shd w:val="clear" w:color="auto" w:fill="auto"/>
            <w:noWrap/>
            <w:vAlign w:val="bottom"/>
          </w:tcPr>
          <w:p w14:paraId="7D325AF8"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Cls red+int fxn proximal femoral #+screw/nail device alone</w:t>
            </w:r>
          </w:p>
        </w:tc>
      </w:tr>
      <w:tr w:rsidR="00BB67BB" w:rsidRPr="00591BFC" w14:paraId="0286E329" w14:textId="77777777" w:rsidTr="00B5138E">
        <w:trPr>
          <w:trHeight w:val="255"/>
        </w:trPr>
        <w:tc>
          <w:tcPr>
            <w:tcW w:w="1095" w:type="dxa"/>
            <w:tcBorders>
              <w:top w:val="nil"/>
              <w:left w:val="nil"/>
              <w:bottom w:val="nil"/>
              <w:right w:val="nil"/>
            </w:tcBorders>
            <w:shd w:val="clear" w:color="auto" w:fill="auto"/>
            <w:noWrap/>
            <w:vAlign w:val="bottom"/>
          </w:tcPr>
          <w:p w14:paraId="0A0189F8"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53670</w:t>
            </w:r>
          </w:p>
        </w:tc>
        <w:tc>
          <w:tcPr>
            <w:tcW w:w="1106" w:type="dxa"/>
            <w:tcBorders>
              <w:top w:val="nil"/>
              <w:left w:val="nil"/>
              <w:bottom w:val="nil"/>
              <w:right w:val="nil"/>
            </w:tcBorders>
            <w:shd w:val="clear" w:color="auto" w:fill="auto"/>
            <w:noWrap/>
            <w:vAlign w:val="bottom"/>
          </w:tcPr>
          <w:p w14:paraId="78169EB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7K1J011</w:t>
            </w:r>
          </w:p>
        </w:tc>
        <w:tc>
          <w:tcPr>
            <w:tcW w:w="5931" w:type="dxa"/>
            <w:tcBorders>
              <w:top w:val="nil"/>
              <w:left w:val="nil"/>
              <w:bottom w:val="nil"/>
              <w:right w:val="nil"/>
            </w:tcBorders>
            <w:shd w:val="clear" w:color="auto" w:fill="auto"/>
            <w:noWrap/>
            <w:vAlign w:val="bottom"/>
          </w:tcPr>
          <w:p w14:paraId="16D4F34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 red intracaps frac neck femur fix-Garden cannulated screw</w:t>
            </w:r>
          </w:p>
        </w:tc>
      </w:tr>
      <w:tr w:rsidR="00BB67BB" w:rsidRPr="00591BFC" w14:paraId="1CEA3452" w14:textId="77777777" w:rsidTr="00B5138E">
        <w:trPr>
          <w:trHeight w:val="255"/>
        </w:trPr>
        <w:tc>
          <w:tcPr>
            <w:tcW w:w="1095" w:type="dxa"/>
            <w:tcBorders>
              <w:top w:val="nil"/>
              <w:left w:val="nil"/>
              <w:bottom w:val="nil"/>
              <w:right w:val="nil"/>
            </w:tcBorders>
            <w:shd w:val="clear" w:color="auto" w:fill="auto"/>
            <w:noWrap/>
            <w:vAlign w:val="bottom"/>
          </w:tcPr>
          <w:p w14:paraId="0BC55DFC"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40999</w:t>
            </w:r>
          </w:p>
        </w:tc>
        <w:tc>
          <w:tcPr>
            <w:tcW w:w="1106" w:type="dxa"/>
            <w:tcBorders>
              <w:top w:val="nil"/>
              <w:left w:val="nil"/>
              <w:bottom w:val="nil"/>
              <w:right w:val="nil"/>
            </w:tcBorders>
            <w:shd w:val="clear" w:color="auto" w:fill="auto"/>
            <w:noWrap/>
            <w:vAlign w:val="bottom"/>
          </w:tcPr>
          <w:p w14:paraId="2DB347F8"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7K1J012</w:t>
            </w:r>
          </w:p>
        </w:tc>
        <w:tc>
          <w:tcPr>
            <w:tcW w:w="5931" w:type="dxa"/>
            <w:tcBorders>
              <w:top w:val="nil"/>
              <w:left w:val="nil"/>
              <w:bottom w:val="nil"/>
              <w:right w:val="nil"/>
            </w:tcBorders>
            <w:shd w:val="clear" w:color="auto" w:fill="auto"/>
            <w:noWrap/>
            <w:vAlign w:val="bottom"/>
          </w:tcPr>
          <w:p w14:paraId="51DCC12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 red intracaps fract neck femur fix - Smith-Petersen nail</w:t>
            </w:r>
          </w:p>
        </w:tc>
      </w:tr>
      <w:tr w:rsidR="00BB67BB" w:rsidRPr="00591BFC" w14:paraId="141E7025" w14:textId="77777777" w:rsidTr="00B5138E">
        <w:trPr>
          <w:trHeight w:val="255"/>
        </w:trPr>
        <w:tc>
          <w:tcPr>
            <w:tcW w:w="1095" w:type="dxa"/>
            <w:tcBorders>
              <w:top w:val="nil"/>
              <w:left w:val="nil"/>
              <w:bottom w:val="nil"/>
              <w:right w:val="nil"/>
            </w:tcBorders>
            <w:shd w:val="clear" w:color="auto" w:fill="auto"/>
            <w:noWrap/>
            <w:vAlign w:val="bottom"/>
          </w:tcPr>
          <w:p w14:paraId="5FE5EC6D"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57514</w:t>
            </w:r>
          </w:p>
        </w:tc>
        <w:tc>
          <w:tcPr>
            <w:tcW w:w="1106" w:type="dxa"/>
            <w:tcBorders>
              <w:top w:val="nil"/>
              <w:left w:val="nil"/>
              <w:bottom w:val="nil"/>
              <w:right w:val="nil"/>
            </w:tcBorders>
            <w:shd w:val="clear" w:color="auto" w:fill="auto"/>
            <w:noWrap/>
            <w:vAlign w:val="bottom"/>
          </w:tcPr>
          <w:p w14:paraId="12AC0C1C"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7K1J013</w:t>
            </w:r>
          </w:p>
        </w:tc>
        <w:tc>
          <w:tcPr>
            <w:tcW w:w="5931" w:type="dxa"/>
            <w:tcBorders>
              <w:top w:val="nil"/>
              <w:left w:val="nil"/>
              <w:bottom w:val="nil"/>
              <w:right w:val="nil"/>
            </w:tcBorders>
            <w:shd w:val="clear" w:color="auto" w:fill="auto"/>
            <w:noWrap/>
            <w:vAlign w:val="bottom"/>
          </w:tcPr>
          <w:p w14:paraId="6D5940F9"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Cls red+int fxn prox femoral #+Richard's cannulat hip screw</w:t>
            </w:r>
          </w:p>
        </w:tc>
      </w:tr>
      <w:tr w:rsidR="00BB67BB" w:rsidRPr="00591BFC" w14:paraId="61BB99CD" w14:textId="77777777" w:rsidTr="00B5138E">
        <w:trPr>
          <w:trHeight w:val="255"/>
        </w:trPr>
        <w:tc>
          <w:tcPr>
            <w:tcW w:w="1095" w:type="dxa"/>
            <w:tcBorders>
              <w:top w:val="nil"/>
              <w:left w:val="nil"/>
              <w:bottom w:val="nil"/>
              <w:right w:val="nil"/>
            </w:tcBorders>
            <w:shd w:val="clear" w:color="auto" w:fill="auto"/>
            <w:noWrap/>
            <w:vAlign w:val="bottom"/>
          </w:tcPr>
          <w:p w14:paraId="6EC0ED4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35004</w:t>
            </w:r>
          </w:p>
        </w:tc>
        <w:tc>
          <w:tcPr>
            <w:tcW w:w="1106" w:type="dxa"/>
            <w:tcBorders>
              <w:top w:val="nil"/>
              <w:left w:val="nil"/>
              <w:bottom w:val="nil"/>
              <w:right w:val="nil"/>
            </w:tcBorders>
            <w:shd w:val="clear" w:color="auto" w:fill="auto"/>
            <w:noWrap/>
            <w:vAlign w:val="bottom"/>
          </w:tcPr>
          <w:p w14:paraId="7A5B41E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7K1J500</w:t>
            </w:r>
          </w:p>
        </w:tc>
        <w:tc>
          <w:tcPr>
            <w:tcW w:w="5931" w:type="dxa"/>
            <w:tcBorders>
              <w:top w:val="nil"/>
              <w:left w:val="nil"/>
              <w:bottom w:val="nil"/>
              <w:right w:val="nil"/>
            </w:tcBorders>
            <w:shd w:val="clear" w:color="auto" w:fill="auto"/>
            <w:noWrap/>
            <w:vAlign w:val="bottom"/>
          </w:tcPr>
          <w:p w14:paraId="19FB88CB"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Primary int fxn(no red) prox fem #+screw/nail device alone</w:t>
            </w:r>
          </w:p>
        </w:tc>
      </w:tr>
      <w:tr w:rsidR="00BB67BB" w:rsidRPr="00591BFC" w14:paraId="2549269E" w14:textId="77777777" w:rsidTr="00B5138E">
        <w:trPr>
          <w:trHeight w:val="255"/>
        </w:trPr>
        <w:tc>
          <w:tcPr>
            <w:tcW w:w="1095" w:type="dxa"/>
            <w:tcBorders>
              <w:top w:val="nil"/>
              <w:left w:val="nil"/>
              <w:bottom w:val="nil"/>
              <w:right w:val="nil"/>
            </w:tcBorders>
            <w:shd w:val="clear" w:color="auto" w:fill="auto"/>
            <w:noWrap/>
            <w:vAlign w:val="bottom"/>
          </w:tcPr>
          <w:p w14:paraId="7508474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44594</w:t>
            </w:r>
          </w:p>
        </w:tc>
        <w:tc>
          <w:tcPr>
            <w:tcW w:w="1106" w:type="dxa"/>
            <w:tcBorders>
              <w:top w:val="nil"/>
              <w:left w:val="nil"/>
              <w:bottom w:val="nil"/>
              <w:right w:val="nil"/>
            </w:tcBorders>
            <w:shd w:val="clear" w:color="auto" w:fill="auto"/>
            <w:noWrap/>
            <w:vAlign w:val="bottom"/>
          </w:tcPr>
          <w:p w14:paraId="59A4628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7K1J600</w:t>
            </w:r>
          </w:p>
        </w:tc>
        <w:tc>
          <w:tcPr>
            <w:tcW w:w="5931" w:type="dxa"/>
            <w:tcBorders>
              <w:top w:val="nil"/>
              <w:left w:val="nil"/>
              <w:bottom w:val="nil"/>
              <w:right w:val="nil"/>
            </w:tcBorders>
            <w:shd w:val="clear" w:color="auto" w:fill="auto"/>
            <w:noWrap/>
            <w:vAlign w:val="bottom"/>
          </w:tcPr>
          <w:p w14:paraId="12641A1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Primary int fxn(no red) prox fem #+scrw/nail+intramed device</w:t>
            </w:r>
          </w:p>
        </w:tc>
      </w:tr>
      <w:tr w:rsidR="00BB67BB" w:rsidRPr="00591BFC" w14:paraId="6B48DF09" w14:textId="77777777" w:rsidTr="00B5138E">
        <w:trPr>
          <w:trHeight w:val="255"/>
        </w:trPr>
        <w:tc>
          <w:tcPr>
            <w:tcW w:w="1095" w:type="dxa"/>
            <w:tcBorders>
              <w:top w:val="nil"/>
              <w:left w:val="nil"/>
              <w:bottom w:val="nil"/>
              <w:right w:val="nil"/>
            </w:tcBorders>
            <w:shd w:val="clear" w:color="auto" w:fill="auto"/>
            <w:noWrap/>
            <w:vAlign w:val="bottom"/>
          </w:tcPr>
          <w:p w14:paraId="025B3B77"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38856</w:t>
            </w:r>
          </w:p>
        </w:tc>
        <w:tc>
          <w:tcPr>
            <w:tcW w:w="1106" w:type="dxa"/>
            <w:tcBorders>
              <w:top w:val="nil"/>
              <w:left w:val="nil"/>
              <w:bottom w:val="nil"/>
              <w:right w:val="nil"/>
            </w:tcBorders>
            <w:shd w:val="clear" w:color="auto" w:fill="auto"/>
            <w:noWrap/>
            <w:vAlign w:val="bottom"/>
          </w:tcPr>
          <w:p w14:paraId="0105035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7K1J700</w:t>
            </w:r>
          </w:p>
        </w:tc>
        <w:tc>
          <w:tcPr>
            <w:tcW w:w="5931" w:type="dxa"/>
            <w:tcBorders>
              <w:top w:val="nil"/>
              <w:left w:val="nil"/>
              <w:bottom w:val="nil"/>
              <w:right w:val="nil"/>
            </w:tcBorders>
            <w:shd w:val="clear" w:color="auto" w:fill="auto"/>
            <w:noWrap/>
            <w:vAlign w:val="bottom"/>
          </w:tcPr>
          <w:p w14:paraId="385D3862"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Primary int fxn(no red) prox fem #+screw/nail+plate device</w:t>
            </w:r>
          </w:p>
        </w:tc>
      </w:tr>
      <w:tr w:rsidR="00BB67BB" w:rsidRPr="00591BFC" w14:paraId="40B005AA" w14:textId="77777777" w:rsidTr="00B5138E">
        <w:trPr>
          <w:trHeight w:val="255"/>
        </w:trPr>
        <w:tc>
          <w:tcPr>
            <w:tcW w:w="1095" w:type="dxa"/>
            <w:tcBorders>
              <w:top w:val="nil"/>
              <w:left w:val="nil"/>
              <w:bottom w:val="nil"/>
              <w:right w:val="nil"/>
            </w:tcBorders>
            <w:shd w:val="clear" w:color="auto" w:fill="auto"/>
            <w:noWrap/>
            <w:vAlign w:val="bottom"/>
          </w:tcPr>
          <w:p w14:paraId="65A1486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55386</w:t>
            </w:r>
          </w:p>
        </w:tc>
        <w:tc>
          <w:tcPr>
            <w:tcW w:w="1106" w:type="dxa"/>
            <w:tcBorders>
              <w:top w:val="nil"/>
              <w:left w:val="nil"/>
              <w:bottom w:val="nil"/>
              <w:right w:val="nil"/>
            </w:tcBorders>
            <w:shd w:val="clear" w:color="auto" w:fill="auto"/>
            <w:noWrap/>
            <w:vAlign w:val="bottom"/>
          </w:tcPr>
          <w:p w14:paraId="7763025C"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7K1JB00</w:t>
            </w:r>
          </w:p>
        </w:tc>
        <w:tc>
          <w:tcPr>
            <w:tcW w:w="5931" w:type="dxa"/>
            <w:tcBorders>
              <w:top w:val="nil"/>
              <w:left w:val="nil"/>
              <w:bottom w:val="nil"/>
              <w:right w:val="nil"/>
            </w:tcBorders>
            <w:shd w:val="clear" w:color="auto" w:fill="auto"/>
            <w:noWrap/>
            <w:vAlign w:val="bottom"/>
          </w:tcPr>
          <w:p w14:paraId="2C5E820D"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Primary cls red+int fxn prox fem #+screw/nail device alone</w:t>
            </w:r>
          </w:p>
        </w:tc>
      </w:tr>
      <w:tr w:rsidR="00BB67BB" w:rsidRPr="00591BFC" w14:paraId="0D2381D6" w14:textId="77777777" w:rsidTr="00B5138E">
        <w:trPr>
          <w:trHeight w:val="255"/>
        </w:trPr>
        <w:tc>
          <w:tcPr>
            <w:tcW w:w="1095" w:type="dxa"/>
            <w:tcBorders>
              <w:top w:val="nil"/>
              <w:left w:val="nil"/>
              <w:bottom w:val="nil"/>
              <w:right w:val="nil"/>
            </w:tcBorders>
            <w:shd w:val="clear" w:color="auto" w:fill="auto"/>
            <w:noWrap/>
            <w:vAlign w:val="bottom"/>
          </w:tcPr>
          <w:p w14:paraId="3BD61589"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54819</w:t>
            </w:r>
          </w:p>
        </w:tc>
        <w:tc>
          <w:tcPr>
            <w:tcW w:w="1106" w:type="dxa"/>
            <w:tcBorders>
              <w:top w:val="nil"/>
              <w:left w:val="nil"/>
              <w:bottom w:val="nil"/>
              <w:right w:val="nil"/>
            </w:tcBorders>
            <w:shd w:val="clear" w:color="auto" w:fill="auto"/>
            <w:noWrap/>
            <w:vAlign w:val="bottom"/>
          </w:tcPr>
          <w:p w14:paraId="1F050D40"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7K1JC00</w:t>
            </w:r>
          </w:p>
        </w:tc>
        <w:tc>
          <w:tcPr>
            <w:tcW w:w="5931" w:type="dxa"/>
            <w:tcBorders>
              <w:top w:val="nil"/>
              <w:left w:val="nil"/>
              <w:bottom w:val="nil"/>
              <w:right w:val="nil"/>
            </w:tcBorders>
            <w:shd w:val="clear" w:color="auto" w:fill="auto"/>
            <w:noWrap/>
            <w:vAlign w:val="bottom"/>
          </w:tcPr>
          <w:p w14:paraId="1FDA19FB"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 cls rd+int fxn prox fem #+screw/nail+intramdulry device</w:t>
            </w:r>
          </w:p>
        </w:tc>
      </w:tr>
      <w:tr w:rsidR="00BB67BB" w:rsidRPr="00591BFC" w14:paraId="35FD9F6A" w14:textId="77777777" w:rsidTr="00B5138E">
        <w:trPr>
          <w:trHeight w:val="255"/>
        </w:trPr>
        <w:tc>
          <w:tcPr>
            <w:tcW w:w="1095" w:type="dxa"/>
            <w:tcBorders>
              <w:top w:val="nil"/>
              <w:left w:val="nil"/>
              <w:bottom w:val="nil"/>
              <w:right w:val="nil"/>
            </w:tcBorders>
            <w:shd w:val="clear" w:color="auto" w:fill="auto"/>
            <w:noWrap/>
            <w:vAlign w:val="bottom"/>
          </w:tcPr>
          <w:p w14:paraId="2638A57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46959</w:t>
            </w:r>
          </w:p>
        </w:tc>
        <w:tc>
          <w:tcPr>
            <w:tcW w:w="1106" w:type="dxa"/>
            <w:tcBorders>
              <w:top w:val="nil"/>
              <w:left w:val="nil"/>
              <w:bottom w:val="nil"/>
              <w:right w:val="nil"/>
            </w:tcBorders>
            <w:shd w:val="clear" w:color="auto" w:fill="auto"/>
            <w:noWrap/>
            <w:vAlign w:val="bottom"/>
          </w:tcPr>
          <w:p w14:paraId="662FAA7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7K1JD00</w:t>
            </w:r>
          </w:p>
        </w:tc>
        <w:tc>
          <w:tcPr>
            <w:tcW w:w="5931" w:type="dxa"/>
            <w:tcBorders>
              <w:top w:val="nil"/>
              <w:left w:val="nil"/>
              <w:bottom w:val="nil"/>
              <w:right w:val="nil"/>
            </w:tcBorders>
            <w:shd w:val="clear" w:color="auto" w:fill="auto"/>
            <w:noWrap/>
            <w:vAlign w:val="bottom"/>
          </w:tcPr>
          <w:p w14:paraId="4DAB0C2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Primary cls red+int fxn prox fem #+screw/nail+plate device</w:t>
            </w:r>
          </w:p>
        </w:tc>
      </w:tr>
      <w:tr w:rsidR="00BB67BB" w:rsidRPr="00591BFC" w14:paraId="2646CFB2" w14:textId="77777777" w:rsidTr="00B5138E">
        <w:trPr>
          <w:trHeight w:val="255"/>
        </w:trPr>
        <w:tc>
          <w:tcPr>
            <w:tcW w:w="1095" w:type="dxa"/>
            <w:tcBorders>
              <w:top w:val="nil"/>
              <w:left w:val="nil"/>
              <w:bottom w:val="nil"/>
              <w:right w:val="nil"/>
            </w:tcBorders>
            <w:shd w:val="clear" w:color="auto" w:fill="auto"/>
            <w:noWrap/>
            <w:vAlign w:val="bottom"/>
          </w:tcPr>
          <w:p w14:paraId="5DD97348"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39322</w:t>
            </w:r>
          </w:p>
        </w:tc>
        <w:tc>
          <w:tcPr>
            <w:tcW w:w="1106" w:type="dxa"/>
            <w:tcBorders>
              <w:top w:val="nil"/>
              <w:left w:val="nil"/>
              <w:bottom w:val="nil"/>
              <w:right w:val="nil"/>
            </w:tcBorders>
            <w:shd w:val="clear" w:color="auto" w:fill="auto"/>
            <w:noWrap/>
            <w:vAlign w:val="bottom"/>
          </w:tcPr>
          <w:p w14:paraId="7A287FD2"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7K1Jd00</w:t>
            </w:r>
          </w:p>
        </w:tc>
        <w:tc>
          <w:tcPr>
            <w:tcW w:w="5931" w:type="dxa"/>
            <w:tcBorders>
              <w:top w:val="nil"/>
              <w:left w:val="nil"/>
              <w:bottom w:val="nil"/>
              <w:right w:val="nil"/>
            </w:tcBorders>
            <w:shd w:val="clear" w:color="auto" w:fill="auto"/>
            <w:noWrap/>
            <w:vAlign w:val="bottom"/>
          </w:tcPr>
          <w:p w14:paraId="7EBCA65A"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reduction of intracapsular # NOF internal fixat DHS</w:t>
            </w:r>
          </w:p>
        </w:tc>
      </w:tr>
      <w:tr w:rsidR="00BB67BB" w:rsidRPr="00591BFC" w14:paraId="6704A64A" w14:textId="77777777" w:rsidTr="00B5138E">
        <w:trPr>
          <w:trHeight w:val="255"/>
        </w:trPr>
        <w:tc>
          <w:tcPr>
            <w:tcW w:w="1095" w:type="dxa"/>
            <w:tcBorders>
              <w:top w:val="nil"/>
              <w:left w:val="nil"/>
              <w:bottom w:val="nil"/>
              <w:right w:val="nil"/>
            </w:tcBorders>
            <w:shd w:val="clear" w:color="auto" w:fill="auto"/>
            <w:noWrap/>
            <w:vAlign w:val="bottom"/>
          </w:tcPr>
          <w:p w14:paraId="059AA307"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70018</w:t>
            </w:r>
          </w:p>
        </w:tc>
        <w:tc>
          <w:tcPr>
            <w:tcW w:w="1106" w:type="dxa"/>
            <w:tcBorders>
              <w:top w:val="nil"/>
              <w:left w:val="nil"/>
              <w:bottom w:val="nil"/>
              <w:right w:val="nil"/>
            </w:tcBorders>
            <w:shd w:val="clear" w:color="auto" w:fill="auto"/>
            <w:noWrap/>
            <w:vAlign w:val="bottom"/>
          </w:tcPr>
          <w:p w14:paraId="186D0256"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7K1K300</w:t>
            </w:r>
          </w:p>
        </w:tc>
        <w:tc>
          <w:tcPr>
            <w:tcW w:w="5931" w:type="dxa"/>
            <w:tcBorders>
              <w:top w:val="nil"/>
              <w:left w:val="nil"/>
              <w:bottom w:val="nil"/>
              <w:right w:val="nil"/>
            </w:tcBorders>
            <w:shd w:val="clear" w:color="auto" w:fill="auto"/>
            <w:noWrap/>
            <w:vAlign w:val="bottom"/>
          </w:tcPr>
          <w:p w14:paraId="28FF58F6"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Primary external fixation(without reduction) prox femoral #</w:t>
            </w:r>
          </w:p>
        </w:tc>
      </w:tr>
      <w:tr w:rsidR="00BB67BB" w:rsidRPr="00591BFC" w14:paraId="02018F10" w14:textId="77777777" w:rsidTr="00B5138E">
        <w:trPr>
          <w:trHeight w:val="255"/>
        </w:trPr>
        <w:tc>
          <w:tcPr>
            <w:tcW w:w="1095" w:type="dxa"/>
            <w:tcBorders>
              <w:top w:val="nil"/>
              <w:left w:val="nil"/>
              <w:bottom w:val="nil"/>
              <w:right w:val="nil"/>
            </w:tcBorders>
            <w:shd w:val="clear" w:color="auto" w:fill="auto"/>
            <w:noWrap/>
            <w:vAlign w:val="bottom"/>
          </w:tcPr>
          <w:p w14:paraId="386C455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102313</w:t>
            </w:r>
          </w:p>
        </w:tc>
        <w:tc>
          <w:tcPr>
            <w:tcW w:w="1106" w:type="dxa"/>
            <w:tcBorders>
              <w:top w:val="nil"/>
              <w:left w:val="nil"/>
              <w:bottom w:val="nil"/>
              <w:right w:val="nil"/>
            </w:tcBorders>
            <w:shd w:val="clear" w:color="auto" w:fill="auto"/>
            <w:noWrap/>
            <w:vAlign w:val="bottom"/>
          </w:tcPr>
          <w:p w14:paraId="2CAC0580"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7K1K500</w:t>
            </w:r>
          </w:p>
        </w:tc>
        <w:tc>
          <w:tcPr>
            <w:tcW w:w="5931" w:type="dxa"/>
            <w:tcBorders>
              <w:top w:val="nil"/>
              <w:left w:val="nil"/>
              <w:bottom w:val="nil"/>
              <w:right w:val="nil"/>
            </w:tcBorders>
            <w:shd w:val="clear" w:color="auto" w:fill="auto"/>
            <w:noWrap/>
            <w:vAlign w:val="bottom"/>
          </w:tcPr>
          <w:p w14:paraId="5E5BC78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Primary cls reduction+external fixation proximal femoral #</w:t>
            </w:r>
          </w:p>
        </w:tc>
      </w:tr>
      <w:tr w:rsidR="00BB67BB" w:rsidRPr="00591BFC" w14:paraId="3082531D" w14:textId="77777777" w:rsidTr="00B5138E">
        <w:trPr>
          <w:trHeight w:val="255"/>
        </w:trPr>
        <w:tc>
          <w:tcPr>
            <w:tcW w:w="1095" w:type="dxa"/>
            <w:tcBorders>
              <w:top w:val="nil"/>
              <w:left w:val="nil"/>
              <w:bottom w:val="nil"/>
              <w:right w:val="nil"/>
            </w:tcBorders>
            <w:shd w:val="clear" w:color="auto" w:fill="auto"/>
            <w:noWrap/>
            <w:vAlign w:val="bottom"/>
          </w:tcPr>
          <w:p w14:paraId="10D9FB35"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6660</w:t>
            </w:r>
          </w:p>
        </w:tc>
        <w:tc>
          <w:tcPr>
            <w:tcW w:w="1106" w:type="dxa"/>
            <w:tcBorders>
              <w:top w:val="nil"/>
              <w:left w:val="nil"/>
              <w:bottom w:val="nil"/>
              <w:right w:val="nil"/>
            </w:tcBorders>
            <w:shd w:val="clear" w:color="auto" w:fill="auto"/>
            <w:noWrap/>
            <w:vAlign w:val="bottom"/>
          </w:tcPr>
          <w:p w14:paraId="1586E20C"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7K1L400</w:t>
            </w:r>
          </w:p>
        </w:tc>
        <w:tc>
          <w:tcPr>
            <w:tcW w:w="5931" w:type="dxa"/>
            <w:tcBorders>
              <w:top w:val="nil"/>
              <w:left w:val="nil"/>
              <w:bottom w:val="nil"/>
              <w:right w:val="nil"/>
            </w:tcBorders>
            <w:shd w:val="clear" w:color="auto" w:fill="auto"/>
            <w:noWrap/>
            <w:vAlign w:val="bottom"/>
          </w:tcPr>
          <w:p w14:paraId="729A9CE8"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reduction of fracture of hip</w:t>
            </w:r>
          </w:p>
        </w:tc>
      </w:tr>
      <w:tr w:rsidR="00BB67BB" w:rsidRPr="00591BFC" w14:paraId="00968F7E" w14:textId="77777777" w:rsidTr="00B5138E">
        <w:trPr>
          <w:trHeight w:val="255"/>
        </w:trPr>
        <w:tc>
          <w:tcPr>
            <w:tcW w:w="1095" w:type="dxa"/>
            <w:tcBorders>
              <w:top w:val="nil"/>
              <w:left w:val="nil"/>
              <w:bottom w:val="nil"/>
              <w:right w:val="nil"/>
            </w:tcBorders>
            <w:shd w:val="clear" w:color="auto" w:fill="auto"/>
            <w:noWrap/>
            <w:vAlign w:val="bottom"/>
          </w:tcPr>
          <w:p w14:paraId="12BB497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2225</w:t>
            </w:r>
          </w:p>
        </w:tc>
        <w:tc>
          <w:tcPr>
            <w:tcW w:w="1106" w:type="dxa"/>
            <w:tcBorders>
              <w:top w:val="nil"/>
              <w:left w:val="nil"/>
              <w:bottom w:val="nil"/>
              <w:right w:val="nil"/>
            </w:tcBorders>
            <w:shd w:val="clear" w:color="auto" w:fill="auto"/>
            <w:noWrap/>
            <w:vAlign w:val="bottom"/>
          </w:tcPr>
          <w:p w14:paraId="35FF24F7"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S30..00</w:t>
            </w:r>
          </w:p>
        </w:tc>
        <w:tc>
          <w:tcPr>
            <w:tcW w:w="5931" w:type="dxa"/>
            <w:tcBorders>
              <w:top w:val="nil"/>
              <w:left w:val="nil"/>
              <w:bottom w:val="nil"/>
              <w:right w:val="nil"/>
            </w:tcBorders>
            <w:shd w:val="clear" w:color="auto" w:fill="auto"/>
            <w:noWrap/>
            <w:vAlign w:val="bottom"/>
          </w:tcPr>
          <w:p w14:paraId="1839E86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Fracture of neck of femur</w:t>
            </w:r>
          </w:p>
        </w:tc>
      </w:tr>
      <w:tr w:rsidR="00BB67BB" w:rsidRPr="00591BFC" w14:paraId="1CA12AD9" w14:textId="77777777" w:rsidTr="00B5138E">
        <w:trPr>
          <w:trHeight w:val="255"/>
        </w:trPr>
        <w:tc>
          <w:tcPr>
            <w:tcW w:w="1095" w:type="dxa"/>
            <w:tcBorders>
              <w:top w:val="nil"/>
              <w:left w:val="nil"/>
              <w:bottom w:val="nil"/>
              <w:right w:val="nil"/>
            </w:tcBorders>
            <w:shd w:val="clear" w:color="auto" w:fill="auto"/>
            <w:noWrap/>
            <w:vAlign w:val="bottom"/>
          </w:tcPr>
          <w:p w14:paraId="2B0B8BD9"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1994</w:t>
            </w:r>
          </w:p>
        </w:tc>
        <w:tc>
          <w:tcPr>
            <w:tcW w:w="1106" w:type="dxa"/>
            <w:tcBorders>
              <w:top w:val="nil"/>
              <w:left w:val="nil"/>
              <w:bottom w:val="nil"/>
              <w:right w:val="nil"/>
            </w:tcBorders>
            <w:shd w:val="clear" w:color="auto" w:fill="auto"/>
            <w:noWrap/>
            <w:vAlign w:val="bottom"/>
          </w:tcPr>
          <w:p w14:paraId="7500CAB6"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S30..11</w:t>
            </w:r>
          </w:p>
        </w:tc>
        <w:tc>
          <w:tcPr>
            <w:tcW w:w="5931" w:type="dxa"/>
            <w:tcBorders>
              <w:top w:val="nil"/>
              <w:left w:val="nil"/>
              <w:bottom w:val="nil"/>
              <w:right w:val="nil"/>
            </w:tcBorders>
            <w:shd w:val="clear" w:color="auto" w:fill="auto"/>
            <w:noWrap/>
            <w:vAlign w:val="bottom"/>
          </w:tcPr>
          <w:p w14:paraId="3A6DAD6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Hip fracture</w:t>
            </w:r>
          </w:p>
        </w:tc>
      </w:tr>
      <w:tr w:rsidR="00BB67BB" w:rsidRPr="00591BFC" w14:paraId="5723C81A" w14:textId="77777777" w:rsidTr="00B5138E">
        <w:trPr>
          <w:trHeight w:val="255"/>
        </w:trPr>
        <w:tc>
          <w:tcPr>
            <w:tcW w:w="1095" w:type="dxa"/>
            <w:tcBorders>
              <w:top w:val="nil"/>
              <w:left w:val="nil"/>
              <w:bottom w:val="nil"/>
              <w:right w:val="nil"/>
            </w:tcBorders>
            <w:shd w:val="clear" w:color="auto" w:fill="auto"/>
            <w:noWrap/>
            <w:vAlign w:val="bottom"/>
          </w:tcPr>
          <w:p w14:paraId="6DF57AA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38489</w:t>
            </w:r>
          </w:p>
        </w:tc>
        <w:tc>
          <w:tcPr>
            <w:tcW w:w="1106" w:type="dxa"/>
            <w:tcBorders>
              <w:top w:val="nil"/>
              <w:left w:val="nil"/>
              <w:bottom w:val="nil"/>
              <w:right w:val="nil"/>
            </w:tcBorders>
            <w:shd w:val="clear" w:color="auto" w:fill="auto"/>
            <w:noWrap/>
            <w:vAlign w:val="bottom"/>
          </w:tcPr>
          <w:p w14:paraId="7D7059B9"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S300.00</w:t>
            </w:r>
          </w:p>
        </w:tc>
        <w:tc>
          <w:tcPr>
            <w:tcW w:w="5931" w:type="dxa"/>
            <w:tcBorders>
              <w:top w:val="nil"/>
              <w:left w:val="nil"/>
              <w:bottom w:val="nil"/>
              <w:right w:val="nil"/>
            </w:tcBorders>
            <w:shd w:val="clear" w:color="auto" w:fill="auto"/>
            <w:noWrap/>
            <w:vAlign w:val="bottom"/>
          </w:tcPr>
          <w:p w14:paraId="5A2EF96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proximal femur, transcervical</w:t>
            </w:r>
          </w:p>
        </w:tc>
      </w:tr>
      <w:tr w:rsidR="00BB67BB" w:rsidRPr="00591BFC" w14:paraId="34A711C7" w14:textId="77777777" w:rsidTr="00B5138E">
        <w:trPr>
          <w:trHeight w:val="255"/>
        </w:trPr>
        <w:tc>
          <w:tcPr>
            <w:tcW w:w="1095" w:type="dxa"/>
            <w:tcBorders>
              <w:top w:val="nil"/>
              <w:left w:val="nil"/>
              <w:bottom w:val="nil"/>
              <w:right w:val="nil"/>
            </w:tcBorders>
            <w:shd w:val="clear" w:color="auto" w:fill="auto"/>
            <w:noWrap/>
            <w:vAlign w:val="bottom"/>
          </w:tcPr>
          <w:p w14:paraId="12C070C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lastRenderedPageBreak/>
              <w:t>39984</w:t>
            </w:r>
          </w:p>
        </w:tc>
        <w:tc>
          <w:tcPr>
            <w:tcW w:w="1106" w:type="dxa"/>
            <w:tcBorders>
              <w:top w:val="nil"/>
              <w:left w:val="nil"/>
              <w:bottom w:val="nil"/>
              <w:right w:val="nil"/>
            </w:tcBorders>
            <w:shd w:val="clear" w:color="auto" w:fill="auto"/>
            <w:noWrap/>
            <w:vAlign w:val="bottom"/>
          </w:tcPr>
          <w:p w14:paraId="7BB43CC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S300000</w:t>
            </w:r>
          </w:p>
        </w:tc>
        <w:tc>
          <w:tcPr>
            <w:tcW w:w="5931" w:type="dxa"/>
            <w:tcBorders>
              <w:top w:val="nil"/>
              <w:left w:val="nil"/>
              <w:bottom w:val="nil"/>
              <w:right w:val="nil"/>
            </w:tcBorders>
            <w:shd w:val="clear" w:color="auto" w:fill="auto"/>
            <w:noWrap/>
            <w:vAlign w:val="bottom"/>
          </w:tcPr>
          <w:p w14:paraId="4C8C124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Cls # prox femur, intracapsular section, unspecified</w:t>
            </w:r>
          </w:p>
        </w:tc>
      </w:tr>
      <w:tr w:rsidR="00BB67BB" w:rsidRPr="00591BFC" w14:paraId="55DEF6A1" w14:textId="77777777" w:rsidTr="00B5138E">
        <w:trPr>
          <w:trHeight w:val="255"/>
        </w:trPr>
        <w:tc>
          <w:tcPr>
            <w:tcW w:w="1095" w:type="dxa"/>
            <w:tcBorders>
              <w:top w:val="nil"/>
              <w:left w:val="nil"/>
              <w:bottom w:val="nil"/>
              <w:right w:val="nil"/>
            </w:tcBorders>
            <w:shd w:val="clear" w:color="auto" w:fill="auto"/>
            <w:noWrap/>
            <w:vAlign w:val="bottom"/>
          </w:tcPr>
          <w:p w14:paraId="0861D829"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69919</w:t>
            </w:r>
          </w:p>
        </w:tc>
        <w:tc>
          <w:tcPr>
            <w:tcW w:w="1106" w:type="dxa"/>
            <w:tcBorders>
              <w:top w:val="nil"/>
              <w:left w:val="nil"/>
              <w:bottom w:val="nil"/>
              <w:right w:val="nil"/>
            </w:tcBorders>
            <w:shd w:val="clear" w:color="auto" w:fill="auto"/>
            <w:noWrap/>
            <w:vAlign w:val="bottom"/>
          </w:tcPr>
          <w:p w14:paraId="2CAE60B5"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S300100</w:t>
            </w:r>
          </w:p>
        </w:tc>
        <w:tc>
          <w:tcPr>
            <w:tcW w:w="5931" w:type="dxa"/>
            <w:tcBorders>
              <w:top w:val="nil"/>
              <w:left w:val="nil"/>
              <w:bottom w:val="nil"/>
              <w:right w:val="nil"/>
            </w:tcBorders>
            <w:shd w:val="clear" w:color="auto" w:fill="auto"/>
            <w:noWrap/>
            <w:vAlign w:val="bottom"/>
          </w:tcPr>
          <w:p w14:paraId="38C0C1F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proximal femur, transepiphyseal</w:t>
            </w:r>
          </w:p>
        </w:tc>
      </w:tr>
      <w:tr w:rsidR="00BB67BB" w:rsidRPr="00591BFC" w14:paraId="6F2CB331" w14:textId="77777777" w:rsidTr="00B5138E">
        <w:trPr>
          <w:trHeight w:val="255"/>
        </w:trPr>
        <w:tc>
          <w:tcPr>
            <w:tcW w:w="1095" w:type="dxa"/>
            <w:tcBorders>
              <w:top w:val="nil"/>
              <w:left w:val="nil"/>
              <w:bottom w:val="nil"/>
              <w:right w:val="nil"/>
            </w:tcBorders>
            <w:shd w:val="clear" w:color="auto" w:fill="auto"/>
            <w:noWrap/>
            <w:vAlign w:val="bottom"/>
          </w:tcPr>
          <w:p w14:paraId="65A851A8"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65690</w:t>
            </w:r>
          </w:p>
        </w:tc>
        <w:tc>
          <w:tcPr>
            <w:tcW w:w="1106" w:type="dxa"/>
            <w:tcBorders>
              <w:top w:val="nil"/>
              <w:left w:val="nil"/>
              <w:bottom w:val="nil"/>
              <w:right w:val="nil"/>
            </w:tcBorders>
            <w:shd w:val="clear" w:color="auto" w:fill="auto"/>
            <w:noWrap/>
            <w:vAlign w:val="bottom"/>
          </w:tcPr>
          <w:p w14:paraId="05518BB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S300200</w:t>
            </w:r>
          </w:p>
        </w:tc>
        <w:tc>
          <w:tcPr>
            <w:tcW w:w="5931" w:type="dxa"/>
            <w:tcBorders>
              <w:top w:val="nil"/>
              <w:left w:val="nil"/>
              <w:bottom w:val="nil"/>
              <w:right w:val="nil"/>
            </w:tcBorders>
            <w:shd w:val="clear" w:color="auto" w:fill="auto"/>
            <w:noWrap/>
            <w:vAlign w:val="bottom"/>
          </w:tcPr>
          <w:p w14:paraId="24691A8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proximal femur, midcervical section</w:t>
            </w:r>
          </w:p>
        </w:tc>
      </w:tr>
      <w:tr w:rsidR="00BB67BB" w:rsidRPr="00591BFC" w14:paraId="061B0DED" w14:textId="77777777" w:rsidTr="00B5138E">
        <w:trPr>
          <w:trHeight w:val="255"/>
        </w:trPr>
        <w:tc>
          <w:tcPr>
            <w:tcW w:w="1095" w:type="dxa"/>
            <w:tcBorders>
              <w:top w:val="nil"/>
              <w:left w:val="nil"/>
              <w:bottom w:val="nil"/>
              <w:right w:val="nil"/>
            </w:tcBorders>
            <w:shd w:val="clear" w:color="auto" w:fill="auto"/>
            <w:noWrap/>
            <w:vAlign w:val="bottom"/>
          </w:tcPr>
          <w:p w14:paraId="20E35770"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52194</w:t>
            </w:r>
          </w:p>
        </w:tc>
        <w:tc>
          <w:tcPr>
            <w:tcW w:w="1106" w:type="dxa"/>
            <w:tcBorders>
              <w:top w:val="nil"/>
              <w:left w:val="nil"/>
              <w:bottom w:val="nil"/>
              <w:right w:val="nil"/>
            </w:tcBorders>
            <w:shd w:val="clear" w:color="auto" w:fill="auto"/>
            <w:noWrap/>
            <w:vAlign w:val="bottom"/>
          </w:tcPr>
          <w:p w14:paraId="4C9E283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S300300</w:t>
            </w:r>
          </w:p>
        </w:tc>
        <w:tc>
          <w:tcPr>
            <w:tcW w:w="5931" w:type="dxa"/>
            <w:tcBorders>
              <w:top w:val="nil"/>
              <w:left w:val="nil"/>
              <w:bottom w:val="nil"/>
              <w:right w:val="nil"/>
            </w:tcBorders>
            <w:shd w:val="clear" w:color="auto" w:fill="auto"/>
            <w:noWrap/>
            <w:vAlign w:val="bottom"/>
          </w:tcPr>
          <w:p w14:paraId="6A7ADA7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proximal femur, basicervical</w:t>
            </w:r>
          </w:p>
        </w:tc>
      </w:tr>
      <w:tr w:rsidR="00BB67BB" w:rsidRPr="00591BFC" w14:paraId="39628E90" w14:textId="77777777" w:rsidTr="00B5138E">
        <w:trPr>
          <w:trHeight w:val="255"/>
        </w:trPr>
        <w:tc>
          <w:tcPr>
            <w:tcW w:w="1095" w:type="dxa"/>
            <w:tcBorders>
              <w:top w:val="nil"/>
              <w:left w:val="nil"/>
              <w:bottom w:val="nil"/>
              <w:right w:val="nil"/>
            </w:tcBorders>
            <w:shd w:val="clear" w:color="auto" w:fill="auto"/>
            <w:noWrap/>
            <w:vAlign w:val="bottom"/>
          </w:tcPr>
          <w:p w14:paraId="56F1EDA6"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51861</w:t>
            </w:r>
          </w:p>
        </w:tc>
        <w:tc>
          <w:tcPr>
            <w:tcW w:w="1106" w:type="dxa"/>
            <w:tcBorders>
              <w:top w:val="nil"/>
              <w:left w:val="nil"/>
              <w:bottom w:val="nil"/>
              <w:right w:val="nil"/>
            </w:tcBorders>
            <w:shd w:val="clear" w:color="auto" w:fill="auto"/>
            <w:noWrap/>
            <w:vAlign w:val="bottom"/>
          </w:tcPr>
          <w:p w14:paraId="1A36EE1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S300311</w:t>
            </w:r>
          </w:p>
        </w:tc>
        <w:tc>
          <w:tcPr>
            <w:tcW w:w="5931" w:type="dxa"/>
            <w:tcBorders>
              <w:top w:val="nil"/>
              <w:left w:val="nil"/>
              <w:bottom w:val="nil"/>
              <w:right w:val="nil"/>
            </w:tcBorders>
            <w:shd w:val="clear" w:color="auto" w:fill="auto"/>
            <w:noWrap/>
            <w:vAlign w:val="bottom"/>
          </w:tcPr>
          <w:p w14:paraId="4859D58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base of neck of femur</w:t>
            </w:r>
          </w:p>
        </w:tc>
      </w:tr>
      <w:tr w:rsidR="00BB67BB" w:rsidRPr="00591BFC" w14:paraId="0A22EE78" w14:textId="77777777" w:rsidTr="00B5138E">
        <w:trPr>
          <w:trHeight w:val="255"/>
        </w:trPr>
        <w:tc>
          <w:tcPr>
            <w:tcW w:w="1095" w:type="dxa"/>
            <w:tcBorders>
              <w:top w:val="nil"/>
              <w:left w:val="nil"/>
              <w:bottom w:val="nil"/>
              <w:right w:val="nil"/>
            </w:tcBorders>
            <w:shd w:val="clear" w:color="auto" w:fill="auto"/>
            <w:noWrap/>
            <w:vAlign w:val="bottom"/>
          </w:tcPr>
          <w:p w14:paraId="15040C52"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17019</w:t>
            </w:r>
          </w:p>
        </w:tc>
        <w:tc>
          <w:tcPr>
            <w:tcW w:w="1106" w:type="dxa"/>
            <w:tcBorders>
              <w:top w:val="nil"/>
              <w:left w:val="nil"/>
              <w:bottom w:val="nil"/>
              <w:right w:val="nil"/>
            </w:tcBorders>
            <w:shd w:val="clear" w:color="auto" w:fill="auto"/>
            <w:noWrap/>
            <w:vAlign w:val="bottom"/>
          </w:tcPr>
          <w:p w14:paraId="57596FB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S300500</w:t>
            </w:r>
          </w:p>
        </w:tc>
        <w:tc>
          <w:tcPr>
            <w:tcW w:w="5931" w:type="dxa"/>
            <w:tcBorders>
              <w:top w:val="nil"/>
              <w:left w:val="nil"/>
              <w:bottom w:val="nil"/>
              <w:right w:val="nil"/>
            </w:tcBorders>
            <w:shd w:val="clear" w:color="auto" w:fill="auto"/>
            <w:noWrap/>
            <w:vAlign w:val="bottom"/>
          </w:tcPr>
          <w:p w14:paraId="1D20B09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Cls # prox femur, subcapital, Garden grade unspec.</w:t>
            </w:r>
          </w:p>
        </w:tc>
      </w:tr>
      <w:tr w:rsidR="00BB67BB" w:rsidRPr="00591BFC" w14:paraId="18BC0E19" w14:textId="77777777" w:rsidTr="00B5138E">
        <w:trPr>
          <w:trHeight w:val="255"/>
        </w:trPr>
        <w:tc>
          <w:tcPr>
            <w:tcW w:w="1095" w:type="dxa"/>
            <w:tcBorders>
              <w:top w:val="nil"/>
              <w:left w:val="nil"/>
              <w:bottom w:val="nil"/>
              <w:right w:val="nil"/>
            </w:tcBorders>
            <w:shd w:val="clear" w:color="auto" w:fill="auto"/>
            <w:noWrap/>
            <w:vAlign w:val="bottom"/>
          </w:tcPr>
          <w:p w14:paraId="792316C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34351</w:t>
            </w:r>
          </w:p>
        </w:tc>
        <w:tc>
          <w:tcPr>
            <w:tcW w:w="1106" w:type="dxa"/>
            <w:tcBorders>
              <w:top w:val="nil"/>
              <w:left w:val="nil"/>
              <w:bottom w:val="nil"/>
              <w:right w:val="nil"/>
            </w:tcBorders>
            <w:shd w:val="clear" w:color="auto" w:fill="auto"/>
            <w:noWrap/>
            <w:vAlign w:val="bottom"/>
          </w:tcPr>
          <w:p w14:paraId="522CEDE9"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S300600</w:t>
            </w:r>
          </w:p>
        </w:tc>
        <w:tc>
          <w:tcPr>
            <w:tcW w:w="5931" w:type="dxa"/>
            <w:tcBorders>
              <w:top w:val="nil"/>
              <w:left w:val="nil"/>
              <w:bottom w:val="nil"/>
              <w:right w:val="nil"/>
            </w:tcBorders>
            <w:shd w:val="clear" w:color="auto" w:fill="auto"/>
            <w:noWrap/>
            <w:vAlign w:val="bottom"/>
          </w:tcPr>
          <w:p w14:paraId="20AFF0F8"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proximal femur, subcapital, Garden grade I</w:t>
            </w:r>
          </w:p>
        </w:tc>
      </w:tr>
      <w:tr w:rsidR="00BB67BB" w:rsidRPr="00591BFC" w14:paraId="54F70FFA" w14:textId="77777777" w:rsidTr="00B5138E">
        <w:trPr>
          <w:trHeight w:val="255"/>
        </w:trPr>
        <w:tc>
          <w:tcPr>
            <w:tcW w:w="1095" w:type="dxa"/>
            <w:tcBorders>
              <w:top w:val="nil"/>
              <w:left w:val="nil"/>
              <w:bottom w:val="nil"/>
              <w:right w:val="nil"/>
            </w:tcBorders>
            <w:shd w:val="clear" w:color="auto" w:fill="auto"/>
            <w:noWrap/>
            <w:vAlign w:val="bottom"/>
          </w:tcPr>
          <w:p w14:paraId="01758AC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33957</w:t>
            </w:r>
          </w:p>
        </w:tc>
        <w:tc>
          <w:tcPr>
            <w:tcW w:w="1106" w:type="dxa"/>
            <w:tcBorders>
              <w:top w:val="nil"/>
              <w:left w:val="nil"/>
              <w:bottom w:val="nil"/>
              <w:right w:val="nil"/>
            </w:tcBorders>
            <w:shd w:val="clear" w:color="auto" w:fill="auto"/>
            <w:noWrap/>
            <w:vAlign w:val="bottom"/>
          </w:tcPr>
          <w:p w14:paraId="155AE3B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S300700</w:t>
            </w:r>
          </w:p>
        </w:tc>
        <w:tc>
          <w:tcPr>
            <w:tcW w:w="5931" w:type="dxa"/>
            <w:tcBorders>
              <w:top w:val="nil"/>
              <w:left w:val="nil"/>
              <w:bottom w:val="nil"/>
              <w:right w:val="nil"/>
            </w:tcBorders>
            <w:shd w:val="clear" w:color="auto" w:fill="auto"/>
            <w:noWrap/>
            <w:vAlign w:val="bottom"/>
          </w:tcPr>
          <w:p w14:paraId="5ADFC0D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proximal femur, subcapital, Garden grade II</w:t>
            </w:r>
          </w:p>
        </w:tc>
      </w:tr>
      <w:tr w:rsidR="00BB67BB" w:rsidRPr="00591BFC" w14:paraId="6FD9C0DE" w14:textId="77777777" w:rsidTr="00B5138E">
        <w:trPr>
          <w:trHeight w:val="255"/>
        </w:trPr>
        <w:tc>
          <w:tcPr>
            <w:tcW w:w="1095" w:type="dxa"/>
            <w:tcBorders>
              <w:top w:val="nil"/>
              <w:left w:val="nil"/>
              <w:bottom w:val="nil"/>
              <w:right w:val="nil"/>
            </w:tcBorders>
            <w:shd w:val="clear" w:color="auto" w:fill="auto"/>
            <w:noWrap/>
            <w:vAlign w:val="bottom"/>
          </w:tcPr>
          <w:p w14:paraId="252CCDA0"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36599</w:t>
            </w:r>
          </w:p>
        </w:tc>
        <w:tc>
          <w:tcPr>
            <w:tcW w:w="1106" w:type="dxa"/>
            <w:tcBorders>
              <w:top w:val="nil"/>
              <w:left w:val="nil"/>
              <w:bottom w:val="nil"/>
              <w:right w:val="nil"/>
            </w:tcBorders>
            <w:shd w:val="clear" w:color="auto" w:fill="auto"/>
            <w:noWrap/>
            <w:vAlign w:val="bottom"/>
          </w:tcPr>
          <w:p w14:paraId="42D94AD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S300800</w:t>
            </w:r>
          </w:p>
        </w:tc>
        <w:tc>
          <w:tcPr>
            <w:tcW w:w="5931" w:type="dxa"/>
            <w:tcBorders>
              <w:top w:val="nil"/>
              <w:left w:val="nil"/>
              <w:bottom w:val="nil"/>
              <w:right w:val="nil"/>
            </w:tcBorders>
            <w:shd w:val="clear" w:color="auto" w:fill="auto"/>
            <w:noWrap/>
            <w:vAlign w:val="bottom"/>
          </w:tcPr>
          <w:p w14:paraId="2519F507"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proximal femur, subcapital, Garden grade III</w:t>
            </w:r>
          </w:p>
        </w:tc>
      </w:tr>
      <w:tr w:rsidR="00BB67BB" w:rsidRPr="00591BFC" w14:paraId="1BA2380B" w14:textId="77777777" w:rsidTr="00B5138E">
        <w:trPr>
          <w:trHeight w:val="255"/>
        </w:trPr>
        <w:tc>
          <w:tcPr>
            <w:tcW w:w="1095" w:type="dxa"/>
            <w:tcBorders>
              <w:top w:val="nil"/>
              <w:left w:val="nil"/>
              <w:bottom w:val="nil"/>
              <w:right w:val="nil"/>
            </w:tcBorders>
            <w:shd w:val="clear" w:color="auto" w:fill="auto"/>
            <w:noWrap/>
            <w:vAlign w:val="bottom"/>
          </w:tcPr>
          <w:p w14:paraId="0FC8EEC0"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34078</w:t>
            </w:r>
          </w:p>
        </w:tc>
        <w:tc>
          <w:tcPr>
            <w:tcW w:w="1106" w:type="dxa"/>
            <w:tcBorders>
              <w:top w:val="nil"/>
              <w:left w:val="nil"/>
              <w:bottom w:val="nil"/>
              <w:right w:val="nil"/>
            </w:tcBorders>
            <w:shd w:val="clear" w:color="auto" w:fill="auto"/>
            <w:noWrap/>
            <w:vAlign w:val="bottom"/>
          </w:tcPr>
          <w:p w14:paraId="2A7BF705"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S300900</w:t>
            </w:r>
          </w:p>
        </w:tc>
        <w:tc>
          <w:tcPr>
            <w:tcW w:w="5931" w:type="dxa"/>
            <w:tcBorders>
              <w:top w:val="nil"/>
              <w:left w:val="nil"/>
              <w:bottom w:val="nil"/>
              <w:right w:val="nil"/>
            </w:tcBorders>
            <w:shd w:val="clear" w:color="auto" w:fill="auto"/>
            <w:noWrap/>
            <w:vAlign w:val="bottom"/>
          </w:tcPr>
          <w:p w14:paraId="70C0484A"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proximal femur, subcapital, Garden grade IV</w:t>
            </w:r>
          </w:p>
        </w:tc>
      </w:tr>
      <w:tr w:rsidR="00BB67BB" w:rsidRPr="00591BFC" w14:paraId="0928E52E" w14:textId="77777777" w:rsidTr="00B5138E">
        <w:trPr>
          <w:trHeight w:val="255"/>
        </w:trPr>
        <w:tc>
          <w:tcPr>
            <w:tcW w:w="1095" w:type="dxa"/>
            <w:tcBorders>
              <w:top w:val="nil"/>
              <w:left w:val="nil"/>
              <w:bottom w:val="nil"/>
              <w:right w:val="nil"/>
            </w:tcBorders>
            <w:shd w:val="clear" w:color="auto" w:fill="auto"/>
            <w:noWrap/>
            <w:vAlign w:val="bottom"/>
          </w:tcPr>
          <w:p w14:paraId="394CCCE5"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45779</w:t>
            </w:r>
          </w:p>
        </w:tc>
        <w:tc>
          <w:tcPr>
            <w:tcW w:w="1106" w:type="dxa"/>
            <w:tcBorders>
              <w:top w:val="nil"/>
              <w:left w:val="nil"/>
              <w:bottom w:val="nil"/>
              <w:right w:val="nil"/>
            </w:tcBorders>
            <w:shd w:val="clear" w:color="auto" w:fill="auto"/>
            <w:noWrap/>
            <w:vAlign w:val="bottom"/>
          </w:tcPr>
          <w:p w14:paraId="525D514B"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S300A00</w:t>
            </w:r>
          </w:p>
        </w:tc>
        <w:tc>
          <w:tcPr>
            <w:tcW w:w="5931" w:type="dxa"/>
            <w:tcBorders>
              <w:top w:val="nil"/>
              <w:left w:val="nil"/>
              <w:bottom w:val="nil"/>
              <w:right w:val="nil"/>
            </w:tcBorders>
            <w:shd w:val="clear" w:color="auto" w:fill="auto"/>
            <w:noWrap/>
            <w:vAlign w:val="bottom"/>
          </w:tcPr>
          <w:p w14:paraId="61049DDC"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of femur, upper epiphysis</w:t>
            </w:r>
          </w:p>
        </w:tc>
      </w:tr>
      <w:tr w:rsidR="00BB67BB" w:rsidRPr="00591BFC" w14:paraId="25E858B1" w14:textId="77777777" w:rsidTr="00B5138E">
        <w:trPr>
          <w:trHeight w:val="255"/>
        </w:trPr>
        <w:tc>
          <w:tcPr>
            <w:tcW w:w="1095" w:type="dxa"/>
            <w:tcBorders>
              <w:top w:val="nil"/>
              <w:left w:val="nil"/>
              <w:bottom w:val="nil"/>
              <w:right w:val="nil"/>
            </w:tcBorders>
            <w:shd w:val="clear" w:color="auto" w:fill="auto"/>
            <w:noWrap/>
            <w:vAlign w:val="bottom"/>
          </w:tcPr>
          <w:p w14:paraId="00ECCA8A"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49209</w:t>
            </w:r>
          </w:p>
        </w:tc>
        <w:tc>
          <w:tcPr>
            <w:tcW w:w="1106" w:type="dxa"/>
            <w:tcBorders>
              <w:top w:val="nil"/>
              <w:left w:val="nil"/>
              <w:bottom w:val="nil"/>
              <w:right w:val="nil"/>
            </w:tcBorders>
            <w:shd w:val="clear" w:color="auto" w:fill="auto"/>
            <w:noWrap/>
            <w:vAlign w:val="bottom"/>
          </w:tcPr>
          <w:p w14:paraId="1722C5C9"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S300y00</w:t>
            </w:r>
          </w:p>
        </w:tc>
        <w:tc>
          <w:tcPr>
            <w:tcW w:w="5931" w:type="dxa"/>
            <w:tcBorders>
              <w:top w:val="nil"/>
              <w:left w:val="nil"/>
              <w:bottom w:val="nil"/>
              <w:right w:val="nil"/>
            </w:tcBorders>
            <w:shd w:val="clear" w:color="auto" w:fill="auto"/>
            <w:noWrap/>
            <w:vAlign w:val="bottom"/>
          </w:tcPr>
          <w:p w14:paraId="2C0A6599"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proximal femur, other transcervical</w:t>
            </w:r>
          </w:p>
        </w:tc>
      </w:tr>
      <w:tr w:rsidR="00BB67BB" w:rsidRPr="00591BFC" w14:paraId="07FC5A2B" w14:textId="77777777" w:rsidTr="00B5138E">
        <w:trPr>
          <w:trHeight w:val="255"/>
        </w:trPr>
        <w:tc>
          <w:tcPr>
            <w:tcW w:w="1095" w:type="dxa"/>
            <w:tcBorders>
              <w:top w:val="nil"/>
              <w:left w:val="nil"/>
              <w:bottom w:val="nil"/>
              <w:right w:val="nil"/>
            </w:tcBorders>
            <w:shd w:val="clear" w:color="auto" w:fill="auto"/>
            <w:noWrap/>
            <w:vAlign w:val="bottom"/>
          </w:tcPr>
          <w:p w14:paraId="5D9F3FAD"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68229</w:t>
            </w:r>
          </w:p>
        </w:tc>
        <w:tc>
          <w:tcPr>
            <w:tcW w:w="1106" w:type="dxa"/>
            <w:tcBorders>
              <w:top w:val="nil"/>
              <w:left w:val="nil"/>
              <w:bottom w:val="nil"/>
              <w:right w:val="nil"/>
            </w:tcBorders>
            <w:shd w:val="clear" w:color="auto" w:fill="auto"/>
            <w:noWrap/>
            <w:vAlign w:val="bottom"/>
          </w:tcPr>
          <w:p w14:paraId="415AA8FA"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S300y11</w:t>
            </w:r>
          </w:p>
        </w:tc>
        <w:tc>
          <w:tcPr>
            <w:tcW w:w="5931" w:type="dxa"/>
            <w:tcBorders>
              <w:top w:val="nil"/>
              <w:left w:val="nil"/>
              <w:bottom w:val="nil"/>
              <w:right w:val="nil"/>
            </w:tcBorders>
            <w:shd w:val="clear" w:color="auto" w:fill="auto"/>
            <w:noWrap/>
            <w:vAlign w:val="bottom"/>
          </w:tcPr>
          <w:p w14:paraId="4E1147CD"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of femur, subcapital</w:t>
            </w:r>
          </w:p>
        </w:tc>
      </w:tr>
      <w:tr w:rsidR="00BB67BB" w:rsidRPr="00591BFC" w14:paraId="6A873762" w14:textId="77777777" w:rsidTr="00B5138E">
        <w:trPr>
          <w:trHeight w:val="255"/>
        </w:trPr>
        <w:tc>
          <w:tcPr>
            <w:tcW w:w="1095" w:type="dxa"/>
            <w:tcBorders>
              <w:top w:val="nil"/>
              <w:left w:val="nil"/>
              <w:bottom w:val="nil"/>
              <w:right w:val="nil"/>
            </w:tcBorders>
            <w:shd w:val="clear" w:color="auto" w:fill="auto"/>
            <w:noWrap/>
            <w:vAlign w:val="bottom"/>
          </w:tcPr>
          <w:p w14:paraId="771BDD2A"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62966</w:t>
            </w:r>
          </w:p>
        </w:tc>
        <w:tc>
          <w:tcPr>
            <w:tcW w:w="1106" w:type="dxa"/>
            <w:tcBorders>
              <w:top w:val="nil"/>
              <w:left w:val="nil"/>
              <w:bottom w:val="nil"/>
              <w:right w:val="nil"/>
            </w:tcBorders>
            <w:shd w:val="clear" w:color="auto" w:fill="auto"/>
            <w:noWrap/>
            <w:vAlign w:val="bottom"/>
          </w:tcPr>
          <w:p w14:paraId="03008148"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S300z00</w:t>
            </w:r>
          </w:p>
        </w:tc>
        <w:tc>
          <w:tcPr>
            <w:tcW w:w="5931" w:type="dxa"/>
            <w:tcBorders>
              <w:top w:val="nil"/>
              <w:left w:val="nil"/>
              <w:bottom w:val="nil"/>
              <w:right w:val="nil"/>
            </w:tcBorders>
            <w:shd w:val="clear" w:color="auto" w:fill="auto"/>
            <w:noWrap/>
            <w:vAlign w:val="bottom"/>
          </w:tcPr>
          <w:p w14:paraId="456C65B9"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proximal femur, transcervical, NOS</w:t>
            </w:r>
          </w:p>
        </w:tc>
      </w:tr>
      <w:tr w:rsidR="00BB67BB" w:rsidRPr="00591BFC" w14:paraId="40F9B162" w14:textId="77777777" w:rsidTr="00B5138E">
        <w:trPr>
          <w:trHeight w:val="255"/>
        </w:trPr>
        <w:tc>
          <w:tcPr>
            <w:tcW w:w="1095" w:type="dxa"/>
            <w:tcBorders>
              <w:top w:val="nil"/>
              <w:left w:val="nil"/>
              <w:bottom w:val="nil"/>
              <w:right w:val="nil"/>
            </w:tcBorders>
            <w:shd w:val="clear" w:color="auto" w:fill="auto"/>
            <w:noWrap/>
            <w:vAlign w:val="bottom"/>
          </w:tcPr>
          <w:p w14:paraId="60649EE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73981</w:t>
            </w:r>
          </w:p>
        </w:tc>
        <w:tc>
          <w:tcPr>
            <w:tcW w:w="1106" w:type="dxa"/>
            <w:tcBorders>
              <w:top w:val="nil"/>
              <w:left w:val="nil"/>
              <w:bottom w:val="nil"/>
              <w:right w:val="nil"/>
            </w:tcBorders>
            <w:shd w:val="clear" w:color="auto" w:fill="auto"/>
            <w:noWrap/>
            <w:vAlign w:val="bottom"/>
          </w:tcPr>
          <w:p w14:paraId="0F30671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S301.00</w:t>
            </w:r>
          </w:p>
        </w:tc>
        <w:tc>
          <w:tcPr>
            <w:tcW w:w="5931" w:type="dxa"/>
            <w:tcBorders>
              <w:top w:val="nil"/>
              <w:left w:val="nil"/>
              <w:bottom w:val="nil"/>
              <w:right w:val="nil"/>
            </w:tcBorders>
            <w:shd w:val="clear" w:color="auto" w:fill="auto"/>
            <w:noWrap/>
            <w:vAlign w:val="bottom"/>
          </w:tcPr>
          <w:p w14:paraId="4EEEFA00"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proximal femur, transcervical</w:t>
            </w:r>
          </w:p>
        </w:tc>
      </w:tr>
      <w:tr w:rsidR="00BB67BB" w:rsidRPr="00591BFC" w14:paraId="192B5BAF" w14:textId="77777777" w:rsidTr="00B5138E">
        <w:trPr>
          <w:trHeight w:val="255"/>
        </w:trPr>
        <w:tc>
          <w:tcPr>
            <w:tcW w:w="1095" w:type="dxa"/>
            <w:tcBorders>
              <w:top w:val="nil"/>
              <w:left w:val="nil"/>
              <w:bottom w:val="nil"/>
              <w:right w:val="nil"/>
            </w:tcBorders>
            <w:shd w:val="clear" w:color="auto" w:fill="auto"/>
            <w:noWrap/>
            <w:vAlign w:val="bottom"/>
          </w:tcPr>
          <w:p w14:paraId="4616DF35"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50727</w:t>
            </w:r>
          </w:p>
        </w:tc>
        <w:tc>
          <w:tcPr>
            <w:tcW w:w="1106" w:type="dxa"/>
            <w:tcBorders>
              <w:top w:val="nil"/>
              <w:left w:val="nil"/>
              <w:bottom w:val="nil"/>
              <w:right w:val="nil"/>
            </w:tcBorders>
            <w:shd w:val="clear" w:color="auto" w:fill="auto"/>
            <w:noWrap/>
            <w:vAlign w:val="bottom"/>
          </w:tcPr>
          <w:p w14:paraId="767DCF97"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S301000</w:t>
            </w:r>
          </w:p>
        </w:tc>
        <w:tc>
          <w:tcPr>
            <w:tcW w:w="5931" w:type="dxa"/>
            <w:tcBorders>
              <w:top w:val="nil"/>
              <w:left w:val="nil"/>
              <w:bottom w:val="nil"/>
              <w:right w:val="nil"/>
            </w:tcBorders>
            <w:shd w:val="clear" w:color="auto" w:fill="auto"/>
            <w:noWrap/>
            <w:vAlign w:val="bottom"/>
          </w:tcPr>
          <w:p w14:paraId="5391BDC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Opn # proximal femur, intracapsular section, unspecified</w:t>
            </w:r>
          </w:p>
        </w:tc>
      </w:tr>
      <w:tr w:rsidR="00BB67BB" w:rsidRPr="00591BFC" w14:paraId="52E85A6A" w14:textId="77777777" w:rsidTr="00B5138E">
        <w:trPr>
          <w:trHeight w:val="255"/>
        </w:trPr>
        <w:tc>
          <w:tcPr>
            <w:tcW w:w="1095" w:type="dxa"/>
            <w:tcBorders>
              <w:top w:val="nil"/>
              <w:left w:val="nil"/>
              <w:bottom w:val="nil"/>
              <w:right w:val="nil"/>
            </w:tcBorders>
            <w:shd w:val="clear" w:color="auto" w:fill="auto"/>
            <w:noWrap/>
            <w:vAlign w:val="bottom"/>
          </w:tcPr>
          <w:p w14:paraId="2F6905D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72138</w:t>
            </w:r>
          </w:p>
        </w:tc>
        <w:tc>
          <w:tcPr>
            <w:tcW w:w="1106" w:type="dxa"/>
            <w:tcBorders>
              <w:top w:val="nil"/>
              <w:left w:val="nil"/>
              <w:bottom w:val="nil"/>
              <w:right w:val="nil"/>
            </w:tcBorders>
            <w:shd w:val="clear" w:color="auto" w:fill="auto"/>
            <w:noWrap/>
            <w:vAlign w:val="bottom"/>
          </w:tcPr>
          <w:p w14:paraId="6B12DF7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S301100</w:t>
            </w:r>
          </w:p>
        </w:tc>
        <w:tc>
          <w:tcPr>
            <w:tcW w:w="5931" w:type="dxa"/>
            <w:tcBorders>
              <w:top w:val="nil"/>
              <w:left w:val="nil"/>
              <w:bottom w:val="nil"/>
              <w:right w:val="nil"/>
            </w:tcBorders>
            <w:shd w:val="clear" w:color="auto" w:fill="auto"/>
            <w:noWrap/>
            <w:vAlign w:val="bottom"/>
          </w:tcPr>
          <w:p w14:paraId="4E133BC2"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proximal femur, transepiphyseal</w:t>
            </w:r>
          </w:p>
        </w:tc>
      </w:tr>
      <w:tr w:rsidR="00BB67BB" w:rsidRPr="00591BFC" w14:paraId="27DA5A67" w14:textId="77777777" w:rsidTr="00B5138E">
        <w:trPr>
          <w:trHeight w:val="255"/>
        </w:trPr>
        <w:tc>
          <w:tcPr>
            <w:tcW w:w="1095" w:type="dxa"/>
            <w:tcBorders>
              <w:top w:val="nil"/>
              <w:left w:val="nil"/>
              <w:bottom w:val="nil"/>
              <w:right w:val="nil"/>
            </w:tcBorders>
            <w:shd w:val="clear" w:color="auto" w:fill="auto"/>
            <w:noWrap/>
            <w:vAlign w:val="bottom"/>
          </w:tcPr>
          <w:p w14:paraId="36E185A7"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100771</w:t>
            </w:r>
          </w:p>
        </w:tc>
        <w:tc>
          <w:tcPr>
            <w:tcW w:w="1106" w:type="dxa"/>
            <w:tcBorders>
              <w:top w:val="nil"/>
              <w:left w:val="nil"/>
              <w:bottom w:val="nil"/>
              <w:right w:val="nil"/>
            </w:tcBorders>
            <w:shd w:val="clear" w:color="auto" w:fill="auto"/>
            <w:noWrap/>
            <w:vAlign w:val="bottom"/>
          </w:tcPr>
          <w:p w14:paraId="04D115CA"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S301311</w:t>
            </w:r>
          </w:p>
        </w:tc>
        <w:tc>
          <w:tcPr>
            <w:tcW w:w="5931" w:type="dxa"/>
            <w:tcBorders>
              <w:top w:val="nil"/>
              <w:left w:val="nil"/>
              <w:bottom w:val="nil"/>
              <w:right w:val="nil"/>
            </w:tcBorders>
            <w:shd w:val="clear" w:color="auto" w:fill="auto"/>
            <w:noWrap/>
            <w:vAlign w:val="bottom"/>
          </w:tcPr>
          <w:p w14:paraId="643D89B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base of neck of femur</w:t>
            </w:r>
          </w:p>
        </w:tc>
      </w:tr>
      <w:tr w:rsidR="00BB67BB" w:rsidRPr="00591BFC" w14:paraId="0909A4AB" w14:textId="77777777" w:rsidTr="00B5138E">
        <w:trPr>
          <w:trHeight w:val="255"/>
        </w:trPr>
        <w:tc>
          <w:tcPr>
            <w:tcW w:w="1095" w:type="dxa"/>
            <w:tcBorders>
              <w:top w:val="nil"/>
              <w:left w:val="nil"/>
              <w:bottom w:val="nil"/>
              <w:right w:val="nil"/>
            </w:tcBorders>
            <w:shd w:val="clear" w:color="auto" w:fill="auto"/>
            <w:noWrap/>
            <w:vAlign w:val="bottom"/>
          </w:tcPr>
          <w:p w14:paraId="7ECAD81D"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38878</w:t>
            </w:r>
          </w:p>
        </w:tc>
        <w:tc>
          <w:tcPr>
            <w:tcW w:w="1106" w:type="dxa"/>
            <w:tcBorders>
              <w:top w:val="nil"/>
              <w:left w:val="nil"/>
              <w:bottom w:val="nil"/>
              <w:right w:val="nil"/>
            </w:tcBorders>
            <w:shd w:val="clear" w:color="auto" w:fill="auto"/>
            <w:noWrap/>
            <w:vAlign w:val="bottom"/>
          </w:tcPr>
          <w:p w14:paraId="46D1C14D"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S301500</w:t>
            </w:r>
          </w:p>
        </w:tc>
        <w:tc>
          <w:tcPr>
            <w:tcW w:w="5931" w:type="dxa"/>
            <w:tcBorders>
              <w:top w:val="nil"/>
              <w:left w:val="nil"/>
              <w:bottom w:val="nil"/>
              <w:right w:val="nil"/>
            </w:tcBorders>
            <w:shd w:val="clear" w:color="auto" w:fill="auto"/>
            <w:noWrap/>
            <w:vAlign w:val="bottom"/>
          </w:tcPr>
          <w:p w14:paraId="77F18F0C"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proximal femur,subcapital, Garden grade unspec</w:t>
            </w:r>
          </w:p>
        </w:tc>
      </w:tr>
      <w:tr w:rsidR="00BB67BB" w:rsidRPr="00591BFC" w14:paraId="5BCE9DCA" w14:textId="77777777" w:rsidTr="00B5138E">
        <w:trPr>
          <w:trHeight w:val="255"/>
        </w:trPr>
        <w:tc>
          <w:tcPr>
            <w:tcW w:w="1095" w:type="dxa"/>
            <w:tcBorders>
              <w:top w:val="nil"/>
              <w:left w:val="nil"/>
              <w:bottom w:val="nil"/>
              <w:right w:val="nil"/>
            </w:tcBorders>
            <w:shd w:val="clear" w:color="auto" w:fill="auto"/>
            <w:noWrap/>
            <w:vAlign w:val="bottom"/>
          </w:tcPr>
          <w:p w14:paraId="51FED769"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60885</w:t>
            </w:r>
          </w:p>
        </w:tc>
        <w:tc>
          <w:tcPr>
            <w:tcW w:w="1106" w:type="dxa"/>
            <w:tcBorders>
              <w:top w:val="nil"/>
              <w:left w:val="nil"/>
              <w:bottom w:val="nil"/>
              <w:right w:val="nil"/>
            </w:tcBorders>
            <w:shd w:val="clear" w:color="auto" w:fill="auto"/>
            <w:noWrap/>
            <w:vAlign w:val="bottom"/>
          </w:tcPr>
          <w:p w14:paraId="389AC630"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S301600</w:t>
            </w:r>
          </w:p>
        </w:tc>
        <w:tc>
          <w:tcPr>
            <w:tcW w:w="5931" w:type="dxa"/>
            <w:tcBorders>
              <w:top w:val="nil"/>
              <w:left w:val="nil"/>
              <w:bottom w:val="nil"/>
              <w:right w:val="nil"/>
            </w:tcBorders>
            <w:shd w:val="clear" w:color="auto" w:fill="auto"/>
            <w:noWrap/>
            <w:vAlign w:val="bottom"/>
          </w:tcPr>
          <w:p w14:paraId="24B2009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proximal femur,subcapital, Garden grade I</w:t>
            </w:r>
          </w:p>
        </w:tc>
      </w:tr>
      <w:tr w:rsidR="00BB67BB" w:rsidRPr="00591BFC" w14:paraId="35977C91" w14:textId="77777777" w:rsidTr="00B5138E">
        <w:trPr>
          <w:trHeight w:val="255"/>
        </w:trPr>
        <w:tc>
          <w:tcPr>
            <w:tcW w:w="1095" w:type="dxa"/>
            <w:tcBorders>
              <w:top w:val="nil"/>
              <w:left w:val="nil"/>
              <w:bottom w:val="nil"/>
              <w:right w:val="nil"/>
            </w:tcBorders>
            <w:shd w:val="clear" w:color="auto" w:fill="auto"/>
            <w:noWrap/>
            <w:vAlign w:val="bottom"/>
          </w:tcPr>
          <w:p w14:paraId="208839E8"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67394</w:t>
            </w:r>
          </w:p>
        </w:tc>
        <w:tc>
          <w:tcPr>
            <w:tcW w:w="1106" w:type="dxa"/>
            <w:tcBorders>
              <w:top w:val="nil"/>
              <w:left w:val="nil"/>
              <w:bottom w:val="nil"/>
              <w:right w:val="nil"/>
            </w:tcBorders>
            <w:shd w:val="clear" w:color="auto" w:fill="auto"/>
            <w:noWrap/>
            <w:vAlign w:val="bottom"/>
          </w:tcPr>
          <w:p w14:paraId="252245DC"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S301700</w:t>
            </w:r>
          </w:p>
        </w:tc>
        <w:tc>
          <w:tcPr>
            <w:tcW w:w="5931" w:type="dxa"/>
            <w:tcBorders>
              <w:top w:val="nil"/>
              <w:left w:val="nil"/>
              <w:bottom w:val="nil"/>
              <w:right w:val="nil"/>
            </w:tcBorders>
            <w:shd w:val="clear" w:color="auto" w:fill="auto"/>
            <w:noWrap/>
            <w:vAlign w:val="bottom"/>
          </w:tcPr>
          <w:p w14:paraId="2EDED4D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proximal femur,subcapital, Garden grade II</w:t>
            </w:r>
          </w:p>
        </w:tc>
      </w:tr>
      <w:tr w:rsidR="00BB67BB" w:rsidRPr="00591BFC" w14:paraId="79787AEE" w14:textId="77777777" w:rsidTr="00B5138E">
        <w:trPr>
          <w:trHeight w:val="255"/>
        </w:trPr>
        <w:tc>
          <w:tcPr>
            <w:tcW w:w="1095" w:type="dxa"/>
            <w:tcBorders>
              <w:top w:val="nil"/>
              <w:left w:val="nil"/>
              <w:bottom w:val="nil"/>
              <w:right w:val="nil"/>
            </w:tcBorders>
            <w:shd w:val="clear" w:color="auto" w:fill="auto"/>
            <w:noWrap/>
            <w:vAlign w:val="bottom"/>
          </w:tcPr>
          <w:p w14:paraId="0F929F52"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23803</w:t>
            </w:r>
          </w:p>
        </w:tc>
        <w:tc>
          <w:tcPr>
            <w:tcW w:w="1106" w:type="dxa"/>
            <w:tcBorders>
              <w:top w:val="nil"/>
              <w:left w:val="nil"/>
              <w:bottom w:val="nil"/>
              <w:right w:val="nil"/>
            </w:tcBorders>
            <w:shd w:val="clear" w:color="auto" w:fill="auto"/>
            <w:noWrap/>
            <w:vAlign w:val="bottom"/>
          </w:tcPr>
          <w:p w14:paraId="06F6BBB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S301800</w:t>
            </w:r>
          </w:p>
        </w:tc>
        <w:tc>
          <w:tcPr>
            <w:tcW w:w="5931" w:type="dxa"/>
            <w:tcBorders>
              <w:top w:val="nil"/>
              <w:left w:val="nil"/>
              <w:bottom w:val="nil"/>
              <w:right w:val="nil"/>
            </w:tcBorders>
            <w:shd w:val="clear" w:color="auto" w:fill="auto"/>
            <w:noWrap/>
            <w:vAlign w:val="bottom"/>
          </w:tcPr>
          <w:p w14:paraId="428B6A4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proximal femur,subcapital, Garden grade III</w:t>
            </w:r>
          </w:p>
        </w:tc>
      </w:tr>
      <w:tr w:rsidR="00BB67BB" w:rsidRPr="00591BFC" w14:paraId="03CBAF5C" w14:textId="77777777" w:rsidTr="00B5138E">
        <w:trPr>
          <w:trHeight w:val="255"/>
        </w:trPr>
        <w:tc>
          <w:tcPr>
            <w:tcW w:w="1095" w:type="dxa"/>
            <w:tcBorders>
              <w:top w:val="nil"/>
              <w:left w:val="nil"/>
              <w:bottom w:val="nil"/>
              <w:right w:val="nil"/>
            </w:tcBorders>
            <w:shd w:val="clear" w:color="auto" w:fill="auto"/>
            <w:noWrap/>
            <w:vAlign w:val="bottom"/>
          </w:tcPr>
          <w:p w14:paraId="1E110090"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51999</w:t>
            </w:r>
          </w:p>
        </w:tc>
        <w:tc>
          <w:tcPr>
            <w:tcW w:w="1106" w:type="dxa"/>
            <w:tcBorders>
              <w:top w:val="nil"/>
              <w:left w:val="nil"/>
              <w:bottom w:val="nil"/>
              <w:right w:val="nil"/>
            </w:tcBorders>
            <w:shd w:val="clear" w:color="auto" w:fill="auto"/>
            <w:noWrap/>
            <w:vAlign w:val="bottom"/>
          </w:tcPr>
          <w:p w14:paraId="0D4F50C8"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S301900</w:t>
            </w:r>
          </w:p>
        </w:tc>
        <w:tc>
          <w:tcPr>
            <w:tcW w:w="5931" w:type="dxa"/>
            <w:tcBorders>
              <w:top w:val="nil"/>
              <w:left w:val="nil"/>
              <w:bottom w:val="nil"/>
              <w:right w:val="nil"/>
            </w:tcBorders>
            <w:shd w:val="clear" w:color="auto" w:fill="auto"/>
            <w:noWrap/>
            <w:vAlign w:val="bottom"/>
          </w:tcPr>
          <w:p w14:paraId="36DAD289"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proximal femur,subcapital, Garden grade IV</w:t>
            </w:r>
          </w:p>
        </w:tc>
      </w:tr>
      <w:tr w:rsidR="00BB67BB" w:rsidRPr="00591BFC" w14:paraId="58913D81" w14:textId="77777777" w:rsidTr="00B5138E">
        <w:trPr>
          <w:trHeight w:val="255"/>
        </w:trPr>
        <w:tc>
          <w:tcPr>
            <w:tcW w:w="1095" w:type="dxa"/>
            <w:tcBorders>
              <w:top w:val="nil"/>
              <w:left w:val="nil"/>
              <w:bottom w:val="nil"/>
              <w:right w:val="nil"/>
            </w:tcBorders>
            <w:shd w:val="clear" w:color="auto" w:fill="auto"/>
            <w:noWrap/>
            <w:vAlign w:val="bottom"/>
          </w:tcPr>
          <w:p w14:paraId="38130AE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96518</w:t>
            </w:r>
          </w:p>
        </w:tc>
        <w:tc>
          <w:tcPr>
            <w:tcW w:w="1106" w:type="dxa"/>
            <w:tcBorders>
              <w:top w:val="nil"/>
              <w:left w:val="nil"/>
              <w:bottom w:val="nil"/>
              <w:right w:val="nil"/>
            </w:tcBorders>
            <w:shd w:val="clear" w:color="auto" w:fill="auto"/>
            <w:noWrap/>
            <w:vAlign w:val="bottom"/>
          </w:tcPr>
          <w:p w14:paraId="4D9524E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S301A00</w:t>
            </w:r>
          </w:p>
        </w:tc>
        <w:tc>
          <w:tcPr>
            <w:tcW w:w="5931" w:type="dxa"/>
            <w:tcBorders>
              <w:top w:val="nil"/>
              <w:left w:val="nil"/>
              <w:bottom w:val="nil"/>
              <w:right w:val="nil"/>
            </w:tcBorders>
            <w:shd w:val="clear" w:color="auto" w:fill="auto"/>
            <w:noWrap/>
            <w:vAlign w:val="bottom"/>
          </w:tcPr>
          <w:p w14:paraId="6DB51FC8"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of femur, upper epiphysis</w:t>
            </w:r>
          </w:p>
        </w:tc>
      </w:tr>
      <w:tr w:rsidR="00BB67BB" w:rsidRPr="00591BFC" w14:paraId="7C9A83A0" w14:textId="77777777" w:rsidTr="00B5138E">
        <w:trPr>
          <w:trHeight w:val="255"/>
        </w:trPr>
        <w:tc>
          <w:tcPr>
            <w:tcW w:w="1095" w:type="dxa"/>
            <w:tcBorders>
              <w:top w:val="nil"/>
              <w:left w:val="nil"/>
              <w:bottom w:val="nil"/>
              <w:right w:val="nil"/>
            </w:tcBorders>
            <w:shd w:val="clear" w:color="auto" w:fill="auto"/>
            <w:noWrap/>
            <w:vAlign w:val="bottom"/>
          </w:tcPr>
          <w:p w14:paraId="56F175D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68668</w:t>
            </w:r>
          </w:p>
        </w:tc>
        <w:tc>
          <w:tcPr>
            <w:tcW w:w="1106" w:type="dxa"/>
            <w:tcBorders>
              <w:top w:val="nil"/>
              <w:left w:val="nil"/>
              <w:bottom w:val="nil"/>
              <w:right w:val="nil"/>
            </w:tcBorders>
            <w:shd w:val="clear" w:color="auto" w:fill="auto"/>
            <w:noWrap/>
            <w:vAlign w:val="bottom"/>
          </w:tcPr>
          <w:p w14:paraId="0841F21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S301y00</w:t>
            </w:r>
          </w:p>
        </w:tc>
        <w:tc>
          <w:tcPr>
            <w:tcW w:w="5931" w:type="dxa"/>
            <w:tcBorders>
              <w:top w:val="nil"/>
              <w:left w:val="nil"/>
              <w:bottom w:val="nil"/>
              <w:right w:val="nil"/>
            </w:tcBorders>
            <w:shd w:val="clear" w:color="auto" w:fill="auto"/>
            <w:noWrap/>
            <w:vAlign w:val="bottom"/>
          </w:tcPr>
          <w:p w14:paraId="64F0953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proximal femur, other transcervical</w:t>
            </w:r>
          </w:p>
        </w:tc>
      </w:tr>
      <w:tr w:rsidR="00BB67BB" w:rsidRPr="00591BFC" w14:paraId="70B0E026" w14:textId="77777777" w:rsidTr="00B5138E">
        <w:trPr>
          <w:trHeight w:val="255"/>
        </w:trPr>
        <w:tc>
          <w:tcPr>
            <w:tcW w:w="1095" w:type="dxa"/>
            <w:tcBorders>
              <w:top w:val="nil"/>
              <w:left w:val="nil"/>
              <w:bottom w:val="nil"/>
              <w:right w:val="nil"/>
            </w:tcBorders>
            <w:shd w:val="clear" w:color="auto" w:fill="auto"/>
            <w:noWrap/>
            <w:vAlign w:val="bottom"/>
          </w:tcPr>
          <w:p w14:paraId="4EB886FD"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73234</w:t>
            </w:r>
          </w:p>
        </w:tc>
        <w:tc>
          <w:tcPr>
            <w:tcW w:w="1106" w:type="dxa"/>
            <w:tcBorders>
              <w:top w:val="nil"/>
              <w:left w:val="nil"/>
              <w:bottom w:val="nil"/>
              <w:right w:val="nil"/>
            </w:tcBorders>
            <w:shd w:val="clear" w:color="auto" w:fill="auto"/>
            <w:noWrap/>
            <w:vAlign w:val="bottom"/>
          </w:tcPr>
          <w:p w14:paraId="181F671D"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S301y11</w:t>
            </w:r>
          </w:p>
        </w:tc>
        <w:tc>
          <w:tcPr>
            <w:tcW w:w="5931" w:type="dxa"/>
            <w:tcBorders>
              <w:top w:val="nil"/>
              <w:left w:val="nil"/>
              <w:bottom w:val="nil"/>
              <w:right w:val="nil"/>
            </w:tcBorders>
            <w:shd w:val="clear" w:color="auto" w:fill="auto"/>
            <w:noWrap/>
            <w:vAlign w:val="bottom"/>
          </w:tcPr>
          <w:p w14:paraId="07C376CA"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of femur, subcapital</w:t>
            </w:r>
          </w:p>
        </w:tc>
      </w:tr>
      <w:tr w:rsidR="00BB67BB" w:rsidRPr="00591BFC" w14:paraId="431B61D8" w14:textId="77777777" w:rsidTr="00B5138E">
        <w:trPr>
          <w:trHeight w:val="255"/>
        </w:trPr>
        <w:tc>
          <w:tcPr>
            <w:tcW w:w="1095" w:type="dxa"/>
            <w:tcBorders>
              <w:top w:val="nil"/>
              <w:left w:val="nil"/>
              <w:bottom w:val="nil"/>
              <w:right w:val="nil"/>
            </w:tcBorders>
            <w:shd w:val="clear" w:color="auto" w:fill="auto"/>
            <w:noWrap/>
            <w:vAlign w:val="bottom"/>
          </w:tcPr>
          <w:p w14:paraId="4C93F78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5301</w:t>
            </w:r>
          </w:p>
        </w:tc>
        <w:tc>
          <w:tcPr>
            <w:tcW w:w="1106" w:type="dxa"/>
            <w:tcBorders>
              <w:top w:val="nil"/>
              <w:left w:val="nil"/>
              <w:bottom w:val="nil"/>
              <w:right w:val="nil"/>
            </w:tcBorders>
            <w:shd w:val="clear" w:color="auto" w:fill="auto"/>
            <w:noWrap/>
            <w:vAlign w:val="bottom"/>
          </w:tcPr>
          <w:p w14:paraId="638CF63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S302.00</w:t>
            </w:r>
          </w:p>
        </w:tc>
        <w:tc>
          <w:tcPr>
            <w:tcW w:w="5931" w:type="dxa"/>
            <w:tcBorders>
              <w:top w:val="nil"/>
              <w:left w:val="nil"/>
              <w:bottom w:val="nil"/>
              <w:right w:val="nil"/>
            </w:tcBorders>
            <w:shd w:val="clear" w:color="auto" w:fill="auto"/>
            <w:noWrap/>
            <w:vAlign w:val="bottom"/>
          </w:tcPr>
          <w:p w14:paraId="31CDE6C8"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of proximal femur, pertrochanteric</w:t>
            </w:r>
          </w:p>
        </w:tc>
      </w:tr>
      <w:tr w:rsidR="00BB67BB" w:rsidRPr="00591BFC" w14:paraId="1C30542D" w14:textId="77777777" w:rsidTr="00B5138E">
        <w:trPr>
          <w:trHeight w:val="255"/>
        </w:trPr>
        <w:tc>
          <w:tcPr>
            <w:tcW w:w="1095" w:type="dxa"/>
            <w:tcBorders>
              <w:top w:val="nil"/>
              <w:left w:val="nil"/>
              <w:bottom w:val="nil"/>
              <w:right w:val="nil"/>
            </w:tcBorders>
            <w:shd w:val="clear" w:color="auto" w:fill="auto"/>
            <w:noWrap/>
            <w:vAlign w:val="bottom"/>
          </w:tcPr>
          <w:p w14:paraId="0C85777C"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19117</w:t>
            </w:r>
          </w:p>
        </w:tc>
        <w:tc>
          <w:tcPr>
            <w:tcW w:w="1106" w:type="dxa"/>
            <w:tcBorders>
              <w:top w:val="nil"/>
              <w:left w:val="nil"/>
              <w:bottom w:val="nil"/>
              <w:right w:val="nil"/>
            </w:tcBorders>
            <w:shd w:val="clear" w:color="auto" w:fill="auto"/>
            <w:noWrap/>
            <w:vAlign w:val="bottom"/>
          </w:tcPr>
          <w:p w14:paraId="7745859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S302000</w:t>
            </w:r>
          </w:p>
        </w:tc>
        <w:tc>
          <w:tcPr>
            <w:tcW w:w="5931" w:type="dxa"/>
            <w:tcBorders>
              <w:top w:val="nil"/>
              <w:left w:val="nil"/>
              <w:bottom w:val="nil"/>
              <w:right w:val="nil"/>
            </w:tcBorders>
            <w:shd w:val="clear" w:color="auto" w:fill="auto"/>
            <w:noWrap/>
            <w:vAlign w:val="bottom"/>
          </w:tcPr>
          <w:p w14:paraId="4123F9BB"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Cls # proximal femur, trochanteric section, unspecified</w:t>
            </w:r>
          </w:p>
        </w:tc>
      </w:tr>
      <w:tr w:rsidR="00BB67BB" w:rsidRPr="00591BFC" w14:paraId="6C9E7364" w14:textId="77777777" w:rsidTr="00B5138E">
        <w:trPr>
          <w:trHeight w:val="255"/>
        </w:trPr>
        <w:tc>
          <w:tcPr>
            <w:tcW w:w="1095" w:type="dxa"/>
            <w:tcBorders>
              <w:top w:val="nil"/>
              <w:left w:val="nil"/>
              <w:bottom w:val="nil"/>
              <w:right w:val="nil"/>
            </w:tcBorders>
            <w:shd w:val="clear" w:color="auto" w:fill="auto"/>
            <w:noWrap/>
            <w:vAlign w:val="bottom"/>
          </w:tcPr>
          <w:p w14:paraId="051A02A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19387</w:t>
            </w:r>
          </w:p>
        </w:tc>
        <w:tc>
          <w:tcPr>
            <w:tcW w:w="1106" w:type="dxa"/>
            <w:tcBorders>
              <w:top w:val="nil"/>
              <w:left w:val="nil"/>
              <w:bottom w:val="nil"/>
              <w:right w:val="nil"/>
            </w:tcBorders>
            <w:shd w:val="clear" w:color="auto" w:fill="auto"/>
            <w:noWrap/>
            <w:vAlign w:val="bottom"/>
          </w:tcPr>
          <w:p w14:paraId="51E3FB35"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S302011</w:t>
            </w:r>
          </w:p>
        </w:tc>
        <w:tc>
          <w:tcPr>
            <w:tcW w:w="5931" w:type="dxa"/>
            <w:tcBorders>
              <w:top w:val="nil"/>
              <w:left w:val="nil"/>
              <w:bottom w:val="nil"/>
              <w:right w:val="nil"/>
            </w:tcBorders>
            <w:shd w:val="clear" w:color="auto" w:fill="auto"/>
            <w:noWrap/>
            <w:vAlign w:val="bottom"/>
          </w:tcPr>
          <w:p w14:paraId="322911D9"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of femur, greater trochanter</w:t>
            </w:r>
          </w:p>
        </w:tc>
      </w:tr>
      <w:tr w:rsidR="00BB67BB" w:rsidRPr="00591BFC" w14:paraId="7C72CA58" w14:textId="77777777" w:rsidTr="00B5138E">
        <w:trPr>
          <w:trHeight w:val="255"/>
        </w:trPr>
        <w:tc>
          <w:tcPr>
            <w:tcW w:w="1095" w:type="dxa"/>
            <w:tcBorders>
              <w:top w:val="nil"/>
              <w:left w:val="nil"/>
              <w:bottom w:val="nil"/>
              <w:right w:val="nil"/>
            </w:tcBorders>
            <w:shd w:val="clear" w:color="auto" w:fill="auto"/>
            <w:noWrap/>
            <w:vAlign w:val="bottom"/>
          </w:tcPr>
          <w:p w14:paraId="15BDC110"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48337</w:t>
            </w:r>
          </w:p>
        </w:tc>
        <w:tc>
          <w:tcPr>
            <w:tcW w:w="1106" w:type="dxa"/>
            <w:tcBorders>
              <w:top w:val="nil"/>
              <w:left w:val="nil"/>
              <w:bottom w:val="nil"/>
              <w:right w:val="nil"/>
            </w:tcBorders>
            <w:shd w:val="clear" w:color="auto" w:fill="auto"/>
            <w:noWrap/>
            <w:vAlign w:val="bottom"/>
          </w:tcPr>
          <w:p w14:paraId="2BA42E7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S302012</w:t>
            </w:r>
          </w:p>
        </w:tc>
        <w:tc>
          <w:tcPr>
            <w:tcW w:w="5931" w:type="dxa"/>
            <w:tcBorders>
              <w:top w:val="nil"/>
              <w:left w:val="nil"/>
              <w:bottom w:val="nil"/>
              <w:right w:val="nil"/>
            </w:tcBorders>
            <w:shd w:val="clear" w:color="auto" w:fill="auto"/>
            <w:noWrap/>
            <w:vAlign w:val="bottom"/>
          </w:tcPr>
          <w:p w14:paraId="5498940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of femur, lesser trochanter</w:t>
            </w:r>
          </w:p>
        </w:tc>
      </w:tr>
      <w:tr w:rsidR="00BB67BB" w:rsidRPr="00591BFC" w14:paraId="06FC656A" w14:textId="77777777" w:rsidTr="00B5138E">
        <w:trPr>
          <w:trHeight w:val="255"/>
        </w:trPr>
        <w:tc>
          <w:tcPr>
            <w:tcW w:w="1095" w:type="dxa"/>
            <w:tcBorders>
              <w:top w:val="nil"/>
              <w:left w:val="nil"/>
              <w:bottom w:val="nil"/>
              <w:right w:val="nil"/>
            </w:tcBorders>
            <w:shd w:val="clear" w:color="auto" w:fill="auto"/>
            <w:noWrap/>
            <w:vAlign w:val="bottom"/>
          </w:tcPr>
          <w:p w14:paraId="5AC985F5"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45141</w:t>
            </w:r>
          </w:p>
        </w:tc>
        <w:tc>
          <w:tcPr>
            <w:tcW w:w="1106" w:type="dxa"/>
            <w:tcBorders>
              <w:top w:val="nil"/>
              <w:left w:val="nil"/>
              <w:bottom w:val="nil"/>
              <w:right w:val="nil"/>
            </w:tcBorders>
            <w:shd w:val="clear" w:color="auto" w:fill="auto"/>
            <w:noWrap/>
            <w:vAlign w:val="bottom"/>
          </w:tcPr>
          <w:p w14:paraId="0024E8B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S302100</w:t>
            </w:r>
          </w:p>
        </w:tc>
        <w:tc>
          <w:tcPr>
            <w:tcW w:w="5931" w:type="dxa"/>
            <w:tcBorders>
              <w:top w:val="nil"/>
              <w:left w:val="nil"/>
              <w:bottom w:val="nil"/>
              <w:right w:val="nil"/>
            </w:tcBorders>
            <w:shd w:val="clear" w:color="auto" w:fill="auto"/>
            <w:noWrap/>
            <w:vAlign w:val="bottom"/>
          </w:tcPr>
          <w:p w14:paraId="2301613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proximal femur, intertrochanteric, two part</w:t>
            </w:r>
          </w:p>
        </w:tc>
      </w:tr>
      <w:tr w:rsidR="00BB67BB" w:rsidRPr="00591BFC" w14:paraId="50D5CB7B" w14:textId="77777777" w:rsidTr="00B5138E">
        <w:trPr>
          <w:trHeight w:val="255"/>
        </w:trPr>
        <w:tc>
          <w:tcPr>
            <w:tcW w:w="1095" w:type="dxa"/>
            <w:tcBorders>
              <w:top w:val="nil"/>
              <w:left w:val="nil"/>
              <w:bottom w:val="nil"/>
              <w:right w:val="nil"/>
            </w:tcBorders>
            <w:shd w:val="clear" w:color="auto" w:fill="auto"/>
            <w:noWrap/>
            <w:vAlign w:val="bottom"/>
          </w:tcPr>
          <w:p w14:paraId="1BCB45DD"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51216</w:t>
            </w:r>
          </w:p>
        </w:tc>
        <w:tc>
          <w:tcPr>
            <w:tcW w:w="1106" w:type="dxa"/>
            <w:tcBorders>
              <w:top w:val="nil"/>
              <w:left w:val="nil"/>
              <w:bottom w:val="nil"/>
              <w:right w:val="nil"/>
            </w:tcBorders>
            <w:shd w:val="clear" w:color="auto" w:fill="auto"/>
            <w:noWrap/>
            <w:vAlign w:val="bottom"/>
          </w:tcPr>
          <w:p w14:paraId="6043E528"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S302300</w:t>
            </w:r>
          </w:p>
        </w:tc>
        <w:tc>
          <w:tcPr>
            <w:tcW w:w="5931" w:type="dxa"/>
            <w:tcBorders>
              <w:top w:val="nil"/>
              <w:left w:val="nil"/>
              <w:bottom w:val="nil"/>
              <w:right w:val="nil"/>
            </w:tcBorders>
            <w:shd w:val="clear" w:color="auto" w:fill="auto"/>
            <w:noWrap/>
            <w:vAlign w:val="bottom"/>
          </w:tcPr>
          <w:p w14:paraId="27BB2060"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Cls # proximal femur, intertrochanteric, comminuted</w:t>
            </w:r>
          </w:p>
        </w:tc>
      </w:tr>
      <w:tr w:rsidR="00BB67BB" w:rsidRPr="00591BFC" w14:paraId="5099A23B" w14:textId="77777777" w:rsidTr="00B5138E">
        <w:trPr>
          <w:trHeight w:val="255"/>
        </w:trPr>
        <w:tc>
          <w:tcPr>
            <w:tcW w:w="1095" w:type="dxa"/>
            <w:tcBorders>
              <w:top w:val="nil"/>
              <w:left w:val="nil"/>
              <w:bottom w:val="nil"/>
              <w:right w:val="nil"/>
            </w:tcBorders>
            <w:shd w:val="clear" w:color="auto" w:fill="auto"/>
            <w:noWrap/>
            <w:vAlign w:val="bottom"/>
          </w:tcPr>
          <w:p w14:paraId="34EC07E6"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8648</w:t>
            </w:r>
          </w:p>
        </w:tc>
        <w:tc>
          <w:tcPr>
            <w:tcW w:w="1106" w:type="dxa"/>
            <w:tcBorders>
              <w:top w:val="nil"/>
              <w:left w:val="nil"/>
              <w:bottom w:val="nil"/>
              <w:right w:val="nil"/>
            </w:tcBorders>
            <w:shd w:val="clear" w:color="auto" w:fill="auto"/>
            <w:noWrap/>
            <w:vAlign w:val="bottom"/>
          </w:tcPr>
          <w:p w14:paraId="5DF7D0B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S302400</w:t>
            </w:r>
          </w:p>
        </w:tc>
        <w:tc>
          <w:tcPr>
            <w:tcW w:w="5931" w:type="dxa"/>
            <w:tcBorders>
              <w:top w:val="nil"/>
              <w:left w:val="nil"/>
              <w:bottom w:val="nil"/>
              <w:right w:val="nil"/>
            </w:tcBorders>
            <w:shd w:val="clear" w:color="auto" w:fill="auto"/>
            <w:noWrap/>
            <w:vAlign w:val="bottom"/>
          </w:tcPr>
          <w:p w14:paraId="070E748B"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of femur, intertrochanteric</w:t>
            </w:r>
          </w:p>
        </w:tc>
      </w:tr>
      <w:tr w:rsidR="00BB67BB" w:rsidRPr="00591BFC" w14:paraId="37ED8604" w14:textId="77777777" w:rsidTr="00B5138E">
        <w:trPr>
          <w:trHeight w:val="255"/>
        </w:trPr>
        <w:tc>
          <w:tcPr>
            <w:tcW w:w="1095" w:type="dxa"/>
            <w:tcBorders>
              <w:top w:val="nil"/>
              <w:left w:val="nil"/>
              <w:bottom w:val="nil"/>
              <w:right w:val="nil"/>
            </w:tcBorders>
            <w:shd w:val="clear" w:color="auto" w:fill="auto"/>
            <w:noWrap/>
            <w:vAlign w:val="bottom"/>
          </w:tcPr>
          <w:p w14:paraId="30F191F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44735</w:t>
            </w:r>
          </w:p>
        </w:tc>
        <w:tc>
          <w:tcPr>
            <w:tcW w:w="1106" w:type="dxa"/>
            <w:tcBorders>
              <w:top w:val="nil"/>
              <w:left w:val="nil"/>
              <w:bottom w:val="nil"/>
              <w:right w:val="nil"/>
            </w:tcBorders>
            <w:shd w:val="clear" w:color="auto" w:fill="auto"/>
            <w:noWrap/>
            <w:vAlign w:val="bottom"/>
          </w:tcPr>
          <w:p w14:paraId="3E78A298"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S302z00</w:t>
            </w:r>
          </w:p>
        </w:tc>
        <w:tc>
          <w:tcPr>
            <w:tcW w:w="5931" w:type="dxa"/>
            <w:tcBorders>
              <w:top w:val="nil"/>
              <w:left w:val="nil"/>
              <w:bottom w:val="nil"/>
              <w:right w:val="nil"/>
            </w:tcBorders>
            <w:shd w:val="clear" w:color="auto" w:fill="auto"/>
            <w:noWrap/>
            <w:vAlign w:val="bottom"/>
          </w:tcPr>
          <w:p w14:paraId="3502651B"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Cls # of proximal femur, pertrochanteric section, NOS</w:t>
            </w:r>
          </w:p>
        </w:tc>
      </w:tr>
      <w:tr w:rsidR="00BB67BB" w:rsidRPr="00591BFC" w14:paraId="592E524E" w14:textId="77777777" w:rsidTr="00B5138E">
        <w:trPr>
          <w:trHeight w:val="255"/>
        </w:trPr>
        <w:tc>
          <w:tcPr>
            <w:tcW w:w="1095" w:type="dxa"/>
            <w:tcBorders>
              <w:top w:val="nil"/>
              <w:left w:val="nil"/>
              <w:bottom w:val="nil"/>
              <w:right w:val="nil"/>
            </w:tcBorders>
            <w:shd w:val="clear" w:color="auto" w:fill="auto"/>
            <w:noWrap/>
            <w:vAlign w:val="bottom"/>
          </w:tcPr>
          <w:p w14:paraId="2E3B0CB0"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61733</w:t>
            </w:r>
          </w:p>
        </w:tc>
        <w:tc>
          <w:tcPr>
            <w:tcW w:w="1106" w:type="dxa"/>
            <w:tcBorders>
              <w:top w:val="nil"/>
              <w:left w:val="nil"/>
              <w:bottom w:val="nil"/>
              <w:right w:val="nil"/>
            </w:tcBorders>
            <w:shd w:val="clear" w:color="auto" w:fill="auto"/>
            <w:noWrap/>
            <w:vAlign w:val="bottom"/>
          </w:tcPr>
          <w:p w14:paraId="2A628F7C"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S303.00</w:t>
            </w:r>
          </w:p>
        </w:tc>
        <w:tc>
          <w:tcPr>
            <w:tcW w:w="5931" w:type="dxa"/>
            <w:tcBorders>
              <w:top w:val="nil"/>
              <w:left w:val="nil"/>
              <w:bottom w:val="nil"/>
              <w:right w:val="nil"/>
            </w:tcBorders>
            <w:shd w:val="clear" w:color="auto" w:fill="auto"/>
            <w:noWrap/>
            <w:vAlign w:val="bottom"/>
          </w:tcPr>
          <w:p w14:paraId="22274FD5"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of proximal femur, pertrochanteric</w:t>
            </w:r>
          </w:p>
        </w:tc>
      </w:tr>
      <w:tr w:rsidR="00BB67BB" w:rsidRPr="00591BFC" w14:paraId="6AB94BDA" w14:textId="77777777" w:rsidTr="00B5138E">
        <w:trPr>
          <w:trHeight w:val="255"/>
        </w:trPr>
        <w:tc>
          <w:tcPr>
            <w:tcW w:w="1095" w:type="dxa"/>
            <w:tcBorders>
              <w:top w:val="nil"/>
              <w:left w:val="nil"/>
              <w:bottom w:val="nil"/>
              <w:right w:val="nil"/>
            </w:tcBorders>
            <w:shd w:val="clear" w:color="auto" w:fill="auto"/>
            <w:noWrap/>
            <w:vAlign w:val="bottom"/>
          </w:tcPr>
          <w:p w14:paraId="61184F7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67633</w:t>
            </w:r>
          </w:p>
        </w:tc>
        <w:tc>
          <w:tcPr>
            <w:tcW w:w="1106" w:type="dxa"/>
            <w:tcBorders>
              <w:top w:val="nil"/>
              <w:left w:val="nil"/>
              <w:bottom w:val="nil"/>
              <w:right w:val="nil"/>
            </w:tcBorders>
            <w:shd w:val="clear" w:color="auto" w:fill="auto"/>
            <w:noWrap/>
            <w:vAlign w:val="bottom"/>
          </w:tcPr>
          <w:p w14:paraId="7CACFC2A"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S303000</w:t>
            </w:r>
          </w:p>
        </w:tc>
        <w:tc>
          <w:tcPr>
            <w:tcW w:w="5931" w:type="dxa"/>
            <w:tcBorders>
              <w:top w:val="nil"/>
              <w:left w:val="nil"/>
              <w:bottom w:val="nil"/>
              <w:right w:val="nil"/>
            </w:tcBorders>
            <w:shd w:val="clear" w:color="auto" w:fill="auto"/>
            <w:noWrap/>
            <w:vAlign w:val="bottom"/>
          </w:tcPr>
          <w:p w14:paraId="1352CE19"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 of proximal femur, trochanteric section, unspecified</w:t>
            </w:r>
          </w:p>
        </w:tc>
      </w:tr>
      <w:tr w:rsidR="00BB67BB" w:rsidRPr="00591BFC" w14:paraId="32CF18AE" w14:textId="77777777" w:rsidTr="00B5138E">
        <w:trPr>
          <w:trHeight w:val="255"/>
        </w:trPr>
        <w:tc>
          <w:tcPr>
            <w:tcW w:w="1095" w:type="dxa"/>
            <w:tcBorders>
              <w:top w:val="nil"/>
              <w:left w:val="nil"/>
              <w:bottom w:val="nil"/>
              <w:right w:val="nil"/>
            </w:tcBorders>
            <w:shd w:val="clear" w:color="auto" w:fill="auto"/>
            <w:noWrap/>
            <w:vAlign w:val="bottom"/>
          </w:tcPr>
          <w:p w14:paraId="619FE1E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101567</w:t>
            </w:r>
          </w:p>
        </w:tc>
        <w:tc>
          <w:tcPr>
            <w:tcW w:w="1106" w:type="dxa"/>
            <w:tcBorders>
              <w:top w:val="nil"/>
              <w:left w:val="nil"/>
              <w:bottom w:val="nil"/>
              <w:right w:val="nil"/>
            </w:tcBorders>
            <w:shd w:val="clear" w:color="auto" w:fill="auto"/>
            <w:noWrap/>
            <w:vAlign w:val="bottom"/>
          </w:tcPr>
          <w:p w14:paraId="4DAB4B57"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S303100</w:t>
            </w:r>
          </w:p>
        </w:tc>
        <w:tc>
          <w:tcPr>
            <w:tcW w:w="5931" w:type="dxa"/>
            <w:tcBorders>
              <w:top w:val="nil"/>
              <w:left w:val="nil"/>
              <w:bottom w:val="nil"/>
              <w:right w:val="nil"/>
            </w:tcBorders>
            <w:shd w:val="clear" w:color="auto" w:fill="auto"/>
            <w:noWrap/>
            <w:vAlign w:val="bottom"/>
          </w:tcPr>
          <w:p w14:paraId="3F76275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proximal femur, intertrochanteric, two part</w:t>
            </w:r>
          </w:p>
        </w:tc>
      </w:tr>
      <w:tr w:rsidR="00BB67BB" w:rsidRPr="00591BFC" w14:paraId="1C788D77" w14:textId="77777777" w:rsidTr="00B5138E">
        <w:trPr>
          <w:trHeight w:val="255"/>
        </w:trPr>
        <w:tc>
          <w:tcPr>
            <w:tcW w:w="1095" w:type="dxa"/>
            <w:tcBorders>
              <w:top w:val="nil"/>
              <w:left w:val="nil"/>
              <w:bottom w:val="nil"/>
              <w:right w:val="nil"/>
            </w:tcBorders>
            <w:shd w:val="clear" w:color="auto" w:fill="auto"/>
            <w:noWrap/>
            <w:vAlign w:val="bottom"/>
          </w:tcPr>
          <w:p w14:paraId="4DF2A546"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97971</w:t>
            </w:r>
          </w:p>
        </w:tc>
        <w:tc>
          <w:tcPr>
            <w:tcW w:w="1106" w:type="dxa"/>
            <w:tcBorders>
              <w:top w:val="nil"/>
              <w:left w:val="nil"/>
              <w:bottom w:val="nil"/>
              <w:right w:val="nil"/>
            </w:tcBorders>
            <w:shd w:val="clear" w:color="auto" w:fill="auto"/>
            <w:noWrap/>
            <w:vAlign w:val="bottom"/>
          </w:tcPr>
          <w:p w14:paraId="70BB550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S303300</w:t>
            </w:r>
          </w:p>
        </w:tc>
        <w:tc>
          <w:tcPr>
            <w:tcW w:w="5931" w:type="dxa"/>
            <w:tcBorders>
              <w:top w:val="nil"/>
              <w:left w:val="nil"/>
              <w:bottom w:val="nil"/>
              <w:right w:val="nil"/>
            </w:tcBorders>
            <w:shd w:val="clear" w:color="auto" w:fill="auto"/>
            <w:noWrap/>
            <w:vAlign w:val="bottom"/>
          </w:tcPr>
          <w:p w14:paraId="5DB8FAC0"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proximal femur, intertrochanteric, comminuted</w:t>
            </w:r>
          </w:p>
        </w:tc>
      </w:tr>
      <w:tr w:rsidR="00BB67BB" w:rsidRPr="00591BFC" w14:paraId="1C75C13E" w14:textId="77777777" w:rsidTr="00B5138E">
        <w:trPr>
          <w:trHeight w:val="255"/>
        </w:trPr>
        <w:tc>
          <w:tcPr>
            <w:tcW w:w="1095" w:type="dxa"/>
            <w:tcBorders>
              <w:top w:val="nil"/>
              <w:left w:val="nil"/>
              <w:bottom w:val="nil"/>
              <w:right w:val="nil"/>
            </w:tcBorders>
            <w:shd w:val="clear" w:color="auto" w:fill="auto"/>
            <w:noWrap/>
            <w:vAlign w:val="bottom"/>
          </w:tcPr>
          <w:p w14:paraId="57D7CF6B"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lastRenderedPageBreak/>
              <w:t>39396</w:t>
            </w:r>
          </w:p>
        </w:tc>
        <w:tc>
          <w:tcPr>
            <w:tcW w:w="1106" w:type="dxa"/>
            <w:tcBorders>
              <w:top w:val="nil"/>
              <w:left w:val="nil"/>
              <w:bottom w:val="nil"/>
              <w:right w:val="nil"/>
            </w:tcBorders>
            <w:shd w:val="clear" w:color="auto" w:fill="auto"/>
            <w:noWrap/>
            <w:vAlign w:val="bottom"/>
          </w:tcPr>
          <w:p w14:paraId="0D3D16C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S303400</w:t>
            </w:r>
          </w:p>
        </w:tc>
        <w:tc>
          <w:tcPr>
            <w:tcW w:w="5931" w:type="dxa"/>
            <w:tcBorders>
              <w:top w:val="nil"/>
              <w:left w:val="nil"/>
              <w:bottom w:val="nil"/>
              <w:right w:val="nil"/>
            </w:tcBorders>
            <w:shd w:val="clear" w:color="auto" w:fill="auto"/>
            <w:noWrap/>
            <w:vAlign w:val="bottom"/>
          </w:tcPr>
          <w:p w14:paraId="7B9EF6FA"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of femur, intertrochanteric</w:t>
            </w:r>
          </w:p>
        </w:tc>
      </w:tr>
      <w:tr w:rsidR="00BB67BB" w:rsidRPr="00591BFC" w14:paraId="26709921" w14:textId="77777777" w:rsidTr="00B5138E">
        <w:trPr>
          <w:trHeight w:val="255"/>
        </w:trPr>
        <w:tc>
          <w:tcPr>
            <w:tcW w:w="1095" w:type="dxa"/>
            <w:tcBorders>
              <w:top w:val="nil"/>
              <w:left w:val="nil"/>
              <w:bottom w:val="nil"/>
              <w:right w:val="nil"/>
            </w:tcBorders>
            <w:shd w:val="clear" w:color="auto" w:fill="auto"/>
            <w:noWrap/>
            <w:vAlign w:val="bottom"/>
          </w:tcPr>
          <w:p w14:paraId="6C833B11"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70479</w:t>
            </w:r>
          </w:p>
        </w:tc>
        <w:tc>
          <w:tcPr>
            <w:tcW w:w="1106" w:type="dxa"/>
            <w:tcBorders>
              <w:top w:val="nil"/>
              <w:left w:val="nil"/>
              <w:bottom w:val="nil"/>
              <w:right w:val="nil"/>
            </w:tcBorders>
            <w:shd w:val="clear" w:color="auto" w:fill="auto"/>
            <w:noWrap/>
            <w:vAlign w:val="bottom"/>
          </w:tcPr>
          <w:p w14:paraId="017DE95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S303z00</w:t>
            </w:r>
          </w:p>
        </w:tc>
        <w:tc>
          <w:tcPr>
            <w:tcW w:w="5931" w:type="dxa"/>
            <w:tcBorders>
              <w:top w:val="nil"/>
              <w:left w:val="nil"/>
              <w:bottom w:val="nil"/>
              <w:right w:val="nil"/>
            </w:tcBorders>
            <w:shd w:val="clear" w:color="auto" w:fill="auto"/>
            <w:noWrap/>
            <w:vAlign w:val="bottom"/>
          </w:tcPr>
          <w:p w14:paraId="566CC93A"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of proximal femur, pertrochanteric, NOS</w:t>
            </w:r>
          </w:p>
        </w:tc>
      </w:tr>
      <w:tr w:rsidR="00BB67BB" w:rsidRPr="00591BFC" w14:paraId="3DA3F455" w14:textId="77777777" w:rsidTr="00B5138E">
        <w:trPr>
          <w:trHeight w:val="255"/>
        </w:trPr>
        <w:tc>
          <w:tcPr>
            <w:tcW w:w="1095" w:type="dxa"/>
            <w:tcBorders>
              <w:top w:val="nil"/>
              <w:left w:val="nil"/>
              <w:bottom w:val="nil"/>
              <w:right w:val="nil"/>
            </w:tcBorders>
            <w:shd w:val="clear" w:color="auto" w:fill="auto"/>
            <w:noWrap/>
            <w:vAlign w:val="bottom"/>
          </w:tcPr>
          <w:p w14:paraId="48AF4AE0"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28965</w:t>
            </w:r>
          </w:p>
        </w:tc>
        <w:tc>
          <w:tcPr>
            <w:tcW w:w="1106" w:type="dxa"/>
            <w:tcBorders>
              <w:top w:val="nil"/>
              <w:left w:val="nil"/>
              <w:bottom w:val="nil"/>
              <w:right w:val="nil"/>
            </w:tcBorders>
            <w:shd w:val="clear" w:color="auto" w:fill="auto"/>
            <w:noWrap/>
            <w:vAlign w:val="bottom"/>
          </w:tcPr>
          <w:p w14:paraId="07D83C95"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S304.00</w:t>
            </w:r>
          </w:p>
        </w:tc>
        <w:tc>
          <w:tcPr>
            <w:tcW w:w="5931" w:type="dxa"/>
            <w:tcBorders>
              <w:top w:val="nil"/>
              <w:left w:val="nil"/>
              <w:bottom w:val="nil"/>
              <w:right w:val="nil"/>
            </w:tcBorders>
            <w:shd w:val="clear" w:color="auto" w:fill="auto"/>
            <w:noWrap/>
            <w:vAlign w:val="bottom"/>
          </w:tcPr>
          <w:p w14:paraId="0D98E55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Pertrochanteric fracture</w:t>
            </w:r>
          </w:p>
        </w:tc>
      </w:tr>
      <w:tr w:rsidR="00BB67BB" w:rsidRPr="00591BFC" w14:paraId="6443A053" w14:textId="77777777" w:rsidTr="00B5138E">
        <w:trPr>
          <w:trHeight w:val="255"/>
        </w:trPr>
        <w:tc>
          <w:tcPr>
            <w:tcW w:w="1095" w:type="dxa"/>
            <w:tcBorders>
              <w:top w:val="nil"/>
              <w:left w:val="nil"/>
              <w:bottom w:val="nil"/>
              <w:right w:val="nil"/>
            </w:tcBorders>
            <w:shd w:val="clear" w:color="auto" w:fill="auto"/>
            <w:noWrap/>
            <w:vAlign w:val="bottom"/>
          </w:tcPr>
          <w:p w14:paraId="55E128A9"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24276</w:t>
            </w:r>
          </w:p>
        </w:tc>
        <w:tc>
          <w:tcPr>
            <w:tcW w:w="1106" w:type="dxa"/>
            <w:tcBorders>
              <w:top w:val="nil"/>
              <w:left w:val="nil"/>
              <w:bottom w:val="nil"/>
              <w:right w:val="nil"/>
            </w:tcBorders>
            <w:shd w:val="clear" w:color="auto" w:fill="auto"/>
            <w:noWrap/>
            <w:vAlign w:val="bottom"/>
          </w:tcPr>
          <w:p w14:paraId="39E1B5A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S30w.00</w:t>
            </w:r>
          </w:p>
        </w:tc>
        <w:tc>
          <w:tcPr>
            <w:tcW w:w="5931" w:type="dxa"/>
            <w:tcBorders>
              <w:top w:val="nil"/>
              <w:left w:val="nil"/>
              <w:bottom w:val="nil"/>
              <w:right w:val="nil"/>
            </w:tcBorders>
            <w:shd w:val="clear" w:color="auto" w:fill="auto"/>
            <w:noWrap/>
            <w:vAlign w:val="bottom"/>
          </w:tcPr>
          <w:p w14:paraId="2303CFB2"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of unspecified proximal femur</w:t>
            </w:r>
          </w:p>
        </w:tc>
      </w:tr>
      <w:tr w:rsidR="00BB67BB" w:rsidRPr="00591BFC" w14:paraId="10C6FC09" w14:textId="77777777" w:rsidTr="00B5138E">
        <w:trPr>
          <w:trHeight w:val="255"/>
        </w:trPr>
        <w:tc>
          <w:tcPr>
            <w:tcW w:w="1095" w:type="dxa"/>
            <w:tcBorders>
              <w:top w:val="nil"/>
              <w:left w:val="nil"/>
              <w:bottom w:val="nil"/>
              <w:right w:val="nil"/>
            </w:tcBorders>
            <w:shd w:val="clear" w:color="auto" w:fill="auto"/>
            <w:noWrap/>
            <w:vAlign w:val="bottom"/>
          </w:tcPr>
          <w:p w14:paraId="116A86F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58642</w:t>
            </w:r>
          </w:p>
        </w:tc>
        <w:tc>
          <w:tcPr>
            <w:tcW w:w="1106" w:type="dxa"/>
            <w:tcBorders>
              <w:top w:val="nil"/>
              <w:left w:val="nil"/>
              <w:bottom w:val="nil"/>
              <w:right w:val="nil"/>
            </w:tcBorders>
            <w:shd w:val="clear" w:color="auto" w:fill="auto"/>
            <w:noWrap/>
            <w:vAlign w:val="bottom"/>
          </w:tcPr>
          <w:p w14:paraId="3EC974E6"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S30x.00</w:t>
            </w:r>
          </w:p>
        </w:tc>
        <w:tc>
          <w:tcPr>
            <w:tcW w:w="5931" w:type="dxa"/>
            <w:tcBorders>
              <w:top w:val="nil"/>
              <w:left w:val="nil"/>
              <w:bottom w:val="nil"/>
              <w:right w:val="nil"/>
            </w:tcBorders>
            <w:shd w:val="clear" w:color="auto" w:fill="auto"/>
            <w:noWrap/>
            <w:vAlign w:val="bottom"/>
          </w:tcPr>
          <w:p w14:paraId="51965EFD"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of unspecified proximal femur</w:t>
            </w:r>
          </w:p>
        </w:tc>
      </w:tr>
      <w:tr w:rsidR="00BB67BB" w:rsidRPr="00591BFC" w14:paraId="4412AA7C" w14:textId="77777777" w:rsidTr="00B5138E">
        <w:trPr>
          <w:trHeight w:val="255"/>
        </w:trPr>
        <w:tc>
          <w:tcPr>
            <w:tcW w:w="1095" w:type="dxa"/>
            <w:tcBorders>
              <w:top w:val="nil"/>
              <w:left w:val="nil"/>
              <w:bottom w:val="nil"/>
              <w:right w:val="nil"/>
            </w:tcBorders>
            <w:shd w:val="clear" w:color="auto" w:fill="auto"/>
            <w:noWrap/>
            <w:vAlign w:val="bottom"/>
          </w:tcPr>
          <w:p w14:paraId="3CBF9CD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18273</w:t>
            </w:r>
          </w:p>
        </w:tc>
        <w:tc>
          <w:tcPr>
            <w:tcW w:w="1106" w:type="dxa"/>
            <w:tcBorders>
              <w:top w:val="nil"/>
              <w:left w:val="nil"/>
              <w:bottom w:val="nil"/>
              <w:right w:val="nil"/>
            </w:tcBorders>
            <w:shd w:val="clear" w:color="auto" w:fill="auto"/>
            <w:noWrap/>
            <w:vAlign w:val="bottom"/>
          </w:tcPr>
          <w:p w14:paraId="1DF1C1F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S30y.00</w:t>
            </w:r>
          </w:p>
        </w:tc>
        <w:tc>
          <w:tcPr>
            <w:tcW w:w="5931" w:type="dxa"/>
            <w:tcBorders>
              <w:top w:val="nil"/>
              <w:left w:val="nil"/>
              <w:bottom w:val="nil"/>
              <w:right w:val="nil"/>
            </w:tcBorders>
            <w:shd w:val="clear" w:color="auto" w:fill="auto"/>
            <w:noWrap/>
            <w:vAlign w:val="bottom"/>
          </w:tcPr>
          <w:p w14:paraId="5EAA3DD3"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Closed fracture of neck of femur NOS</w:t>
            </w:r>
          </w:p>
        </w:tc>
      </w:tr>
      <w:tr w:rsidR="00BB67BB" w:rsidRPr="00591BFC" w14:paraId="0CA8CCD9" w14:textId="77777777" w:rsidTr="00B5138E">
        <w:trPr>
          <w:trHeight w:val="255"/>
        </w:trPr>
        <w:tc>
          <w:tcPr>
            <w:tcW w:w="1095" w:type="dxa"/>
            <w:tcBorders>
              <w:top w:val="nil"/>
              <w:left w:val="nil"/>
              <w:bottom w:val="nil"/>
              <w:right w:val="nil"/>
            </w:tcBorders>
            <w:shd w:val="clear" w:color="auto" w:fill="auto"/>
            <w:noWrap/>
            <w:vAlign w:val="bottom"/>
          </w:tcPr>
          <w:p w14:paraId="1B2320EE"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10570</w:t>
            </w:r>
          </w:p>
        </w:tc>
        <w:tc>
          <w:tcPr>
            <w:tcW w:w="1106" w:type="dxa"/>
            <w:tcBorders>
              <w:top w:val="nil"/>
              <w:left w:val="nil"/>
              <w:bottom w:val="nil"/>
              <w:right w:val="nil"/>
            </w:tcBorders>
            <w:shd w:val="clear" w:color="auto" w:fill="auto"/>
            <w:noWrap/>
            <w:vAlign w:val="bottom"/>
          </w:tcPr>
          <w:p w14:paraId="2DB301AF"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S30y.11</w:t>
            </w:r>
          </w:p>
        </w:tc>
        <w:tc>
          <w:tcPr>
            <w:tcW w:w="5931" w:type="dxa"/>
            <w:tcBorders>
              <w:top w:val="nil"/>
              <w:left w:val="nil"/>
              <w:bottom w:val="nil"/>
              <w:right w:val="nil"/>
            </w:tcBorders>
            <w:shd w:val="clear" w:color="auto" w:fill="auto"/>
            <w:noWrap/>
            <w:vAlign w:val="bottom"/>
          </w:tcPr>
          <w:p w14:paraId="47546B65"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Hip fracture NOS</w:t>
            </w:r>
          </w:p>
        </w:tc>
      </w:tr>
      <w:tr w:rsidR="00BB67BB" w:rsidRPr="00591BFC" w14:paraId="485E5C68" w14:textId="77777777" w:rsidTr="00B5138E">
        <w:trPr>
          <w:trHeight w:val="255"/>
        </w:trPr>
        <w:tc>
          <w:tcPr>
            <w:tcW w:w="1095" w:type="dxa"/>
            <w:tcBorders>
              <w:top w:val="nil"/>
              <w:left w:val="nil"/>
              <w:bottom w:val="nil"/>
              <w:right w:val="nil"/>
            </w:tcBorders>
            <w:shd w:val="clear" w:color="auto" w:fill="auto"/>
            <w:noWrap/>
            <w:vAlign w:val="bottom"/>
          </w:tcPr>
          <w:p w14:paraId="42C75B6D"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38054</w:t>
            </w:r>
          </w:p>
        </w:tc>
        <w:tc>
          <w:tcPr>
            <w:tcW w:w="1106" w:type="dxa"/>
            <w:tcBorders>
              <w:top w:val="nil"/>
              <w:left w:val="nil"/>
              <w:bottom w:val="nil"/>
              <w:right w:val="nil"/>
            </w:tcBorders>
            <w:shd w:val="clear" w:color="auto" w:fill="auto"/>
            <w:noWrap/>
            <w:vAlign w:val="bottom"/>
          </w:tcPr>
          <w:p w14:paraId="750B4015"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S30z.00</w:t>
            </w:r>
          </w:p>
        </w:tc>
        <w:tc>
          <w:tcPr>
            <w:tcW w:w="5931" w:type="dxa"/>
            <w:tcBorders>
              <w:top w:val="nil"/>
              <w:left w:val="nil"/>
              <w:bottom w:val="nil"/>
              <w:right w:val="nil"/>
            </w:tcBorders>
            <w:shd w:val="clear" w:color="auto" w:fill="auto"/>
            <w:noWrap/>
            <w:vAlign w:val="bottom"/>
          </w:tcPr>
          <w:p w14:paraId="4BA65D84" w14:textId="77777777" w:rsidR="00BB67BB" w:rsidRPr="00591BFC" w:rsidRDefault="00BB67BB" w:rsidP="00E86771">
            <w:pPr>
              <w:spacing w:after="0" w:line="360" w:lineRule="auto"/>
              <w:rPr>
                <w:rFonts w:eastAsia="Times New Roman" w:cs="Arial"/>
                <w:sz w:val="20"/>
                <w:szCs w:val="20"/>
                <w:lang w:eastAsia="en-GB"/>
              </w:rPr>
            </w:pPr>
            <w:r w:rsidRPr="00591BFC">
              <w:rPr>
                <w:rFonts w:eastAsia="Times New Roman" w:cs="Arial"/>
                <w:sz w:val="20"/>
                <w:szCs w:val="20"/>
                <w:lang w:eastAsia="en-GB"/>
              </w:rPr>
              <w:t>Open fracture of neck of femur NOS</w:t>
            </w:r>
          </w:p>
        </w:tc>
      </w:tr>
    </w:tbl>
    <w:p w14:paraId="670BD83F" w14:textId="77777777" w:rsidR="0091493B" w:rsidRPr="00591BFC" w:rsidRDefault="0091493B" w:rsidP="00E86771">
      <w:pPr>
        <w:spacing w:line="360" w:lineRule="auto"/>
      </w:pPr>
    </w:p>
    <w:p w14:paraId="4C73DA41" w14:textId="77777777" w:rsidR="00BB67BB" w:rsidRPr="00591BFC" w:rsidRDefault="00DB142C" w:rsidP="00E86771">
      <w:pPr>
        <w:pStyle w:val="Heading2"/>
        <w:spacing w:line="360" w:lineRule="auto"/>
        <w:rPr>
          <w:rFonts w:ascii="Calibri" w:hAnsi="Calibri"/>
        </w:rPr>
      </w:pPr>
      <w:r w:rsidRPr="00591BFC">
        <w:rPr>
          <w:rFonts w:ascii="Calibri" w:hAnsi="Calibri"/>
        </w:rPr>
        <w:br w:type="page"/>
      </w:r>
      <w:bookmarkStart w:id="693" w:name="_Toc308300845"/>
      <w:bookmarkStart w:id="694" w:name="_Toc311366653"/>
      <w:r w:rsidR="0091493B" w:rsidRPr="00591BFC">
        <w:rPr>
          <w:rFonts w:ascii="Calibri" w:hAnsi="Calibri"/>
        </w:rPr>
        <w:lastRenderedPageBreak/>
        <w:t xml:space="preserve">Appendix </w:t>
      </w:r>
      <w:r w:rsidR="00FC769E" w:rsidRPr="00591BFC">
        <w:rPr>
          <w:rFonts w:ascii="Calibri" w:hAnsi="Calibri"/>
          <w:lang w:val="en-GB"/>
        </w:rPr>
        <w:t>4</w:t>
      </w:r>
      <w:r w:rsidR="000D3ACD" w:rsidRPr="00591BFC">
        <w:rPr>
          <w:rFonts w:ascii="Calibri" w:hAnsi="Calibri"/>
        </w:rPr>
        <w:t xml:space="preserve"> Description of changes to orthogeriatric and FLS models of care as previously identified and described in Chapter 2.</w:t>
      </w:r>
      <w:bookmarkEnd w:id="693"/>
      <w:bookmarkEnd w:id="694"/>
      <w:r w:rsidR="000D3ACD" w:rsidRPr="00591BFC">
        <w:rPr>
          <w:rFonts w:ascii="Calibri" w:hAnsi="Calibri"/>
        </w:rPr>
        <w:t xml:space="preserve"> </w:t>
      </w:r>
    </w:p>
    <w:tbl>
      <w:tblPr>
        <w:tblW w:w="0" w:type="auto"/>
        <w:tblLook w:val="04A0" w:firstRow="1" w:lastRow="0" w:firstColumn="1" w:lastColumn="0" w:noHBand="0" w:noVBand="1"/>
      </w:tblPr>
      <w:tblGrid>
        <w:gridCol w:w="915"/>
        <w:gridCol w:w="804"/>
        <w:gridCol w:w="1634"/>
        <w:gridCol w:w="5883"/>
      </w:tblGrid>
      <w:tr w:rsidR="005E28FD" w:rsidRPr="00591BFC" w14:paraId="0961EF54" w14:textId="77777777" w:rsidTr="00DB4F65">
        <w:trPr>
          <w:trHeight w:val="315"/>
        </w:trPr>
        <w:tc>
          <w:tcPr>
            <w:tcW w:w="915" w:type="dxa"/>
            <w:shd w:val="clear" w:color="auto" w:fill="auto"/>
            <w:noWrap/>
            <w:hideMark/>
          </w:tcPr>
          <w:p w14:paraId="1388C2A3" w14:textId="77777777" w:rsidR="005E28FD" w:rsidRPr="00591BFC" w:rsidRDefault="005E28FD" w:rsidP="00E86771">
            <w:pPr>
              <w:spacing w:line="360" w:lineRule="auto"/>
              <w:rPr>
                <w:b/>
                <w:bCs/>
                <w:sz w:val="20"/>
                <w:szCs w:val="20"/>
                <w:u w:val="single"/>
              </w:rPr>
            </w:pPr>
            <w:r w:rsidRPr="00591BFC">
              <w:rPr>
                <w:b/>
                <w:bCs/>
                <w:sz w:val="20"/>
                <w:szCs w:val="20"/>
                <w:u w:val="single"/>
              </w:rPr>
              <w:t>Hospital</w:t>
            </w:r>
          </w:p>
        </w:tc>
        <w:tc>
          <w:tcPr>
            <w:tcW w:w="804" w:type="dxa"/>
            <w:shd w:val="clear" w:color="auto" w:fill="auto"/>
            <w:noWrap/>
            <w:hideMark/>
          </w:tcPr>
          <w:p w14:paraId="009FA496" w14:textId="77777777" w:rsidR="005E28FD" w:rsidRPr="00591BFC" w:rsidRDefault="005E28FD" w:rsidP="00E86771">
            <w:pPr>
              <w:spacing w:line="360" w:lineRule="auto"/>
              <w:rPr>
                <w:b/>
                <w:bCs/>
                <w:sz w:val="20"/>
                <w:szCs w:val="20"/>
                <w:u w:val="single"/>
              </w:rPr>
            </w:pPr>
            <w:r w:rsidRPr="00591BFC">
              <w:rPr>
                <w:b/>
                <w:bCs/>
                <w:sz w:val="20"/>
                <w:szCs w:val="20"/>
                <w:u w:val="single"/>
              </w:rPr>
              <w:t>Date</w:t>
            </w:r>
          </w:p>
        </w:tc>
        <w:tc>
          <w:tcPr>
            <w:tcW w:w="1640" w:type="dxa"/>
            <w:shd w:val="clear" w:color="auto" w:fill="auto"/>
            <w:hideMark/>
          </w:tcPr>
          <w:p w14:paraId="0779B8E8" w14:textId="77777777" w:rsidR="005E28FD" w:rsidRPr="00591BFC" w:rsidRDefault="005E28FD" w:rsidP="00E86771">
            <w:pPr>
              <w:spacing w:line="360" w:lineRule="auto"/>
              <w:rPr>
                <w:b/>
                <w:bCs/>
                <w:sz w:val="20"/>
                <w:szCs w:val="20"/>
                <w:u w:val="single"/>
              </w:rPr>
            </w:pPr>
            <w:r w:rsidRPr="00591BFC">
              <w:rPr>
                <w:b/>
                <w:bCs/>
                <w:sz w:val="20"/>
                <w:szCs w:val="20"/>
                <w:u w:val="single"/>
              </w:rPr>
              <w:t>Change</w:t>
            </w:r>
          </w:p>
        </w:tc>
        <w:tc>
          <w:tcPr>
            <w:tcW w:w="5883" w:type="dxa"/>
            <w:shd w:val="clear" w:color="auto" w:fill="auto"/>
            <w:noWrap/>
            <w:hideMark/>
          </w:tcPr>
          <w:p w14:paraId="63B7486A" w14:textId="77777777" w:rsidR="005E28FD" w:rsidRPr="00591BFC" w:rsidRDefault="005E28FD" w:rsidP="00E86771">
            <w:pPr>
              <w:spacing w:line="360" w:lineRule="auto"/>
              <w:rPr>
                <w:b/>
                <w:bCs/>
                <w:sz w:val="20"/>
                <w:szCs w:val="20"/>
                <w:u w:val="single"/>
              </w:rPr>
            </w:pPr>
            <w:r w:rsidRPr="00591BFC">
              <w:rPr>
                <w:b/>
                <w:bCs/>
                <w:sz w:val="20"/>
                <w:szCs w:val="20"/>
                <w:u w:val="single"/>
              </w:rPr>
              <w:t>Description</w:t>
            </w:r>
          </w:p>
        </w:tc>
      </w:tr>
      <w:tr w:rsidR="005E28FD" w:rsidRPr="00591BFC" w14:paraId="29609583" w14:textId="77777777" w:rsidTr="00DB4F65">
        <w:trPr>
          <w:trHeight w:val="510"/>
        </w:trPr>
        <w:tc>
          <w:tcPr>
            <w:tcW w:w="915" w:type="dxa"/>
            <w:shd w:val="clear" w:color="auto" w:fill="auto"/>
            <w:noWrap/>
            <w:hideMark/>
          </w:tcPr>
          <w:p w14:paraId="0D271906" w14:textId="77777777" w:rsidR="005E28FD" w:rsidRPr="00591BFC" w:rsidRDefault="005E28FD" w:rsidP="00E86771">
            <w:pPr>
              <w:spacing w:line="360" w:lineRule="auto"/>
              <w:rPr>
                <w:sz w:val="20"/>
                <w:szCs w:val="20"/>
              </w:rPr>
            </w:pPr>
            <w:r w:rsidRPr="00591BFC">
              <w:rPr>
                <w:sz w:val="20"/>
                <w:szCs w:val="20"/>
              </w:rPr>
              <w:t>2</w:t>
            </w:r>
          </w:p>
        </w:tc>
        <w:tc>
          <w:tcPr>
            <w:tcW w:w="804" w:type="dxa"/>
            <w:shd w:val="clear" w:color="auto" w:fill="auto"/>
            <w:noWrap/>
            <w:hideMark/>
          </w:tcPr>
          <w:p w14:paraId="2FF7B4CD" w14:textId="77777777" w:rsidR="005E28FD" w:rsidRPr="00591BFC" w:rsidRDefault="005E28FD" w:rsidP="00E86771">
            <w:pPr>
              <w:spacing w:line="360" w:lineRule="auto"/>
              <w:rPr>
                <w:sz w:val="20"/>
                <w:szCs w:val="20"/>
              </w:rPr>
            </w:pPr>
            <w:r w:rsidRPr="00591BFC">
              <w:rPr>
                <w:sz w:val="20"/>
                <w:szCs w:val="20"/>
              </w:rPr>
              <w:t>May 2005</w:t>
            </w:r>
          </w:p>
        </w:tc>
        <w:tc>
          <w:tcPr>
            <w:tcW w:w="1640" w:type="dxa"/>
            <w:shd w:val="clear" w:color="auto" w:fill="auto"/>
            <w:hideMark/>
          </w:tcPr>
          <w:p w14:paraId="4CDFEA19" w14:textId="77777777" w:rsidR="005E28FD" w:rsidRPr="00591BFC" w:rsidRDefault="005E28FD" w:rsidP="00E86771">
            <w:pPr>
              <w:spacing w:line="360" w:lineRule="auto"/>
              <w:rPr>
                <w:sz w:val="20"/>
                <w:szCs w:val="20"/>
              </w:rPr>
            </w:pPr>
            <w:r w:rsidRPr="00591BFC">
              <w:rPr>
                <w:sz w:val="20"/>
                <w:szCs w:val="20"/>
              </w:rPr>
              <w:t>Appointment of</w:t>
            </w:r>
            <w:r w:rsidRPr="00591BFC">
              <w:rPr>
                <w:sz w:val="20"/>
                <w:szCs w:val="20"/>
              </w:rPr>
              <w:br/>
              <w:t xml:space="preserve"> Orthogeriatrician</w:t>
            </w:r>
          </w:p>
        </w:tc>
        <w:tc>
          <w:tcPr>
            <w:tcW w:w="5883" w:type="dxa"/>
            <w:shd w:val="clear" w:color="auto" w:fill="auto"/>
            <w:hideMark/>
          </w:tcPr>
          <w:p w14:paraId="4524A1D1" w14:textId="77777777" w:rsidR="005E28FD" w:rsidRPr="00591BFC" w:rsidRDefault="005E28FD" w:rsidP="00E86771">
            <w:pPr>
              <w:spacing w:line="360" w:lineRule="auto"/>
              <w:rPr>
                <w:sz w:val="20"/>
                <w:szCs w:val="20"/>
              </w:rPr>
            </w:pPr>
            <w:r w:rsidRPr="00591BFC">
              <w:rPr>
                <w:sz w:val="20"/>
                <w:szCs w:val="20"/>
              </w:rPr>
              <w:t xml:space="preserve">Provided a liaison service. Orthogeriatrician responsible for case finding, assessment and treatment initiation. </w:t>
            </w:r>
          </w:p>
        </w:tc>
      </w:tr>
      <w:tr w:rsidR="005E28FD" w:rsidRPr="00591BFC" w14:paraId="7256F780" w14:textId="77777777" w:rsidTr="00DB4F65">
        <w:trPr>
          <w:trHeight w:val="1020"/>
        </w:trPr>
        <w:tc>
          <w:tcPr>
            <w:tcW w:w="915" w:type="dxa"/>
            <w:shd w:val="clear" w:color="auto" w:fill="auto"/>
            <w:noWrap/>
            <w:hideMark/>
          </w:tcPr>
          <w:p w14:paraId="79547A1C" w14:textId="77777777" w:rsidR="005E28FD" w:rsidRPr="00591BFC" w:rsidRDefault="005E28FD" w:rsidP="00E86771">
            <w:pPr>
              <w:spacing w:line="360" w:lineRule="auto"/>
              <w:rPr>
                <w:sz w:val="20"/>
                <w:szCs w:val="20"/>
              </w:rPr>
            </w:pPr>
            <w:r w:rsidRPr="00591BFC">
              <w:rPr>
                <w:sz w:val="20"/>
                <w:szCs w:val="20"/>
              </w:rPr>
              <w:t> </w:t>
            </w:r>
          </w:p>
        </w:tc>
        <w:tc>
          <w:tcPr>
            <w:tcW w:w="804" w:type="dxa"/>
            <w:shd w:val="clear" w:color="auto" w:fill="auto"/>
            <w:noWrap/>
            <w:hideMark/>
          </w:tcPr>
          <w:p w14:paraId="38DD74DD" w14:textId="77777777" w:rsidR="005E28FD" w:rsidRPr="00591BFC" w:rsidRDefault="005E28FD" w:rsidP="00E86771">
            <w:pPr>
              <w:spacing w:line="360" w:lineRule="auto"/>
              <w:rPr>
                <w:sz w:val="20"/>
                <w:szCs w:val="20"/>
              </w:rPr>
            </w:pPr>
            <w:r w:rsidRPr="00591BFC">
              <w:rPr>
                <w:sz w:val="20"/>
                <w:szCs w:val="20"/>
              </w:rPr>
              <w:t>Aug 2007</w:t>
            </w:r>
          </w:p>
        </w:tc>
        <w:tc>
          <w:tcPr>
            <w:tcW w:w="1640" w:type="dxa"/>
            <w:shd w:val="clear" w:color="auto" w:fill="auto"/>
            <w:hideMark/>
          </w:tcPr>
          <w:p w14:paraId="22D92352" w14:textId="77777777" w:rsidR="005E28FD" w:rsidRPr="00591BFC" w:rsidRDefault="005E28FD" w:rsidP="00E86771">
            <w:pPr>
              <w:spacing w:line="360" w:lineRule="auto"/>
              <w:rPr>
                <w:sz w:val="20"/>
                <w:szCs w:val="20"/>
              </w:rPr>
            </w:pPr>
            <w:r w:rsidRPr="00591BFC">
              <w:rPr>
                <w:sz w:val="20"/>
                <w:szCs w:val="20"/>
              </w:rPr>
              <w:t>Appointment of</w:t>
            </w:r>
            <w:r w:rsidRPr="00591BFC">
              <w:rPr>
                <w:sz w:val="20"/>
                <w:szCs w:val="20"/>
              </w:rPr>
              <w:br/>
              <w:t xml:space="preserve"> Orthogeriatrician</w:t>
            </w:r>
          </w:p>
        </w:tc>
        <w:tc>
          <w:tcPr>
            <w:tcW w:w="5883" w:type="dxa"/>
            <w:shd w:val="clear" w:color="auto" w:fill="auto"/>
            <w:hideMark/>
          </w:tcPr>
          <w:p w14:paraId="7F2CBCE1" w14:textId="77777777" w:rsidR="005E28FD" w:rsidRPr="00591BFC" w:rsidRDefault="005E28FD" w:rsidP="00E86771">
            <w:pPr>
              <w:spacing w:line="360" w:lineRule="auto"/>
              <w:rPr>
                <w:sz w:val="20"/>
                <w:szCs w:val="20"/>
              </w:rPr>
            </w:pPr>
            <w:r w:rsidRPr="00591BFC">
              <w:rPr>
                <w:sz w:val="20"/>
                <w:szCs w:val="20"/>
              </w:rPr>
              <w:t>Became clinical lead/osteoporosis ‘Champion’. Allowed a full time consultant to be present in orthogeriatrics throughout the year. Majority of patients seen pre-operatively and in theatre quicker and in better condition. Orthogeriatrician also involved in post-operative care, early identification and treatment of complications. Began doing falls assessments on ward</w:t>
            </w:r>
          </w:p>
        </w:tc>
      </w:tr>
      <w:tr w:rsidR="005E28FD" w:rsidRPr="00591BFC" w14:paraId="153B5C39" w14:textId="77777777" w:rsidTr="00DB4F65">
        <w:trPr>
          <w:trHeight w:val="510"/>
        </w:trPr>
        <w:tc>
          <w:tcPr>
            <w:tcW w:w="915" w:type="dxa"/>
            <w:shd w:val="clear" w:color="auto" w:fill="auto"/>
            <w:noWrap/>
            <w:hideMark/>
          </w:tcPr>
          <w:p w14:paraId="0D61DBC5" w14:textId="77777777" w:rsidR="005E28FD" w:rsidRPr="00591BFC" w:rsidRDefault="005E28FD" w:rsidP="00E86771">
            <w:pPr>
              <w:spacing w:line="360" w:lineRule="auto"/>
              <w:rPr>
                <w:sz w:val="20"/>
                <w:szCs w:val="20"/>
              </w:rPr>
            </w:pPr>
            <w:r w:rsidRPr="00591BFC">
              <w:rPr>
                <w:sz w:val="20"/>
                <w:szCs w:val="20"/>
              </w:rPr>
              <w:t>4</w:t>
            </w:r>
          </w:p>
        </w:tc>
        <w:tc>
          <w:tcPr>
            <w:tcW w:w="804" w:type="dxa"/>
            <w:shd w:val="clear" w:color="auto" w:fill="auto"/>
            <w:noWrap/>
            <w:hideMark/>
          </w:tcPr>
          <w:p w14:paraId="7E38C830" w14:textId="77777777" w:rsidR="005E28FD" w:rsidRPr="00591BFC" w:rsidRDefault="005E28FD" w:rsidP="00E86771">
            <w:pPr>
              <w:spacing w:line="360" w:lineRule="auto"/>
              <w:rPr>
                <w:sz w:val="20"/>
                <w:szCs w:val="20"/>
              </w:rPr>
            </w:pPr>
            <w:r w:rsidRPr="00591BFC">
              <w:rPr>
                <w:sz w:val="20"/>
                <w:szCs w:val="20"/>
              </w:rPr>
              <w:t>Oct 2006</w:t>
            </w:r>
          </w:p>
        </w:tc>
        <w:tc>
          <w:tcPr>
            <w:tcW w:w="1640" w:type="dxa"/>
            <w:shd w:val="clear" w:color="auto" w:fill="auto"/>
            <w:hideMark/>
          </w:tcPr>
          <w:p w14:paraId="6364DF68" w14:textId="77777777" w:rsidR="005E28FD" w:rsidRPr="00591BFC" w:rsidRDefault="005E28FD" w:rsidP="00E86771">
            <w:pPr>
              <w:spacing w:line="360" w:lineRule="auto"/>
              <w:rPr>
                <w:sz w:val="20"/>
                <w:szCs w:val="20"/>
              </w:rPr>
            </w:pPr>
            <w:r w:rsidRPr="00591BFC">
              <w:rPr>
                <w:sz w:val="20"/>
                <w:szCs w:val="20"/>
              </w:rPr>
              <w:t>Appointment of</w:t>
            </w:r>
            <w:r w:rsidRPr="00591BFC">
              <w:rPr>
                <w:sz w:val="20"/>
                <w:szCs w:val="20"/>
              </w:rPr>
              <w:br/>
              <w:t xml:space="preserve"> Orthogeriatrician</w:t>
            </w:r>
          </w:p>
        </w:tc>
        <w:tc>
          <w:tcPr>
            <w:tcW w:w="5883" w:type="dxa"/>
            <w:shd w:val="clear" w:color="auto" w:fill="auto"/>
            <w:noWrap/>
            <w:hideMark/>
          </w:tcPr>
          <w:p w14:paraId="2FDB904B" w14:textId="77777777" w:rsidR="005E28FD" w:rsidRPr="00591BFC" w:rsidRDefault="005E28FD" w:rsidP="00E86771">
            <w:pPr>
              <w:spacing w:line="360" w:lineRule="auto"/>
              <w:rPr>
                <w:sz w:val="20"/>
                <w:szCs w:val="20"/>
              </w:rPr>
            </w:pPr>
            <w:r w:rsidRPr="00591BFC">
              <w:rPr>
                <w:sz w:val="20"/>
                <w:szCs w:val="20"/>
              </w:rPr>
              <w:t>Attends daily trauma meetings and conducts daily ward round</w:t>
            </w:r>
          </w:p>
        </w:tc>
      </w:tr>
      <w:tr w:rsidR="005E28FD" w:rsidRPr="00591BFC" w14:paraId="4A16A6F0" w14:textId="77777777" w:rsidTr="00DB4F65">
        <w:trPr>
          <w:trHeight w:val="765"/>
        </w:trPr>
        <w:tc>
          <w:tcPr>
            <w:tcW w:w="915" w:type="dxa"/>
            <w:shd w:val="clear" w:color="auto" w:fill="auto"/>
            <w:noWrap/>
            <w:hideMark/>
          </w:tcPr>
          <w:p w14:paraId="214DBB6B" w14:textId="77777777" w:rsidR="005E28FD" w:rsidRPr="00591BFC" w:rsidRDefault="005E28FD" w:rsidP="00E86771">
            <w:pPr>
              <w:spacing w:line="360" w:lineRule="auto"/>
              <w:rPr>
                <w:sz w:val="20"/>
                <w:szCs w:val="20"/>
              </w:rPr>
            </w:pPr>
            <w:r w:rsidRPr="00591BFC">
              <w:rPr>
                <w:sz w:val="20"/>
                <w:szCs w:val="20"/>
              </w:rPr>
              <w:t> </w:t>
            </w:r>
          </w:p>
        </w:tc>
        <w:tc>
          <w:tcPr>
            <w:tcW w:w="804" w:type="dxa"/>
            <w:shd w:val="clear" w:color="auto" w:fill="auto"/>
            <w:noWrap/>
            <w:hideMark/>
          </w:tcPr>
          <w:p w14:paraId="3E1BC100" w14:textId="77777777" w:rsidR="005E28FD" w:rsidRPr="00591BFC" w:rsidRDefault="005E28FD" w:rsidP="00E86771">
            <w:pPr>
              <w:spacing w:line="360" w:lineRule="auto"/>
              <w:rPr>
                <w:sz w:val="20"/>
                <w:szCs w:val="20"/>
              </w:rPr>
            </w:pPr>
            <w:r w:rsidRPr="00591BFC">
              <w:rPr>
                <w:sz w:val="20"/>
                <w:szCs w:val="20"/>
              </w:rPr>
              <w:t>May 2009</w:t>
            </w:r>
          </w:p>
        </w:tc>
        <w:tc>
          <w:tcPr>
            <w:tcW w:w="1640" w:type="dxa"/>
            <w:shd w:val="clear" w:color="auto" w:fill="auto"/>
            <w:hideMark/>
          </w:tcPr>
          <w:p w14:paraId="49C801A1" w14:textId="77777777" w:rsidR="005E28FD" w:rsidRPr="00591BFC" w:rsidRDefault="005E28FD" w:rsidP="00E86771">
            <w:pPr>
              <w:spacing w:line="360" w:lineRule="auto"/>
              <w:rPr>
                <w:sz w:val="20"/>
                <w:szCs w:val="20"/>
              </w:rPr>
            </w:pPr>
            <w:r w:rsidRPr="00591BFC">
              <w:rPr>
                <w:sz w:val="20"/>
                <w:szCs w:val="20"/>
              </w:rPr>
              <w:t xml:space="preserve">Appointment of </w:t>
            </w:r>
            <w:r w:rsidRPr="00591BFC">
              <w:rPr>
                <w:sz w:val="20"/>
                <w:szCs w:val="20"/>
              </w:rPr>
              <w:br/>
              <w:t xml:space="preserve">Osteoporosis Nurse </w:t>
            </w:r>
            <w:r w:rsidRPr="00591BFC">
              <w:rPr>
                <w:sz w:val="20"/>
                <w:szCs w:val="20"/>
              </w:rPr>
              <w:br/>
              <w:t>Specialist</w:t>
            </w:r>
          </w:p>
        </w:tc>
        <w:tc>
          <w:tcPr>
            <w:tcW w:w="5883" w:type="dxa"/>
            <w:shd w:val="clear" w:color="auto" w:fill="auto"/>
            <w:hideMark/>
          </w:tcPr>
          <w:p w14:paraId="18F35528" w14:textId="77777777" w:rsidR="005E28FD" w:rsidRPr="00591BFC" w:rsidRDefault="005E28FD" w:rsidP="00E86771">
            <w:pPr>
              <w:spacing w:line="360" w:lineRule="auto"/>
              <w:rPr>
                <w:sz w:val="20"/>
                <w:szCs w:val="20"/>
              </w:rPr>
            </w:pPr>
            <w:r w:rsidRPr="00591BFC">
              <w:rPr>
                <w:sz w:val="20"/>
                <w:szCs w:val="20"/>
              </w:rPr>
              <w:t>Assesses all inpatient hip fractures, assesses for falls risk (with referral to falls service if required), osteoporosis risk factors, and refers for DXA and blood tests. Makes treatment recommendations and a follow-up plan. Attends daily trauma meetings, screens inpatients. Responsible for case-finding.</w:t>
            </w:r>
          </w:p>
        </w:tc>
      </w:tr>
      <w:tr w:rsidR="005E28FD" w:rsidRPr="00591BFC" w14:paraId="2FDACAB6" w14:textId="77777777" w:rsidTr="00DB4F65">
        <w:trPr>
          <w:trHeight w:val="765"/>
        </w:trPr>
        <w:tc>
          <w:tcPr>
            <w:tcW w:w="915" w:type="dxa"/>
            <w:shd w:val="clear" w:color="auto" w:fill="auto"/>
            <w:noWrap/>
            <w:hideMark/>
          </w:tcPr>
          <w:p w14:paraId="620F22FF" w14:textId="77777777" w:rsidR="005E28FD" w:rsidRPr="00591BFC" w:rsidRDefault="005E28FD" w:rsidP="00E86771">
            <w:pPr>
              <w:spacing w:line="360" w:lineRule="auto"/>
              <w:rPr>
                <w:sz w:val="20"/>
                <w:szCs w:val="20"/>
              </w:rPr>
            </w:pPr>
            <w:r w:rsidRPr="00591BFC">
              <w:rPr>
                <w:sz w:val="20"/>
                <w:szCs w:val="20"/>
              </w:rPr>
              <w:t>6</w:t>
            </w:r>
          </w:p>
        </w:tc>
        <w:tc>
          <w:tcPr>
            <w:tcW w:w="804" w:type="dxa"/>
            <w:shd w:val="clear" w:color="auto" w:fill="auto"/>
            <w:noWrap/>
            <w:hideMark/>
          </w:tcPr>
          <w:p w14:paraId="79BE7A5B" w14:textId="77777777" w:rsidR="005E28FD" w:rsidRPr="00591BFC" w:rsidRDefault="005E28FD" w:rsidP="00E86771">
            <w:pPr>
              <w:spacing w:line="360" w:lineRule="auto"/>
              <w:rPr>
                <w:sz w:val="20"/>
                <w:szCs w:val="20"/>
              </w:rPr>
            </w:pPr>
            <w:r w:rsidRPr="00591BFC">
              <w:rPr>
                <w:sz w:val="20"/>
                <w:szCs w:val="20"/>
              </w:rPr>
              <w:t>Nov 2005</w:t>
            </w:r>
          </w:p>
        </w:tc>
        <w:tc>
          <w:tcPr>
            <w:tcW w:w="1640" w:type="dxa"/>
            <w:shd w:val="clear" w:color="auto" w:fill="auto"/>
            <w:hideMark/>
          </w:tcPr>
          <w:p w14:paraId="1B690094" w14:textId="77777777" w:rsidR="005E28FD" w:rsidRPr="00591BFC" w:rsidRDefault="005E28FD" w:rsidP="00E86771">
            <w:pPr>
              <w:spacing w:line="360" w:lineRule="auto"/>
              <w:rPr>
                <w:sz w:val="20"/>
                <w:szCs w:val="20"/>
              </w:rPr>
            </w:pPr>
            <w:r w:rsidRPr="00591BFC">
              <w:rPr>
                <w:sz w:val="20"/>
                <w:szCs w:val="20"/>
              </w:rPr>
              <w:t>Appointment</w:t>
            </w:r>
            <w:r w:rsidRPr="00591BFC">
              <w:rPr>
                <w:sz w:val="20"/>
                <w:szCs w:val="20"/>
              </w:rPr>
              <w:br/>
              <w:t xml:space="preserve"> of Orthogeriatrician</w:t>
            </w:r>
          </w:p>
        </w:tc>
        <w:tc>
          <w:tcPr>
            <w:tcW w:w="5883" w:type="dxa"/>
            <w:shd w:val="clear" w:color="auto" w:fill="auto"/>
            <w:hideMark/>
          </w:tcPr>
          <w:p w14:paraId="2647E9A3" w14:textId="77777777" w:rsidR="005E28FD" w:rsidRPr="00591BFC" w:rsidRDefault="005E28FD" w:rsidP="00E86771">
            <w:pPr>
              <w:spacing w:line="360" w:lineRule="auto"/>
              <w:rPr>
                <w:sz w:val="20"/>
                <w:szCs w:val="20"/>
              </w:rPr>
            </w:pPr>
            <w:r w:rsidRPr="00591BFC">
              <w:rPr>
                <w:sz w:val="20"/>
                <w:szCs w:val="20"/>
              </w:rPr>
              <w:t>Carries out the initial assessment, pre-operative and post-operative care and secondary fracture prevention assessment: attends trauma meetings, case finds, does falls and osteoporosis assessment, supports discharge planning, sets rehabilitation goals, reviews complex cases and does ward round</w:t>
            </w:r>
          </w:p>
        </w:tc>
      </w:tr>
      <w:tr w:rsidR="005E28FD" w:rsidRPr="00591BFC" w14:paraId="1624789A" w14:textId="77777777" w:rsidTr="00DB4F65">
        <w:trPr>
          <w:trHeight w:val="1275"/>
        </w:trPr>
        <w:tc>
          <w:tcPr>
            <w:tcW w:w="915" w:type="dxa"/>
            <w:shd w:val="clear" w:color="auto" w:fill="auto"/>
            <w:noWrap/>
            <w:hideMark/>
          </w:tcPr>
          <w:p w14:paraId="779F804E" w14:textId="77777777" w:rsidR="005E28FD" w:rsidRPr="00591BFC" w:rsidRDefault="005E28FD" w:rsidP="00E86771">
            <w:pPr>
              <w:spacing w:line="360" w:lineRule="auto"/>
              <w:rPr>
                <w:sz w:val="20"/>
                <w:szCs w:val="20"/>
              </w:rPr>
            </w:pPr>
            <w:r w:rsidRPr="00591BFC">
              <w:rPr>
                <w:sz w:val="20"/>
                <w:szCs w:val="20"/>
              </w:rPr>
              <w:t>5</w:t>
            </w:r>
          </w:p>
        </w:tc>
        <w:tc>
          <w:tcPr>
            <w:tcW w:w="804" w:type="dxa"/>
            <w:shd w:val="clear" w:color="auto" w:fill="auto"/>
            <w:noWrap/>
            <w:hideMark/>
          </w:tcPr>
          <w:p w14:paraId="3D0A2885" w14:textId="77777777" w:rsidR="005E28FD" w:rsidRPr="00591BFC" w:rsidRDefault="005E28FD" w:rsidP="00E86771">
            <w:pPr>
              <w:spacing w:line="360" w:lineRule="auto"/>
              <w:rPr>
                <w:sz w:val="20"/>
                <w:szCs w:val="20"/>
              </w:rPr>
            </w:pPr>
            <w:r w:rsidRPr="00591BFC">
              <w:rPr>
                <w:sz w:val="20"/>
                <w:szCs w:val="20"/>
              </w:rPr>
              <w:t>Sept 2009</w:t>
            </w:r>
          </w:p>
        </w:tc>
        <w:tc>
          <w:tcPr>
            <w:tcW w:w="1640" w:type="dxa"/>
            <w:shd w:val="clear" w:color="auto" w:fill="auto"/>
            <w:hideMark/>
          </w:tcPr>
          <w:p w14:paraId="49C15DA4" w14:textId="77777777" w:rsidR="005E28FD" w:rsidRPr="00591BFC" w:rsidRDefault="005E28FD" w:rsidP="00E86771">
            <w:pPr>
              <w:spacing w:line="360" w:lineRule="auto"/>
              <w:rPr>
                <w:sz w:val="20"/>
                <w:szCs w:val="20"/>
              </w:rPr>
            </w:pPr>
            <w:r w:rsidRPr="00591BFC">
              <w:rPr>
                <w:sz w:val="20"/>
                <w:szCs w:val="20"/>
              </w:rPr>
              <w:t>Appointment o</w:t>
            </w:r>
            <w:r w:rsidRPr="00591BFC">
              <w:rPr>
                <w:sz w:val="20"/>
                <w:szCs w:val="20"/>
              </w:rPr>
              <w:br/>
              <w:t>f Orthogeriatrician</w:t>
            </w:r>
          </w:p>
        </w:tc>
        <w:tc>
          <w:tcPr>
            <w:tcW w:w="5883" w:type="dxa"/>
            <w:shd w:val="clear" w:color="auto" w:fill="auto"/>
            <w:hideMark/>
          </w:tcPr>
          <w:p w14:paraId="1A3248ED" w14:textId="77777777" w:rsidR="005E28FD" w:rsidRPr="00591BFC" w:rsidRDefault="005E28FD" w:rsidP="00E86771">
            <w:pPr>
              <w:spacing w:line="360" w:lineRule="auto"/>
              <w:rPr>
                <w:sz w:val="20"/>
                <w:szCs w:val="20"/>
              </w:rPr>
            </w:pPr>
            <w:r w:rsidRPr="00591BFC">
              <w:rPr>
                <w:sz w:val="20"/>
                <w:szCs w:val="20"/>
              </w:rPr>
              <w:t xml:space="preserve">Brought extra support for orthogeriatrician already in post. Allowed weekend orthogeriatric cover and was responsible for case finding. Assessment of all hip fracture patients for osteoporosis risk factors, lifestyle factors, nutrition, treatment compliance and falls risk, and also initiate treatment. They coordinate multi-disciplinary team meetings, attend trauma meetings, conduct pre- and post-operative assessments, and conducts a 4-6 week post-discharge follow-up if required. </w:t>
            </w:r>
          </w:p>
        </w:tc>
      </w:tr>
      <w:tr w:rsidR="005E28FD" w:rsidRPr="00591BFC" w14:paraId="518DAED8" w14:textId="77777777" w:rsidTr="00DB4F65">
        <w:trPr>
          <w:trHeight w:val="1020"/>
        </w:trPr>
        <w:tc>
          <w:tcPr>
            <w:tcW w:w="915" w:type="dxa"/>
            <w:shd w:val="clear" w:color="auto" w:fill="auto"/>
            <w:noWrap/>
            <w:hideMark/>
          </w:tcPr>
          <w:p w14:paraId="103370E2" w14:textId="77777777" w:rsidR="005E28FD" w:rsidRPr="00591BFC" w:rsidRDefault="005E28FD" w:rsidP="00E86771">
            <w:pPr>
              <w:spacing w:line="360" w:lineRule="auto"/>
              <w:rPr>
                <w:sz w:val="20"/>
                <w:szCs w:val="20"/>
              </w:rPr>
            </w:pPr>
            <w:r w:rsidRPr="00591BFC">
              <w:rPr>
                <w:sz w:val="20"/>
                <w:szCs w:val="20"/>
              </w:rPr>
              <w:lastRenderedPageBreak/>
              <w:t>7</w:t>
            </w:r>
          </w:p>
        </w:tc>
        <w:tc>
          <w:tcPr>
            <w:tcW w:w="804" w:type="dxa"/>
            <w:shd w:val="clear" w:color="auto" w:fill="auto"/>
            <w:noWrap/>
            <w:hideMark/>
          </w:tcPr>
          <w:p w14:paraId="207E45C7" w14:textId="77777777" w:rsidR="005E28FD" w:rsidRPr="00591BFC" w:rsidRDefault="005E28FD" w:rsidP="00E86771">
            <w:pPr>
              <w:spacing w:line="360" w:lineRule="auto"/>
              <w:rPr>
                <w:sz w:val="20"/>
                <w:szCs w:val="20"/>
              </w:rPr>
            </w:pPr>
            <w:r w:rsidRPr="00591BFC">
              <w:rPr>
                <w:sz w:val="20"/>
                <w:szCs w:val="20"/>
              </w:rPr>
              <w:t>July 2004</w:t>
            </w:r>
          </w:p>
        </w:tc>
        <w:tc>
          <w:tcPr>
            <w:tcW w:w="1640" w:type="dxa"/>
            <w:shd w:val="clear" w:color="auto" w:fill="auto"/>
            <w:hideMark/>
          </w:tcPr>
          <w:p w14:paraId="27479532" w14:textId="77777777" w:rsidR="005E28FD" w:rsidRPr="00591BFC" w:rsidRDefault="005E28FD" w:rsidP="00E86771">
            <w:pPr>
              <w:spacing w:line="360" w:lineRule="auto"/>
              <w:rPr>
                <w:sz w:val="20"/>
                <w:szCs w:val="20"/>
              </w:rPr>
            </w:pPr>
            <w:r w:rsidRPr="00591BFC">
              <w:rPr>
                <w:sz w:val="20"/>
                <w:szCs w:val="20"/>
              </w:rPr>
              <w:t>Appointment of Geriatrician</w:t>
            </w:r>
            <w:r w:rsidRPr="00591BFC">
              <w:rPr>
                <w:sz w:val="20"/>
                <w:szCs w:val="20"/>
              </w:rPr>
              <w:br/>
              <w:t xml:space="preserve"> to hip fracture ward</w:t>
            </w:r>
          </w:p>
        </w:tc>
        <w:tc>
          <w:tcPr>
            <w:tcW w:w="5883" w:type="dxa"/>
            <w:shd w:val="clear" w:color="auto" w:fill="auto"/>
            <w:hideMark/>
          </w:tcPr>
          <w:p w14:paraId="003377F5" w14:textId="77777777" w:rsidR="005E28FD" w:rsidRPr="00591BFC" w:rsidRDefault="005E28FD" w:rsidP="00E86771">
            <w:pPr>
              <w:spacing w:line="360" w:lineRule="auto"/>
              <w:rPr>
                <w:sz w:val="20"/>
                <w:szCs w:val="20"/>
              </w:rPr>
            </w:pPr>
            <w:r w:rsidRPr="00591BFC">
              <w:rPr>
                <w:sz w:val="20"/>
                <w:szCs w:val="20"/>
              </w:rPr>
              <w:t>Increased number of orthogeriatric sessions from 1 to 3 per week. Introduced service which sees all patients pre-operatively and post-operatively, including falls and osteoporosis assessments, and discharge planning (increasing intensity over time). A dedicated hip fracture ward was opened at the same time.</w:t>
            </w:r>
          </w:p>
        </w:tc>
      </w:tr>
      <w:tr w:rsidR="005E28FD" w:rsidRPr="00591BFC" w14:paraId="6AC94E1C" w14:textId="77777777" w:rsidTr="00DB4F65">
        <w:trPr>
          <w:trHeight w:val="510"/>
        </w:trPr>
        <w:tc>
          <w:tcPr>
            <w:tcW w:w="915" w:type="dxa"/>
            <w:shd w:val="clear" w:color="auto" w:fill="auto"/>
            <w:noWrap/>
            <w:hideMark/>
          </w:tcPr>
          <w:p w14:paraId="43798131" w14:textId="77777777" w:rsidR="005E28FD" w:rsidRPr="00591BFC" w:rsidRDefault="005E28FD" w:rsidP="00E86771">
            <w:pPr>
              <w:spacing w:line="360" w:lineRule="auto"/>
              <w:rPr>
                <w:sz w:val="20"/>
                <w:szCs w:val="20"/>
              </w:rPr>
            </w:pPr>
            <w:r w:rsidRPr="00591BFC">
              <w:rPr>
                <w:sz w:val="20"/>
                <w:szCs w:val="20"/>
              </w:rPr>
              <w:t> </w:t>
            </w:r>
          </w:p>
        </w:tc>
        <w:tc>
          <w:tcPr>
            <w:tcW w:w="804" w:type="dxa"/>
            <w:shd w:val="clear" w:color="auto" w:fill="auto"/>
            <w:noWrap/>
            <w:hideMark/>
          </w:tcPr>
          <w:p w14:paraId="275E0C2B" w14:textId="77777777" w:rsidR="005E28FD" w:rsidRPr="00591BFC" w:rsidRDefault="005E28FD" w:rsidP="00E86771">
            <w:pPr>
              <w:spacing w:line="360" w:lineRule="auto"/>
              <w:rPr>
                <w:sz w:val="20"/>
                <w:szCs w:val="20"/>
              </w:rPr>
            </w:pPr>
            <w:r w:rsidRPr="00591BFC">
              <w:rPr>
                <w:sz w:val="20"/>
                <w:szCs w:val="20"/>
              </w:rPr>
              <w:t>June 2007</w:t>
            </w:r>
          </w:p>
        </w:tc>
        <w:tc>
          <w:tcPr>
            <w:tcW w:w="1640" w:type="dxa"/>
            <w:shd w:val="clear" w:color="auto" w:fill="auto"/>
            <w:hideMark/>
          </w:tcPr>
          <w:p w14:paraId="5E059F84" w14:textId="77777777" w:rsidR="005E28FD" w:rsidRPr="00591BFC" w:rsidRDefault="005E28FD" w:rsidP="00E86771">
            <w:pPr>
              <w:spacing w:line="360" w:lineRule="auto"/>
              <w:rPr>
                <w:sz w:val="20"/>
                <w:szCs w:val="20"/>
              </w:rPr>
            </w:pPr>
            <w:r w:rsidRPr="00591BFC">
              <w:rPr>
                <w:sz w:val="20"/>
                <w:szCs w:val="20"/>
              </w:rPr>
              <w:t>Appointment of Trauma</w:t>
            </w:r>
            <w:r w:rsidRPr="00591BFC">
              <w:rPr>
                <w:sz w:val="20"/>
                <w:szCs w:val="20"/>
              </w:rPr>
              <w:br/>
              <w:t xml:space="preserve"> Specialty Nurse</w:t>
            </w:r>
          </w:p>
        </w:tc>
        <w:tc>
          <w:tcPr>
            <w:tcW w:w="5883" w:type="dxa"/>
            <w:shd w:val="clear" w:color="auto" w:fill="auto"/>
            <w:hideMark/>
          </w:tcPr>
          <w:p w14:paraId="18C57940" w14:textId="77777777" w:rsidR="005E28FD" w:rsidRPr="00591BFC" w:rsidRDefault="005E28FD" w:rsidP="00E86771">
            <w:pPr>
              <w:spacing w:line="360" w:lineRule="auto"/>
              <w:rPr>
                <w:sz w:val="20"/>
                <w:szCs w:val="20"/>
              </w:rPr>
            </w:pPr>
            <w:r w:rsidRPr="00591BFC">
              <w:rPr>
                <w:sz w:val="20"/>
                <w:szCs w:val="20"/>
              </w:rPr>
              <w:t>Additional support for orthogeriatric team and management of bone health</w:t>
            </w:r>
          </w:p>
        </w:tc>
      </w:tr>
      <w:tr w:rsidR="005E28FD" w:rsidRPr="00591BFC" w14:paraId="622F5AA4" w14:textId="77777777" w:rsidTr="00DB4F65">
        <w:trPr>
          <w:trHeight w:val="1020"/>
        </w:trPr>
        <w:tc>
          <w:tcPr>
            <w:tcW w:w="915" w:type="dxa"/>
            <w:shd w:val="clear" w:color="auto" w:fill="auto"/>
            <w:noWrap/>
            <w:hideMark/>
          </w:tcPr>
          <w:p w14:paraId="47C67B69" w14:textId="77777777" w:rsidR="005E28FD" w:rsidRPr="00591BFC" w:rsidRDefault="005E28FD" w:rsidP="00E86771">
            <w:pPr>
              <w:spacing w:line="360" w:lineRule="auto"/>
              <w:rPr>
                <w:sz w:val="20"/>
                <w:szCs w:val="20"/>
              </w:rPr>
            </w:pPr>
            <w:r w:rsidRPr="00591BFC">
              <w:rPr>
                <w:sz w:val="20"/>
                <w:szCs w:val="20"/>
              </w:rPr>
              <w:t>8</w:t>
            </w:r>
          </w:p>
        </w:tc>
        <w:tc>
          <w:tcPr>
            <w:tcW w:w="804" w:type="dxa"/>
            <w:shd w:val="clear" w:color="auto" w:fill="auto"/>
            <w:noWrap/>
            <w:hideMark/>
          </w:tcPr>
          <w:p w14:paraId="24795312" w14:textId="77777777" w:rsidR="005E28FD" w:rsidRPr="00591BFC" w:rsidRDefault="005E28FD" w:rsidP="00E86771">
            <w:pPr>
              <w:spacing w:line="360" w:lineRule="auto"/>
              <w:rPr>
                <w:sz w:val="20"/>
                <w:szCs w:val="20"/>
              </w:rPr>
            </w:pPr>
            <w:r w:rsidRPr="00591BFC">
              <w:rPr>
                <w:sz w:val="20"/>
                <w:szCs w:val="20"/>
              </w:rPr>
              <w:t>March 2009</w:t>
            </w:r>
          </w:p>
        </w:tc>
        <w:tc>
          <w:tcPr>
            <w:tcW w:w="1640" w:type="dxa"/>
            <w:shd w:val="clear" w:color="auto" w:fill="auto"/>
            <w:hideMark/>
          </w:tcPr>
          <w:p w14:paraId="5D74B0E7" w14:textId="77777777" w:rsidR="005E28FD" w:rsidRPr="00591BFC" w:rsidRDefault="005E28FD" w:rsidP="00E86771">
            <w:pPr>
              <w:spacing w:line="360" w:lineRule="auto"/>
              <w:rPr>
                <w:sz w:val="20"/>
                <w:szCs w:val="20"/>
              </w:rPr>
            </w:pPr>
            <w:r w:rsidRPr="00591BFC">
              <w:rPr>
                <w:sz w:val="20"/>
                <w:szCs w:val="20"/>
              </w:rPr>
              <w:t xml:space="preserve">Appointment of </w:t>
            </w:r>
            <w:r w:rsidRPr="00591BFC">
              <w:rPr>
                <w:sz w:val="20"/>
                <w:szCs w:val="20"/>
              </w:rPr>
              <w:br/>
              <w:t>Orthogeriatrician</w:t>
            </w:r>
          </w:p>
        </w:tc>
        <w:tc>
          <w:tcPr>
            <w:tcW w:w="5883" w:type="dxa"/>
            <w:shd w:val="clear" w:color="auto" w:fill="auto"/>
            <w:hideMark/>
          </w:tcPr>
          <w:p w14:paraId="60B3862D" w14:textId="77777777" w:rsidR="005E28FD" w:rsidRPr="00591BFC" w:rsidRDefault="005E28FD" w:rsidP="00E86771">
            <w:pPr>
              <w:spacing w:line="360" w:lineRule="auto"/>
              <w:rPr>
                <w:sz w:val="20"/>
                <w:szCs w:val="20"/>
              </w:rPr>
            </w:pPr>
            <w:r w:rsidRPr="00591BFC">
              <w:rPr>
                <w:sz w:val="20"/>
                <w:szCs w:val="20"/>
              </w:rPr>
              <w:t>Became clinical lead. Introduced daily trauma rounds  and 6 consultant ward rounds per week (four per week prior to this). Began assessing younger patients (prior to this those under 70 would not be seen). 90% patients seen pre-operatively by consultant to optimise them for surgery. Standardised falls assessment and gait and balance assessments, with referral to community falls assessment if required.</w:t>
            </w:r>
          </w:p>
        </w:tc>
      </w:tr>
      <w:tr w:rsidR="005E28FD" w:rsidRPr="00591BFC" w14:paraId="145888E7" w14:textId="77777777" w:rsidTr="00DB4F65">
        <w:trPr>
          <w:trHeight w:val="510"/>
        </w:trPr>
        <w:tc>
          <w:tcPr>
            <w:tcW w:w="915" w:type="dxa"/>
            <w:shd w:val="clear" w:color="auto" w:fill="auto"/>
            <w:noWrap/>
            <w:hideMark/>
          </w:tcPr>
          <w:p w14:paraId="4DB52DCE" w14:textId="77777777" w:rsidR="005E28FD" w:rsidRPr="00591BFC" w:rsidRDefault="005E28FD" w:rsidP="00E86771">
            <w:pPr>
              <w:spacing w:line="360" w:lineRule="auto"/>
              <w:rPr>
                <w:sz w:val="20"/>
                <w:szCs w:val="20"/>
              </w:rPr>
            </w:pPr>
            <w:r w:rsidRPr="00591BFC">
              <w:rPr>
                <w:sz w:val="20"/>
                <w:szCs w:val="20"/>
              </w:rPr>
              <w:t>9</w:t>
            </w:r>
          </w:p>
        </w:tc>
        <w:tc>
          <w:tcPr>
            <w:tcW w:w="804" w:type="dxa"/>
            <w:shd w:val="clear" w:color="auto" w:fill="auto"/>
            <w:noWrap/>
            <w:hideMark/>
          </w:tcPr>
          <w:p w14:paraId="3AAB04B7" w14:textId="77777777" w:rsidR="005E28FD" w:rsidRPr="00591BFC" w:rsidRDefault="005E28FD" w:rsidP="00E86771">
            <w:pPr>
              <w:spacing w:line="360" w:lineRule="auto"/>
              <w:rPr>
                <w:sz w:val="20"/>
                <w:szCs w:val="20"/>
              </w:rPr>
            </w:pPr>
            <w:r w:rsidRPr="00591BFC">
              <w:rPr>
                <w:sz w:val="20"/>
                <w:szCs w:val="20"/>
              </w:rPr>
              <w:t>April 2005</w:t>
            </w:r>
          </w:p>
        </w:tc>
        <w:tc>
          <w:tcPr>
            <w:tcW w:w="1640" w:type="dxa"/>
            <w:shd w:val="clear" w:color="auto" w:fill="auto"/>
            <w:hideMark/>
          </w:tcPr>
          <w:p w14:paraId="4DE0A1E4" w14:textId="77777777" w:rsidR="005E28FD" w:rsidRPr="00591BFC" w:rsidRDefault="005E28FD" w:rsidP="00E86771">
            <w:pPr>
              <w:spacing w:line="360" w:lineRule="auto"/>
              <w:rPr>
                <w:sz w:val="20"/>
                <w:szCs w:val="20"/>
              </w:rPr>
            </w:pPr>
            <w:r w:rsidRPr="00591BFC">
              <w:rPr>
                <w:sz w:val="20"/>
                <w:szCs w:val="20"/>
              </w:rPr>
              <w:t>Appointment of Osteoporosis Nurse Specialist</w:t>
            </w:r>
          </w:p>
        </w:tc>
        <w:tc>
          <w:tcPr>
            <w:tcW w:w="5883" w:type="dxa"/>
            <w:shd w:val="clear" w:color="auto" w:fill="auto"/>
            <w:hideMark/>
          </w:tcPr>
          <w:p w14:paraId="3DAF979F" w14:textId="77777777" w:rsidR="005E28FD" w:rsidRPr="00591BFC" w:rsidRDefault="005E28FD" w:rsidP="00E86771">
            <w:pPr>
              <w:spacing w:line="360" w:lineRule="auto"/>
              <w:rPr>
                <w:sz w:val="20"/>
                <w:szCs w:val="20"/>
              </w:rPr>
            </w:pPr>
            <w:r w:rsidRPr="00591BFC">
              <w:rPr>
                <w:sz w:val="20"/>
                <w:szCs w:val="20"/>
              </w:rPr>
              <w:t>Runs the day-to-day osteoporosis clinic (outpatient). Conducts 15 min appointment for osteoporosis assessment and conducts blood test and medication assessment at 6 months follow-up</w:t>
            </w:r>
          </w:p>
        </w:tc>
      </w:tr>
      <w:tr w:rsidR="005E28FD" w:rsidRPr="00591BFC" w14:paraId="4BE88F33" w14:textId="77777777" w:rsidTr="00DB4F65">
        <w:trPr>
          <w:trHeight w:val="765"/>
        </w:trPr>
        <w:tc>
          <w:tcPr>
            <w:tcW w:w="915" w:type="dxa"/>
            <w:shd w:val="clear" w:color="auto" w:fill="auto"/>
            <w:noWrap/>
            <w:hideMark/>
          </w:tcPr>
          <w:p w14:paraId="2388CD1A" w14:textId="77777777" w:rsidR="005E28FD" w:rsidRPr="00591BFC" w:rsidRDefault="005E28FD" w:rsidP="00E86771">
            <w:pPr>
              <w:spacing w:line="360" w:lineRule="auto"/>
              <w:rPr>
                <w:sz w:val="20"/>
                <w:szCs w:val="20"/>
              </w:rPr>
            </w:pPr>
            <w:r w:rsidRPr="00591BFC">
              <w:rPr>
                <w:sz w:val="20"/>
                <w:szCs w:val="20"/>
              </w:rPr>
              <w:t>10</w:t>
            </w:r>
          </w:p>
        </w:tc>
        <w:tc>
          <w:tcPr>
            <w:tcW w:w="804" w:type="dxa"/>
            <w:shd w:val="clear" w:color="auto" w:fill="auto"/>
            <w:noWrap/>
            <w:hideMark/>
          </w:tcPr>
          <w:p w14:paraId="5231275A" w14:textId="77777777" w:rsidR="005E28FD" w:rsidRPr="00591BFC" w:rsidRDefault="005E28FD" w:rsidP="00E86771">
            <w:pPr>
              <w:spacing w:line="360" w:lineRule="auto"/>
              <w:rPr>
                <w:sz w:val="20"/>
                <w:szCs w:val="20"/>
              </w:rPr>
            </w:pPr>
            <w:r w:rsidRPr="00591BFC">
              <w:rPr>
                <w:sz w:val="20"/>
                <w:szCs w:val="20"/>
              </w:rPr>
              <w:t>May 2006</w:t>
            </w:r>
          </w:p>
        </w:tc>
        <w:tc>
          <w:tcPr>
            <w:tcW w:w="1640" w:type="dxa"/>
            <w:shd w:val="clear" w:color="auto" w:fill="auto"/>
            <w:hideMark/>
          </w:tcPr>
          <w:p w14:paraId="42BF776B" w14:textId="77777777" w:rsidR="005E28FD" w:rsidRPr="00591BFC" w:rsidRDefault="005E28FD" w:rsidP="00E86771">
            <w:pPr>
              <w:spacing w:line="360" w:lineRule="auto"/>
              <w:rPr>
                <w:sz w:val="20"/>
                <w:szCs w:val="20"/>
              </w:rPr>
            </w:pPr>
            <w:r w:rsidRPr="00591BFC">
              <w:rPr>
                <w:sz w:val="20"/>
                <w:szCs w:val="20"/>
              </w:rPr>
              <w:t xml:space="preserve">Appointment of </w:t>
            </w:r>
            <w:r w:rsidRPr="00591BFC">
              <w:rPr>
                <w:sz w:val="20"/>
                <w:szCs w:val="20"/>
              </w:rPr>
              <w:br/>
              <w:t xml:space="preserve">Osteoporosis Nurse </w:t>
            </w:r>
            <w:r w:rsidRPr="00591BFC">
              <w:rPr>
                <w:sz w:val="20"/>
                <w:szCs w:val="20"/>
              </w:rPr>
              <w:br/>
              <w:t>Specialist</w:t>
            </w:r>
          </w:p>
        </w:tc>
        <w:tc>
          <w:tcPr>
            <w:tcW w:w="5883" w:type="dxa"/>
            <w:shd w:val="clear" w:color="auto" w:fill="auto"/>
            <w:hideMark/>
          </w:tcPr>
          <w:p w14:paraId="465527E6" w14:textId="77777777" w:rsidR="005E28FD" w:rsidRPr="00591BFC" w:rsidRDefault="005E28FD" w:rsidP="00E86771">
            <w:pPr>
              <w:spacing w:line="360" w:lineRule="auto"/>
              <w:rPr>
                <w:sz w:val="20"/>
                <w:szCs w:val="20"/>
              </w:rPr>
            </w:pPr>
            <w:r w:rsidRPr="00591BFC">
              <w:rPr>
                <w:sz w:val="20"/>
                <w:szCs w:val="20"/>
              </w:rPr>
              <w:t>Osteoporosis and Fracture Liaison Nurse (0.5 whole time equivalent). Extra support for pre-existing FLS model where patients received osteoporosis assessment with recommendation made and letter to GP. Not all hip fracture patients seen.</w:t>
            </w:r>
          </w:p>
        </w:tc>
      </w:tr>
      <w:tr w:rsidR="005E28FD" w:rsidRPr="00591BFC" w14:paraId="0CDDC3F9" w14:textId="77777777" w:rsidTr="00DB4F65">
        <w:trPr>
          <w:trHeight w:val="1020"/>
        </w:trPr>
        <w:tc>
          <w:tcPr>
            <w:tcW w:w="915" w:type="dxa"/>
            <w:shd w:val="clear" w:color="auto" w:fill="auto"/>
            <w:noWrap/>
            <w:hideMark/>
          </w:tcPr>
          <w:p w14:paraId="33CA7FE7" w14:textId="77777777" w:rsidR="005E28FD" w:rsidRPr="00591BFC" w:rsidRDefault="005E28FD" w:rsidP="00E86771">
            <w:pPr>
              <w:spacing w:line="360" w:lineRule="auto"/>
              <w:rPr>
                <w:sz w:val="20"/>
                <w:szCs w:val="20"/>
              </w:rPr>
            </w:pPr>
            <w:r w:rsidRPr="00591BFC">
              <w:rPr>
                <w:sz w:val="20"/>
                <w:szCs w:val="20"/>
              </w:rPr>
              <w:t> </w:t>
            </w:r>
          </w:p>
        </w:tc>
        <w:tc>
          <w:tcPr>
            <w:tcW w:w="804" w:type="dxa"/>
            <w:shd w:val="clear" w:color="auto" w:fill="auto"/>
            <w:noWrap/>
            <w:hideMark/>
          </w:tcPr>
          <w:p w14:paraId="7A999BBA" w14:textId="77777777" w:rsidR="005E28FD" w:rsidRPr="00591BFC" w:rsidRDefault="005E28FD" w:rsidP="00E86771">
            <w:pPr>
              <w:spacing w:line="360" w:lineRule="auto"/>
              <w:rPr>
                <w:sz w:val="20"/>
                <w:szCs w:val="20"/>
              </w:rPr>
            </w:pPr>
            <w:r w:rsidRPr="00591BFC">
              <w:rPr>
                <w:sz w:val="20"/>
                <w:szCs w:val="20"/>
              </w:rPr>
              <w:t>May 2008</w:t>
            </w:r>
          </w:p>
        </w:tc>
        <w:tc>
          <w:tcPr>
            <w:tcW w:w="1640" w:type="dxa"/>
            <w:shd w:val="clear" w:color="auto" w:fill="auto"/>
            <w:hideMark/>
          </w:tcPr>
          <w:p w14:paraId="71F83477" w14:textId="77777777" w:rsidR="005E28FD" w:rsidRPr="00591BFC" w:rsidRDefault="005E28FD" w:rsidP="00E86771">
            <w:pPr>
              <w:spacing w:line="360" w:lineRule="auto"/>
              <w:rPr>
                <w:sz w:val="20"/>
                <w:szCs w:val="20"/>
              </w:rPr>
            </w:pPr>
            <w:r w:rsidRPr="00591BFC">
              <w:rPr>
                <w:sz w:val="20"/>
                <w:szCs w:val="20"/>
              </w:rPr>
              <w:t>Appointment of</w:t>
            </w:r>
            <w:r w:rsidRPr="00591BFC">
              <w:rPr>
                <w:sz w:val="20"/>
                <w:szCs w:val="20"/>
              </w:rPr>
              <w:br/>
              <w:t xml:space="preserve"> Osteoporosis</w:t>
            </w:r>
            <w:r w:rsidRPr="00591BFC">
              <w:rPr>
                <w:sz w:val="20"/>
                <w:szCs w:val="20"/>
              </w:rPr>
              <w:br/>
              <w:t xml:space="preserve"> Nurse Specialist</w:t>
            </w:r>
          </w:p>
        </w:tc>
        <w:tc>
          <w:tcPr>
            <w:tcW w:w="5883" w:type="dxa"/>
            <w:shd w:val="clear" w:color="auto" w:fill="auto"/>
            <w:hideMark/>
          </w:tcPr>
          <w:p w14:paraId="5A01A9D9" w14:textId="77777777" w:rsidR="005E28FD" w:rsidRPr="00591BFC" w:rsidRDefault="005E28FD" w:rsidP="00E86771">
            <w:pPr>
              <w:spacing w:line="360" w:lineRule="auto"/>
              <w:rPr>
                <w:sz w:val="20"/>
                <w:szCs w:val="20"/>
              </w:rPr>
            </w:pPr>
            <w:r w:rsidRPr="00591BFC">
              <w:rPr>
                <w:sz w:val="20"/>
                <w:szCs w:val="20"/>
              </w:rPr>
              <w:t>Both an Osteoporosis &amp; Fracture Liaison Clinical Nurse Specialist and a Specialist Practitioner - Osteoporosis Fracture Liaison Nurse Specialist appointed. Co-ordination of in-patient care of all incident hip fracture patients. Consultant rheumatologist also appointed as osteoporosis ‘Champion’. A new computer system put in place aided identification of hip fracture patients</w:t>
            </w:r>
          </w:p>
        </w:tc>
      </w:tr>
      <w:tr w:rsidR="005E28FD" w:rsidRPr="00591BFC" w14:paraId="6EDD76DD" w14:textId="77777777" w:rsidTr="00DB4F65">
        <w:trPr>
          <w:trHeight w:val="510"/>
        </w:trPr>
        <w:tc>
          <w:tcPr>
            <w:tcW w:w="915" w:type="dxa"/>
            <w:shd w:val="clear" w:color="auto" w:fill="auto"/>
            <w:noWrap/>
            <w:hideMark/>
          </w:tcPr>
          <w:p w14:paraId="32B3EEA4" w14:textId="77777777" w:rsidR="005E28FD" w:rsidRPr="00591BFC" w:rsidRDefault="005E28FD" w:rsidP="00E86771">
            <w:pPr>
              <w:spacing w:line="360" w:lineRule="auto"/>
              <w:rPr>
                <w:sz w:val="20"/>
                <w:szCs w:val="20"/>
              </w:rPr>
            </w:pPr>
            <w:r w:rsidRPr="00591BFC">
              <w:rPr>
                <w:sz w:val="20"/>
                <w:szCs w:val="20"/>
              </w:rPr>
              <w:t> </w:t>
            </w:r>
          </w:p>
        </w:tc>
        <w:tc>
          <w:tcPr>
            <w:tcW w:w="804" w:type="dxa"/>
            <w:shd w:val="clear" w:color="auto" w:fill="auto"/>
            <w:noWrap/>
            <w:hideMark/>
          </w:tcPr>
          <w:p w14:paraId="3BD6D27C" w14:textId="77777777" w:rsidR="005E28FD" w:rsidRPr="00591BFC" w:rsidRDefault="005E28FD" w:rsidP="00E86771">
            <w:pPr>
              <w:spacing w:line="360" w:lineRule="auto"/>
              <w:rPr>
                <w:sz w:val="20"/>
                <w:szCs w:val="20"/>
              </w:rPr>
            </w:pPr>
            <w:r w:rsidRPr="00591BFC">
              <w:rPr>
                <w:sz w:val="20"/>
                <w:szCs w:val="20"/>
              </w:rPr>
              <w:t>Nov 2009</w:t>
            </w:r>
          </w:p>
        </w:tc>
        <w:tc>
          <w:tcPr>
            <w:tcW w:w="1640" w:type="dxa"/>
            <w:shd w:val="clear" w:color="auto" w:fill="auto"/>
            <w:hideMark/>
          </w:tcPr>
          <w:p w14:paraId="3B55AEC5" w14:textId="77777777" w:rsidR="005E28FD" w:rsidRPr="00591BFC" w:rsidRDefault="005E28FD" w:rsidP="00E86771">
            <w:pPr>
              <w:spacing w:line="360" w:lineRule="auto"/>
              <w:rPr>
                <w:sz w:val="20"/>
                <w:szCs w:val="20"/>
              </w:rPr>
            </w:pPr>
            <w:r w:rsidRPr="00591BFC">
              <w:rPr>
                <w:sz w:val="20"/>
                <w:szCs w:val="20"/>
              </w:rPr>
              <w:t xml:space="preserve">Appointment of </w:t>
            </w:r>
            <w:r w:rsidRPr="00591BFC">
              <w:rPr>
                <w:sz w:val="20"/>
                <w:szCs w:val="20"/>
              </w:rPr>
              <w:br/>
              <w:t>Orthogeriatrician</w:t>
            </w:r>
          </w:p>
        </w:tc>
        <w:tc>
          <w:tcPr>
            <w:tcW w:w="5883" w:type="dxa"/>
            <w:shd w:val="clear" w:color="auto" w:fill="auto"/>
            <w:hideMark/>
          </w:tcPr>
          <w:p w14:paraId="611E9F98" w14:textId="77777777" w:rsidR="005E28FD" w:rsidRPr="00591BFC" w:rsidRDefault="005E28FD" w:rsidP="00E86771">
            <w:pPr>
              <w:spacing w:line="360" w:lineRule="auto"/>
              <w:rPr>
                <w:sz w:val="20"/>
                <w:szCs w:val="20"/>
              </w:rPr>
            </w:pPr>
            <w:r w:rsidRPr="00591BFC">
              <w:rPr>
                <w:sz w:val="20"/>
                <w:szCs w:val="20"/>
              </w:rPr>
              <w:t>Re-wrote admission paperwork and streamlined NOF pathway. Abnormal blood results were hence picked up by doctors rather than nurses</w:t>
            </w:r>
          </w:p>
        </w:tc>
      </w:tr>
    </w:tbl>
    <w:p w14:paraId="4125E4A9" w14:textId="77777777" w:rsidR="0079486A" w:rsidRDefault="0079486A" w:rsidP="00E86771">
      <w:pPr>
        <w:spacing w:line="360" w:lineRule="auto"/>
        <w:sectPr w:rsidR="0079486A" w:rsidSect="003B70E3">
          <w:pgSz w:w="11900" w:h="16840"/>
          <w:pgMar w:top="1440" w:right="1440" w:bottom="1440" w:left="1440" w:header="708" w:footer="708" w:gutter="0"/>
          <w:cols w:space="708"/>
          <w:docGrid w:linePitch="360"/>
        </w:sectPr>
      </w:pPr>
    </w:p>
    <w:p w14:paraId="65C20248" w14:textId="77777777" w:rsidR="0079486A" w:rsidRDefault="0079486A" w:rsidP="00E86771">
      <w:pPr>
        <w:pStyle w:val="Heading2"/>
        <w:spacing w:line="360" w:lineRule="auto"/>
        <w:rPr>
          <w:rFonts w:ascii="Calibri" w:hAnsi="Calibri"/>
          <w:lang w:val="en-GB"/>
        </w:rPr>
      </w:pPr>
      <w:bookmarkStart w:id="695" w:name="_Toc308300846"/>
      <w:bookmarkStart w:id="696" w:name="_Toc311366654"/>
      <w:r>
        <w:rPr>
          <w:rFonts w:ascii="Calibri" w:hAnsi="Calibri"/>
          <w:lang w:val="en-GB"/>
        </w:rPr>
        <w:lastRenderedPageBreak/>
        <w:t>Appendix 5: Baseline characteristics of cases (primary hip fracture patients)</w:t>
      </w:r>
      <w:bookmarkEnd w:id="695"/>
      <w:bookmarkEnd w:id="696"/>
    </w:p>
    <w:tbl>
      <w:tblPr>
        <w:tblW w:w="14000" w:type="dxa"/>
        <w:tblLook w:val="04A0" w:firstRow="1" w:lastRow="0" w:firstColumn="1" w:lastColumn="0" w:noHBand="0" w:noVBand="1"/>
      </w:tblPr>
      <w:tblGrid>
        <w:gridCol w:w="796"/>
        <w:gridCol w:w="1155"/>
        <w:gridCol w:w="1134"/>
        <w:gridCol w:w="1134"/>
        <w:gridCol w:w="1134"/>
        <w:gridCol w:w="1276"/>
        <w:gridCol w:w="1134"/>
        <w:gridCol w:w="1134"/>
        <w:gridCol w:w="850"/>
        <w:gridCol w:w="1560"/>
        <w:gridCol w:w="1559"/>
        <w:gridCol w:w="1134"/>
      </w:tblGrid>
      <w:tr w:rsidR="0079486A" w:rsidRPr="0079486A" w14:paraId="2508BC7B" w14:textId="77777777" w:rsidTr="00CF1808">
        <w:trPr>
          <w:trHeight w:val="600"/>
        </w:trPr>
        <w:tc>
          <w:tcPr>
            <w:tcW w:w="796"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DE6AA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Year*</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AE9B75"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Gender     (% female)</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68E849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Age (%)</w:t>
            </w:r>
          </w:p>
        </w:tc>
        <w:tc>
          <w:tcPr>
            <w:tcW w:w="4394" w:type="dxa"/>
            <w:gridSpan w:val="4"/>
            <w:tcBorders>
              <w:top w:val="single" w:sz="4" w:space="0" w:color="auto"/>
              <w:left w:val="nil"/>
              <w:bottom w:val="single" w:sz="4" w:space="0" w:color="auto"/>
              <w:right w:val="single" w:sz="4" w:space="0" w:color="auto"/>
            </w:tcBorders>
            <w:shd w:val="clear" w:color="auto" w:fill="auto"/>
            <w:noWrap/>
            <w:vAlign w:val="center"/>
            <w:hideMark/>
          </w:tcPr>
          <w:p w14:paraId="04823BDA" w14:textId="5864A8AF"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Cha</w:t>
            </w:r>
            <w:r w:rsidR="0087597D">
              <w:rPr>
                <w:rFonts w:eastAsia="Times New Roman"/>
                <w:color w:val="000000"/>
                <w:sz w:val="20"/>
                <w:szCs w:val="24"/>
                <w:lang w:eastAsia="en-GB"/>
              </w:rPr>
              <w:t>r</w:t>
            </w:r>
            <w:r w:rsidRPr="0079486A">
              <w:rPr>
                <w:rFonts w:eastAsia="Times New Roman"/>
                <w:color w:val="000000"/>
                <w:sz w:val="20"/>
                <w:szCs w:val="24"/>
                <w:lang w:eastAsia="en-GB"/>
              </w:rPr>
              <w:t>lson Comorbidities</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3ED23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Prior Bisphosphonate use (ever)</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146944"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Prior Bisphosphonate use**</w:t>
            </w:r>
          </w:p>
        </w:tc>
        <w:tc>
          <w:tcPr>
            <w:tcW w:w="1134" w:type="dxa"/>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6174040"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Total</w:t>
            </w:r>
          </w:p>
        </w:tc>
      </w:tr>
      <w:tr w:rsidR="0079486A" w:rsidRPr="0079486A" w14:paraId="74778427" w14:textId="77777777" w:rsidTr="00CF1808">
        <w:trPr>
          <w:trHeight w:val="330"/>
        </w:trPr>
        <w:tc>
          <w:tcPr>
            <w:tcW w:w="796" w:type="dxa"/>
            <w:vMerge/>
            <w:tcBorders>
              <w:top w:val="nil"/>
              <w:left w:val="single" w:sz="8" w:space="0" w:color="auto"/>
              <w:bottom w:val="single" w:sz="4" w:space="0" w:color="auto"/>
              <w:right w:val="single" w:sz="4" w:space="0" w:color="auto"/>
            </w:tcBorders>
            <w:vAlign w:val="center"/>
            <w:hideMark/>
          </w:tcPr>
          <w:p w14:paraId="5B337D5E" w14:textId="77777777" w:rsidR="0079486A" w:rsidRPr="0079486A" w:rsidRDefault="0079486A" w:rsidP="00E86771">
            <w:pPr>
              <w:spacing w:after="0" w:line="360" w:lineRule="auto"/>
              <w:rPr>
                <w:rFonts w:eastAsia="Times New Roman"/>
                <w:color w:val="000000"/>
                <w:sz w:val="20"/>
                <w:szCs w:val="24"/>
                <w:lang w:eastAsia="en-GB"/>
              </w:rPr>
            </w:pPr>
          </w:p>
        </w:tc>
        <w:tc>
          <w:tcPr>
            <w:tcW w:w="1155" w:type="dxa"/>
            <w:vMerge/>
            <w:tcBorders>
              <w:top w:val="nil"/>
              <w:left w:val="single" w:sz="4" w:space="0" w:color="auto"/>
              <w:bottom w:val="single" w:sz="4" w:space="0" w:color="auto"/>
              <w:right w:val="single" w:sz="4" w:space="0" w:color="auto"/>
            </w:tcBorders>
            <w:vAlign w:val="center"/>
            <w:hideMark/>
          </w:tcPr>
          <w:p w14:paraId="615D7250" w14:textId="77777777" w:rsidR="0079486A" w:rsidRPr="0079486A" w:rsidRDefault="0079486A" w:rsidP="00E86771">
            <w:pPr>
              <w:spacing w:after="0" w:line="360" w:lineRule="auto"/>
              <w:rPr>
                <w:rFonts w:eastAsia="Times New Roman"/>
                <w:color w:val="000000"/>
                <w:sz w:val="20"/>
                <w:szCs w:val="24"/>
                <w:lang w:eastAsia="en-GB"/>
              </w:rPr>
            </w:pPr>
          </w:p>
        </w:tc>
        <w:tc>
          <w:tcPr>
            <w:tcW w:w="1134" w:type="dxa"/>
            <w:tcBorders>
              <w:top w:val="nil"/>
              <w:left w:val="nil"/>
              <w:bottom w:val="nil"/>
              <w:right w:val="single" w:sz="4" w:space="0" w:color="auto"/>
            </w:tcBorders>
            <w:shd w:val="clear" w:color="auto" w:fill="auto"/>
            <w:noWrap/>
            <w:vAlign w:val="center"/>
            <w:hideMark/>
          </w:tcPr>
          <w:p w14:paraId="58F747DE"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60-74</w:t>
            </w:r>
          </w:p>
        </w:tc>
        <w:tc>
          <w:tcPr>
            <w:tcW w:w="1134" w:type="dxa"/>
            <w:tcBorders>
              <w:top w:val="nil"/>
              <w:left w:val="nil"/>
              <w:bottom w:val="nil"/>
              <w:right w:val="single" w:sz="4" w:space="0" w:color="auto"/>
            </w:tcBorders>
            <w:shd w:val="clear" w:color="auto" w:fill="auto"/>
            <w:noWrap/>
            <w:vAlign w:val="center"/>
            <w:hideMark/>
          </w:tcPr>
          <w:p w14:paraId="218D0391"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75-84</w:t>
            </w:r>
          </w:p>
        </w:tc>
        <w:tc>
          <w:tcPr>
            <w:tcW w:w="1134" w:type="dxa"/>
            <w:tcBorders>
              <w:top w:val="nil"/>
              <w:left w:val="nil"/>
              <w:bottom w:val="nil"/>
              <w:right w:val="single" w:sz="4" w:space="0" w:color="auto"/>
            </w:tcBorders>
            <w:shd w:val="clear" w:color="auto" w:fill="auto"/>
            <w:noWrap/>
            <w:vAlign w:val="center"/>
            <w:hideMark/>
          </w:tcPr>
          <w:p w14:paraId="39CE8514"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≥85</w:t>
            </w:r>
          </w:p>
        </w:tc>
        <w:tc>
          <w:tcPr>
            <w:tcW w:w="1276" w:type="dxa"/>
            <w:tcBorders>
              <w:top w:val="nil"/>
              <w:left w:val="nil"/>
              <w:bottom w:val="nil"/>
              <w:right w:val="single" w:sz="4" w:space="0" w:color="auto"/>
            </w:tcBorders>
            <w:shd w:val="clear" w:color="auto" w:fill="auto"/>
            <w:noWrap/>
            <w:vAlign w:val="center"/>
            <w:hideMark/>
          </w:tcPr>
          <w:p w14:paraId="42D41AF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None</w:t>
            </w:r>
          </w:p>
        </w:tc>
        <w:tc>
          <w:tcPr>
            <w:tcW w:w="1134" w:type="dxa"/>
            <w:tcBorders>
              <w:top w:val="nil"/>
              <w:left w:val="nil"/>
              <w:bottom w:val="nil"/>
              <w:right w:val="single" w:sz="4" w:space="0" w:color="auto"/>
            </w:tcBorders>
            <w:shd w:val="clear" w:color="auto" w:fill="auto"/>
            <w:noWrap/>
            <w:vAlign w:val="center"/>
            <w:hideMark/>
          </w:tcPr>
          <w:p w14:paraId="5E1B799A"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Mild</w:t>
            </w:r>
          </w:p>
        </w:tc>
        <w:tc>
          <w:tcPr>
            <w:tcW w:w="1134" w:type="dxa"/>
            <w:tcBorders>
              <w:top w:val="nil"/>
              <w:left w:val="nil"/>
              <w:bottom w:val="nil"/>
              <w:right w:val="single" w:sz="4" w:space="0" w:color="auto"/>
            </w:tcBorders>
            <w:shd w:val="clear" w:color="auto" w:fill="auto"/>
            <w:noWrap/>
            <w:vAlign w:val="center"/>
            <w:hideMark/>
          </w:tcPr>
          <w:p w14:paraId="5F14FD2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Moderate</w:t>
            </w:r>
          </w:p>
        </w:tc>
        <w:tc>
          <w:tcPr>
            <w:tcW w:w="850" w:type="dxa"/>
            <w:tcBorders>
              <w:top w:val="nil"/>
              <w:left w:val="nil"/>
              <w:bottom w:val="nil"/>
              <w:right w:val="single" w:sz="4" w:space="0" w:color="auto"/>
            </w:tcBorders>
            <w:shd w:val="clear" w:color="auto" w:fill="auto"/>
            <w:noWrap/>
            <w:vAlign w:val="center"/>
            <w:hideMark/>
          </w:tcPr>
          <w:p w14:paraId="4340DD2B"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Severe</w:t>
            </w:r>
          </w:p>
        </w:tc>
        <w:tc>
          <w:tcPr>
            <w:tcW w:w="1560" w:type="dxa"/>
            <w:vMerge/>
            <w:tcBorders>
              <w:top w:val="nil"/>
              <w:left w:val="single" w:sz="4" w:space="0" w:color="auto"/>
              <w:bottom w:val="single" w:sz="4" w:space="0" w:color="auto"/>
              <w:right w:val="single" w:sz="4" w:space="0" w:color="auto"/>
            </w:tcBorders>
            <w:vAlign w:val="center"/>
            <w:hideMark/>
          </w:tcPr>
          <w:p w14:paraId="2A719B35" w14:textId="77777777" w:rsidR="0079486A" w:rsidRPr="0079486A" w:rsidRDefault="0079486A" w:rsidP="00E86771">
            <w:pPr>
              <w:spacing w:after="0" w:line="360" w:lineRule="auto"/>
              <w:rPr>
                <w:rFonts w:eastAsia="Times New Roman"/>
                <w:color w:val="000000"/>
                <w:sz w:val="20"/>
                <w:szCs w:val="24"/>
                <w:lang w:eastAsia="en-GB"/>
              </w:rPr>
            </w:pPr>
          </w:p>
        </w:tc>
        <w:tc>
          <w:tcPr>
            <w:tcW w:w="1559" w:type="dxa"/>
            <w:vMerge/>
            <w:tcBorders>
              <w:top w:val="nil"/>
              <w:left w:val="single" w:sz="4" w:space="0" w:color="auto"/>
              <w:bottom w:val="single" w:sz="4" w:space="0" w:color="auto"/>
              <w:right w:val="single" w:sz="4" w:space="0" w:color="auto"/>
            </w:tcBorders>
            <w:vAlign w:val="center"/>
            <w:hideMark/>
          </w:tcPr>
          <w:p w14:paraId="635BF8E6" w14:textId="77777777" w:rsidR="0079486A" w:rsidRPr="0079486A" w:rsidRDefault="0079486A" w:rsidP="00E86771">
            <w:pPr>
              <w:spacing w:after="0" w:line="360" w:lineRule="auto"/>
              <w:rPr>
                <w:rFonts w:eastAsia="Times New Roman"/>
                <w:color w:val="000000"/>
                <w:sz w:val="20"/>
                <w:szCs w:val="24"/>
                <w:lang w:eastAsia="en-GB"/>
              </w:rPr>
            </w:pPr>
          </w:p>
        </w:tc>
        <w:tc>
          <w:tcPr>
            <w:tcW w:w="1134" w:type="dxa"/>
            <w:vMerge/>
            <w:tcBorders>
              <w:top w:val="nil"/>
              <w:left w:val="single" w:sz="4" w:space="0" w:color="auto"/>
              <w:bottom w:val="single" w:sz="4" w:space="0" w:color="auto"/>
              <w:right w:val="single" w:sz="8" w:space="0" w:color="auto"/>
            </w:tcBorders>
            <w:vAlign w:val="center"/>
            <w:hideMark/>
          </w:tcPr>
          <w:p w14:paraId="5A6875AE" w14:textId="77777777" w:rsidR="0079486A" w:rsidRPr="0079486A" w:rsidRDefault="0079486A" w:rsidP="00E86771">
            <w:pPr>
              <w:spacing w:after="0" w:line="360" w:lineRule="auto"/>
              <w:rPr>
                <w:rFonts w:eastAsia="Times New Roman"/>
                <w:color w:val="000000"/>
                <w:sz w:val="20"/>
                <w:szCs w:val="24"/>
                <w:lang w:eastAsia="en-GB"/>
              </w:rPr>
            </w:pPr>
          </w:p>
        </w:tc>
      </w:tr>
      <w:tr w:rsidR="0079486A" w:rsidRPr="0079486A" w14:paraId="79060DB6" w14:textId="77777777" w:rsidTr="00CF1808">
        <w:trPr>
          <w:trHeight w:val="315"/>
        </w:trPr>
        <w:tc>
          <w:tcPr>
            <w:tcW w:w="796" w:type="dxa"/>
            <w:tcBorders>
              <w:top w:val="single" w:sz="8" w:space="0" w:color="auto"/>
              <w:left w:val="single" w:sz="8" w:space="0" w:color="auto"/>
              <w:bottom w:val="nil"/>
              <w:right w:val="nil"/>
            </w:tcBorders>
            <w:shd w:val="clear" w:color="auto" w:fill="auto"/>
            <w:noWrap/>
            <w:vAlign w:val="bottom"/>
            <w:hideMark/>
          </w:tcPr>
          <w:p w14:paraId="2815B43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1999</w:t>
            </w:r>
          </w:p>
        </w:tc>
        <w:tc>
          <w:tcPr>
            <w:tcW w:w="1155" w:type="dxa"/>
            <w:tcBorders>
              <w:top w:val="single" w:sz="8" w:space="0" w:color="auto"/>
              <w:left w:val="nil"/>
              <w:bottom w:val="nil"/>
              <w:right w:val="nil"/>
            </w:tcBorders>
            <w:shd w:val="clear" w:color="auto" w:fill="auto"/>
            <w:noWrap/>
            <w:vAlign w:val="bottom"/>
            <w:hideMark/>
          </w:tcPr>
          <w:p w14:paraId="63B093E6"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673 (78.2)</w:t>
            </w:r>
          </w:p>
        </w:tc>
        <w:tc>
          <w:tcPr>
            <w:tcW w:w="1134" w:type="dxa"/>
            <w:tcBorders>
              <w:top w:val="single" w:sz="8" w:space="0" w:color="auto"/>
              <w:left w:val="nil"/>
              <w:bottom w:val="nil"/>
              <w:right w:val="nil"/>
            </w:tcBorders>
            <w:shd w:val="clear" w:color="auto" w:fill="auto"/>
            <w:noWrap/>
            <w:vAlign w:val="bottom"/>
            <w:hideMark/>
          </w:tcPr>
          <w:p w14:paraId="0826D58B"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149 (17.3)</w:t>
            </w:r>
          </w:p>
        </w:tc>
        <w:tc>
          <w:tcPr>
            <w:tcW w:w="1134" w:type="dxa"/>
            <w:tcBorders>
              <w:top w:val="single" w:sz="8" w:space="0" w:color="auto"/>
              <w:left w:val="nil"/>
              <w:bottom w:val="nil"/>
              <w:right w:val="nil"/>
            </w:tcBorders>
            <w:shd w:val="clear" w:color="auto" w:fill="auto"/>
            <w:noWrap/>
            <w:vAlign w:val="bottom"/>
            <w:hideMark/>
          </w:tcPr>
          <w:p w14:paraId="54DAFA0E"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351 (40.8)</w:t>
            </w:r>
          </w:p>
        </w:tc>
        <w:tc>
          <w:tcPr>
            <w:tcW w:w="1134" w:type="dxa"/>
            <w:tcBorders>
              <w:top w:val="single" w:sz="8" w:space="0" w:color="auto"/>
              <w:left w:val="nil"/>
              <w:bottom w:val="nil"/>
              <w:right w:val="nil"/>
            </w:tcBorders>
            <w:shd w:val="clear" w:color="auto" w:fill="auto"/>
            <w:noWrap/>
            <w:vAlign w:val="bottom"/>
            <w:hideMark/>
          </w:tcPr>
          <w:p w14:paraId="6FB7CCA4"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361 (41.9)</w:t>
            </w:r>
          </w:p>
        </w:tc>
        <w:tc>
          <w:tcPr>
            <w:tcW w:w="1276" w:type="dxa"/>
            <w:tcBorders>
              <w:top w:val="single" w:sz="8" w:space="0" w:color="auto"/>
              <w:left w:val="nil"/>
              <w:bottom w:val="nil"/>
              <w:right w:val="nil"/>
            </w:tcBorders>
            <w:shd w:val="clear" w:color="auto" w:fill="auto"/>
            <w:noWrap/>
            <w:vAlign w:val="bottom"/>
            <w:hideMark/>
          </w:tcPr>
          <w:p w14:paraId="79329C72"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482 (56.0)</w:t>
            </w:r>
          </w:p>
        </w:tc>
        <w:tc>
          <w:tcPr>
            <w:tcW w:w="1134" w:type="dxa"/>
            <w:tcBorders>
              <w:top w:val="single" w:sz="8" w:space="0" w:color="auto"/>
              <w:left w:val="nil"/>
              <w:bottom w:val="nil"/>
              <w:right w:val="nil"/>
            </w:tcBorders>
            <w:shd w:val="clear" w:color="auto" w:fill="auto"/>
            <w:noWrap/>
            <w:vAlign w:val="bottom"/>
            <w:hideMark/>
          </w:tcPr>
          <w:p w14:paraId="25A8BEC5"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286 (33.2)</w:t>
            </w:r>
          </w:p>
        </w:tc>
        <w:tc>
          <w:tcPr>
            <w:tcW w:w="1134" w:type="dxa"/>
            <w:tcBorders>
              <w:top w:val="single" w:sz="8" w:space="0" w:color="auto"/>
              <w:left w:val="nil"/>
              <w:bottom w:val="nil"/>
              <w:right w:val="nil"/>
            </w:tcBorders>
            <w:shd w:val="clear" w:color="auto" w:fill="auto"/>
            <w:noWrap/>
            <w:vAlign w:val="bottom"/>
            <w:hideMark/>
          </w:tcPr>
          <w:p w14:paraId="55AB610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72 (8.4)</w:t>
            </w:r>
          </w:p>
        </w:tc>
        <w:tc>
          <w:tcPr>
            <w:tcW w:w="850" w:type="dxa"/>
            <w:tcBorders>
              <w:top w:val="single" w:sz="8" w:space="0" w:color="auto"/>
              <w:left w:val="nil"/>
              <w:bottom w:val="nil"/>
              <w:right w:val="nil"/>
            </w:tcBorders>
            <w:shd w:val="clear" w:color="auto" w:fill="auto"/>
            <w:noWrap/>
            <w:vAlign w:val="bottom"/>
            <w:hideMark/>
          </w:tcPr>
          <w:p w14:paraId="2AB75FF5"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21 (2.4)</w:t>
            </w:r>
          </w:p>
        </w:tc>
        <w:tc>
          <w:tcPr>
            <w:tcW w:w="1560" w:type="dxa"/>
            <w:tcBorders>
              <w:top w:val="single" w:sz="8" w:space="0" w:color="auto"/>
              <w:left w:val="nil"/>
              <w:bottom w:val="nil"/>
              <w:right w:val="nil"/>
            </w:tcBorders>
            <w:shd w:val="clear" w:color="auto" w:fill="auto"/>
            <w:noWrap/>
            <w:vAlign w:val="bottom"/>
            <w:hideMark/>
          </w:tcPr>
          <w:p w14:paraId="57E8F5D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50 (5.8)</w:t>
            </w:r>
          </w:p>
        </w:tc>
        <w:tc>
          <w:tcPr>
            <w:tcW w:w="1559" w:type="dxa"/>
            <w:tcBorders>
              <w:top w:val="single" w:sz="8" w:space="0" w:color="auto"/>
              <w:left w:val="nil"/>
              <w:bottom w:val="nil"/>
              <w:right w:val="nil"/>
            </w:tcBorders>
            <w:shd w:val="clear" w:color="auto" w:fill="auto"/>
            <w:noWrap/>
            <w:vAlign w:val="bottom"/>
            <w:hideMark/>
          </w:tcPr>
          <w:p w14:paraId="1F2D4AE0"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30 (3.5)</w:t>
            </w:r>
          </w:p>
        </w:tc>
        <w:tc>
          <w:tcPr>
            <w:tcW w:w="1134" w:type="dxa"/>
            <w:tcBorders>
              <w:top w:val="single" w:sz="8" w:space="0" w:color="auto"/>
              <w:left w:val="nil"/>
              <w:bottom w:val="nil"/>
              <w:right w:val="single" w:sz="8" w:space="0" w:color="auto"/>
            </w:tcBorders>
            <w:shd w:val="clear" w:color="auto" w:fill="auto"/>
            <w:noWrap/>
            <w:vAlign w:val="bottom"/>
            <w:hideMark/>
          </w:tcPr>
          <w:p w14:paraId="279E2534"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861</w:t>
            </w:r>
          </w:p>
        </w:tc>
      </w:tr>
      <w:tr w:rsidR="0079486A" w:rsidRPr="0079486A" w14:paraId="31897E32" w14:textId="77777777" w:rsidTr="00CF1808">
        <w:trPr>
          <w:trHeight w:val="315"/>
        </w:trPr>
        <w:tc>
          <w:tcPr>
            <w:tcW w:w="796" w:type="dxa"/>
            <w:tcBorders>
              <w:top w:val="nil"/>
              <w:left w:val="single" w:sz="8" w:space="0" w:color="auto"/>
              <w:bottom w:val="nil"/>
              <w:right w:val="nil"/>
            </w:tcBorders>
            <w:shd w:val="clear" w:color="auto" w:fill="auto"/>
            <w:noWrap/>
            <w:vAlign w:val="bottom"/>
            <w:hideMark/>
          </w:tcPr>
          <w:p w14:paraId="7848E671"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2000</w:t>
            </w:r>
          </w:p>
        </w:tc>
        <w:tc>
          <w:tcPr>
            <w:tcW w:w="1155" w:type="dxa"/>
            <w:tcBorders>
              <w:top w:val="nil"/>
              <w:left w:val="nil"/>
              <w:bottom w:val="nil"/>
              <w:right w:val="nil"/>
            </w:tcBorders>
            <w:shd w:val="clear" w:color="auto" w:fill="auto"/>
            <w:noWrap/>
            <w:vAlign w:val="bottom"/>
            <w:hideMark/>
          </w:tcPr>
          <w:p w14:paraId="1FBD6979"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680 (79.2)</w:t>
            </w:r>
          </w:p>
        </w:tc>
        <w:tc>
          <w:tcPr>
            <w:tcW w:w="1134" w:type="dxa"/>
            <w:tcBorders>
              <w:top w:val="nil"/>
              <w:left w:val="nil"/>
              <w:bottom w:val="nil"/>
              <w:right w:val="nil"/>
            </w:tcBorders>
            <w:shd w:val="clear" w:color="auto" w:fill="auto"/>
            <w:noWrap/>
            <w:vAlign w:val="bottom"/>
            <w:hideMark/>
          </w:tcPr>
          <w:p w14:paraId="40841A81"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157 (18.3)</w:t>
            </w:r>
          </w:p>
        </w:tc>
        <w:tc>
          <w:tcPr>
            <w:tcW w:w="1134" w:type="dxa"/>
            <w:tcBorders>
              <w:top w:val="nil"/>
              <w:left w:val="nil"/>
              <w:bottom w:val="nil"/>
              <w:right w:val="nil"/>
            </w:tcBorders>
            <w:shd w:val="clear" w:color="auto" w:fill="auto"/>
            <w:noWrap/>
            <w:vAlign w:val="bottom"/>
            <w:hideMark/>
          </w:tcPr>
          <w:p w14:paraId="26F98EA5"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337 (39.2)</w:t>
            </w:r>
          </w:p>
        </w:tc>
        <w:tc>
          <w:tcPr>
            <w:tcW w:w="1134" w:type="dxa"/>
            <w:tcBorders>
              <w:top w:val="nil"/>
              <w:left w:val="nil"/>
              <w:bottom w:val="nil"/>
              <w:right w:val="nil"/>
            </w:tcBorders>
            <w:shd w:val="clear" w:color="auto" w:fill="auto"/>
            <w:noWrap/>
            <w:vAlign w:val="bottom"/>
            <w:hideMark/>
          </w:tcPr>
          <w:p w14:paraId="4EE22A3B"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365 (42.5)</w:t>
            </w:r>
          </w:p>
        </w:tc>
        <w:tc>
          <w:tcPr>
            <w:tcW w:w="1276" w:type="dxa"/>
            <w:tcBorders>
              <w:top w:val="nil"/>
              <w:left w:val="nil"/>
              <w:bottom w:val="nil"/>
              <w:right w:val="nil"/>
            </w:tcBorders>
            <w:shd w:val="clear" w:color="auto" w:fill="auto"/>
            <w:noWrap/>
            <w:vAlign w:val="bottom"/>
            <w:hideMark/>
          </w:tcPr>
          <w:p w14:paraId="557AEE8D"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475 (55.3)</w:t>
            </w:r>
          </w:p>
        </w:tc>
        <w:tc>
          <w:tcPr>
            <w:tcW w:w="1134" w:type="dxa"/>
            <w:tcBorders>
              <w:top w:val="nil"/>
              <w:left w:val="nil"/>
              <w:bottom w:val="nil"/>
              <w:right w:val="nil"/>
            </w:tcBorders>
            <w:shd w:val="clear" w:color="auto" w:fill="auto"/>
            <w:noWrap/>
            <w:vAlign w:val="bottom"/>
            <w:hideMark/>
          </w:tcPr>
          <w:p w14:paraId="681E7E3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292 (34.0)</w:t>
            </w:r>
          </w:p>
        </w:tc>
        <w:tc>
          <w:tcPr>
            <w:tcW w:w="1134" w:type="dxa"/>
            <w:tcBorders>
              <w:top w:val="nil"/>
              <w:left w:val="nil"/>
              <w:bottom w:val="nil"/>
              <w:right w:val="nil"/>
            </w:tcBorders>
            <w:shd w:val="clear" w:color="auto" w:fill="auto"/>
            <w:noWrap/>
            <w:vAlign w:val="bottom"/>
            <w:hideMark/>
          </w:tcPr>
          <w:p w14:paraId="74DE2DB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63 (7.3)</w:t>
            </w:r>
          </w:p>
        </w:tc>
        <w:tc>
          <w:tcPr>
            <w:tcW w:w="850" w:type="dxa"/>
            <w:tcBorders>
              <w:top w:val="nil"/>
              <w:left w:val="nil"/>
              <w:bottom w:val="nil"/>
              <w:right w:val="nil"/>
            </w:tcBorders>
            <w:shd w:val="clear" w:color="auto" w:fill="auto"/>
            <w:noWrap/>
            <w:vAlign w:val="bottom"/>
            <w:hideMark/>
          </w:tcPr>
          <w:p w14:paraId="0A8CEF32"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29 (3.4)</w:t>
            </w:r>
          </w:p>
        </w:tc>
        <w:tc>
          <w:tcPr>
            <w:tcW w:w="1560" w:type="dxa"/>
            <w:tcBorders>
              <w:top w:val="nil"/>
              <w:left w:val="nil"/>
              <w:bottom w:val="nil"/>
              <w:right w:val="nil"/>
            </w:tcBorders>
            <w:shd w:val="clear" w:color="auto" w:fill="auto"/>
            <w:noWrap/>
            <w:vAlign w:val="bottom"/>
            <w:hideMark/>
          </w:tcPr>
          <w:p w14:paraId="5BC114A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94 (10.9)</w:t>
            </w:r>
          </w:p>
        </w:tc>
        <w:tc>
          <w:tcPr>
            <w:tcW w:w="1559" w:type="dxa"/>
            <w:tcBorders>
              <w:top w:val="nil"/>
              <w:left w:val="nil"/>
              <w:bottom w:val="nil"/>
              <w:right w:val="nil"/>
            </w:tcBorders>
            <w:shd w:val="clear" w:color="auto" w:fill="auto"/>
            <w:noWrap/>
            <w:vAlign w:val="bottom"/>
            <w:hideMark/>
          </w:tcPr>
          <w:p w14:paraId="1942FD94"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45 (5.2)</w:t>
            </w:r>
          </w:p>
        </w:tc>
        <w:tc>
          <w:tcPr>
            <w:tcW w:w="1134" w:type="dxa"/>
            <w:tcBorders>
              <w:top w:val="nil"/>
              <w:left w:val="nil"/>
              <w:bottom w:val="nil"/>
              <w:right w:val="single" w:sz="8" w:space="0" w:color="auto"/>
            </w:tcBorders>
            <w:shd w:val="clear" w:color="auto" w:fill="auto"/>
            <w:noWrap/>
            <w:vAlign w:val="bottom"/>
            <w:hideMark/>
          </w:tcPr>
          <w:p w14:paraId="3A06CA3E"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859</w:t>
            </w:r>
          </w:p>
        </w:tc>
      </w:tr>
      <w:tr w:rsidR="0079486A" w:rsidRPr="0079486A" w14:paraId="4BF76286" w14:textId="77777777" w:rsidTr="00CF1808">
        <w:trPr>
          <w:trHeight w:val="315"/>
        </w:trPr>
        <w:tc>
          <w:tcPr>
            <w:tcW w:w="796" w:type="dxa"/>
            <w:tcBorders>
              <w:top w:val="nil"/>
              <w:left w:val="single" w:sz="8" w:space="0" w:color="auto"/>
              <w:bottom w:val="nil"/>
              <w:right w:val="nil"/>
            </w:tcBorders>
            <w:shd w:val="clear" w:color="auto" w:fill="auto"/>
            <w:noWrap/>
            <w:vAlign w:val="bottom"/>
            <w:hideMark/>
          </w:tcPr>
          <w:p w14:paraId="02BB1D8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2001</w:t>
            </w:r>
          </w:p>
        </w:tc>
        <w:tc>
          <w:tcPr>
            <w:tcW w:w="1155" w:type="dxa"/>
            <w:tcBorders>
              <w:top w:val="nil"/>
              <w:left w:val="nil"/>
              <w:bottom w:val="nil"/>
              <w:right w:val="nil"/>
            </w:tcBorders>
            <w:shd w:val="clear" w:color="auto" w:fill="auto"/>
            <w:noWrap/>
            <w:vAlign w:val="bottom"/>
            <w:hideMark/>
          </w:tcPr>
          <w:p w14:paraId="5F699EC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646 (77.5)</w:t>
            </w:r>
          </w:p>
        </w:tc>
        <w:tc>
          <w:tcPr>
            <w:tcW w:w="1134" w:type="dxa"/>
            <w:tcBorders>
              <w:top w:val="nil"/>
              <w:left w:val="nil"/>
              <w:bottom w:val="nil"/>
              <w:right w:val="nil"/>
            </w:tcBorders>
            <w:shd w:val="clear" w:color="auto" w:fill="auto"/>
            <w:noWrap/>
            <w:vAlign w:val="bottom"/>
            <w:hideMark/>
          </w:tcPr>
          <w:p w14:paraId="71FE5D51"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152 (18.2)</w:t>
            </w:r>
          </w:p>
        </w:tc>
        <w:tc>
          <w:tcPr>
            <w:tcW w:w="1134" w:type="dxa"/>
            <w:tcBorders>
              <w:top w:val="nil"/>
              <w:left w:val="nil"/>
              <w:bottom w:val="nil"/>
              <w:right w:val="nil"/>
            </w:tcBorders>
            <w:shd w:val="clear" w:color="auto" w:fill="auto"/>
            <w:noWrap/>
            <w:vAlign w:val="bottom"/>
            <w:hideMark/>
          </w:tcPr>
          <w:p w14:paraId="464ECF6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343 (41.1)</w:t>
            </w:r>
          </w:p>
        </w:tc>
        <w:tc>
          <w:tcPr>
            <w:tcW w:w="1134" w:type="dxa"/>
            <w:tcBorders>
              <w:top w:val="nil"/>
              <w:left w:val="nil"/>
              <w:bottom w:val="nil"/>
              <w:right w:val="nil"/>
            </w:tcBorders>
            <w:shd w:val="clear" w:color="auto" w:fill="auto"/>
            <w:noWrap/>
            <w:vAlign w:val="bottom"/>
            <w:hideMark/>
          </w:tcPr>
          <w:p w14:paraId="5877A0A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339 (40.7)</w:t>
            </w:r>
          </w:p>
        </w:tc>
        <w:tc>
          <w:tcPr>
            <w:tcW w:w="1276" w:type="dxa"/>
            <w:tcBorders>
              <w:top w:val="nil"/>
              <w:left w:val="nil"/>
              <w:bottom w:val="nil"/>
              <w:right w:val="nil"/>
            </w:tcBorders>
            <w:shd w:val="clear" w:color="auto" w:fill="auto"/>
            <w:noWrap/>
            <w:vAlign w:val="bottom"/>
            <w:hideMark/>
          </w:tcPr>
          <w:p w14:paraId="005BC2CD"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484 (58.0)</w:t>
            </w:r>
          </w:p>
        </w:tc>
        <w:tc>
          <w:tcPr>
            <w:tcW w:w="1134" w:type="dxa"/>
            <w:tcBorders>
              <w:top w:val="nil"/>
              <w:left w:val="nil"/>
              <w:bottom w:val="nil"/>
              <w:right w:val="nil"/>
            </w:tcBorders>
            <w:shd w:val="clear" w:color="auto" w:fill="auto"/>
            <w:noWrap/>
            <w:vAlign w:val="bottom"/>
            <w:hideMark/>
          </w:tcPr>
          <w:p w14:paraId="5B4CDD8E"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250 (30.0)</w:t>
            </w:r>
          </w:p>
        </w:tc>
        <w:tc>
          <w:tcPr>
            <w:tcW w:w="1134" w:type="dxa"/>
            <w:tcBorders>
              <w:top w:val="nil"/>
              <w:left w:val="nil"/>
              <w:bottom w:val="nil"/>
              <w:right w:val="nil"/>
            </w:tcBorders>
            <w:shd w:val="clear" w:color="auto" w:fill="auto"/>
            <w:noWrap/>
            <w:vAlign w:val="bottom"/>
            <w:hideMark/>
          </w:tcPr>
          <w:p w14:paraId="2EDC7B70"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65 (7.8)</w:t>
            </w:r>
          </w:p>
        </w:tc>
        <w:tc>
          <w:tcPr>
            <w:tcW w:w="850" w:type="dxa"/>
            <w:tcBorders>
              <w:top w:val="nil"/>
              <w:left w:val="nil"/>
              <w:bottom w:val="nil"/>
              <w:right w:val="nil"/>
            </w:tcBorders>
            <w:shd w:val="clear" w:color="auto" w:fill="auto"/>
            <w:noWrap/>
            <w:vAlign w:val="bottom"/>
            <w:hideMark/>
          </w:tcPr>
          <w:p w14:paraId="5B783A4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35 (4.2)</w:t>
            </w:r>
          </w:p>
        </w:tc>
        <w:tc>
          <w:tcPr>
            <w:tcW w:w="1560" w:type="dxa"/>
            <w:tcBorders>
              <w:top w:val="nil"/>
              <w:left w:val="nil"/>
              <w:bottom w:val="nil"/>
              <w:right w:val="nil"/>
            </w:tcBorders>
            <w:shd w:val="clear" w:color="auto" w:fill="auto"/>
            <w:noWrap/>
            <w:vAlign w:val="bottom"/>
            <w:hideMark/>
          </w:tcPr>
          <w:p w14:paraId="2E6161C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89 (10.7)</w:t>
            </w:r>
          </w:p>
        </w:tc>
        <w:tc>
          <w:tcPr>
            <w:tcW w:w="1559" w:type="dxa"/>
            <w:tcBorders>
              <w:top w:val="nil"/>
              <w:left w:val="nil"/>
              <w:bottom w:val="nil"/>
              <w:right w:val="nil"/>
            </w:tcBorders>
            <w:shd w:val="clear" w:color="auto" w:fill="auto"/>
            <w:noWrap/>
            <w:vAlign w:val="bottom"/>
            <w:hideMark/>
          </w:tcPr>
          <w:p w14:paraId="68F200C3"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55 (6.6)</w:t>
            </w:r>
          </w:p>
        </w:tc>
        <w:tc>
          <w:tcPr>
            <w:tcW w:w="1134" w:type="dxa"/>
            <w:tcBorders>
              <w:top w:val="nil"/>
              <w:left w:val="nil"/>
              <w:bottom w:val="nil"/>
              <w:right w:val="single" w:sz="8" w:space="0" w:color="auto"/>
            </w:tcBorders>
            <w:shd w:val="clear" w:color="auto" w:fill="auto"/>
            <w:noWrap/>
            <w:vAlign w:val="bottom"/>
            <w:hideMark/>
          </w:tcPr>
          <w:p w14:paraId="27142C62"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834</w:t>
            </w:r>
          </w:p>
        </w:tc>
      </w:tr>
      <w:tr w:rsidR="0079486A" w:rsidRPr="0079486A" w14:paraId="174BF6A2" w14:textId="77777777" w:rsidTr="00CF1808">
        <w:trPr>
          <w:trHeight w:val="315"/>
        </w:trPr>
        <w:tc>
          <w:tcPr>
            <w:tcW w:w="796" w:type="dxa"/>
            <w:tcBorders>
              <w:top w:val="nil"/>
              <w:left w:val="single" w:sz="8" w:space="0" w:color="auto"/>
              <w:bottom w:val="nil"/>
              <w:right w:val="nil"/>
            </w:tcBorders>
            <w:shd w:val="clear" w:color="auto" w:fill="auto"/>
            <w:noWrap/>
            <w:vAlign w:val="bottom"/>
            <w:hideMark/>
          </w:tcPr>
          <w:p w14:paraId="6C8B8DF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2002</w:t>
            </w:r>
          </w:p>
        </w:tc>
        <w:tc>
          <w:tcPr>
            <w:tcW w:w="1155" w:type="dxa"/>
            <w:tcBorders>
              <w:top w:val="nil"/>
              <w:left w:val="nil"/>
              <w:bottom w:val="nil"/>
              <w:right w:val="nil"/>
            </w:tcBorders>
            <w:shd w:val="clear" w:color="auto" w:fill="auto"/>
            <w:noWrap/>
            <w:vAlign w:val="bottom"/>
            <w:hideMark/>
          </w:tcPr>
          <w:p w14:paraId="40D2FE8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689 (79.9)</w:t>
            </w:r>
          </w:p>
        </w:tc>
        <w:tc>
          <w:tcPr>
            <w:tcW w:w="1134" w:type="dxa"/>
            <w:tcBorders>
              <w:top w:val="nil"/>
              <w:left w:val="nil"/>
              <w:bottom w:val="nil"/>
              <w:right w:val="nil"/>
            </w:tcBorders>
            <w:shd w:val="clear" w:color="auto" w:fill="auto"/>
            <w:noWrap/>
            <w:vAlign w:val="bottom"/>
            <w:hideMark/>
          </w:tcPr>
          <w:p w14:paraId="797C2064"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159 (18.5)</w:t>
            </w:r>
          </w:p>
        </w:tc>
        <w:tc>
          <w:tcPr>
            <w:tcW w:w="1134" w:type="dxa"/>
            <w:tcBorders>
              <w:top w:val="nil"/>
              <w:left w:val="nil"/>
              <w:bottom w:val="nil"/>
              <w:right w:val="nil"/>
            </w:tcBorders>
            <w:shd w:val="clear" w:color="auto" w:fill="auto"/>
            <w:noWrap/>
            <w:vAlign w:val="bottom"/>
            <w:hideMark/>
          </w:tcPr>
          <w:p w14:paraId="29F38CD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364 (42.2)</w:t>
            </w:r>
          </w:p>
        </w:tc>
        <w:tc>
          <w:tcPr>
            <w:tcW w:w="1134" w:type="dxa"/>
            <w:tcBorders>
              <w:top w:val="nil"/>
              <w:left w:val="nil"/>
              <w:bottom w:val="nil"/>
              <w:right w:val="nil"/>
            </w:tcBorders>
            <w:shd w:val="clear" w:color="auto" w:fill="auto"/>
            <w:noWrap/>
            <w:vAlign w:val="bottom"/>
            <w:hideMark/>
          </w:tcPr>
          <w:p w14:paraId="7F701A41"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339 (39.3)</w:t>
            </w:r>
          </w:p>
        </w:tc>
        <w:tc>
          <w:tcPr>
            <w:tcW w:w="1276" w:type="dxa"/>
            <w:tcBorders>
              <w:top w:val="nil"/>
              <w:left w:val="nil"/>
              <w:bottom w:val="nil"/>
              <w:right w:val="nil"/>
            </w:tcBorders>
            <w:shd w:val="clear" w:color="auto" w:fill="auto"/>
            <w:noWrap/>
            <w:vAlign w:val="bottom"/>
            <w:hideMark/>
          </w:tcPr>
          <w:p w14:paraId="0AAC2840"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501 (58.1)</w:t>
            </w:r>
          </w:p>
        </w:tc>
        <w:tc>
          <w:tcPr>
            <w:tcW w:w="1134" w:type="dxa"/>
            <w:tcBorders>
              <w:top w:val="nil"/>
              <w:left w:val="nil"/>
              <w:bottom w:val="nil"/>
              <w:right w:val="nil"/>
            </w:tcBorders>
            <w:shd w:val="clear" w:color="auto" w:fill="auto"/>
            <w:noWrap/>
            <w:vAlign w:val="bottom"/>
            <w:hideMark/>
          </w:tcPr>
          <w:p w14:paraId="0990E3D0"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266 (30.9)</w:t>
            </w:r>
          </w:p>
        </w:tc>
        <w:tc>
          <w:tcPr>
            <w:tcW w:w="1134" w:type="dxa"/>
            <w:tcBorders>
              <w:top w:val="nil"/>
              <w:left w:val="nil"/>
              <w:bottom w:val="nil"/>
              <w:right w:val="nil"/>
            </w:tcBorders>
            <w:shd w:val="clear" w:color="auto" w:fill="auto"/>
            <w:noWrap/>
            <w:vAlign w:val="bottom"/>
            <w:hideMark/>
          </w:tcPr>
          <w:p w14:paraId="16805DC2"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68 (7.9)</w:t>
            </w:r>
          </w:p>
        </w:tc>
        <w:tc>
          <w:tcPr>
            <w:tcW w:w="850" w:type="dxa"/>
            <w:tcBorders>
              <w:top w:val="nil"/>
              <w:left w:val="nil"/>
              <w:bottom w:val="nil"/>
              <w:right w:val="nil"/>
            </w:tcBorders>
            <w:shd w:val="clear" w:color="auto" w:fill="auto"/>
            <w:noWrap/>
            <w:vAlign w:val="bottom"/>
            <w:hideMark/>
          </w:tcPr>
          <w:p w14:paraId="5599A1F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27 (3.1)</w:t>
            </w:r>
          </w:p>
        </w:tc>
        <w:tc>
          <w:tcPr>
            <w:tcW w:w="1560" w:type="dxa"/>
            <w:tcBorders>
              <w:top w:val="nil"/>
              <w:left w:val="nil"/>
              <w:bottom w:val="nil"/>
              <w:right w:val="nil"/>
            </w:tcBorders>
            <w:shd w:val="clear" w:color="auto" w:fill="auto"/>
            <w:noWrap/>
            <w:vAlign w:val="bottom"/>
            <w:hideMark/>
          </w:tcPr>
          <w:p w14:paraId="01E8177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117 (13.6)</w:t>
            </w:r>
          </w:p>
        </w:tc>
        <w:tc>
          <w:tcPr>
            <w:tcW w:w="1559" w:type="dxa"/>
            <w:tcBorders>
              <w:top w:val="nil"/>
              <w:left w:val="nil"/>
              <w:bottom w:val="nil"/>
              <w:right w:val="nil"/>
            </w:tcBorders>
            <w:shd w:val="clear" w:color="auto" w:fill="auto"/>
            <w:noWrap/>
            <w:vAlign w:val="bottom"/>
            <w:hideMark/>
          </w:tcPr>
          <w:p w14:paraId="3FD8FEAE"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64 (7.4)</w:t>
            </w:r>
          </w:p>
        </w:tc>
        <w:tc>
          <w:tcPr>
            <w:tcW w:w="1134" w:type="dxa"/>
            <w:tcBorders>
              <w:top w:val="nil"/>
              <w:left w:val="nil"/>
              <w:bottom w:val="nil"/>
              <w:right w:val="single" w:sz="8" w:space="0" w:color="auto"/>
            </w:tcBorders>
            <w:shd w:val="clear" w:color="auto" w:fill="auto"/>
            <w:noWrap/>
            <w:vAlign w:val="bottom"/>
            <w:hideMark/>
          </w:tcPr>
          <w:p w14:paraId="02AF39E0"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862</w:t>
            </w:r>
          </w:p>
        </w:tc>
      </w:tr>
      <w:tr w:rsidR="0079486A" w:rsidRPr="0079486A" w14:paraId="0FD31346" w14:textId="77777777" w:rsidTr="00CF1808">
        <w:trPr>
          <w:trHeight w:val="315"/>
        </w:trPr>
        <w:tc>
          <w:tcPr>
            <w:tcW w:w="796" w:type="dxa"/>
            <w:tcBorders>
              <w:top w:val="nil"/>
              <w:left w:val="single" w:sz="8" w:space="0" w:color="auto"/>
              <w:bottom w:val="nil"/>
              <w:right w:val="nil"/>
            </w:tcBorders>
            <w:shd w:val="clear" w:color="auto" w:fill="auto"/>
            <w:noWrap/>
            <w:vAlign w:val="bottom"/>
            <w:hideMark/>
          </w:tcPr>
          <w:p w14:paraId="5841576E"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2003</w:t>
            </w:r>
          </w:p>
        </w:tc>
        <w:tc>
          <w:tcPr>
            <w:tcW w:w="1155" w:type="dxa"/>
            <w:tcBorders>
              <w:top w:val="nil"/>
              <w:left w:val="nil"/>
              <w:bottom w:val="nil"/>
              <w:right w:val="nil"/>
            </w:tcBorders>
            <w:shd w:val="clear" w:color="auto" w:fill="auto"/>
            <w:noWrap/>
            <w:vAlign w:val="bottom"/>
            <w:hideMark/>
          </w:tcPr>
          <w:p w14:paraId="5DC3F8BE"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674 (76.4)</w:t>
            </w:r>
          </w:p>
        </w:tc>
        <w:tc>
          <w:tcPr>
            <w:tcW w:w="1134" w:type="dxa"/>
            <w:tcBorders>
              <w:top w:val="nil"/>
              <w:left w:val="nil"/>
              <w:bottom w:val="nil"/>
              <w:right w:val="nil"/>
            </w:tcBorders>
            <w:shd w:val="clear" w:color="auto" w:fill="auto"/>
            <w:noWrap/>
            <w:vAlign w:val="bottom"/>
            <w:hideMark/>
          </w:tcPr>
          <w:p w14:paraId="422A6C70"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155 (17.6)</w:t>
            </w:r>
          </w:p>
        </w:tc>
        <w:tc>
          <w:tcPr>
            <w:tcW w:w="1134" w:type="dxa"/>
            <w:tcBorders>
              <w:top w:val="nil"/>
              <w:left w:val="nil"/>
              <w:bottom w:val="nil"/>
              <w:right w:val="nil"/>
            </w:tcBorders>
            <w:shd w:val="clear" w:color="auto" w:fill="auto"/>
            <w:noWrap/>
            <w:vAlign w:val="bottom"/>
            <w:hideMark/>
          </w:tcPr>
          <w:p w14:paraId="708ECF3D"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409 (46.4)</w:t>
            </w:r>
          </w:p>
        </w:tc>
        <w:tc>
          <w:tcPr>
            <w:tcW w:w="1134" w:type="dxa"/>
            <w:tcBorders>
              <w:top w:val="nil"/>
              <w:left w:val="nil"/>
              <w:bottom w:val="nil"/>
              <w:right w:val="nil"/>
            </w:tcBorders>
            <w:shd w:val="clear" w:color="auto" w:fill="auto"/>
            <w:noWrap/>
            <w:vAlign w:val="bottom"/>
            <w:hideMark/>
          </w:tcPr>
          <w:p w14:paraId="31B14D19"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318 (36.1)</w:t>
            </w:r>
          </w:p>
        </w:tc>
        <w:tc>
          <w:tcPr>
            <w:tcW w:w="1276" w:type="dxa"/>
            <w:tcBorders>
              <w:top w:val="nil"/>
              <w:left w:val="nil"/>
              <w:bottom w:val="nil"/>
              <w:right w:val="nil"/>
            </w:tcBorders>
            <w:shd w:val="clear" w:color="auto" w:fill="auto"/>
            <w:noWrap/>
            <w:vAlign w:val="bottom"/>
            <w:hideMark/>
          </w:tcPr>
          <w:p w14:paraId="79E78E52"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503 (57.0)</w:t>
            </w:r>
          </w:p>
        </w:tc>
        <w:tc>
          <w:tcPr>
            <w:tcW w:w="1134" w:type="dxa"/>
            <w:tcBorders>
              <w:top w:val="nil"/>
              <w:left w:val="nil"/>
              <w:bottom w:val="nil"/>
              <w:right w:val="nil"/>
            </w:tcBorders>
            <w:shd w:val="clear" w:color="auto" w:fill="auto"/>
            <w:noWrap/>
            <w:vAlign w:val="bottom"/>
            <w:hideMark/>
          </w:tcPr>
          <w:p w14:paraId="434BE29D"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279 (31.6)</w:t>
            </w:r>
          </w:p>
        </w:tc>
        <w:tc>
          <w:tcPr>
            <w:tcW w:w="1134" w:type="dxa"/>
            <w:tcBorders>
              <w:top w:val="nil"/>
              <w:left w:val="nil"/>
              <w:bottom w:val="nil"/>
              <w:right w:val="nil"/>
            </w:tcBorders>
            <w:shd w:val="clear" w:color="auto" w:fill="auto"/>
            <w:noWrap/>
            <w:vAlign w:val="bottom"/>
            <w:hideMark/>
          </w:tcPr>
          <w:p w14:paraId="51418091"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67 (7.6)</w:t>
            </w:r>
          </w:p>
        </w:tc>
        <w:tc>
          <w:tcPr>
            <w:tcW w:w="850" w:type="dxa"/>
            <w:tcBorders>
              <w:top w:val="nil"/>
              <w:left w:val="nil"/>
              <w:bottom w:val="nil"/>
              <w:right w:val="nil"/>
            </w:tcBorders>
            <w:shd w:val="clear" w:color="auto" w:fill="auto"/>
            <w:noWrap/>
            <w:vAlign w:val="bottom"/>
            <w:hideMark/>
          </w:tcPr>
          <w:p w14:paraId="58EE2B3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33 (3.7)</w:t>
            </w:r>
          </w:p>
        </w:tc>
        <w:tc>
          <w:tcPr>
            <w:tcW w:w="1560" w:type="dxa"/>
            <w:tcBorders>
              <w:top w:val="nil"/>
              <w:left w:val="nil"/>
              <w:bottom w:val="nil"/>
              <w:right w:val="nil"/>
            </w:tcBorders>
            <w:shd w:val="clear" w:color="auto" w:fill="auto"/>
            <w:noWrap/>
            <w:vAlign w:val="bottom"/>
            <w:hideMark/>
          </w:tcPr>
          <w:p w14:paraId="43FCD670"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108 (12.2)</w:t>
            </w:r>
          </w:p>
        </w:tc>
        <w:tc>
          <w:tcPr>
            <w:tcW w:w="1559" w:type="dxa"/>
            <w:tcBorders>
              <w:top w:val="nil"/>
              <w:left w:val="nil"/>
              <w:bottom w:val="nil"/>
              <w:right w:val="nil"/>
            </w:tcBorders>
            <w:shd w:val="clear" w:color="auto" w:fill="auto"/>
            <w:noWrap/>
            <w:vAlign w:val="bottom"/>
            <w:hideMark/>
          </w:tcPr>
          <w:p w14:paraId="55BB7162"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78 (8.8)</w:t>
            </w:r>
          </w:p>
        </w:tc>
        <w:tc>
          <w:tcPr>
            <w:tcW w:w="1134" w:type="dxa"/>
            <w:tcBorders>
              <w:top w:val="nil"/>
              <w:left w:val="nil"/>
              <w:bottom w:val="nil"/>
              <w:right w:val="single" w:sz="8" w:space="0" w:color="auto"/>
            </w:tcBorders>
            <w:shd w:val="clear" w:color="auto" w:fill="auto"/>
            <w:noWrap/>
            <w:vAlign w:val="bottom"/>
            <w:hideMark/>
          </w:tcPr>
          <w:p w14:paraId="12F9AF9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882</w:t>
            </w:r>
          </w:p>
        </w:tc>
      </w:tr>
      <w:tr w:rsidR="0079486A" w:rsidRPr="0079486A" w14:paraId="2655920C" w14:textId="77777777" w:rsidTr="00CF1808">
        <w:trPr>
          <w:trHeight w:val="315"/>
        </w:trPr>
        <w:tc>
          <w:tcPr>
            <w:tcW w:w="796" w:type="dxa"/>
            <w:tcBorders>
              <w:top w:val="nil"/>
              <w:left w:val="single" w:sz="8" w:space="0" w:color="auto"/>
              <w:bottom w:val="nil"/>
              <w:right w:val="nil"/>
            </w:tcBorders>
            <w:shd w:val="clear" w:color="auto" w:fill="auto"/>
            <w:noWrap/>
            <w:vAlign w:val="bottom"/>
            <w:hideMark/>
          </w:tcPr>
          <w:p w14:paraId="2F9713D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2004</w:t>
            </w:r>
          </w:p>
        </w:tc>
        <w:tc>
          <w:tcPr>
            <w:tcW w:w="1155" w:type="dxa"/>
            <w:tcBorders>
              <w:top w:val="nil"/>
              <w:left w:val="nil"/>
              <w:bottom w:val="nil"/>
              <w:right w:val="nil"/>
            </w:tcBorders>
            <w:shd w:val="clear" w:color="auto" w:fill="auto"/>
            <w:noWrap/>
            <w:vAlign w:val="bottom"/>
            <w:hideMark/>
          </w:tcPr>
          <w:p w14:paraId="51E1B7F0"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630 (77.0)</w:t>
            </w:r>
          </w:p>
        </w:tc>
        <w:tc>
          <w:tcPr>
            <w:tcW w:w="1134" w:type="dxa"/>
            <w:tcBorders>
              <w:top w:val="nil"/>
              <w:left w:val="nil"/>
              <w:bottom w:val="nil"/>
              <w:right w:val="nil"/>
            </w:tcBorders>
            <w:shd w:val="clear" w:color="auto" w:fill="auto"/>
            <w:noWrap/>
            <w:vAlign w:val="bottom"/>
            <w:hideMark/>
          </w:tcPr>
          <w:p w14:paraId="5B5A43E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139 (17.0)</w:t>
            </w:r>
          </w:p>
        </w:tc>
        <w:tc>
          <w:tcPr>
            <w:tcW w:w="1134" w:type="dxa"/>
            <w:tcBorders>
              <w:top w:val="nil"/>
              <w:left w:val="nil"/>
              <w:bottom w:val="nil"/>
              <w:right w:val="nil"/>
            </w:tcBorders>
            <w:shd w:val="clear" w:color="auto" w:fill="auto"/>
            <w:noWrap/>
            <w:vAlign w:val="bottom"/>
            <w:hideMark/>
          </w:tcPr>
          <w:p w14:paraId="30ED082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336 (41.1)</w:t>
            </w:r>
          </w:p>
        </w:tc>
        <w:tc>
          <w:tcPr>
            <w:tcW w:w="1134" w:type="dxa"/>
            <w:tcBorders>
              <w:top w:val="nil"/>
              <w:left w:val="nil"/>
              <w:bottom w:val="nil"/>
              <w:right w:val="nil"/>
            </w:tcBorders>
            <w:shd w:val="clear" w:color="auto" w:fill="auto"/>
            <w:noWrap/>
            <w:vAlign w:val="bottom"/>
            <w:hideMark/>
          </w:tcPr>
          <w:p w14:paraId="105FBD2E"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343 (41.9)</w:t>
            </w:r>
          </w:p>
        </w:tc>
        <w:tc>
          <w:tcPr>
            <w:tcW w:w="1276" w:type="dxa"/>
            <w:tcBorders>
              <w:top w:val="nil"/>
              <w:left w:val="nil"/>
              <w:bottom w:val="nil"/>
              <w:right w:val="nil"/>
            </w:tcBorders>
            <w:shd w:val="clear" w:color="auto" w:fill="auto"/>
            <w:noWrap/>
            <w:vAlign w:val="bottom"/>
            <w:hideMark/>
          </w:tcPr>
          <w:p w14:paraId="43E959D7"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470 (57.5)</w:t>
            </w:r>
          </w:p>
        </w:tc>
        <w:tc>
          <w:tcPr>
            <w:tcW w:w="1134" w:type="dxa"/>
            <w:tcBorders>
              <w:top w:val="nil"/>
              <w:left w:val="nil"/>
              <w:bottom w:val="nil"/>
              <w:right w:val="nil"/>
            </w:tcBorders>
            <w:shd w:val="clear" w:color="auto" w:fill="auto"/>
            <w:noWrap/>
            <w:vAlign w:val="bottom"/>
            <w:hideMark/>
          </w:tcPr>
          <w:p w14:paraId="6A28558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245 (30.0)</w:t>
            </w:r>
          </w:p>
        </w:tc>
        <w:tc>
          <w:tcPr>
            <w:tcW w:w="1134" w:type="dxa"/>
            <w:tcBorders>
              <w:top w:val="nil"/>
              <w:left w:val="nil"/>
              <w:bottom w:val="nil"/>
              <w:right w:val="nil"/>
            </w:tcBorders>
            <w:shd w:val="clear" w:color="auto" w:fill="auto"/>
            <w:noWrap/>
            <w:vAlign w:val="bottom"/>
            <w:hideMark/>
          </w:tcPr>
          <w:p w14:paraId="28674197"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78 (9.5)</w:t>
            </w:r>
          </w:p>
        </w:tc>
        <w:tc>
          <w:tcPr>
            <w:tcW w:w="850" w:type="dxa"/>
            <w:tcBorders>
              <w:top w:val="nil"/>
              <w:left w:val="nil"/>
              <w:bottom w:val="nil"/>
              <w:right w:val="nil"/>
            </w:tcBorders>
            <w:shd w:val="clear" w:color="auto" w:fill="auto"/>
            <w:noWrap/>
            <w:vAlign w:val="bottom"/>
            <w:hideMark/>
          </w:tcPr>
          <w:p w14:paraId="1C4C1440"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25 (3.1)</w:t>
            </w:r>
          </w:p>
        </w:tc>
        <w:tc>
          <w:tcPr>
            <w:tcW w:w="1560" w:type="dxa"/>
            <w:tcBorders>
              <w:top w:val="nil"/>
              <w:left w:val="nil"/>
              <w:bottom w:val="nil"/>
              <w:right w:val="nil"/>
            </w:tcBorders>
            <w:shd w:val="clear" w:color="auto" w:fill="auto"/>
            <w:noWrap/>
            <w:vAlign w:val="bottom"/>
            <w:hideMark/>
          </w:tcPr>
          <w:p w14:paraId="2DB19F49"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129 (15.8)</w:t>
            </w:r>
          </w:p>
        </w:tc>
        <w:tc>
          <w:tcPr>
            <w:tcW w:w="1559" w:type="dxa"/>
            <w:tcBorders>
              <w:top w:val="nil"/>
              <w:left w:val="nil"/>
              <w:bottom w:val="nil"/>
              <w:right w:val="nil"/>
            </w:tcBorders>
            <w:shd w:val="clear" w:color="auto" w:fill="auto"/>
            <w:noWrap/>
            <w:vAlign w:val="bottom"/>
            <w:hideMark/>
          </w:tcPr>
          <w:p w14:paraId="12388AAA"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79 (9.7)</w:t>
            </w:r>
          </w:p>
        </w:tc>
        <w:tc>
          <w:tcPr>
            <w:tcW w:w="1134" w:type="dxa"/>
            <w:tcBorders>
              <w:top w:val="nil"/>
              <w:left w:val="nil"/>
              <w:bottom w:val="nil"/>
              <w:right w:val="single" w:sz="8" w:space="0" w:color="auto"/>
            </w:tcBorders>
            <w:shd w:val="clear" w:color="auto" w:fill="auto"/>
            <w:noWrap/>
            <w:vAlign w:val="bottom"/>
            <w:hideMark/>
          </w:tcPr>
          <w:p w14:paraId="1E2C58C0"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818</w:t>
            </w:r>
          </w:p>
        </w:tc>
      </w:tr>
      <w:tr w:rsidR="0079486A" w:rsidRPr="0079486A" w14:paraId="607EB41E" w14:textId="77777777" w:rsidTr="00CF1808">
        <w:trPr>
          <w:trHeight w:val="315"/>
        </w:trPr>
        <w:tc>
          <w:tcPr>
            <w:tcW w:w="796" w:type="dxa"/>
            <w:tcBorders>
              <w:top w:val="nil"/>
              <w:left w:val="single" w:sz="8" w:space="0" w:color="auto"/>
              <w:bottom w:val="nil"/>
              <w:right w:val="nil"/>
            </w:tcBorders>
            <w:shd w:val="clear" w:color="auto" w:fill="auto"/>
            <w:noWrap/>
            <w:vAlign w:val="bottom"/>
            <w:hideMark/>
          </w:tcPr>
          <w:p w14:paraId="3BD09719"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2005</w:t>
            </w:r>
          </w:p>
        </w:tc>
        <w:tc>
          <w:tcPr>
            <w:tcW w:w="1155" w:type="dxa"/>
            <w:tcBorders>
              <w:top w:val="nil"/>
              <w:left w:val="nil"/>
              <w:bottom w:val="nil"/>
              <w:right w:val="nil"/>
            </w:tcBorders>
            <w:shd w:val="clear" w:color="auto" w:fill="auto"/>
            <w:noWrap/>
            <w:vAlign w:val="bottom"/>
            <w:hideMark/>
          </w:tcPr>
          <w:p w14:paraId="4C417186"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638 (75.3)</w:t>
            </w:r>
          </w:p>
        </w:tc>
        <w:tc>
          <w:tcPr>
            <w:tcW w:w="1134" w:type="dxa"/>
            <w:tcBorders>
              <w:top w:val="nil"/>
              <w:left w:val="nil"/>
              <w:bottom w:val="nil"/>
              <w:right w:val="nil"/>
            </w:tcBorders>
            <w:shd w:val="clear" w:color="auto" w:fill="auto"/>
            <w:noWrap/>
            <w:vAlign w:val="bottom"/>
            <w:hideMark/>
          </w:tcPr>
          <w:p w14:paraId="05ACFA8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135 (15.9)</w:t>
            </w:r>
          </w:p>
        </w:tc>
        <w:tc>
          <w:tcPr>
            <w:tcW w:w="1134" w:type="dxa"/>
            <w:tcBorders>
              <w:top w:val="nil"/>
              <w:left w:val="nil"/>
              <w:bottom w:val="nil"/>
              <w:right w:val="nil"/>
            </w:tcBorders>
            <w:shd w:val="clear" w:color="auto" w:fill="auto"/>
            <w:noWrap/>
            <w:vAlign w:val="bottom"/>
            <w:hideMark/>
          </w:tcPr>
          <w:p w14:paraId="581490AB"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357 (42.2)</w:t>
            </w:r>
          </w:p>
        </w:tc>
        <w:tc>
          <w:tcPr>
            <w:tcW w:w="1134" w:type="dxa"/>
            <w:tcBorders>
              <w:top w:val="nil"/>
              <w:left w:val="nil"/>
              <w:bottom w:val="nil"/>
              <w:right w:val="nil"/>
            </w:tcBorders>
            <w:shd w:val="clear" w:color="auto" w:fill="auto"/>
            <w:noWrap/>
            <w:vAlign w:val="bottom"/>
            <w:hideMark/>
          </w:tcPr>
          <w:p w14:paraId="27FED8B9"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355 (41.9)</w:t>
            </w:r>
          </w:p>
        </w:tc>
        <w:tc>
          <w:tcPr>
            <w:tcW w:w="1276" w:type="dxa"/>
            <w:tcBorders>
              <w:top w:val="nil"/>
              <w:left w:val="nil"/>
              <w:bottom w:val="nil"/>
              <w:right w:val="nil"/>
            </w:tcBorders>
            <w:shd w:val="clear" w:color="auto" w:fill="auto"/>
            <w:noWrap/>
            <w:vAlign w:val="bottom"/>
            <w:hideMark/>
          </w:tcPr>
          <w:p w14:paraId="76CCFA8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469 (55.4)</w:t>
            </w:r>
          </w:p>
        </w:tc>
        <w:tc>
          <w:tcPr>
            <w:tcW w:w="1134" w:type="dxa"/>
            <w:tcBorders>
              <w:top w:val="nil"/>
              <w:left w:val="nil"/>
              <w:bottom w:val="nil"/>
              <w:right w:val="nil"/>
            </w:tcBorders>
            <w:shd w:val="clear" w:color="auto" w:fill="auto"/>
            <w:noWrap/>
            <w:vAlign w:val="bottom"/>
            <w:hideMark/>
          </w:tcPr>
          <w:p w14:paraId="30B5397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268 (31.6)</w:t>
            </w:r>
          </w:p>
        </w:tc>
        <w:tc>
          <w:tcPr>
            <w:tcW w:w="1134" w:type="dxa"/>
            <w:tcBorders>
              <w:top w:val="nil"/>
              <w:left w:val="nil"/>
              <w:bottom w:val="nil"/>
              <w:right w:val="nil"/>
            </w:tcBorders>
            <w:shd w:val="clear" w:color="auto" w:fill="auto"/>
            <w:noWrap/>
            <w:vAlign w:val="bottom"/>
            <w:hideMark/>
          </w:tcPr>
          <w:p w14:paraId="336B1580"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71 (8.4)</w:t>
            </w:r>
          </w:p>
        </w:tc>
        <w:tc>
          <w:tcPr>
            <w:tcW w:w="850" w:type="dxa"/>
            <w:tcBorders>
              <w:top w:val="nil"/>
              <w:left w:val="nil"/>
              <w:bottom w:val="nil"/>
              <w:right w:val="nil"/>
            </w:tcBorders>
            <w:shd w:val="clear" w:color="auto" w:fill="auto"/>
            <w:noWrap/>
            <w:vAlign w:val="bottom"/>
            <w:hideMark/>
          </w:tcPr>
          <w:p w14:paraId="2E24A5F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39 (4.6)</w:t>
            </w:r>
          </w:p>
        </w:tc>
        <w:tc>
          <w:tcPr>
            <w:tcW w:w="1560" w:type="dxa"/>
            <w:tcBorders>
              <w:top w:val="nil"/>
              <w:left w:val="nil"/>
              <w:bottom w:val="nil"/>
              <w:right w:val="nil"/>
            </w:tcBorders>
            <w:shd w:val="clear" w:color="auto" w:fill="auto"/>
            <w:noWrap/>
            <w:vAlign w:val="bottom"/>
            <w:hideMark/>
          </w:tcPr>
          <w:p w14:paraId="4EFFE619"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134 (15.8)</w:t>
            </w:r>
          </w:p>
        </w:tc>
        <w:tc>
          <w:tcPr>
            <w:tcW w:w="1559" w:type="dxa"/>
            <w:tcBorders>
              <w:top w:val="nil"/>
              <w:left w:val="nil"/>
              <w:bottom w:val="nil"/>
              <w:right w:val="nil"/>
            </w:tcBorders>
            <w:shd w:val="clear" w:color="auto" w:fill="auto"/>
            <w:noWrap/>
            <w:vAlign w:val="bottom"/>
            <w:hideMark/>
          </w:tcPr>
          <w:p w14:paraId="4A2B201A"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88 (10.4)</w:t>
            </w:r>
          </w:p>
        </w:tc>
        <w:tc>
          <w:tcPr>
            <w:tcW w:w="1134" w:type="dxa"/>
            <w:tcBorders>
              <w:top w:val="nil"/>
              <w:left w:val="nil"/>
              <w:bottom w:val="nil"/>
              <w:right w:val="single" w:sz="8" w:space="0" w:color="auto"/>
            </w:tcBorders>
            <w:shd w:val="clear" w:color="auto" w:fill="auto"/>
            <w:noWrap/>
            <w:vAlign w:val="bottom"/>
            <w:hideMark/>
          </w:tcPr>
          <w:p w14:paraId="737B692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847</w:t>
            </w:r>
          </w:p>
        </w:tc>
      </w:tr>
      <w:tr w:rsidR="0079486A" w:rsidRPr="0079486A" w14:paraId="28DF03A3" w14:textId="77777777" w:rsidTr="00CF1808">
        <w:trPr>
          <w:trHeight w:val="315"/>
        </w:trPr>
        <w:tc>
          <w:tcPr>
            <w:tcW w:w="796" w:type="dxa"/>
            <w:tcBorders>
              <w:top w:val="nil"/>
              <w:left w:val="single" w:sz="8" w:space="0" w:color="auto"/>
              <w:bottom w:val="nil"/>
              <w:right w:val="nil"/>
            </w:tcBorders>
            <w:shd w:val="clear" w:color="auto" w:fill="auto"/>
            <w:noWrap/>
            <w:vAlign w:val="bottom"/>
            <w:hideMark/>
          </w:tcPr>
          <w:p w14:paraId="77D0DBE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2006</w:t>
            </w:r>
          </w:p>
        </w:tc>
        <w:tc>
          <w:tcPr>
            <w:tcW w:w="1155" w:type="dxa"/>
            <w:tcBorders>
              <w:top w:val="nil"/>
              <w:left w:val="nil"/>
              <w:bottom w:val="nil"/>
              <w:right w:val="nil"/>
            </w:tcBorders>
            <w:shd w:val="clear" w:color="auto" w:fill="auto"/>
            <w:noWrap/>
            <w:vAlign w:val="bottom"/>
            <w:hideMark/>
          </w:tcPr>
          <w:p w14:paraId="22913A89"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618 (74.6)</w:t>
            </w:r>
          </w:p>
        </w:tc>
        <w:tc>
          <w:tcPr>
            <w:tcW w:w="1134" w:type="dxa"/>
            <w:tcBorders>
              <w:top w:val="nil"/>
              <w:left w:val="nil"/>
              <w:bottom w:val="nil"/>
              <w:right w:val="nil"/>
            </w:tcBorders>
            <w:shd w:val="clear" w:color="auto" w:fill="auto"/>
            <w:noWrap/>
            <w:vAlign w:val="bottom"/>
            <w:hideMark/>
          </w:tcPr>
          <w:p w14:paraId="387F58E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141 (17.0)</w:t>
            </w:r>
          </w:p>
        </w:tc>
        <w:tc>
          <w:tcPr>
            <w:tcW w:w="1134" w:type="dxa"/>
            <w:tcBorders>
              <w:top w:val="nil"/>
              <w:left w:val="nil"/>
              <w:bottom w:val="nil"/>
              <w:right w:val="nil"/>
            </w:tcBorders>
            <w:shd w:val="clear" w:color="auto" w:fill="auto"/>
            <w:noWrap/>
            <w:vAlign w:val="bottom"/>
            <w:hideMark/>
          </w:tcPr>
          <w:p w14:paraId="0883A763"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329 (39.7)</w:t>
            </w:r>
          </w:p>
        </w:tc>
        <w:tc>
          <w:tcPr>
            <w:tcW w:w="1134" w:type="dxa"/>
            <w:tcBorders>
              <w:top w:val="nil"/>
              <w:left w:val="nil"/>
              <w:bottom w:val="nil"/>
              <w:right w:val="nil"/>
            </w:tcBorders>
            <w:shd w:val="clear" w:color="auto" w:fill="auto"/>
            <w:noWrap/>
            <w:vAlign w:val="bottom"/>
            <w:hideMark/>
          </w:tcPr>
          <w:p w14:paraId="3DB93D4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359 (43.3)</w:t>
            </w:r>
          </w:p>
        </w:tc>
        <w:tc>
          <w:tcPr>
            <w:tcW w:w="1276" w:type="dxa"/>
            <w:tcBorders>
              <w:top w:val="nil"/>
              <w:left w:val="nil"/>
              <w:bottom w:val="nil"/>
              <w:right w:val="nil"/>
            </w:tcBorders>
            <w:shd w:val="clear" w:color="auto" w:fill="auto"/>
            <w:noWrap/>
            <w:vAlign w:val="bottom"/>
            <w:hideMark/>
          </w:tcPr>
          <w:p w14:paraId="0670D577"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410 (49.5)</w:t>
            </w:r>
          </w:p>
        </w:tc>
        <w:tc>
          <w:tcPr>
            <w:tcW w:w="1134" w:type="dxa"/>
            <w:tcBorders>
              <w:top w:val="nil"/>
              <w:left w:val="nil"/>
              <w:bottom w:val="nil"/>
              <w:right w:val="nil"/>
            </w:tcBorders>
            <w:shd w:val="clear" w:color="auto" w:fill="auto"/>
            <w:noWrap/>
            <w:vAlign w:val="bottom"/>
            <w:hideMark/>
          </w:tcPr>
          <w:p w14:paraId="31B9F5B2"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271 (32.7)</w:t>
            </w:r>
          </w:p>
        </w:tc>
        <w:tc>
          <w:tcPr>
            <w:tcW w:w="1134" w:type="dxa"/>
            <w:tcBorders>
              <w:top w:val="nil"/>
              <w:left w:val="nil"/>
              <w:bottom w:val="nil"/>
              <w:right w:val="nil"/>
            </w:tcBorders>
            <w:shd w:val="clear" w:color="auto" w:fill="auto"/>
            <w:noWrap/>
            <w:vAlign w:val="bottom"/>
            <w:hideMark/>
          </w:tcPr>
          <w:p w14:paraId="461381B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85 (10.3)</w:t>
            </w:r>
          </w:p>
        </w:tc>
        <w:tc>
          <w:tcPr>
            <w:tcW w:w="850" w:type="dxa"/>
            <w:tcBorders>
              <w:top w:val="nil"/>
              <w:left w:val="nil"/>
              <w:bottom w:val="nil"/>
              <w:right w:val="nil"/>
            </w:tcBorders>
            <w:shd w:val="clear" w:color="auto" w:fill="auto"/>
            <w:noWrap/>
            <w:vAlign w:val="bottom"/>
            <w:hideMark/>
          </w:tcPr>
          <w:p w14:paraId="7564DB7E"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63 (7.6)</w:t>
            </w:r>
          </w:p>
        </w:tc>
        <w:tc>
          <w:tcPr>
            <w:tcW w:w="1560" w:type="dxa"/>
            <w:tcBorders>
              <w:top w:val="nil"/>
              <w:left w:val="nil"/>
              <w:bottom w:val="nil"/>
              <w:right w:val="nil"/>
            </w:tcBorders>
            <w:shd w:val="clear" w:color="auto" w:fill="auto"/>
            <w:noWrap/>
            <w:vAlign w:val="bottom"/>
            <w:hideMark/>
          </w:tcPr>
          <w:p w14:paraId="39455494"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152 (18.3)</w:t>
            </w:r>
          </w:p>
        </w:tc>
        <w:tc>
          <w:tcPr>
            <w:tcW w:w="1559" w:type="dxa"/>
            <w:tcBorders>
              <w:top w:val="nil"/>
              <w:left w:val="nil"/>
              <w:bottom w:val="nil"/>
              <w:right w:val="nil"/>
            </w:tcBorders>
            <w:shd w:val="clear" w:color="auto" w:fill="auto"/>
            <w:noWrap/>
            <w:vAlign w:val="bottom"/>
            <w:hideMark/>
          </w:tcPr>
          <w:p w14:paraId="33CA8982"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101 (12.2)</w:t>
            </w:r>
          </w:p>
        </w:tc>
        <w:tc>
          <w:tcPr>
            <w:tcW w:w="1134" w:type="dxa"/>
            <w:tcBorders>
              <w:top w:val="nil"/>
              <w:left w:val="nil"/>
              <w:bottom w:val="nil"/>
              <w:right w:val="single" w:sz="8" w:space="0" w:color="auto"/>
            </w:tcBorders>
            <w:shd w:val="clear" w:color="auto" w:fill="auto"/>
            <w:noWrap/>
            <w:vAlign w:val="bottom"/>
            <w:hideMark/>
          </w:tcPr>
          <w:p w14:paraId="7C0A0E99"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829</w:t>
            </w:r>
          </w:p>
        </w:tc>
      </w:tr>
      <w:tr w:rsidR="0079486A" w:rsidRPr="0079486A" w14:paraId="73A90B1F" w14:textId="77777777" w:rsidTr="00CF1808">
        <w:trPr>
          <w:trHeight w:val="315"/>
        </w:trPr>
        <w:tc>
          <w:tcPr>
            <w:tcW w:w="796" w:type="dxa"/>
            <w:tcBorders>
              <w:top w:val="nil"/>
              <w:left w:val="single" w:sz="8" w:space="0" w:color="auto"/>
              <w:bottom w:val="nil"/>
              <w:right w:val="nil"/>
            </w:tcBorders>
            <w:shd w:val="clear" w:color="auto" w:fill="auto"/>
            <w:noWrap/>
            <w:vAlign w:val="bottom"/>
            <w:hideMark/>
          </w:tcPr>
          <w:p w14:paraId="0E9B4807"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2007</w:t>
            </w:r>
          </w:p>
        </w:tc>
        <w:tc>
          <w:tcPr>
            <w:tcW w:w="1155" w:type="dxa"/>
            <w:tcBorders>
              <w:top w:val="nil"/>
              <w:left w:val="nil"/>
              <w:bottom w:val="nil"/>
              <w:right w:val="nil"/>
            </w:tcBorders>
            <w:shd w:val="clear" w:color="auto" w:fill="auto"/>
            <w:noWrap/>
            <w:vAlign w:val="bottom"/>
            <w:hideMark/>
          </w:tcPr>
          <w:p w14:paraId="7626F6C7"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643 (78.4)</w:t>
            </w:r>
          </w:p>
        </w:tc>
        <w:tc>
          <w:tcPr>
            <w:tcW w:w="1134" w:type="dxa"/>
            <w:tcBorders>
              <w:top w:val="nil"/>
              <w:left w:val="nil"/>
              <w:bottom w:val="nil"/>
              <w:right w:val="nil"/>
            </w:tcBorders>
            <w:shd w:val="clear" w:color="auto" w:fill="auto"/>
            <w:noWrap/>
            <w:vAlign w:val="bottom"/>
            <w:hideMark/>
          </w:tcPr>
          <w:p w14:paraId="4FD62003"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130 (15.9)</w:t>
            </w:r>
          </w:p>
        </w:tc>
        <w:tc>
          <w:tcPr>
            <w:tcW w:w="1134" w:type="dxa"/>
            <w:tcBorders>
              <w:top w:val="nil"/>
              <w:left w:val="nil"/>
              <w:bottom w:val="nil"/>
              <w:right w:val="nil"/>
            </w:tcBorders>
            <w:shd w:val="clear" w:color="auto" w:fill="auto"/>
            <w:noWrap/>
            <w:vAlign w:val="bottom"/>
            <w:hideMark/>
          </w:tcPr>
          <w:p w14:paraId="6496E655"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330 (40.2)</w:t>
            </w:r>
          </w:p>
        </w:tc>
        <w:tc>
          <w:tcPr>
            <w:tcW w:w="1134" w:type="dxa"/>
            <w:tcBorders>
              <w:top w:val="nil"/>
              <w:left w:val="nil"/>
              <w:bottom w:val="nil"/>
              <w:right w:val="nil"/>
            </w:tcBorders>
            <w:shd w:val="clear" w:color="auto" w:fill="auto"/>
            <w:noWrap/>
            <w:vAlign w:val="bottom"/>
            <w:hideMark/>
          </w:tcPr>
          <w:p w14:paraId="0C0F4384"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360 (43.9)</w:t>
            </w:r>
          </w:p>
        </w:tc>
        <w:tc>
          <w:tcPr>
            <w:tcW w:w="1276" w:type="dxa"/>
            <w:tcBorders>
              <w:top w:val="nil"/>
              <w:left w:val="nil"/>
              <w:bottom w:val="nil"/>
              <w:right w:val="nil"/>
            </w:tcBorders>
            <w:shd w:val="clear" w:color="auto" w:fill="auto"/>
            <w:noWrap/>
            <w:vAlign w:val="bottom"/>
            <w:hideMark/>
          </w:tcPr>
          <w:p w14:paraId="409DE35D"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379 (46.2)</w:t>
            </w:r>
          </w:p>
        </w:tc>
        <w:tc>
          <w:tcPr>
            <w:tcW w:w="1134" w:type="dxa"/>
            <w:tcBorders>
              <w:top w:val="nil"/>
              <w:left w:val="nil"/>
              <w:bottom w:val="nil"/>
              <w:right w:val="nil"/>
            </w:tcBorders>
            <w:shd w:val="clear" w:color="auto" w:fill="auto"/>
            <w:noWrap/>
            <w:vAlign w:val="bottom"/>
            <w:hideMark/>
          </w:tcPr>
          <w:p w14:paraId="04283A69"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265 (32.3)</w:t>
            </w:r>
          </w:p>
        </w:tc>
        <w:tc>
          <w:tcPr>
            <w:tcW w:w="1134" w:type="dxa"/>
            <w:tcBorders>
              <w:top w:val="nil"/>
              <w:left w:val="nil"/>
              <w:bottom w:val="nil"/>
              <w:right w:val="nil"/>
            </w:tcBorders>
            <w:shd w:val="clear" w:color="auto" w:fill="auto"/>
            <w:noWrap/>
            <w:vAlign w:val="bottom"/>
            <w:hideMark/>
          </w:tcPr>
          <w:p w14:paraId="16557689"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111 (13.5)</w:t>
            </w:r>
          </w:p>
        </w:tc>
        <w:tc>
          <w:tcPr>
            <w:tcW w:w="850" w:type="dxa"/>
            <w:tcBorders>
              <w:top w:val="nil"/>
              <w:left w:val="nil"/>
              <w:bottom w:val="nil"/>
              <w:right w:val="nil"/>
            </w:tcBorders>
            <w:shd w:val="clear" w:color="auto" w:fill="auto"/>
            <w:noWrap/>
            <w:vAlign w:val="bottom"/>
            <w:hideMark/>
          </w:tcPr>
          <w:p w14:paraId="67B11592"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65 (7.9)</w:t>
            </w:r>
          </w:p>
        </w:tc>
        <w:tc>
          <w:tcPr>
            <w:tcW w:w="1560" w:type="dxa"/>
            <w:tcBorders>
              <w:top w:val="nil"/>
              <w:left w:val="nil"/>
              <w:bottom w:val="nil"/>
              <w:right w:val="nil"/>
            </w:tcBorders>
            <w:shd w:val="clear" w:color="auto" w:fill="auto"/>
            <w:noWrap/>
            <w:vAlign w:val="bottom"/>
            <w:hideMark/>
          </w:tcPr>
          <w:p w14:paraId="0F957DE6"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170 (20.7)</w:t>
            </w:r>
          </w:p>
        </w:tc>
        <w:tc>
          <w:tcPr>
            <w:tcW w:w="1559" w:type="dxa"/>
            <w:tcBorders>
              <w:top w:val="nil"/>
              <w:left w:val="nil"/>
              <w:bottom w:val="nil"/>
              <w:right w:val="nil"/>
            </w:tcBorders>
            <w:shd w:val="clear" w:color="auto" w:fill="auto"/>
            <w:noWrap/>
            <w:vAlign w:val="bottom"/>
            <w:hideMark/>
          </w:tcPr>
          <w:p w14:paraId="750B9DB1"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109 (13.3)</w:t>
            </w:r>
          </w:p>
        </w:tc>
        <w:tc>
          <w:tcPr>
            <w:tcW w:w="1134" w:type="dxa"/>
            <w:tcBorders>
              <w:top w:val="nil"/>
              <w:left w:val="nil"/>
              <w:bottom w:val="nil"/>
              <w:right w:val="single" w:sz="8" w:space="0" w:color="auto"/>
            </w:tcBorders>
            <w:shd w:val="clear" w:color="auto" w:fill="auto"/>
            <w:noWrap/>
            <w:vAlign w:val="bottom"/>
            <w:hideMark/>
          </w:tcPr>
          <w:p w14:paraId="59AD97E5"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820</w:t>
            </w:r>
          </w:p>
        </w:tc>
      </w:tr>
      <w:tr w:rsidR="0079486A" w:rsidRPr="0079486A" w14:paraId="77C5E589" w14:textId="77777777" w:rsidTr="00CF1808">
        <w:trPr>
          <w:trHeight w:val="315"/>
        </w:trPr>
        <w:tc>
          <w:tcPr>
            <w:tcW w:w="796" w:type="dxa"/>
            <w:tcBorders>
              <w:top w:val="nil"/>
              <w:left w:val="single" w:sz="8" w:space="0" w:color="auto"/>
              <w:bottom w:val="nil"/>
              <w:right w:val="nil"/>
            </w:tcBorders>
            <w:shd w:val="clear" w:color="auto" w:fill="auto"/>
            <w:noWrap/>
            <w:vAlign w:val="bottom"/>
            <w:hideMark/>
          </w:tcPr>
          <w:p w14:paraId="371CA9C9"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2008</w:t>
            </w:r>
          </w:p>
        </w:tc>
        <w:tc>
          <w:tcPr>
            <w:tcW w:w="1155" w:type="dxa"/>
            <w:tcBorders>
              <w:top w:val="nil"/>
              <w:left w:val="nil"/>
              <w:bottom w:val="nil"/>
              <w:right w:val="nil"/>
            </w:tcBorders>
            <w:shd w:val="clear" w:color="auto" w:fill="auto"/>
            <w:noWrap/>
            <w:vAlign w:val="bottom"/>
            <w:hideMark/>
          </w:tcPr>
          <w:p w14:paraId="61AA51DE"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587 (73.1)</w:t>
            </w:r>
          </w:p>
        </w:tc>
        <w:tc>
          <w:tcPr>
            <w:tcW w:w="1134" w:type="dxa"/>
            <w:tcBorders>
              <w:top w:val="nil"/>
              <w:left w:val="nil"/>
              <w:bottom w:val="nil"/>
              <w:right w:val="nil"/>
            </w:tcBorders>
            <w:shd w:val="clear" w:color="auto" w:fill="auto"/>
            <w:noWrap/>
            <w:vAlign w:val="bottom"/>
            <w:hideMark/>
          </w:tcPr>
          <w:p w14:paraId="5E13A749"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166 (20.7)</w:t>
            </w:r>
          </w:p>
        </w:tc>
        <w:tc>
          <w:tcPr>
            <w:tcW w:w="1134" w:type="dxa"/>
            <w:tcBorders>
              <w:top w:val="nil"/>
              <w:left w:val="nil"/>
              <w:bottom w:val="nil"/>
              <w:right w:val="nil"/>
            </w:tcBorders>
            <w:shd w:val="clear" w:color="auto" w:fill="auto"/>
            <w:noWrap/>
            <w:vAlign w:val="bottom"/>
            <w:hideMark/>
          </w:tcPr>
          <w:p w14:paraId="33057C1A"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288 (35.9)</w:t>
            </w:r>
          </w:p>
        </w:tc>
        <w:tc>
          <w:tcPr>
            <w:tcW w:w="1134" w:type="dxa"/>
            <w:tcBorders>
              <w:top w:val="nil"/>
              <w:left w:val="nil"/>
              <w:bottom w:val="nil"/>
              <w:right w:val="nil"/>
            </w:tcBorders>
            <w:shd w:val="clear" w:color="auto" w:fill="auto"/>
            <w:noWrap/>
            <w:vAlign w:val="bottom"/>
            <w:hideMark/>
          </w:tcPr>
          <w:p w14:paraId="7476D074"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349 (43.5)</w:t>
            </w:r>
          </w:p>
        </w:tc>
        <w:tc>
          <w:tcPr>
            <w:tcW w:w="1276" w:type="dxa"/>
            <w:tcBorders>
              <w:top w:val="nil"/>
              <w:left w:val="nil"/>
              <w:bottom w:val="nil"/>
              <w:right w:val="nil"/>
            </w:tcBorders>
            <w:shd w:val="clear" w:color="auto" w:fill="auto"/>
            <w:noWrap/>
            <w:vAlign w:val="bottom"/>
            <w:hideMark/>
          </w:tcPr>
          <w:p w14:paraId="0D27D845"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391 (48.7)</w:t>
            </w:r>
          </w:p>
        </w:tc>
        <w:tc>
          <w:tcPr>
            <w:tcW w:w="1134" w:type="dxa"/>
            <w:tcBorders>
              <w:top w:val="nil"/>
              <w:left w:val="nil"/>
              <w:bottom w:val="nil"/>
              <w:right w:val="nil"/>
            </w:tcBorders>
            <w:shd w:val="clear" w:color="auto" w:fill="auto"/>
            <w:noWrap/>
            <w:vAlign w:val="bottom"/>
            <w:hideMark/>
          </w:tcPr>
          <w:p w14:paraId="4CA098B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241 (30.0)</w:t>
            </w:r>
          </w:p>
        </w:tc>
        <w:tc>
          <w:tcPr>
            <w:tcW w:w="1134" w:type="dxa"/>
            <w:tcBorders>
              <w:top w:val="nil"/>
              <w:left w:val="nil"/>
              <w:bottom w:val="nil"/>
              <w:right w:val="nil"/>
            </w:tcBorders>
            <w:shd w:val="clear" w:color="auto" w:fill="auto"/>
            <w:noWrap/>
            <w:vAlign w:val="bottom"/>
            <w:hideMark/>
          </w:tcPr>
          <w:p w14:paraId="480FB9E3"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106 (13.2)</w:t>
            </w:r>
          </w:p>
        </w:tc>
        <w:tc>
          <w:tcPr>
            <w:tcW w:w="850" w:type="dxa"/>
            <w:tcBorders>
              <w:top w:val="nil"/>
              <w:left w:val="nil"/>
              <w:bottom w:val="nil"/>
              <w:right w:val="nil"/>
            </w:tcBorders>
            <w:shd w:val="clear" w:color="auto" w:fill="auto"/>
            <w:noWrap/>
            <w:vAlign w:val="bottom"/>
            <w:hideMark/>
          </w:tcPr>
          <w:p w14:paraId="1E5B1AA6"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65 (8.1)</w:t>
            </w:r>
          </w:p>
        </w:tc>
        <w:tc>
          <w:tcPr>
            <w:tcW w:w="1560" w:type="dxa"/>
            <w:tcBorders>
              <w:top w:val="nil"/>
              <w:left w:val="nil"/>
              <w:bottom w:val="nil"/>
              <w:right w:val="nil"/>
            </w:tcBorders>
            <w:shd w:val="clear" w:color="auto" w:fill="auto"/>
            <w:noWrap/>
            <w:vAlign w:val="bottom"/>
            <w:hideMark/>
          </w:tcPr>
          <w:p w14:paraId="281A1C56"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177 (22.0)</w:t>
            </w:r>
          </w:p>
        </w:tc>
        <w:tc>
          <w:tcPr>
            <w:tcW w:w="1559" w:type="dxa"/>
            <w:tcBorders>
              <w:top w:val="nil"/>
              <w:left w:val="nil"/>
              <w:bottom w:val="nil"/>
              <w:right w:val="nil"/>
            </w:tcBorders>
            <w:shd w:val="clear" w:color="auto" w:fill="auto"/>
            <w:noWrap/>
            <w:vAlign w:val="bottom"/>
            <w:hideMark/>
          </w:tcPr>
          <w:p w14:paraId="0CBDD46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111 (13.8)</w:t>
            </w:r>
          </w:p>
        </w:tc>
        <w:tc>
          <w:tcPr>
            <w:tcW w:w="1134" w:type="dxa"/>
            <w:tcBorders>
              <w:top w:val="nil"/>
              <w:left w:val="nil"/>
              <w:bottom w:val="nil"/>
              <w:right w:val="single" w:sz="8" w:space="0" w:color="auto"/>
            </w:tcBorders>
            <w:shd w:val="clear" w:color="auto" w:fill="auto"/>
            <w:noWrap/>
            <w:vAlign w:val="bottom"/>
            <w:hideMark/>
          </w:tcPr>
          <w:p w14:paraId="698A3FFE"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803</w:t>
            </w:r>
          </w:p>
        </w:tc>
      </w:tr>
      <w:tr w:rsidR="0079486A" w:rsidRPr="0079486A" w14:paraId="7FEE2B33" w14:textId="77777777" w:rsidTr="00CF1808">
        <w:trPr>
          <w:trHeight w:val="315"/>
        </w:trPr>
        <w:tc>
          <w:tcPr>
            <w:tcW w:w="796" w:type="dxa"/>
            <w:tcBorders>
              <w:top w:val="nil"/>
              <w:left w:val="single" w:sz="8" w:space="0" w:color="auto"/>
              <w:bottom w:val="nil"/>
              <w:right w:val="nil"/>
            </w:tcBorders>
            <w:shd w:val="clear" w:color="auto" w:fill="auto"/>
            <w:noWrap/>
            <w:vAlign w:val="bottom"/>
            <w:hideMark/>
          </w:tcPr>
          <w:p w14:paraId="7E03B90B"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2009</w:t>
            </w:r>
          </w:p>
        </w:tc>
        <w:tc>
          <w:tcPr>
            <w:tcW w:w="1155" w:type="dxa"/>
            <w:tcBorders>
              <w:top w:val="nil"/>
              <w:left w:val="nil"/>
              <w:bottom w:val="nil"/>
              <w:right w:val="nil"/>
            </w:tcBorders>
            <w:shd w:val="clear" w:color="auto" w:fill="auto"/>
            <w:noWrap/>
            <w:vAlign w:val="bottom"/>
            <w:hideMark/>
          </w:tcPr>
          <w:p w14:paraId="6FDED9F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569 (75.1)</w:t>
            </w:r>
          </w:p>
        </w:tc>
        <w:tc>
          <w:tcPr>
            <w:tcW w:w="1134" w:type="dxa"/>
            <w:tcBorders>
              <w:top w:val="nil"/>
              <w:left w:val="nil"/>
              <w:bottom w:val="nil"/>
              <w:right w:val="nil"/>
            </w:tcBorders>
            <w:shd w:val="clear" w:color="auto" w:fill="auto"/>
            <w:noWrap/>
            <w:vAlign w:val="bottom"/>
            <w:hideMark/>
          </w:tcPr>
          <w:p w14:paraId="535E075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148 (19.5)</w:t>
            </w:r>
          </w:p>
        </w:tc>
        <w:tc>
          <w:tcPr>
            <w:tcW w:w="1134" w:type="dxa"/>
            <w:tcBorders>
              <w:top w:val="nil"/>
              <w:left w:val="nil"/>
              <w:bottom w:val="nil"/>
              <w:right w:val="nil"/>
            </w:tcBorders>
            <w:shd w:val="clear" w:color="auto" w:fill="auto"/>
            <w:noWrap/>
            <w:vAlign w:val="bottom"/>
            <w:hideMark/>
          </w:tcPr>
          <w:p w14:paraId="594C909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262 (34/6)</w:t>
            </w:r>
          </w:p>
        </w:tc>
        <w:tc>
          <w:tcPr>
            <w:tcW w:w="1134" w:type="dxa"/>
            <w:tcBorders>
              <w:top w:val="nil"/>
              <w:left w:val="nil"/>
              <w:bottom w:val="nil"/>
              <w:right w:val="nil"/>
            </w:tcBorders>
            <w:shd w:val="clear" w:color="auto" w:fill="auto"/>
            <w:noWrap/>
            <w:vAlign w:val="bottom"/>
            <w:hideMark/>
          </w:tcPr>
          <w:p w14:paraId="6954A21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348 (45.9)</w:t>
            </w:r>
          </w:p>
        </w:tc>
        <w:tc>
          <w:tcPr>
            <w:tcW w:w="1276" w:type="dxa"/>
            <w:tcBorders>
              <w:top w:val="nil"/>
              <w:left w:val="nil"/>
              <w:bottom w:val="nil"/>
              <w:right w:val="nil"/>
            </w:tcBorders>
            <w:shd w:val="clear" w:color="auto" w:fill="auto"/>
            <w:noWrap/>
            <w:vAlign w:val="bottom"/>
            <w:hideMark/>
          </w:tcPr>
          <w:p w14:paraId="6EDC0C86"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355 (46.8)</w:t>
            </w:r>
          </w:p>
        </w:tc>
        <w:tc>
          <w:tcPr>
            <w:tcW w:w="1134" w:type="dxa"/>
            <w:tcBorders>
              <w:top w:val="nil"/>
              <w:left w:val="nil"/>
              <w:bottom w:val="nil"/>
              <w:right w:val="nil"/>
            </w:tcBorders>
            <w:shd w:val="clear" w:color="auto" w:fill="auto"/>
            <w:noWrap/>
            <w:vAlign w:val="bottom"/>
            <w:hideMark/>
          </w:tcPr>
          <w:p w14:paraId="0AD9504B"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236 (31.1)</w:t>
            </w:r>
          </w:p>
        </w:tc>
        <w:tc>
          <w:tcPr>
            <w:tcW w:w="1134" w:type="dxa"/>
            <w:tcBorders>
              <w:top w:val="nil"/>
              <w:left w:val="nil"/>
              <w:bottom w:val="nil"/>
              <w:right w:val="nil"/>
            </w:tcBorders>
            <w:shd w:val="clear" w:color="auto" w:fill="auto"/>
            <w:noWrap/>
            <w:vAlign w:val="bottom"/>
            <w:hideMark/>
          </w:tcPr>
          <w:p w14:paraId="4DE9F80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109 (14.4)</w:t>
            </w:r>
          </w:p>
        </w:tc>
        <w:tc>
          <w:tcPr>
            <w:tcW w:w="850" w:type="dxa"/>
            <w:tcBorders>
              <w:top w:val="nil"/>
              <w:left w:val="nil"/>
              <w:bottom w:val="nil"/>
              <w:right w:val="nil"/>
            </w:tcBorders>
            <w:shd w:val="clear" w:color="auto" w:fill="auto"/>
            <w:noWrap/>
            <w:vAlign w:val="bottom"/>
            <w:hideMark/>
          </w:tcPr>
          <w:p w14:paraId="23DD19E2"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58 (7.7)</w:t>
            </w:r>
          </w:p>
        </w:tc>
        <w:tc>
          <w:tcPr>
            <w:tcW w:w="1560" w:type="dxa"/>
            <w:tcBorders>
              <w:top w:val="nil"/>
              <w:left w:val="nil"/>
              <w:bottom w:val="nil"/>
              <w:right w:val="nil"/>
            </w:tcBorders>
            <w:shd w:val="clear" w:color="auto" w:fill="auto"/>
            <w:noWrap/>
            <w:vAlign w:val="bottom"/>
            <w:hideMark/>
          </w:tcPr>
          <w:p w14:paraId="7436B7C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180 (23.8</w:t>
            </w:r>
          </w:p>
        </w:tc>
        <w:tc>
          <w:tcPr>
            <w:tcW w:w="1559" w:type="dxa"/>
            <w:tcBorders>
              <w:top w:val="nil"/>
              <w:left w:val="nil"/>
              <w:bottom w:val="nil"/>
              <w:right w:val="nil"/>
            </w:tcBorders>
            <w:shd w:val="clear" w:color="auto" w:fill="auto"/>
            <w:noWrap/>
            <w:vAlign w:val="bottom"/>
            <w:hideMark/>
          </w:tcPr>
          <w:p w14:paraId="72366FB1"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115 (15.2)</w:t>
            </w:r>
          </w:p>
        </w:tc>
        <w:tc>
          <w:tcPr>
            <w:tcW w:w="1134" w:type="dxa"/>
            <w:tcBorders>
              <w:top w:val="nil"/>
              <w:left w:val="nil"/>
              <w:bottom w:val="nil"/>
              <w:right w:val="single" w:sz="8" w:space="0" w:color="auto"/>
            </w:tcBorders>
            <w:shd w:val="clear" w:color="auto" w:fill="auto"/>
            <w:noWrap/>
            <w:vAlign w:val="bottom"/>
            <w:hideMark/>
          </w:tcPr>
          <w:p w14:paraId="2D67BDEE"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758</w:t>
            </w:r>
          </w:p>
        </w:tc>
      </w:tr>
      <w:tr w:rsidR="0079486A" w:rsidRPr="0079486A" w14:paraId="4646D70B" w14:textId="77777777" w:rsidTr="00CF1808">
        <w:trPr>
          <w:trHeight w:val="315"/>
        </w:trPr>
        <w:tc>
          <w:tcPr>
            <w:tcW w:w="796" w:type="dxa"/>
            <w:tcBorders>
              <w:top w:val="nil"/>
              <w:left w:val="single" w:sz="8" w:space="0" w:color="auto"/>
              <w:bottom w:val="nil"/>
              <w:right w:val="nil"/>
            </w:tcBorders>
            <w:shd w:val="clear" w:color="auto" w:fill="auto"/>
            <w:noWrap/>
            <w:vAlign w:val="bottom"/>
            <w:hideMark/>
          </w:tcPr>
          <w:p w14:paraId="6EFC3843"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2010</w:t>
            </w:r>
          </w:p>
        </w:tc>
        <w:tc>
          <w:tcPr>
            <w:tcW w:w="1155" w:type="dxa"/>
            <w:tcBorders>
              <w:top w:val="nil"/>
              <w:left w:val="nil"/>
              <w:bottom w:val="nil"/>
              <w:right w:val="nil"/>
            </w:tcBorders>
            <w:shd w:val="clear" w:color="auto" w:fill="auto"/>
            <w:noWrap/>
            <w:vAlign w:val="bottom"/>
            <w:hideMark/>
          </w:tcPr>
          <w:p w14:paraId="5D07628A"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534 (73.7)</w:t>
            </w:r>
          </w:p>
        </w:tc>
        <w:tc>
          <w:tcPr>
            <w:tcW w:w="1134" w:type="dxa"/>
            <w:tcBorders>
              <w:top w:val="nil"/>
              <w:left w:val="nil"/>
              <w:bottom w:val="nil"/>
              <w:right w:val="nil"/>
            </w:tcBorders>
            <w:shd w:val="clear" w:color="auto" w:fill="auto"/>
            <w:noWrap/>
            <w:vAlign w:val="bottom"/>
            <w:hideMark/>
          </w:tcPr>
          <w:p w14:paraId="7F5C403D"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145 (20.0)</w:t>
            </w:r>
          </w:p>
        </w:tc>
        <w:tc>
          <w:tcPr>
            <w:tcW w:w="1134" w:type="dxa"/>
            <w:tcBorders>
              <w:top w:val="nil"/>
              <w:left w:val="nil"/>
              <w:bottom w:val="nil"/>
              <w:right w:val="nil"/>
            </w:tcBorders>
            <w:shd w:val="clear" w:color="auto" w:fill="auto"/>
            <w:noWrap/>
            <w:vAlign w:val="bottom"/>
            <w:hideMark/>
          </w:tcPr>
          <w:p w14:paraId="11196AE2"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251 (34.6)</w:t>
            </w:r>
          </w:p>
        </w:tc>
        <w:tc>
          <w:tcPr>
            <w:tcW w:w="1134" w:type="dxa"/>
            <w:tcBorders>
              <w:top w:val="nil"/>
              <w:left w:val="nil"/>
              <w:bottom w:val="nil"/>
              <w:right w:val="nil"/>
            </w:tcBorders>
            <w:shd w:val="clear" w:color="auto" w:fill="auto"/>
            <w:noWrap/>
            <w:vAlign w:val="bottom"/>
            <w:hideMark/>
          </w:tcPr>
          <w:p w14:paraId="17262A5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329 (45.4)</w:t>
            </w:r>
          </w:p>
        </w:tc>
        <w:tc>
          <w:tcPr>
            <w:tcW w:w="1276" w:type="dxa"/>
            <w:tcBorders>
              <w:top w:val="nil"/>
              <w:left w:val="nil"/>
              <w:bottom w:val="nil"/>
              <w:right w:val="nil"/>
            </w:tcBorders>
            <w:shd w:val="clear" w:color="auto" w:fill="auto"/>
            <w:noWrap/>
            <w:vAlign w:val="bottom"/>
            <w:hideMark/>
          </w:tcPr>
          <w:p w14:paraId="2E33BF20"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312 (43.0)</w:t>
            </w:r>
          </w:p>
        </w:tc>
        <w:tc>
          <w:tcPr>
            <w:tcW w:w="1134" w:type="dxa"/>
            <w:tcBorders>
              <w:top w:val="nil"/>
              <w:left w:val="nil"/>
              <w:bottom w:val="nil"/>
              <w:right w:val="nil"/>
            </w:tcBorders>
            <w:shd w:val="clear" w:color="auto" w:fill="auto"/>
            <w:noWrap/>
            <w:vAlign w:val="bottom"/>
            <w:hideMark/>
          </w:tcPr>
          <w:p w14:paraId="1237EED7"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260 (35.9)</w:t>
            </w:r>
          </w:p>
        </w:tc>
        <w:tc>
          <w:tcPr>
            <w:tcW w:w="1134" w:type="dxa"/>
            <w:tcBorders>
              <w:top w:val="nil"/>
              <w:left w:val="nil"/>
              <w:bottom w:val="nil"/>
              <w:right w:val="nil"/>
            </w:tcBorders>
            <w:shd w:val="clear" w:color="auto" w:fill="auto"/>
            <w:noWrap/>
            <w:vAlign w:val="bottom"/>
            <w:hideMark/>
          </w:tcPr>
          <w:p w14:paraId="06D27B23"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102 (14.1)</w:t>
            </w:r>
          </w:p>
        </w:tc>
        <w:tc>
          <w:tcPr>
            <w:tcW w:w="850" w:type="dxa"/>
            <w:tcBorders>
              <w:top w:val="nil"/>
              <w:left w:val="nil"/>
              <w:bottom w:val="nil"/>
              <w:right w:val="nil"/>
            </w:tcBorders>
            <w:shd w:val="clear" w:color="auto" w:fill="auto"/>
            <w:noWrap/>
            <w:vAlign w:val="bottom"/>
            <w:hideMark/>
          </w:tcPr>
          <w:p w14:paraId="53CA96B3"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51 (7.0)</w:t>
            </w:r>
          </w:p>
        </w:tc>
        <w:tc>
          <w:tcPr>
            <w:tcW w:w="1560" w:type="dxa"/>
            <w:tcBorders>
              <w:top w:val="nil"/>
              <w:left w:val="nil"/>
              <w:bottom w:val="nil"/>
              <w:right w:val="nil"/>
            </w:tcBorders>
            <w:shd w:val="clear" w:color="auto" w:fill="auto"/>
            <w:noWrap/>
            <w:vAlign w:val="bottom"/>
            <w:hideMark/>
          </w:tcPr>
          <w:p w14:paraId="1E043895"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162 (22.3)</w:t>
            </w:r>
          </w:p>
        </w:tc>
        <w:tc>
          <w:tcPr>
            <w:tcW w:w="1559" w:type="dxa"/>
            <w:tcBorders>
              <w:top w:val="nil"/>
              <w:left w:val="nil"/>
              <w:bottom w:val="nil"/>
              <w:right w:val="nil"/>
            </w:tcBorders>
            <w:shd w:val="clear" w:color="auto" w:fill="auto"/>
            <w:noWrap/>
            <w:vAlign w:val="bottom"/>
            <w:hideMark/>
          </w:tcPr>
          <w:p w14:paraId="22FB60A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100 (13.8)</w:t>
            </w:r>
          </w:p>
        </w:tc>
        <w:tc>
          <w:tcPr>
            <w:tcW w:w="1134" w:type="dxa"/>
            <w:tcBorders>
              <w:top w:val="nil"/>
              <w:left w:val="nil"/>
              <w:bottom w:val="nil"/>
              <w:right w:val="single" w:sz="8" w:space="0" w:color="auto"/>
            </w:tcBorders>
            <w:shd w:val="clear" w:color="auto" w:fill="auto"/>
            <w:noWrap/>
            <w:vAlign w:val="bottom"/>
            <w:hideMark/>
          </w:tcPr>
          <w:p w14:paraId="20B7CD2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725</w:t>
            </w:r>
          </w:p>
        </w:tc>
      </w:tr>
      <w:tr w:rsidR="0079486A" w:rsidRPr="0079486A" w14:paraId="42E7B56D" w14:textId="77777777" w:rsidTr="00CF1808">
        <w:trPr>
          <w:trHeight w:val="315"/>
        </w:trPr>
        <w:tc>
          <w:tcPr>
            <w:tcW w:w="796" w:type="dxa"/>
            <w:tcBorders>
              <w:top w:val="nil"/>
              <w:left w:val="single" w:sz="8" w:space="0" w:color="auto"/>
              <w:bottom w:val="nil"/>
              <w:right w:val="nil"/>
            </w:tcBorders>
            <w:shd w:val="clear" w:color="auto" w:fill="auto"/>
            <w:noWrap/>
            <w:vAlign w:val="bottom"/>
            <w:hideMark/>
          </w:tcPr>
          <w:p w14:paraId="26B4947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2011</w:t>
            </w:r>
          </w:p>
        </w:tc>
        <w:tc>
          <w:tcPr>
            <w:tcW w:w="1155" w:type="dxa"/>
            <w:tcBorders>
              <w:top w:val="nil"/>
              <w:left w:val="nil"/>
              <w:bottom w:val="nil"/>
              <w:right w:val="nil"/>
            </w:tcBorders>
            <w:shd w:val="clear" w:color="auto" w:fill="auto"/>
            <w:noWrap/>
            <w:vAlign w:val="bottom"/>
            <w:hideMark/>
          </w:tcPr>
          <w:p w14:paraId="78B08067"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511 (76.4)</w:t>
            </w:r>
          </w:p>
        </w:tc>
        <w:tc>
          <w:tcPr>
            <w:tcW w:w="1134" w:type="dxa"/>
            <w:tcBorders>
              <w:top w:val="nil"/>
              <w:left w:val="nil"/>
              <w:bottom w:val="nil"/>
              <w:right w:val="nil"/>
            </w:tcBorders>
            <w:shd w:val="clear" w:color="auto" w:fill="auto"/>
            <w:noWrap/>
            <w:vAlign w:val="bottom"/>
            <w:hideMark/>
          </w:tcPr>
          <w:p w14:paraId="263AF431"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110 (16.4)</w:t>
            </w:r>
          </w:p>
        </w:tc>
        <w:tc>
          <w:tcPr>
            <w:tcW w:w="1134" w:type="dxa"/>
            <w:tcBorders>
              <w:top w:val="nil"/>
              <w:left w:val="nil"/>
              <w:bottom w:val="nil"/>
              <w:right w:val="nil"/>
            </w:tcBorders>
            <w:shd w:val="clear" w:color="auto" w:fill="auto"/>
            <w:noWrap/>
            <w:vAlign w:val="bottom"/>
            <w:hideMark/>
          </w:tcPr>
          <w:p w14:paraId="3EB6D08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249 (37.2)</w:t>
            </w:r>
          </w:p>
        </w:tc>
        <w:tc>
          <w:tcPr>
            <w:tcW w:w="1134" w:type="dxa"/>
            <w:tcBorders>
              <w:top w:val="nil"/>
              <w:left w:val="nil"/>
              <w:bottom w:val="nil"/>
              <w:right w:val="nil"/>
            </w:tcBorders>
            <w:shd w:val="clear" w:color="auto" w:fill="auto"/>
            <w:noWrap/>
            <w:vAlign w:val="bottom"/>
            <w:hideMark/>
          </w:tcPr>
          <w:p w14:paraId="066B4F0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310 (46.3)</w:t>
            </w:r>
          </w:p>
        </w:tc>
        <w:tc>
          <w:tcPr>
            <w:tcW w:w="1276" w:type="dxa"/>
            <w:tcBorders>
              <w:top w:val="nil"/>
              <w:left w:val="nil"/>
              <w:bottom w:val="nil"/>
              <w:right w:val="nil"/>
            </w:tcBorders>
            <w:shd w:val="clear" w:color="auto" w:fill="auto"/>
            <w:noWrap/>
            <w:vAlign w:val="bottom"/>
            <w:hideMark/>
          </w:tcPr>
          <w:p w14:paraId="5DC43E13"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294 (44.0)</w:t>
            </w:r>
          </w:p>
        </w:tc>
        <w:tc>
          <w:tcPr>
            <w:tcW w:w="1134" w:type="dxa"/>
            <w:tcBorders>
              <w:top w:val="nil"/>
              <w:left w:val="nil"/>
              <w:bottom w:val="nil"/>
              <w:right w:val="nil"/>
            </w:tcBorders>
            <w:shd w:val="clear" w:color="auto" w:fill="auto"/>
            <w:noWrap/>
            <w:vAlign w:val="bottom"/>
            <w:hideMark/>
          </w:tcPr>
          <w:p w14:paraId="4C8E3A04"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224 (33.5)</w:t>
            </w:r>
          </w:p>
        </w:tc>
        <w:tc>
          <w:tcPr>
            <w:tcW w:w="1134" w:type="dxa"/>
            <w:tcBorders>
              <w:top w:val="nil"/>
              <w:left w:val="nil"/>
              <w:bottom w:val="nil"/>
              <w:right w:val="nil"/>
            </w:tcBorders>
            <w:shd w:val="clear" w:color="auto" w:fill="auto"/>
            <w:noWrap/>
            <w:vAlign w:val="bottom"/>
            <w:hideMark/>
          </w:tcPr>
          <w:p w14:paraId="07548080"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103 (15.4)</w:t>
            </w:r>
          </w:p>
        </w:tc>
        <w:tc>
          <w:tcPr>
            <w:tcW w:w="850" w:type="dxa"/>
            <w:tcBorders>
              <w:top w:val="nil"/>
              <w:left w:val="nil"/>
              <w:bottom w:val="nil"/>
              <w:right w:val="nil"/>
            </w:tcBorders>
            <w:shd w:val="clear" w:color="auto" w:fill="auto"/>
            <w:noWrap/>
            <w:vAlign w:val="bottom"/>
            <w:hideMark/>
          </w:tcPr>
          <w:p w14:paraId="4FD26832"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48 (7.2)</w:t>
            </w:r>
          </w:p>
        </w:tc>
        <w:tc>
          <w:tcPr>
            <w:tcW w:w="1560" w:type="dxa"/>
            <w:tcBorders>
              <w:top w:val="nil"/>
              <w:left w:val="nil"/>
              <w:bottom w:val="nil"/>
              <w:right w:val="nil"/>
            </w:tcBorders>
            <w:shd w:val="clear" w:color="auto" w:fill="auto"/>
            <w:noWrap/>
            <w:vAlign w:val="bottom"/>
            <w:hideMark/>
          </w:tcPr>
          <w:p w14:paraId="55F41AC2"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147 (22.0)</w:t>
            </w:r>
          </w:p>
        </w:tc>
        <w:tc>
          <w:tcPr>
            <w:tcW w:w="1559" w:type="dxa"/>
            <w:tcBorders>
              <w:top w:val="nil"/>
              <w:left w:val="nil"/>
              <w:bottom w:val="nil"/>
              <w:right w:val="nil"/>
            </w:tcBorders>
            <w:shd w:val="clear" w:color="auto" w:fill="auto"/>
            <w:noWrap/>
            <w:vAlign w:val="bottom"/>
            <w:hideMark/>
          </w:tcPr>
          <w:p w14:paraId="10B36117"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87 (13.0)</w:t>
            </w:r>
          </w:p>
        </w:tc>
        <w:tc>
          <w:tcPr>
            <w:tcW w:w="1134" w:type="dxa"/>
            <w:tcBorders>
              <w:top w:val="nil"/>
              <w:left w:val="nil"/>
              <w:bottom w:val="nil"/>
              <w:right w:val="single" w:sz="8" w:space="0" w:color="auto"/>
            </w:tcBorders>
            <w:shd w:val="clear" w:color="auto" w:fill="auto"/>
            <w:noWrap/>
            <w:vAlign w:val="bottom"/>
            <w:hideMark/>
          </w:tcPr>
          <w:p w14:paraId="4CA07650"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669</w:t>
            </w:r>
          </w:p>
        </w:tc>
      </w:tr>
      <w:tr w:rsidR="0079486A" w:rsidRPr="0079486A" w14:paraId="106A2D8A" w14:textId="77777777" w:rsidTr="00CF1808">
        <w:trPr>
          <w:trHeight w:val="315"/>
        </w:trPr>
        <w:tc>
          <w:tcPr>
            <w:tcW w:w="796" w:type="dxa"/>
            <w:tcBorders>
              <w:top w:val="nil"/>
              <w:left w:val="single" w:sz="8" w:space="0" w:color="auto"/>
              <w:bottom w:val="nil"/>
              <w:right w:val="nil"/>
            </w:tcBorders>
            <w:shd w:val="clear" w:color="auto" w:fill="auto"/>
            <w:noWrap/>
            <w:vAlign w:val="bottom"/>
            <w:hideMark/>
          </w:tcPr>
          <w:p w14:paraId="4E27F2A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2012</w:t>
            </w:r>
          </w:p>
        </w:tc>
        <w:tc>
          <w:tcPr>
            <w:tcW w:w="1155" w:type="dxa"/>
            <w:tcBorders>
              <w:top w:val="nil"/>
              <w:left w:val="nil"/>
              <w:bottom w:val="nil"/>
              <w:right w:val="nil"/>
            </w:tcBorders>
            <w:shd w:val="clear" w:color="auto" w:fill="auto"/>
            <w:noWrap/>
            <w:vAlign w:val="bottom"/>
            <w:hideMark/>
          </w:tcPr>
          <w:p w14:paraId="6D96067A"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502 (74.3)</w:t>
            </w:r>
          </w:p>
        </w:tc>
        <w:tc>
          <w:tcPr>
            <w:tcW w:w="1134" w:type="dxa"/>
            <w:tcBorders>
              <w:top w:val="nil"/>
              <w:left w:val="nil"/>
              <w:bottom w:val="nil"/>
              <w:right w:val="nil"/>
            </w:tcBorders>
            <w:shd w:val="clear" w:color="auto" w:fill="auto"/>
            <w:noWrap/>
            <w:vAlign w:val="bottom"/>
            <w:hideMark/>
          </w:tcPr>
          <w:p w14:paraId="2F836D88"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114 (16.9)</w:t>
            </w:r>
          </w:p>
        </w:tc>
        <w:tc>
          <w:tcPr>
            <w:tcW w:w="1134" w:type="dxa"/>
            <w:tcBorders>
              <w:top w:val="nil"/>
              <w:left w:val="nil"/>
              <w:bottom w:val="nil"/>
              <w:right w:val="nil"/>
            </w:tcBorders>
            <w:shd w:val="clear" w:color="auto" w:fill="auto"/>
            <w:noWrap/>
            <w:vAlign w:val="bottom"/>
            <w:hideMark/>
          </w:tcPr>
          <w:p w14:paraId="600DD3F2"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242 (35.8)</w:t>
            </w:r>
          </w:p>
        </w:tc>
        <w:tc>
          <w:tcPr>
            <w:tcW w:w="1134" w:type="dxa"/>
            <w:tcBorders>
              <w:top w:val="nil"/>
              <w:left w:val="nil"/>
              <w:bottom w:val="nil"/>
              <w:right w:val="nil"/>
            </w:tcBorders>
            <w:shd w:val="clear" w:color="auto" w:fill="auto"/>
            <w:noWrap/>
            <w:vAlign w:val="bottom"/>
            <w:hideMark/>
          </w:tcPr>
          <w:p w14:paraId="0D88C714"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320 (47.3)</w:t>
            </w:r>
          </w:p>
        </w:tc>
        <w:tc>
          <w:tcPr>
            <w:tcW w:w="1276" w:type="dxa"/>
            <w:tcBorders>
              <w:top w:val="nil"/>
              <w:left w:val="nil"/>
              <w:bottom w:val="nil"/>
              <w:right w:val="nil"/>
            </w:tcBorders>
            <w:shd w:val="clear" w:color="auto" w:fill="auto"/>
            <w:noWrap/>
            <w:vAlign w:val="bottom"/>
            <w:hideMark/>
          </w:tcPr>
          <w:p w14:paraId="534A0DC6"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328 (48.5)</w:t>
            </w:r>
          </w:p>
        </w:tc>
        <w:tc>
          <w:tcPr>
            <w:tcW w:w="1134" w:type="dxa"/>
            <w:tcBorders>
              <w:top w:val="nil"/>
              <w:left w:val="nil"/>
              <w:bottom w:val="nil"/>
              <w:right w:val="nil"/>
            </w:tcBorders>
            <w:shd w:val="clear" w:color="auto" w:fill="auto"/>
            <w:noWrap/>
            <w:vAlign w:val="bottom"/>
            <w:hideMark/>
          </w:tcPr>
          <w:p w14:paraId="5AFF5805"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213 (31.5)</w:t>
            </w:r>
          </w:p>
        </w:tc>
        <w:tc>
          <w:tcPr>
            <w:tcW w:w="1134" w:type="dxa"/>
            <w:tcBorders>
              <w:top w:val="nil"/>
              <w:left w:val="nil"/>
              <w:bottom w:val="nil"/>
              <w:right w:val="nil"/>
            </w:tcBorders>
            <w:shd w:val="clear" w:color="auto" w:fill="auto"/>
            <w:noWrap/>
            <w:vAlign w:val="bottom"/>
            <w:hideMark/>
          </w:tcPr>
          <w:p w14:paraId="10E091A9"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90 (13.3)</w:t>
            </w:r>
          </w:p>
        </w:tc>
        <w:tc>
          <w:tcPr>
            <w:tcW w:w="850" w:type="dxa"/>
            <w:tcBorders>
              <w:top w:val="nil"/>
              <w:left w:val="nil"/>
              <w:bottom w:val="nil"/>
              <w:right w:val="nil"/>
            </w:tcBorders>
            <w:shd w:val="clear" w:color="auto" w:fill="auto"/>
            <w:noWrap/>
            <w:vAlign w:val="bottom"/>
            <w:hideMark/>
          </w:tcPr>
          <w:p w14:paraId="1240ABB5"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45 (6.7)</w:t>
            </w:r>
          </w:p>
        </w:tc>
        <w:tc>
          <w:tcPr>
            <w:tcW w:w="1560" w:type="dxa"/>
            <w:tcBorders>
              <w:top w:val="nil"/>
              <w:left w:val="nil"/>
              <w:bottom w:val="nil"/>
              <w:right w:val="nil"/>
            </w:tcBorders>
            <w:shd w:val="clear" w:color="auto" w:fill="auto"/>
            <w:noWrap/>
            <w:vAlign w:val="bottom"/>
            <w:hideMark/>
          </w:tcPr>
          <w:p w14:paraId="5607F1C7"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150 (22.2)</w:t>
            </w:r>
          </w:p>
        </w:tc>
        <w:tc>
          <w:tcPr>
            <w:tcW w:w="1559" w:type="dxa"/>
            <w:tcBorders>
              <w:top w:val="nil"/>
              <w:left w:val="nil"/>
              <w:bottom w:val="nil"/>
              <w:right w:val="nil"/>
            </w:tcBorders>
            <w:shd w:val="clear" w:color="auto" w:fill="auto"/>
            <w:noWrap/>
            <w:vAlign w:val="bottom"/>
            <w:hideMark/>
          </w:tcPr>
          <w:p w14:paraId="09D353E3"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85 (12.6)</w:t>
            </w:r>
          </w:p>
        </w:tc>
        <w:tc>
          <w:tcPr>
            <w:tcW w:w="1134" w:type="dxa"/>
            <w:tcBorders>
              <w:top w:val="nil"/>
              <w:left w:val="nil"/>
              <w:bottom w:val="nil"/>
              <w:right w:val="single" w:sz="8" w:space="0" w:color="auto"/>
            </w:tcBorders>
            <w:shd w:val="clear" w:color="auto" w:fill="auto"/>
            <w:noWrap/>
            <w:vAlign w:val="bottom"/>
            <w:hideMark/>
          </w:tcPr>
          <w:p w14:paraId="0B45D0DC"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676</w:t>
            </w:r>
          </w:p>
        </w:tc>
      </w:tr>
      <w:tr w:rsidR="0079486A" w:rsidRPr="0079486A" w14:paraId="25EAE0A3" w14:textId="77777777" w:rsidTr="00CF1808">
        <w:trPr>
          <w:trHeight w:val="330"/>
        </w:trPr>
        <w:tc>
          <w:tcPr>
            <w:tcW w:w="796" w:type="dxa"/>
            <w:tcBorders>
              <w:top w:val="nil"/>
              <w:left w:val="single" w:sz="8" w:space="0" w:color="auto"/>
              <w:bottom w:val="single" w:sz="8" w:space="0" w:color="auto"/>
              <w:right w:val="nil"/>
            </w:tcBorders>
            <w:shd w:val="clear" w:color="auto" w:fill="auto"/>
            <w:noWrap/>
            <w:vAlign w:val="bottom"/>
            <w:hideMark/>
          </w:tcPr>
          <w:p w14:paraId="5461C1A7"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Overall</w:t>
            </w:r>
          </w:p>
        </w:tc>
        <w:tc>
          <w:tcPr>
            <w:tcW w:w="1155" w:type="dxa"/>
            <w:tcBorders>
              <w:top w:val="nil"/>
              <w:left w:val="nil"/>
              <w:bottom w:val="single" w:sz="8" w:space="0" w:color="auto"/>
              <w:right w:val="nil"/>
            </w:tcBorders>
            <w:shd w:val="clear" w:color="auto" w:fill="auto"/>
            <w:noWrap/>
            <w:vAlign w:val="bottom"/>
            <w:hideMark/>
          </w:tcPr>
          <w:p w14:paraId="454EF830"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8,594 (76.4)</w:t>
            </w:r>
          </w:p>
        </w:tc>
        <w:tc>
          <w:tcPr>
            <w:tcW w:w="1134" w:type="dxa"/>
            <w:tcBorders>
              <w:top w:val="nil"/>
              <w:left w:val="nil"/>
              <w:bottom w:val="single" w:sz="8" w:space="0" w:color="auto"/>
              <w:right w:val="nil"/>
            </w:tcBorders>
            <w:shd w:val="clear" w:color="auto" w:fill="auto"/>
            <w:noWrap/>
            <w:vAlign w:val="bottom"/>
            <w:hideMark/>
          </w:tcPr>
          <w:p w14:paraId="01941F16"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2,000 (17.8)</w:t>
            </w:r>
          </w:p>
        </w:tc>
        <w:tc>
          <w:tcPr>
            <w:tcW w:w="1134" w:type="dxa"/>
            <w:tcBorders>
              <w:top w:val="nil"/>
              <w:left w:val="nil"/>
              <w:bottom w:val="single" w:sz="8" w:space="0" w:color="auto"/>
              <w:right w:val="nil"/>
            </w:tcBorders>
            <w:shd w:val="clear" w:color="auto" w:fill="auto"/>
            <w:noWrap/>
            <w:vAlign w:val="bottom"/>
            <w:hideMark/>
          </w:tcPr>
          <w:p w14:paraId="2A7933B5"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4,448 (39.6)</w:t>
            </w:r>
          </w:p>
        </w:tc>
        <w:tc>
          <w:tcPr>
            <w:tcW w:w="1134" w:type="dxa"/>
            <w:tcBorders>
              <w:top w:val="nil"/>
              <w:left w:val="nil"/>
              <w:bottom w:val="single" w:sz="8" w:space="0" w:color="auto"/>
              <w:right w:val="nil"/>
            </w:tcBorders>
            <w:shd w:val="clear" w:color="auto" w:fill="auto"/>
            <w:noWrap/>
            <w:vAlign w:val="bottom"/>
            <w:hideMark/>
          </w:tcPr>
          <w:p w14:paraId="06C180B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4,795 (42.7)</w:t>
            </w:r>
          </w:p>
        </w:tc>
        <w:tc>
          <w:tcPr>
            <w:tcW w:w="1276" w:type="dxa"/>
            <w:tcBorders>
              <w:top w:val="nil"/>
              <w:left w:val="nil"/>
              <w:bottom w:val="single" w:sz="8" w:space="0" w:color="auto"/>
              <w:right w:val="nil"/>
            </w:tcBorders>
            <w:shd w:val="clear" w:color="auto" w:fill="auto"/>
            <w:noWrap/>
            <w:vAlign w:val="bottom"/>
            <w:hideMark/>
          </w:tcPr>
          <w:p w14:paraId="4874E422"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5,853 (52.1)</w:t>
            </w:r>
          </w:p>
        </w:tc>
        <w:tc>
          <w:tcPr>
            <w:tcW w:w="1134" w:type="dxa"/>
            <w:tcBorders>
              <w:top w:val="nil"/>
              <w:left w:val="nil"/>
              <w:bottom w:val="single" w:sz="8" w:space="0" w:color="auto"/>
              <w:right w:val="nil"/>
            </w:tcBorders>
            <w:shd w:val="clear" w:color="auto" w:fill="auto"/>
            <w:noWrap/>
            <w:vAlign w:val="bottom"/>
            <w:hideMark/>
          </w:tcPr>
          <w:p w14:paraId="4760CC26"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3,596 (32.0)</w:t>
            </w:r>
          </w:p>
        </w:tc>
        <w:tc>
          <w:tcPr>
            <w:tcW w:w="1134" w:type="dxa"/>
            <w:tcBorders>
              <w:top w:val="nil"/>
              <w:left w:val="nil"/>
              <w:bottom w:val="single" w:sz="8" w:space="0" w:color="auto"/>
              <w:right w:val="nil"/>
            </w:tcBorders>
            <w:shd w:val="clear" w:color="auto" w:fill="auto"/>
            <w:noWrap/>
            <w:vAlign w:val="bottom"/>
            <w:hideMark/>
          </w:tcPr>
          <w:p w14:paraId="67849D3A"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1,190 (10.6)</w:t>
            </w:r>
          </w:p>
        </w:tc>
        <w:tc>
          <w:tcPr>
            <w:tcW w:w="850" w:type="dxa"/>
            <w:tcBorders>
              <w:top w:val="nil"/>
              <w:left w:val="nil"/>
              <w:bottom w:val="single" w:sz="8" w:space="0" w:color="auto"/>
              <w:right w:val="nil"/>
            </w:tcBorders>
            <w:shd w:val="clear" w:color="auto" w:fill="auto"/>
            <w:noWrap/>
            <w:vAlign w:val="bottom"/>
            <w:hideMark/>
          </w:tcPr>
          <w:p w14:paraId="6590A896"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604 (5.4)</w:t>
            </w:r>
          </w:p>
        </w:tc>
        <w:tc>
          <w:tcPr>
            <w:tcW w:w="1560" w:type="dxa"/>
            <w:tcBorders>
              <w:top w:val="nil"/>
              <w:left w:val="nil"/>
              <w:bottom w:val="single" w:sz="8" w:space="0" w:color="auto"/>
              <w:right w:val="nil"/>
            </w:tcBorders>
            <w:shd w:val="clear" w:color="auto" w:fill="auto"/>
            <w:noWrap/>
            <w:vAlign w:val="bottom"/>
            <w:hideMark/>
          </w:tcPr>
          <w:p w14:paraId="79A07F9F"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1,859 (16.5)</w:t>
            </w:r>
          </w:p>
        </w:tc>
        <w:tc>
          <w:tcPr>
            <w:tcW w:w="1559" w:type="dxa"/>
            <w:tcBorders>
              <w:top w:val="nil"/>
              <w:left w:val="nil"/>
              <w:bottom w:val="single" w:sz="8" w:space="0" w:color="auto"/>
              <w:right w:val="nil"/>
            </w:tcBorders>
            <w:shd w:val="clear" w:color="auto" w:fill="auto"/>
            <w:noWrap/>
            <w:vAlign w:val="bottom"/>
            <w:hideMark/>
          </w:tcPr>
          <w:p w14:paraId="1D4CDDA4"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1,147 (10.2)</w:t>
            </w:r>
          </w:p>
        </w:tc>
        <w:tc>
          <w:tcPr>
            <w:tcW w:w="1134" w:type="dxa"/>
            <w:tcBorders>
              <w:top w:val="nil"/>
              <w:left w:val="nil"/>
              <w:bottom w:val="single" w:sz="8" w:space="0" w:color="auto"/>
              <w:right w:val="single" w:sz="8" w:space="0" w:color="auto"/>
            </w:tcBorders>
            <w:shd w:val="clear" w:color="auto" w:fill="auto"/>
            <w:noWrap/>
            <w:vAlign w:val="bottom"/>
            <w:hideMark/>
          </w:tcPr>
          <w:p w14:paraId="28DF9F31" w14:textId="77777777" w:rsidR="0079486A" w:rsidRPr="0079486A" w:rsidRDefault="0079486A" w:rsidP="00E86771">
            <w:pPr>
              <w:spacing w:after="0" w:line="360" w:lineRule="auto"/>
              <w:jc w:val="center"/>
              <w:rPr>
                <w:rFonts w:eastAsia="Times New Roman"/>
                <w:color w:val="000000"/>
                <w:sz w:val="20"/>
                <w:szCs w:val="24"/>
                <w:lang w:eastAsia="en-GB"/>
              </w:rPr>
            </w:pPr>
            <w:r w:rsidRPr="0079486A">
              <w:rPr>
                <w:rFonts w:eastAsia="Times New Roman"/>
                <w:color w:val="000000"/>
                <w:sz w:val="20"/>
                <w:szCs w:val="24"/>
                <w:lang w:eastAsia="en-GB"/>
              </w:rPr>
              <w:t>11,243</w:t>
            </w:r>
          </w:p>
        </w:tc>
      </w:tr>
    </w:tbl>
    <w:p w14:paraId="3EB88BC8" w14:textId="77777777" w:rsidR="0079486A" w:rsidRDefault="0079486A" w:rsidP="00E86771">
      <w:pPr>
        <w:spacing w:line="360" w:lineRule="auto"/>
        <w:rPr>
          <w:lang w:eastAsia="x-none"/>
        </w:rPr>
      </w:pPr>
      <w:r>
        <w:rPr>
          <w:lang w:eastAsia="x-none"/>
        </w:rPr>
        <w:t>*financial years</w:t>
      </w:r>
    </w:p>
    <w:p w14:paraId="48D744D5" w14:textId="77777777" w:rsidR="0079486A" w:rsidRDefault="0079486A" w:rsidP="00E86771">
      <w:pPr>
        <w:spacing w:line="360" w:lineRule="auto"/>
        <w:rPr>
          <w:lang w:eastAsia="x-none"/>
        </w:rPr>
      </w:pPr>
      <w:r>
        <w:rPr>
          <w:lang w:eastAsia="x-none"/>
        </w:rPr>
        <w:t>** prior bisphosphonate use defined as &gt;=1 prescription in previous 6 months</w:t>
      </w:r>
    </w:p>
    <w:p w14:paraId="05787CAB" w14:textId="77777777" w:rsidR="0079486A" w:rsidRDefault="0079486A" w:rsidP="00E86771">
      <w:pPr>
        <w:spacing w:line="360" w:lineRule="auto"/>
        <w:rPr>
          <w:lang w:eastAsia="x-none"/>
        </w:rPr>
      </w:pPr>
      <w:r>
        <w:rPr>
          <w:rFonts w:ascii="Cambria Math" w:hAnsi="Cambria Math" w:cs="Cambria Math"/>
          <w:lang w:eastAsia="x-none"/>
        </w:rPr>
        <w:t>∧</w:t>
      </w:r>
      <w:r>
        <w:rPr>
          <w:lang w:eastAsia="x-none"/>
        </w:rPr>
        <w:t xml:space="preserve"> based on months April-Sept 2013</w:t>
      </w:r>
    </w:p>
    <w:tbl>
      <w:tblPr>
        <w:tblpPr w:leftFromText="180" w:rightFromText="180" w:vertAnchor="page" w:horzAnchor="margin" w:tblpY="2192"/>
        <w:tblW w:w="14049" w:type="dxa"/>
        <w:tblLook w:val="04A0" w:firstRow="1" w:lastRow="0" w:firstColumn="1" w:lastColumn="0" w:noHBand="0" w:noVBand="1"/>
      </w:tblPr>
      <w:tblGrid>
        <w:gridCol w:w="820"/>
        <w:gridCol w:w="1322"/>
        <w:gridCol w:w="1134"/>
        <w:gridCol w:w="1275"/>
        <w:gridCol w:w="1134"/>
        <w:gridCol w:w="1276"/>
        <w:gridCol w:w="1134"/>
        <w:gridCol w:w="1134"/>
        <w:gridCol w:w="992"/>
        <w:gridCol w:w="1526"/>
        <w:gridCol w:w="1526"/>
        <w:gridCol w:w="776"/>
      </w:tblGrid>
      <w:tr w:rsidR="00866F8C" w:rsidRPr="00591BFC" w14:paraId="2149857E" w14:textId="77777777" w:rsidTr="00866F8C">
        <w:trPr>
          <w:trHeight w:val="600"/>
        </w:trPr>
        <w:tc>
          <w:tcPr>
            <w:tcW w:w="820"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A53651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lastRenderedPageBreak/>
              <w:t>Year*</w:t>
            </w:r>
          </w:p>
        </w:tc>
        <w:tc>
          <w:tcPr>
            <w:tcW w:w="13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5918D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Gender     (% female)</w:t>
            </w:r>
          </w:p>
        </w:tc>
        <w:tc>
          <w:tcPr>
            <w:tcW w:w="35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19C319"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Age (%)</w:t>
            </w:r>
          </w:p>
        </w:tc>
        <w:tc>
          <w:tcPr>
            <w:tcW w:w="45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445E6056" w14:textId="28A82E5F"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Cha</w:t>
            </w:r>
            <w:r w:rsidR="0087597D">
              <w:rPr>
                <w:rFonts w:eastAsia="Times New Roman"/>
                <w:color w:val="000000"/>
                <w:sz w:val="18"/>
                <w:szCs w:val="20"/>
                <w:lang w:eastAsia="en-GB"/>
              </w:rPr>
              <w:t>r</w:t>
            </w:r>
            <w:r w:rsidRPr="00866F8C">
              <w:rPr>
                <w:rFonts w:eastAsia="Times New Roman"/>
                <w:color w:val="000000"/>
                <w:sz w:val="18"/>
                <w:szCs w:val="20"/>
                <w:lang w:eastAsia="en-GB"/>
              </w:rPr>
              <w:t>lson Comorbidities</w:t>
            </w:r>
          </w:p>
        </w:tc>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29D4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Prior Bisphosphonate use (ever)</w:t>
            </w:r>
          </w:p>
        </w:tc>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799FEA"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Prior Bisphosphonate use**</w:t>
            </w:r>
          </w:p>
        </w:tc>
        <w:tc>
          <w:tcPr>
            <w:tcW w:w="776" w:type="dxa"/>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4F8A11D"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Total</w:t>
            </w:r>
          </w:p>
        </w:tc>
      </w:tr>
      <w:tr w:rsidR="00866F8C" w:rsidRPr="00591BFC" w14:paraId="184FD990" w14:textId="77777777" w:rsidTr="00866F8C">
        <w:trPr>
          <w:trHeight w:val="330"/>
        </w:trPr>
        <w:tc>
          <w:tcPr>
            <w:tcW w:w="820" w:type="dxa"/>
            <w:vMerge/>
            <w:tcBorders>
              <w:top w:val="nil"/>
              <w:left w:val="single" w:sz="8" w:space="0" w:color="auto"/>
              <w:bottom w:val="single" w:sz="4" w:space="0" w:color="auto"/>
              <w:right w:val="single" w:sz="4" w:space="0" w:color="auto"/>
            </w:tcBorders>
            <w:vAlign w:val="center"/>
            <w:hideMark/>
          </w:tcPr>
          <w:p w14:paraId="1C92EFD8" w14:textId="77777777" w:rsidR="00866F8C" w:rsidRPr="00866F8C" w:rsidRDefault="00866F8C" w:rsidP="00866F8C">
            <w:pPr>
              <w:spacing w:after="0" w:line="360" w:lineRule="auto"/>
              <w:rPr>
                <w:rFonts w:eastAsia="Times New Roman"/>
                <w:color w:val="000000"/>
                <w:sz w:val="18"/>
                <w:szCs w:val="20"/>
                <w:lang w:eastAsia="en-GB"/>
              </w:rPr>
            </w:pPr>
          </w:p>
        </w:tc>
        <w:tc>
          <w:tcPr>
            <w:tcW w:w="1322" w:type="dxa"/>
            <w:vMerge/>
            <w:tcBorders>
              <w:top w:val="nil"/>
              <w:left w:val="single" w:sz="4" w:space="0" w:color="auto"/>
              <w:bottom w:val="single" w:sz="4" w:space="0" w:color="auto"/>
              <w:right w:val="single" w:sz="4" w:space="0" w:color="auto"/>
            </w:tcBorders>
            <w:vAlign w:val="center"/>
            <w:hideMark/>
          </w:tcPr>
          <w:p w14:paraId="4C07E65E" w14:textId="77777777" w:rsidR="00866F8C" w:rsidRPr="00866F8C" w:rsidRDefault="00866F8C" w:rsidP="00866F8C">
            <w:pPr>
              <w:spacing w:after="0" w:line="360" w:lineRule="auto"/>
              <w:rPr>
                <w:rFonts w:eastAsia="Times New Roman"/>
                <w:color w:val="000000"/>
                <w:sz w:val="18"/>
                <w:szCs w:val="20"/>
                <w:lang w:eastAsia="en-GB"/>
              </w:rPr>
            </w:pPr>
          </w:p>
        </w:tc>
        <w:tc>
          <w:tcPr>
            <w:tcW w:w="1134" w:type="dxa"/>
            <w:tcBorders>
              <w:top w:val="nil"/>
              <w:left w:val="nil"/>
              <w:bottom w:val="nil"/>
              <w:right w:val="single" w:sz="4" w:space="0" w:color="auto"/>
            </w:tcBorders>
            <w:shd w:val="clear" w:color="auto" w:fill="auto"/>
            <w:noWrap/>
            <w:vAlign w:val="center"/>
            <w:hideMark/>
          </w:tcPr>
          <w:p w14:paraId="661D872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60-74</w:t>
            </w:r>
          </w:p>
        </w:tc>
        <w:tc>
          <w:tcPr>
            <w:tcW w:w="1275" w:type="dxa"/>
            <w:tcBorders>
              <w:top w:val="nil"/>
              <w:left w:val="nil"/>
              <w:bottom w:val="nil"/>
              <w:right w:val="single" w:sz="4" w:space="0" w:color="auto"/>
            </w:tcBorders>
            <w:shd w:val="clear" w:color="auto" w:fill="auto"/>
            <w:noWrap/>
            <w:vAlign w:val="center"/>
            <w:hideMark/>
          </w:tcPr>
          <w:p w14:paraId="15D5D4CF"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75-84</w:t>
            </w:r>
          </w:p>
        </w:tc>
        <w:tc>
          <w:tcPr>
            <w:tcW w:w="1134" w:type="dxa"/>
            <w:tcBorders>
              <w:top w:val="nil"/>
              <w:left w:val="nil"/>
              <w:bottom w:val="nil"/>
              <w:right w:val="single" w:sz="4" w:space="0" w:color="auto"/>
            </w:tcBorders>
            <w:shd w:val="clear" w:color="auto" w:fill="auto"/>
            <w:noWrap/>
            <w:vAlign w:val="center"/>
            <w:hideMark/>
          </w:tcPr>
          <w:p w14:paraId="4751B82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≥85</w:t>
            </w:r>
          </w:p>
        </w:tc>
        <w:tc>
          <w:tcPr>
            <w:tcW w:w="1276" w:type="dxa"/>
            <w:tcBorders>
              <w:top w:val="nil"/>
              <w:left w:val="nil"/>
              <w:bottom w:val="nil"/>
              <w:right w:val="single" w:sz="4" w:space="0" w:color="auto"/>
            </w:tcBorders>
            <w:shd w:val="clear" w:color="auto" w:fill="auto"/>
            <w:noWrap/>
            <w:vAlign w:val="center"/>
            <w:hideMark/>
          </w:tcPr>
          <w:p w14:paraId="25139248"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None</w:t>
            </w:r>
          </w:p>
        </w:tc>
        <w:tc>
          <w:tcPr>
            <w:tcW w:w="1134" w:type="dxa"/>
            <w:tcBorders>
              <w:top w:val="nil"/>
              <w:left w:val="nil"/>
              <w:bottom w:val="nil"/>
              <w:right w:val="single" w:sz="4" w:space="0" w:color="auto"/>
            </w:tcBorders>
            <w:shd w:val="clear" w:color="auto" w:fill="auto"/>
            <w:noWrap/>
            <w:vAlign w:val="center"/>
            <w:hideMark/>
          </w:tcPr>
          <w:p w14:paraId="7ADF9843"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Mild</w:t>
            </w:r>
          </w:p>
        </w:tc>
        <w:tc>
          <w:tcPr>
            <w:tcW w:w="1134" w:type="dxa"/>
            <w:tcBorders>
              <w:top w:val="nil"/>
              <w:left w:val="nil"/>
              <w:bottom w:val="nil"/>
              <w:right w:val="single" w:sz="4" w:space="0" w:color="auto"/>
            </w:tcBorders>
            <w:shd w:val="clear" w:color="auto" w:fill="auto"/>
            <w:noWrap/>
            <w:vAlign w:val="center"/>
            <w:hideMark/>
          </w:tcPr>
          <w:p w14:paraId="6EE146CF"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Moderate</w:t>
            </w:r>
          </w:p>
        </w:tc>
        <w:tc>
          <w:tcPr>
            <w:tcW w:w="992" w:type="dxa"/>
            <w:tcBorders>
              <w:top w:val="nil"/>
              <w:left w:val="nil"/>
              <w:bottom w:val="nil"/>
              <w:right w:val="single" w:sz="4" w:space="0" w:color="auto"/>
            </w:tcBorders>
            <w:shd w:val="clear" w:color="auto" w:fill="auto"/>
            <w:noWrap/>
            <w:vAlign w:val="center"/>
            <w:hideMark/>
          </w:tcPr>
          <w:p w14:paraId="536678CC"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Severe</w:t>
            </w:r>
          </w:p>
        </w:tc>
        <w:tc>
          <w:tcPr>
            <w:tcW w:w="1526" w:type="dxa"/>
            <w:vMerge/>
            <w:tcBorders>
              <w:top w:val="nil"/>
              <w:left w:val="single" w:sz="4" w:space="0" w:color="auto"/>
              <w:bottom w:val="single" w:sz="4" w:space="0" w:color="auto"/>
              <w:right w:val="single" w:sz="4" w:space="0" w:color="auto"/>
            </w:tcBorders>
            <w:vAlign w:val="center"/>
            <w:hideMark/>
          </w:tcPr>
          <w:p w14:paraId="1D34FEDB" w14:textId="77777777" w:rsidR="00866F8C" w:rsidRPr="00866F8C" w:rsidRDefault="00866F8C" w:rsidP="00866F8C">
            <w:pPr>
              <w:spacing w:after="0" w:line="360" w:lineRule="auto"/>
              <w:rPr>
                <w:rFonts w:eastAsia="Times New Roman"/>
                <w:color w:val="000000"/>
                <w:sz w:val="18"/>
                <w:szCs w:val="20"/>
                <w:lang w:eastAsia="en-GB"/>
              </w:rPr>
            </w:pPr>
          </w:p>
        </w:tc>
        <w:tc>
          <w:tcPr>
            <w:tcW w:w="1526" w:type="dxa"/>
            <w:vMerge/>
            <w:tcBorders>
              <w:top w:val="nil"/>
              <w:left w:val="single" w:sz="4" w:space="0" w:color="auto"/>
              <w:bottom w:val="single" w:sz="4" w:space="0" w:color="auto"/>
              <w:right w:val="single" w:sz="4" w:space="0" w:color="auto"/>
            </w:tcBorders>
            <w:vAlign w:val="center"/>
            <w:hideMark/>
          </w:tcPr>
          <w:p w14:paraId="1521DBBF" w14:textId="77777777" w:rsidR="00866F8C" w:rsidRPr="00866F8C" w:rsidRDefault="00866F8C" w:rsidP="00866F8C">
            <w:pPr>
              <w:spacing w:after="0" w:line="360" w:lineRule="auto"/>
              <w:rPr>
                <w:rFonts w:eastAsia="Times New Roman"/>
                <w:color w:val="000000"/>
                <w:sz w:val="18"/>
                <w:szCs w:val="20"/>
                <w:lang w:eastAsia="en-GB"/>
              </w:rPr>
            </w:pPr>
          </w:p>
        </w:tc>
        <w:tc>
          <w:tcPr>
            <w:tcW w:w="776" w:type="dxa"/>
            <w:vMerge/>
            <w:tcBorders>
              <w:top w:val="nil"/>
              <w:left w:val="single" w:sz="4" w:space="0" w:color="auto"/>
              <w:bottom w:val="single" w:sz="4" w:space="0" w:color="auto"/>
              <w:right w:val="single" w:sz="8" w:space="0" w:color="auto"/>
            </w:tcBorders>
            <w:vAlign w:val="center"/>
            <w:hideMark/>
          </w:tcPr>
          <w:p w14:paraId="4EF7ED1A" w14:textId="77777777" w:rsidR="00866F8C" w:rsidRPr="00866F8C" w:rsidRDefault="00866F8C" w:rsidP="00866F8C">
            <w:pPr>
              <w:spacing w:after="0" w:line="360" w:lineRule="auto"/>
              <w:rPr>
                <w:rFonts w:eastAsia="Times New Roman"/>
                <w:color w:val="000000"/>
                <w:sz w:val="18"/>
                <w:szCs w:val="20"/>
                <w:lang w:eastAsia="en-GB"/>
              </w:rPr>
            </w:pPr>
          </w:p>
        </w:tc>
      </w:tr>
      <w:tr w:rsidR="00866F8C" w:rsidRPr="00591BFC" w14:paraId="7EC31159" w14:textId="77777777" w:rsidTr="00866F8C">
        <w:trPr>
          <w:trHeight w:val="315"/>
        </w:trPr>
        <w:tc>
          <w:tcPr>
            <w:tcW w:w="820" w:type="dxa"/>
            <w:tcBorders>
              <w:top w:val="single" w:sz="8" w:space="0" w:color="auto"/>
              <w:left w:val="single" w:sz="8" w:space="0" w:color="auto"/>
              <w:bottom w:val="nil"/>
              <w:right w:val="nil"/>
            </w:tcBorders>
            <w:shd w:val="clear" w:color="auto" w:fill="auto"/>
            <w:noWrap/>
            <w:vAlign w:val="bottom"/>
            <w:hideMark/>
          </w:tcPr>
          <w:p w14:paraId="4A5A17F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1999</w:t>
            </w:r>
          </w:p>
        </w:tc>
        <w:tc>
          <w:tcPr>
            <w:tcW w:w="1322" w:type="dxa"/>
            <w:tcBorders>
              <w:top w:val="single" w:sz="8" w:space="0" w:color="auto"/>
              <w:left w:val="nil"/>
              <w:bottom w:val="nil"/>
              <w:right w:val="nil"/>
            </w:tcBorders>
            <w:shd w:val="clear" w:color="auto" w:fill="auto"/>
            <w:noWrap/>
            <w:vAlign w:val="bottom"/>
            <w:hideMark/>
          </w:tcPr>
          <w:p w14:paraId="7D574B54"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1,292 (78.3)</w:t>
            </w:r>
          </w:p>
        </w:tc>
        <w:tc>
          <w:tcPr>
            <w:tcW w:w="1134" w:type="dxa"/>
            <w:tcBorders>
              <w:top w:val="single" w:sz="8" w:space="0" w:color="auto"/>
              <w:left w:val="nil"/>
              <w:bottom w:val="nil"/>
              <w:right w:val="nil"/>
            </w:tcBorders>
            <w:shd w:val="clear" w:color="auto" w:fill="auto"/>
            <w:noWrap/>
            <w:vAlign w:val="bottom"/>
            <w:hideMark/>
          </w:tcPr>
          <w:p w14:paraId="18F1D07A"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298 (18.1)</w:t>
            </w:r>
          </w:p>
        </w:tc>
        <w:tc>
          <w:tcPr>
            <w:tcW w:w="1275" w:type="dxa"/>
            <w:tcBorders>
              <w:top w:val="single" w:sz="8" w:space="0" w:color="auto"/>
              <w:left w:val="nil"/>
              <w:bottom w:val="nil"/>
              <w:right w:val="nil"/>
            </w:tcBorders>
            <w:shd w:val="clear" w:color="auto" w:fill="auto"/>
            <w:noWrap/>
            <w:vAlign w:val="bottom"/>
            <w:hideMark/>
          </w:tcPr>
          <w:p w14:paraId="0FD78EA6"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701 (42.5)</w:t>
            </w:r>
          </w:p>
        </w:tc>
        <w:tc>
          <w:tcPr>
            <w:tcW w:w="1134" w:type="dxa"/>
            <w:tcBorders>
              <w:top w:val="single" w:sz="8" w:space="0" w:color="auto"/>
              <w:left w:val="nil"/>
              <w:bottom w:val="nil"/>
              <w:right w:val="nil"/>
            </w:tcBorders>
            <w:shd w:val="clear" w:color="auto" w:fill="auto"/>
            <w:noWrap/>
            <w:vAlign w:val="bottom"/>
            <w:hideMark/>
          </w:tcPr>
          <w:p w14:paraId="5B881DD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652 (39.5)</w:t>
            </w:r>
          </w:p>
        </w:tc>
        <w:tc>
          <w:tcPr>
            <w:tcW w:w="1276" w:type="dxa"/>
            <w:tcBorders>
              <w:top w:val="single" w:sz="8" w:space="0" w:color="auto"/>
              <w:left w:val="nil"/>
              <w:bottom w:val="nil"/>
              <w:right w:val="nil"/>
            </w:tcBorders>
            <w:shd w:val="clear" w:color="auto" w:fill="auto"/>
            <w:noWrap/>
            <w:vAlign w:val="bottom"/>
            <w:hideMark/>
          </w:tcPr>
          <w:p w14:paraId="0FEEA3E5"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1,011 (61.2)</w:t>
            </w:r>
          </w:p>
        </w:tc>
        <w:tc>
          <w:tcPr>
            <w:tcW w:w="1134" w:type="dxa"/>
            <w:tcBorders>
              <w:top w:val="single" w:sz="8" w:space="0" w:color="auto"/>
              <w:left w:val="nil"/>
              <w:bottom w:val="nil"/>
              <w:right w:val="nil"/>
            </w:tcBorders>
            <w:shd w:val="clear" w:color="auto" w:fill="auto"/>
            <w:noWrap/>
            <w:vAlign w:val="bottom"/>
            <w:hideMark/>
          </w:tcPr>
          <w:p w14:paraId="51123E4A"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495 (30.0)</w:t>
            </w:r>
          </w:p>
        </w:tc>
        <w:tc>
          <w:tcPr>
            <w:tcW w:w="1134" w:type="dxa"/>
            <w:tcBorders>
              <w:top w:val="single" w:sz="8" w:space="0" w:color="auto"/>
              <w:left w:val="nil"/>
              <w:bottom w:val="nil"/>
              <w:right w:val="nil"/>
            </w:tcBorders>
            <w:shd w:val="clear" w:color="auto" w:fill="auto"/>
            <w:noWrap/>
            <w:vAlign w:val="bottom"/>
            <w:hideMark/>
          </w:tcPr>
          <w:p w14:paraId="43EC7C44"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107 (6.5)</w:t>
            </w:r>
          </w:p>
        </w:tc>
        <w:tc>
          <w:tcPr>
            <w:tcW w:w="992" w:type="dxa"/>
            <w:tcBorders>
              <w:top w:val="single" w:sz="8" w:space="0" w:color="auto"/>
              <w:left w:val="nil"/>
              <w:bottom w:val="nil"/>
              <w:right w:val="nil"/>
            </w:tcBorders>
            <w:shd w:val="clear" w:color="auto" w:fill="auto"/>
            <w:noWrap/>
            <w:vAlign w:val="bottom"/>
            <w:hideMark/>
          </w:tcPr>
          <w:p w14:paraId="62681F4F"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38 (2.3)</w:t>
            </w:r>
          </w:p>
        </w:tc>
        <w:tc>
          <w:tcPr>
            <w:tcW w:w="1526" w:type="dxa"/>
            <w:tcBorders>
              <w:top w:val="single" w:sz="8" w:space="0" w:color="auto"/>
              <w:left w:val="nil"/>
              <w:bottom w:val="nil"/>
              <w:right w:val="nil"/>
            </w:tcBorders>
            <w:shd w:val="clear" w:color="auto" w:fill="auto"/>
            <w:noWrap/>
            <w:vAlign w:val="bottom"/>
            <w:hideMark/>
          </w:tcPr>
          <w:p w14:paraId="4F85F509"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75 (4.5)</w:t>
            </w:r>
          </w:p>
        </w:tc>
        <w:tc>
          <w:tcPr>
            <w:tcW w:w="1526" w:type="dxa"/>
            <w:tcBorders>
              <w:top w:val="single" w:sz="8" w:space="0" w:color="auto"/>
              <w:left w:val="nil"/>
              <w:bottom w:val="nil"/>
              <w:right w:val="nil"/>
            </w:tcBorders>
            <w:shd w:val="clear" w:color="auto" w:fill="auto"/>
            <w:noWrap/>
            <w:vAlign w:val="bottom"/>
            <w:hideMark/>
          </w:tcPr>
          <w:p w14:paraId="61164437"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44 (2.7)</w:t>
            </w:r>
          </w:p>
        </w:tc>
        <w:tc>
          <w:tcPr>
            <w:tcW w:w="776" w:type="dxa"/>
            <w:tcBorders>
              <w:top w:val="single" w:sz="8" w:space="0" w:color="auto"/>
              <w:left w:val="nil"/>
              <w:bottom w:val="nil"/>
              <w:right w:val="single" w:sz="8" w:space="0" w:color="auto"/>
            </w:tcBorders>
            <w:shd w:val="clear" w:color="auto" w:fill="auto"/>
            <w:noWrap/>
            <w:vAlign w:val="bottom"/>
            <w:hideMark/>
          </w:tcPr>
          <w:p w14:paraId="2E43EC0A"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1,651</w:t>
            </w:r>
          </w:p>
        </w:tc>
      </w:tr>
      <w:tr w:rsidR="00866F8C" w:rsidRPr="00591BFC" w14:paraId="769774A1" w14:textId="77777777" w:rsidTr="00866F8C">
        <w:trPr>
          <w:trHeight w:val="315"/>
        </w:trPr>
        <w:tc>
          <w:tcPr>
            <w:tcW w:w="820" w:type="dxa"/>
            <w:tcBorders>
              <w:top w:val="nil"/>
              <w:left w:val="single" w:sz="8" w:space="0" w:color="auto"/>
              <w:bottom w:val="nil"/>
              <w:right w:val="nil"/>
            </w:tcBorders>
            <w:shd w:val="clear" w:color="auto" w:fill="auto"/>
            <w:noWrap/>
            <w:vAlign w:val="bottom"/>
            <w:hideMark/>
          </w:tcPr>
          <w:p w14:paraId="1C7D7BBF"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2000</w:t>
            </w:r>
          </w:p>
        </w:tc>
        <w:tc>
          <w:tcPr>
            <w:tcW w:w="1322" w:type="dxa"/>
            <w:tcBorders>
              <w:top w:val="nil"/>
              <w:left w:val="nil"/>
              <w:bottom w:val="nil"/>
              <w:right w:val="nil"/>
            </w:tcBorders>
            <w:shd w:val="clear" w:color="auto" w:fill="auto"/>
            <w:noWrap/>
            <w:vAlign w:val="bottom"/>
            <w:hideMark/>
          </w:tcPr>
          <w:p w14:paraId="1500FDF8"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1,314 (79.4)</w:t>
            </w:r>
          </w:p>
        </w:tc>
        <w:tc>
          <w:tcPr>
            <w:tcW w:w="1134" w:type="dxa"/>
            <w:tcBorders>
              <w:top w:val="nil"/>
              <w:left w:val="nil"/>
              <w:bottom w:val="nil"/>
              <w:right w:val="nil"/>
            </w:tcBorders>
            <w:shd w:val="clear" w:color="auto" w:fill="auto"/>
            <w:noWrap/>
            <w:vAlign w:val="bottom"/>
            <w:hideMark/>
          </w:tcPr>
          <w:p w14:paraId="621BD3A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312 (18.9)</w:t>
            </w:r>
          </w:p>
        </w:tc>
        <w:tc>
          <w:tcPr>
            <w:tcW w:w="1275" w:type="dxa"/>
            <w:tcBorders>
              <w:top w:val="nil"/>
              <w:left w:val="nil"/>
              <w:bottom w:val="nil"/>
              <w:right w:val="nil"/>
            </w:tcBorders>
            <w:shd w:val="clear" w:color="auto" w:fill="auto"/>
            <w:noWrap/>
            <w:vAlign w:val="bottom"/>
            <w:hideMark/>
          </w:tcPr>
          <w:p w14:paraId="6094AA14"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673 (40.7)</w:t>
            </w:r>
          </w:p>
        </w:tc>
        <w:tc>
          <w:tcPr>
            <w:tcW w:w="1134" w:type="dxa"/>
            <w:tcBorders>
              <w:top w:val="nil"/>
              <w:left w:val="nil"/>
              <w:bottom w:val="nil"/>
              <w:right w:val="nil"/>
            </w:tcBorders>
            <w:shd w:val="clear" w:color="auto" w:fill="auto"/>
            <w:noWrap/>
            <w:vAlign w:val="bottom"/>
            <w:hideMark/>
          </w:tcPr>
          <w:p w14:paraId="424DA25F"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670 (40.5)</w:t>
            </w:r>
          </w:p>
        </w:tc>
        <w:tc>
          <w:tcPr>
            <w:tcW w:w="1276" w:type="dxa"/>
            <w:tcBorders>
              <w:top w:val="nil"/>
              <w:left w:val="nil"/>
              <w:bottom w:val="nil"/>
              <w:right w:val="nil"/>
            </w:tcBorders>
            <w:shd w:val="clear" w:color="auto" w:fill="auto"/>
            <w:noWrap/>
            <w:vAlign w:val="bottom"/>
            <w:hideMark/>
          </w:tcPr>
          <w:p w14:paraId="375AFFF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1,054 (63.7)</w:t>
            </w:r>
          </w:p>
        </w:tc>
        <w:tc>
          <w:tcPr>
            <w:tcW w:w="1134" w:type="dxa"/>
            <w:tcBorders>
              <w:top w:val="nil"/>
              <w:left w:val="nil"/>
              <w:bottom w:val="nil"/>
              <w:right w:val="nil"/>
            </w:tcBorders>
            <w:shd w:val="clear" w:color="auto" w:fill="auto"/>
            <w:noWrap/>
            <w:vAlign w:val="bottom"/>
            <w:hideMark/>
          </w:tcPr>
          <w:p w14:paraId="39196378"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458 (27.7)</w:t>
            </w:r>
          </w:p>
        </w:tc>
        <w:tc>
          <w:tcPr>
            <w:tcW w:w="1134" w:type="dxa"/>
            <w:tcBorders>
              <w:top w:val="nil"/>
              <w:left w:val="nil"/>
              <w:bottom w:val="nil"/>
              <w:right w:val="nil"/>
            </w:tcBorders>
            <w:shd w:val="clear" w:color="auto" w:fill="auto"/>
            <w:noWrap/>
            <w:vAlign w:val="bottom"/>
            <w:hideMark/>
          </w:tcPr>
          <w:p w14:paraId="1E09BECC"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102 (6.2)</w:t>
            </w:r>
          </w:p>
        </w:tc>
        <w:tc>
          <w:tcPr>
            <w:tcW w:w="992" w:type="dxa"/>
            <w:tcBorders>
              <w:top w:val="nil"/>
              <w:left w:val="nil"/>
              <w:bottom w:val="nil"/>
              <w:right w:val="nil"/>
            </w:tcBorders>
            <w:shd w:val="clear" w:color="auto" w:fill="auto"/>
            <w:noWrap/>
            <w:vAlign w:val="bottom"/>
            <w:hideMark/>
          </w:tcPr>
          <w:p w14:paraId="76E96788"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41 (2.5)</w:t>
            </w:r>
          </w:p>
        </w:tc>
        <w:tc>
          <w:tcPr>
            <w:tcW w:w="1526" w:type="dxa"/>
            <w:tcBorders>
              <w:top w:val="nil"/>
              <w:left w:val="nil"/>
              <w:bottom w:val="nil"/>
              <w:right w:val="nil"/>
            </w:tcBorders>
            <w:shd w:val="clear" w:color="auto" w:fill="auto"/>
            <w:noWrap/>
            <w:vAlign w:val="bottom"/>
            <w:hideMark/>
          </w:tcPr>
          <w:p w14:paraId="7335BAEC"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75 (4.5)</w:t>
            </w:r>
          </w:p>
        </w:tc>
        <w:tc>
          <w:tcPr>
            <w:tcW w:w="1526" w:type="dxa"/>
            <w:tcBorders>
              <w:top w:val="nil"/>
              <w:left w:val="nil"/>
              <w:bottom w:val="nil"/>
              <w:right w:val="nil"/>
            </w:tcBorders>
            <w:shd w:val="clear" w:color="auto" w:fill="auto"/>
            <w:noWrap/>
            <w:vAlign w:val="bottom"/>
            <w:hideMark/>
          </w:tcPr>
          <w:p w14:paraId="6F50ECF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43 (2.6)</w:t>
            </w:r>
          </w:p>
        </w:tc>
        <w:tc>
          <w:tcPr>
            <w:tcW w:w="776" w:type="dxa"/>
            <w:tcBorders>
              <w:top w:val="nil"/>
              <w:left w:val="nil"/>
              <w:bottom w:val="nil"/>
              <w:right w:val="single" w:sz="8" w:space="0" w:color="auto"/>
            </w:tcBorders>
            <w:shd w:val="clear" w:color="auto" w:fill="auto"/>
            <w:noWrap/>
            <w:vAlign w:val="bottom"/>
            <w:hideMark/>
          </w:tcPr>
          <w:p w14:paraId="0E9EA11C"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1,655</w:t>
            </w:r>
          </w:p>
        </w:tc>
      </w:tr>
      <w:tr w:rsidR="00866F8C" w:rsidRPr="00591BFC" w14:paraId="329981F0" w14:textId="77777777" w:rsidTr="00866F8C">
        <w:trPr>
          <w:trHeight w:val="315"/>
        </w:trPr>
        <w:tc>
          <w:tcPr>
            <w:tcW w:w="820" w:type="dxa"/>
            <w:tcBorders>
              <w:top w:val="nil"/>
              <w:left w:val="single" w:sz="8" w:space="0" w:color="auto"/>
              <w:bottom w:val="nil"/>
              <w:right w:val="nil"/>
            </w:tcBorders>
            <w:shd w:val="clear" w:color="auto" w:fill="auto"/>
            <w:noWrap/>
            <w:vAlign w:val="bottom"/>
            <w:hideMark/>
          </w:tcPr>
          <w:p w14:paraId="2B622CF1"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2001</w:t>
            </w:r>
          </w:p>
        </w:tc>
        <w:tc>
          <w:tcPr>
            <w:tcW w:w="1322" w:type="dxa"/>
            <w:tcBorders>
              <w:top w:val="nil"/>
              <w:left w:val="nil"/>
              <w:bottom w:val="nil"/>
              <w:right w:val="nil"/>
            </w:tcBorders>
            <w:shd w:val="clear" w:color="auto" w:fill="auto"/>
            <w:noWrap/>
            <w:vAlign w:val="bottom"/>
            <w:hideMark/>
          </w:tcPr>
          <w:p w14:paraId="7062D51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1,245 (77.4)</w:t>
            </w:r>
          </w:p>
        </w:tc>
        <w:tc>
          <w:tcPr>
            <w:tcW w:w="1134" w:type="dxa"/>
            <w:tcBorders>
              <w:top w:val="nil"/>
              <w:left w:val="nil"/>
              <w:bottom w:val="nil"/>
              <w:right w:val="nil"/>
            </w:tcBorders>
            <w:shd w:val="clear" w:color="auto" w:fill="auto"/>
            <w:noWrap/>
            <w:vAlign w:val="bottom"/>
            <w:hideMark/>
          </w:tcPr>
          <w:p w14:paraId="1A96C94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304 (18.9)</w:t>
            </w:r>
          </w:p>
        </w:tc>
        <w:tc>
          <w:tcPr>
            <w:tcW w:w="1275" w:type="dxa"/>
            <w:tcBorders>
              <w:top w:val="nil"/>
              <w:left w:val="nil"/>
              <w:bottom w:val="nil"/>
              <w:right w:val="nil"/>
            </w:tcBorders>
            <w:shd w:val="clear" w:color="auto" w:fill="auto"/>
            <w:noWrap/>
            <w:vAlign w:val="bottom"/>
            <w:hideMark/>
          </w:tcPr>
          <w:p w14:paraId="25B35EB7"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680 (42.3)</w:t>
            </w:r>
          </w:p>
        </w:tc>
        <w:tc>
          <w:tcPr>
            <w:tcW w:w="1134" w:type="dxa"/>
            <w:tcBorders>
              <w:top w:val="nil"/>
              <w:left w:val="nil"/>
              <w:bottom w:val="nil"/>
              <w:right w:val="nil"/>
            </w:tcBorders>
            <w:shd w:val="clear" w:color="auto" w:fill="auto"/>
            <w:noWrap/>
            <w:vAlign w:val="bottom"/>
            <w:hideMark/>
          </w:tcPr>
          <w:p w14:paraId="6D454A6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625 (38.8)</w:t>
            </w:r>
          </w:p>
        </w:tc>
        <w:tc>
          <w:tcPr>
            <w:tcW w:w="1276" w:type="dxa"/>
            <w:tcBorders>
              <w:top w:val="nil"/>
              <w:left w:val="nil"/>
              <w:bottom w:val="nil"/>
              <w:right w:val="nil"/>
            </w:tcBorders>
            <w:shd w:val="clear" w:color="auto" w:fill="auto"/>
            <w:noWrap/>
            <w:vAlign w:val="bottom"/>
            <w:hideMark/>
          </w:tcPr>
          <w:p w14:paraId="1643320C"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1,033 (64.2)</w:t>
            </w:r>
          </w:p>
        </w:tc>
        <w:tc>
          <w:tcPr>
            <w:tcW w:w="1134" w:type="dxa"/>
            <w:tcBorders>
              <w:top w:val="nil"/>
              <w:left w:val="nil"/>
              <w:bottom w:val="nil"/>
              <w:right w:val="nil"/>
            </w:tcBorders>
            <w:shd w:val="clear" w:color="auto" w:fill="auto"/>
            <w:noWrap/>
            <w:vAlign w:val="bottom"/>
            <w:hideMark/>
          </w:tcPr>
          <w:p w14:paraId="2AE3C2DD"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466 (29.0)</w:t>
            </w:r>
          </w:p>
        </w:tc>
        <w:tc>
          <w:tcPr>
            <w:tcW w:w="1134" w:type="dxa"/>
            <w:tcBorders>
              <w:top w:val="nil"/>
              <w:left w:val="nil"/>
              <w:bottom w:val="nil"/>
              <w:right w:val="nil"/>
            </w:tcBorders>
            <w:shd w:val="clear" w:color="auto" w:fill="auto"/>
            <w:noWrap/>
            <w:vAlign w:val="bottom"/>
            <w:hideMark/>
          </w:tcPr>
          <w:p w14:paraId="7EB75D37"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78 (4.9)</w:t>
            </w:r>
          </w:p>
        </w:tc>
        <w:tc>
          <w:tcPr>
            <w:tcW w:w="992" w:type="dxa"/>
            <w:tcBorders>
              <w:top w:val="nil"/>
              <w:left w:val="nil"/>
              <w:bottom w:val="nil"/>
              <w:right w:val="nil"/>
            </w:tcBorders>
            <w:shd w:val="clear" w:color="auto" w:fill="auto"/>
            <w:noWrap/>
            <w:vAlign w:val="bottom"/>
            <w:hideMark/>
          </w:tcPr>
          <w:p w14:paraId="5B800B61"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32 (2.0)</w:t>
            </w:r>
          </w:p>
        </w:tc>
        <w:tc>
          <w:tcPr>
            <w:tcW w:w="1526" w:type="dxa"/>
            <w:tcBorders>
              <w:top w:val="nil"/>
              <w:left w:val="nil"/>
              <w:bottom w:val="nil"/>
              <w:right w:val="nil"/>
            </w:tcBorders>
            <w:shd w:val="clear" w:color="auto" w:fill="auto"/>
            <w:noWrap/>
            <w:vAlign w:val="bottom"/>
            <w:hideMark/>
          </w:tcPr>
          <w:p w14:paraId="5A416094"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90 (5.6)</w:t>
            </w:r>
          </w:p>
        </w:tc>
        <w:tc>
          <w:tcPr>
            <w:tcW w:w="1526" w:type="dxa"/>
            <w:tcBorders>
              <w:top w:val="nil"/>
              <w:left w:val="nil"/>
              <w:bottom w:val="nil"/>
              <w:right w:val="nil"/>
            </w:tcBorders>
            <w:shd w:val="clear" w:color="auto" w:fill="auto"/>
            <w:noWrap/>
            <w:vAlign w:val="bottom"/>
            <w:hideMark/>
          </w:tcPr>
          <w:p w14:paraId="1922ED87"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55 (3.4)</w:t>
            </w:r>
          </w:p>
        </w:tc>
        <w:tc>
          <w:tcPr>
            <w:tcW w:w="776" w:type="dxa"/>
            <w:tcBorders>
              <w:top w:val="nil"/>
              <w:left w:val="nil"/>
              <w:bottom w:val="nil"/>
              <w:right w:val="single" w:sz="8" w:space="0" w:color="auto"/>
            </w:tcBorders>
            <w:shd w:val="clear" w:color="auto" w:fill="auto"/>
            <w:noWrap/>
            <w:vAlign w:val="bottom"/>
            <w:hideMark/>
          </w:tcPr>
          <w:p w14:paraId="6BFF0CC3"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1,609</w:t>
            </w:r>
          </w:p>
        </w:tc>
      </w:tr>
      <w:tr w:rsidR="00866F8C" w:rsidRPr="00591BFC" w14:paraId="61998457" w14:textId="77777777" w:rsidTr="00866F8C">
        <w:trPr>
          <w:trHeight w:val="315"/>
        </w:trPr>
        <w:tc>
          <w:tcPr>
            <w:tcW w:w="820" w:type="dxa"/>
            <w:tcBorders>
              <w:top w:val="nil"/>
              <w:left w:val="single" w:sz="8" w:space="0" w:color="auto"/>
              <w:bottom w:val="nil"/>
              <w:right w:val="nil"/>
            </w:tcBorders>
            <w:shd w:val="clear" w:color="auto" w:fill="auto"/>
            <w:noWrap/>
            <w:vAlign w:val="bottom"/>
            <w:hideMark/>
          </w:tcPr>
          <w:p w14:paraId="461A99A5"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2002</w:t>
            </w:r>
          </w:p>
        </w:tc>
        <w:tc>
          <w:tcPr>
            <w:tcW w:w="1322" w:type="dxa"/>
            <w:tcBorders>
              <w:top w:val="nil"/>
              <w:left w:val="nil"/>
              <w:bottom w:val="nil"/>
              <w:right w:val="nil"/>
            </w:tcBorders>
            <w:shd w:val="clear" w:color="auto" w:fill="auto"/>
            <w:noWrap/>
            <w:vAlign w:val="bottom"/>
            <w:hideMark/>
          </w:tcPr>
          <w:p w14:paraId="05853765"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1,318 (80.0)</w:t>
            </w:r>
          </w:p>
        </w:tc>
        <w:tc>
          <w:tcPr>
            <w:tcW w:w="1134" w:type="dxa"/>
            <w:tcBorders>
              <w:top w:val="nil"/>
              <w:left w:val="nil"/>
              <w:bottom w:val="nil"/>
              <w:right w:val="nil"/>
            </w:tcBorders>
            <w:shd w:val="clear" w:color="auto" w:fill="auto"/>
            <w:noWrap/>
            <w:vAlign w:val="bottom"/>
            <w:hideMark/>
          </w:tcPr>
          <w:p w14:paraId="62AAD91C"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317 (19.3)</w:t>
            </w:r>
          </w:p>
        </w:tc>
        <w:tc>
          <w:tcPr>
            <w:tcW w:w="1275" w:type="dxa"/>
            <w:tcBorders>
              <w:top w:val="nil"/>
              <w:left w:val="nil"/>
              <w:bottom w:val="nil"/>
              <w:right w:val="nil"/>
            </w:tcBorders>
            <w:shd w:val="clear" w:color="auto" w:fill="auto"/>
            <w:noWrap/>
            <w:vAlign w:val="bottom"/>
            <w:hideMark/>
          </w:tcPr>
          <w:p w14:paraId="4F57E295"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722 (43.8)</w:t>
            </w:r>
          </w:p>
        </w:tc>
        <w:tc>
          <w:tcPr>
            <w:tcW w:w="1134" w:type="dxa"/>
            <w:tcBorders>
              <w:top w:val="nil"/>
              <w:left w:val="nil"/>
              <w:bottom w:val="nil"/>
              <w:right w:val="nil"/>
            </w:tcBorders>
            <w:shd w:val="clear" w:color="auto" w:fill="auto"/>
            <w:noWrap/>
            <w:vAlign w:val="bottom"/>
            <w:hideMark/>
          </w:tcPr>
          <w:p w14:paraId="799C5F0B"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609 (37.0)</w:t>
            </w:r>
          </w:p>
        </w:tc>
        <w:tc>
          <w:tcPr>
            <w:tcW w:w="1276" w:type="dxa"/>
            <w:tcBorders>
              <w:top w:val="nil"/>
              <w:left w:val="nil"/>
              <w:bottom w:val="nil"/>
              <w:right w:val="nil"/>
            </w:tcBorders>
            <w:shd w:val="clear" w:color="auto" w:fill="auto"/>
            <w:noWrap/>
            <w:vAlign w:val="bottom"/>
            <w:hideMark/>
          </w:tcPr>
          <w:p w14:paraId="7EF71EE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1,024 (62.1)</w:t>
            </w:r>
          </w:p>
        </w:tc>
        <w:tc>
          <w:tcPr>
            <w:tcW w:w="1134" w:type="dxa"/>
            <w:tcBorders>
              <w:top w:val="nil"/>
              <w:left w:val="nil"/>
              <w:bottom w:val="nil"/>
              <w:right w:val="nil"/>
            </w:tcBorders>
            <w:shd w:val="clear" w:color="auto" w:fill="auto"/>
            <w:noWrap/>
            <w:vAlign w:val="bottom"/>
            <w:hideMark/>
          </w:tcPr>
          <w:p w14:paraId="696A8D11"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457 (27.7)</w:t>
            </w:r>
          </w:p>
        </w:tc>
        <w:tc>
          <w:tcPr>
            <w:tcW w:w="1134" w:type="dxa"/>
            <w:tcBorders>
              <w:top w:val="nil"/>
              <w:left w:val="nil"/>
              <w:bottom w:val="nil"/>
              <w:right w:val="nil"/>
            </w:tcBorders>
            <w:shd w:val="clear" w:color="auto" w:fill="auto"/>
            <w:noWrap/>
            <w:vAlign w:val="bottom"/>
            <w:hideMark/>
          </w:tcPr>
          <w:p w14:paraId="37B2A1B7"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135 (8.2)</w:t>
            </w:r>
          </w:p>
        </w:tc>
        <w:tc>
          <w:tcPr>
            <w:tcW w:w="992" w:type="dxa"/>
            <w:tcBorders>
              <w:top w:val="nil"/>
              <w:left w:val="nil"/>
              <w:bottom w:val="nil"/>
              <w:right w:val="nil"/>
            </w:tcBorders>
            <w:shd w:val="clear" w:color="auto" w:fill="auto"/>
            <w:noWrap/>
            <w:vAlign w:val="bottom"/>
            <w:hideMark/>
          </w:tcPr>
          <w:p w14:paraId="5AF2A978"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32 (1.9)</w:t>
            </w:r>
          </w:p>
        </w:tc>
        <w:tc>
          <w:tcPr>
            <w:tcW w:w="1526" w:type="dxa"/>
            <w:tcBorders>
              <w:top w:val="nil"/>
              <w:left w:val="nil"/>
              <w:bottom w:val="nil"/>
              <w:right w:val="nil"/>
            </w:tcBorders>
            <w:shd w:val="clear" w:color="auto" w:fill="auto"/>
            <w:noWrap/>
            <w:vAlign w:val="bottom"/>
            <w:hideMark/>
          </w:tcPr>
          <w:p w14:paraId="2A5C3F14"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92 (5.6)</w:t>
            </w:r>
          </w:p>
        </w:tc>
        <w:tc>
          <w:tcPr>
            <w:tcW w:w="1526" w:type="dxa"/>
            <w:tcBorders>
              <w:top w:val="nil"/>
              <w:left w:val="nil"/>
              <w:bottom w:val="nil"/>
              <w:right w:val="nil"/>
            </w:tcBorders>
            <w:shd w:val="clear" w:color="auto" w:fill="auto"/>
            <w:noWrap/>
            <w:vAlign w:val="bottom"/>
            <w:hideMark/>
          </w:tcPr>
          <w:p w14:paraId="2FECBDFB"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62 (3.8)</w:t>
            </w:r>
          </w:p>
        </w:tc>
        <w:tc>
          <w:tcPr>
            <w:tcW w:w="776" w:type="dxa"/>
            <w:tcBorders>
              <w:top w:val="nil"/>
              <w:left w:val="nil"/>
              <w:bottom w:val="nil"/>
              <w:right w:val="single" w:sz="8" w:space="0" w:color="auto"/>
            </w:tcBorders>
            <w:shd w:val="clear" w:color="auto" w:fill="auto"/>
            <w:noWrap/>
            <w:vAlign w:val="bottom"/>
            <w:hideMark/>
          </w:tcPr>
          <w:p w14:paraId="2841064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1,648</w:t>
            </w:r>
          </w:p>
        </w:tc>
      </w:tr>
      <w:tr w:rsidR="00866F8C" w:rsidRPr="00591BFC" w14:paraId="4ACCD487" w14:textId="77777777" w:rsidTr="00866F8C">
        <w:trPr>
          <w:trHeight w:val="315"/>
        </w:trPr>
        <w:tc>
          <w:tcPr>
            <w:tcW w:w="820" w:type="dxa"/>
            <w:tcBorders>
              <w:top w:val="nil"/>
              <w:left w:val="single" w:sz="8" w:space="0" w:color="auto"/>
              <w:bottom w:val="nil"/>
              <w:right w:val="nil"/>
            </w:tcBorders>
            <w:shd w:val="clear" w:color="auto" w:fill="auto"/>
            <w:noWrap/>
            <w:vAlign w:val="bottom"/>
            <w:hideMark/>
          </w:tcPr>
          <w:p w14:paraId="5976D532"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2003</w:t>
            </w:r>
          </w:p>
        </w:tc>
        <w:tc>
          <w:tcPr>
            <w:tcW w:w="1322" w:type="dxa"/>
            <w:tcBorders>
              <w:top w:val="nil"/>
              <w:left w:val="nil"/>
              <w:bottom w:val="nil"/>
              <w:right w:val="nil"/>
            </w:tcBorders>
            <w:shd w:val="clear" w:color="auto" w:fill="auto"/>
            <w:noWrap/>
            <w:vAlign w:val="bottom"/>
            <w:hideMark/>
          </w:tcPr>
          <w:p w14:paraId="3EDDC5F7"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1,305 (76.9)</w:t>
            </w:r>
          </w:p>
        </w:tc>
        <w:tc>
          <w:tcPr>
            <w:tcW w:w="1134" w:type="dxa"/>
            <w:tcBorders>
              <w:top w:val="nil"/>
              <w:left w:val="nil"/>
              <w:bottom w:val="nil"/>
              <w:right w:val="nil"/>
            </w:tcBorders>
            <w:shd w:val="clear" w:color="auto" w:fill="auto"/>
            <w:noWrap/>
            <w:vAlign w:val="bottom"/>
            <w:hideMark/>
          </w:tcPr>
          <w:p w14:paraId="5D0076A9"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307 (18.1)</w:t>
            </w:r>
          </w:p>
        </w:tc>
        <w:tc>
          <w:tcPr>
            <w:tcW w:w="1275" w:type="dxa"/>
            <w:tcBorders>
              <w:top w:val="nil"/>
              <w:left w:val="nil"/>
              <w:bottom w:val="nil"/>
              <w:right w:val="nil"/>
            </w:tcBorders>
            <w:shd w:val="clear" w:color="auto" w:fill="auto"/>
            <w:noWrap/>
            <w:vAlign w:val="bottom"/>
            <w:hideMark/>
          </w:tcPr>
          <w:p w14:paraId="75D51AB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811 (47.8)</w:t>
            </w:r>
          </w:p>
        </w:tc>
        <w:tc>
          <w:tcPr>
            <w:tcW w:w="1134" w:type="dxa"/>
            <w:tcBorders>
              <w:top w:val="nil"/>
              <w:left w:val="nil"/>
              <w:bottom w:val="nil"/>
              <w:right w:val="nil"/>
            </w:tcBorders>
            <w:shd w:val="clear" w:color="auto" w:fill="auto"/>
            <w:noWrap/>
            <w:vAlign w:val="bottom"/>
            <w:hideMark/>
          </w:tcPr>
          <w:p w14:paraId="0B6FD3B4"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579 (34.1)</w:t>
            </w:r>
          </w:p>
        </w:tc>
        <w:tc>
          <w:tcPr>
            <w:tcW w:w="1276" w:type="dxa"/>
            <w:tcBorders>
              <w:top w:val="nil"/>
              <w:left w:val="nil"/>
              <w:bottom w:val="nil"/>
              <w:right w:val="nil"/>
            </w:tcBorders>
            <w:shd w:val="clear" w:color="auto" w:fill="auto"/>
            <w:noWrap/>
            <w:vAlign w:val="bottom"/>
            <w:hideMark/>
          </w:tcPr>
          <w:p w14:paraId="5C194A6D"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1,117 (65.8)</w:t>
            </w:r>
          </w:p>
        </w:tc>
        <w:tc>
          <w:tcPr>
            <w:tcW w:w="1134" w:type="dxa"/>
            <w:tcBorders>
              <w:top w:val="nil"/>
              <w:left w:val="nil"/>
              <w:bottom w:val="nil"/>
              <w:right w:val="nil"/>
            </w:tcBorders>
            <w:shd w:val="clear" w:color="auto" w:fill="auto"/>
            <w:noWrap/>
            <w:vAlign w:val="bottom"/>
            <w:hideMark/>
          </w:tcPr>
          <w:p w14:paraId="51490D9D"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427 (25.2)</w:t>
            </w:r>
          </w:p>
        </w:tc>
        <w:tc>
          <w:tcPr>
            <w:tcW w:w="1134" w:type="dxa"/>
            <w:tcBorders>
              <w:top w:val="nil"/>
              <w:left w:val="nil"/>
              <w:bottom w:val="nil"/>
              <w:right w:val="nil"/>
            </w:tcBorders>
            <w:shd w:val="clear" w:color="auto" w:fill="auto"/>
            <w:noWrap/>
            <w:vAlign w:val="bottom"/>
            <w:hideMark/>
          </w:tcPr>
          <w:p w14:paraId="7A9C2DF4"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112 (6.6)</w:t>
            </w:r>
          </w:p>
        </w:tc>
        <w:tc>
          <w:tcPr>
            <w:tcW w:w="992" w:type="dxa"/>
            <w:tcBorders>
              <w:top w:val="nil"/>
              <w:left w:val="nil"/>
              <w:bottom w:val="nil"/>
              <w:right w:val="nil"/>
            </w:tcBorders>
            <w:shd w:val="clear" w:color="auto" w:fill="auto"/>
            <w:noWrap/>
            <w:vAlign w:val="bottom"/>
            <w:hideMark/>
          </w:tcPr>
          <w:p w14:paraId="549BD563"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41 (2.4)</w:t>
            </w:r>
          </w:p>
        </w:tc>
        <w:tc>
          <w:tcPr>
            <w:tcW w:w="1526" w:type="dxa"/>
            <w:tcBorders>
              <w:top w:val="nil"/>
              <w:left w:val="nil"/>
              <w:bottom w:val="nil"/>
              <w:right w:val="nil"/>
            </w:tcBorders>
            <w:shd w:val="clear" w:color="auto" w:fill="auto"/>
            <w:noWrap/>
            <w:vAlign w:val="bottom"/>
            <w:hideMark/>
          </w:tcPr>
          <w:p w14:paraId="79561898"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154 (9.1)</w:t>
            </w:r>
          </w:p>
        </w:tc>
        <w:tc>
          <w:tcPr>
            <w:tcW w:w="1526" w:type="dxa"/>
            <w:tcBorders>
              <w:top w:val="nil"/>
              <w:left w:val="nil"/>
              <w:bottom w:val="nil"/>
              <w:right w:val="nil"/>
            </w:tcBorders>
            <w:shd w:val="clear" w:color="auto" w:fill="auto"/>
            <w:noWrap/>
            <w:vAlign w:val="bottom"/>
            <w:hideMark/>
          </w:tcPr>
          <w:p w14:paraId="76FA730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102 (6.0)</w:t>
            </w:r>
          </w:p>
        </w:tc>
        <w:tc>
          <w:tcPr>
            <w:tcW w:w="776" w:type="dxa"/>
            <w:tcBorders>
              <w:top w:val="nil"/>
              <w:left w:val="nil"/>
              <w:bottom w:val="nil"/>
              <w:right w:val="single" w:sz="8" w:space="0" w:color="auto"/>
            </w:tcBorders>
            <w:shd w:val="clear" w:color="auto" w:fill="auto"/>
            <w:noWrap/>
            <w:vAlign w:val="bottom"/>
            <w:hideMark/>
          </w:tcPr>
          <w:p w14:paraId="011CD966"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1,697</w:t>
            </w:r>
          </w:p>
        </w:tc>
      </w:tr>
      <w:tr w:rsidR="00866F8C" w:rsidRPr="00591BFC" w14:paraId="11F4E49D" w14:textId="77777777" w:rsidTr="00866F8C">
        <w:trPr>
          <w:trHeight w:val="315"/>
        </w:trPr>
        <w:tc>
          <w:tcPr>
            <w:tcW w:w="820" w:type="dxa"/>
            <w:tcBorders>
              <w:top w:val="nil"/>
              <w:left w:val="single" w:sz="8" w:space="0" w:color="auto"/>
              <w:bottom w:val="nil"/>
              <w:right w:val="nil"/>
            </w:tcBorders>
            <w:shd w:val="clear" w:color="auto" w:fill="auto"/>
            <w:noWrap/>
            <w:vAlign w:val="bottom"/>
            <w:hideMark/>
          </w:tcPr>
          <w:p w14:paraId="2F021AE8"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2004</w:t>
            </w:r>
          </w:p>
        </w:tc>
        <w:tc>
          <w:tcPr>
            <w:tcW w:w="1322" w:type="dxa"/>
            <w:tcBorders>
              <w:top w:val="nil"/>
              <w:left w:val="nil"/>
              <w:bottom w:val="nil"/>
              <w:right w:val="nil"/>
            </w:tcBorders>
            <w:shd w:val="clear" w:color="auto" w:fill="auto"/>
            <w:noWrap/>
            <w:vAlign w:val="bottom"/>
            <w:hideMark/>
          </w:tcPr>
          <w:p w14:paraId="7ECF0FB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1,213 (77.2)</w:t>
            </w:r>
          </w:p>
        </w:tc>
        <w:tc>
          <w:tcPr>
            <w:tcW w:w="1134" w:type="dxa"/>
            <w:tcBorders>
              <w:top w:val="nil"/>
              <w:left w:val="nil"/>
              <w:bottom w:val="nil"/>
              <w:right w:val="nil"/>
            </w:tcBorders>
            <w:shd w:val="clear" w:color="auto" w:fill="auto"/>
            <w:noWrap/>
            <w:vAlign w:val="bottom"/>
            <w:hideMark/>
          </w:tcPr>
          <w:p w14:paraId="689BE794"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277 (17.6)</w:t>
            </w:r>
          </w:p>
        </w:tc>
        <w:tc>
          <w:tcPr>
            <w:tcW w:w="1275" w:type="dxa"/>
            <w:tcBorders>
              <w:top w:val="nil"/>
              <w:left w:val="nil"/>
              <w:bottom w:val="nil"/>
              <w:right w:val="nil"/>
            </w:tcBorders>
            <w:shd w:val="clear" w:color="auto" w:fill="auto"/>
            <w:noWrap/>
            <w:vAlign w:val="bottom"/>
            <w:hideMark/>
          </w:tcPr>
          <w:p w14:paraId="401006D6"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665 (42.3)</w:t>
            </w:r>
          </w:p>
        </w:tc>
        <w:tc>
          <w:tcPr>
            <w:tcW w:w="1134" w:type="dxa"/>
            <w:tcBorders>
              <w:top w:val="nil"/>
              <w:left w:val="nil"/>
              <w:bottom w:val="nil"/>
              <w:right w:val="nil"/>
            </w:tcBorders>
            <w:shd w:val="clear" w:color="auto" w:fill="auto"/>
            <w:noWrap/>
            <w:vAlign w:val="bottom"/>
            <w:hideMark/>
          </w:tcPr>
          <w:p w14:paraId="41E3131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630 (40.1)</w:t>
            </w:r>
          </w:p>
        </w:tc>
        <w:tc>
          <w:tcPr>
            <w:tcW w:w="1276" w:type="dxa"/>
            <w:tcBorders>
              <w:top w:val="nil"/>
              <w:left w:val="nil"/>
              <w:bottom w:val="nil"/>
              <w:right w:val="nil"/>
            </w:tcBorders>
            <w:shd w:val="clear" w:color="auto" w:fill="auto"/>
            <w:noWrap/>
            <w:vAlign w:val="bottom"/>
            <w:hideMark/>
          </w:tcPr>
          <w:p w14:paraId="3F5F260D"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1,024 (65.1)</w:t>
            </w:r>
          </w:p>
        </w:tc>
        <w:tc>
          <w:tcPr>
            <w:tcW w:w="1134" w:type="dxa"/>
            <w:tcBorders>
              <w:top w:val="nil"/>
              <w:left w:val="nil"/>
              <w:bottom w:val="nil"/>
              <w:right w:val="nil"/>
            </w:tcBorders>
            <w:shd w:val="clear" w:color="auto" w:fill="auto"/>
            <w:noWrap/>
            <w:vAlign w:val="bottom"/>
            <w:hideMark/>
          </w:tcPr>
          <w:p w14:paraId="4043A76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403 (25.6)</w:t>
            </w:r>
          </w:p>
        </w:tc>
        <w:tc>
          <w:tcPr>
            <w:tcW w:w="1134" w:type="dxa"/>
            <w:tcBorders>
              <w:top w:val="nil"/>
              <w:left w:val="nil"/>
              <w:bottom w:val="nil"/>
              <w:right w:val="nil"/>
            </w:tcBorders>
            <w:shd w:val="clear" w:color="auto" w:fill="auto"/>
            <w:noWrap/>
            <w:vAlign w:val="bottom"/>
            <w:hideMark/>
          </w:tcPr>
          <w:p w14:paraId="7E78E1D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109 (6.9)</w:t>
            </w:r>
          </w:p>
        </w:tc>
        <w:tc>
          <w:tcPr>
            <w:tcW w:w="992" w:type="dxa"/>
            <w:tcBorders>
              <w:top w:val="nil"/>
              <w:left w:val="nil"/>
              <w:bottom w:val="nil"/>
              <w:right w:val="nil"/>
            </w:tcBorders>
            <w:shd w:val="clear" w:color="auto" w:fill="auto"/>
            <w:noWrap/>
            <w:vAlign w:val="bottom"/>
            <w:hideMark/>
          </w:tcPr>
          <w:p w14:paraId="7E7DF33C"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36 (2.3)</w:t>
            </w:r>
          </w:p>
        </w:tc>
        <w:tc>
          <w:tcPr>
            <w:tcW w:w="1526" w:type="dxa"/>
            <w:tcBorders>
              <w:top w:val="nil"/>
              <w:left w:val="nil"/>
              <w:bottom w:val="nil"/>
              <w:right w:val="nil"/>
            </w:tcBorders>
            <w:shd w:val="clear" w:color="auto" w:fill="auto"/>
            <w:noWrap/>
            <w:vAlign w:val="bottom"/>
            <w:hideMark/>
          </w:tcPr>
          <w:p w14:paraId="40E95316"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152 (9.7)</w:t>
            </w:r>
          </w:p>
        </w:tc>
        <w:tc>
          <w:tcPr>
            <w:tcW w:w="1526" w:type="dxa"/>
            <w:tcBorders>
              <w:top w:val="nil"/>
              <w:left w:val="nil"/>
              <w:bottom w:val="nil"/>
              <w:right w:val="nil"/>
            </w:tcBorders>
            <w:shd w:val="clear" w:color="auto" w:fill="auto"/>
            <w:noWrap/>
            <w:vAlign w:val="bottom"/>
            <w:hideMark/>
          </w:tcPr>
          <w:p w14:paraId="52254A6F"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95 (6.0)</w:t>
            </w:r>
          </w:p>
        </w:tc>
        <w:tc>
          <w:tcPr>
            <w:tcW w:w="776" w:type="dxa"/>
            <w:tcBorders>
              <w:top w:val="nil"/>
              <w:left w:val="nil"/>
              <w:bottom w:val="nil"/>
              <w:right w:val="single" w:sz="8" w:space="0" w:color="auto"/>
            </w:tcBorders>
            <w:shd w:val="clear" w:color="auto" w:fill="auto"/>
            <w:noWrap/>
            <w:vAlign w:val="bottom"/>
            <w:hideMark/>
          </w:tcPr>
          <w:p w14:paraId="7BA55D3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1,572</w:t>
            </w:r>
          </w:p>
        </w:tc>
      </w:tr>
      <w:tr w:rsidR="00866F8C" w:rsidRPr="00591BFC" w14:paraId="55E4DA83" w14:textId="77777777" w:rsidTr="00866F8C">
        <w:trPr>
          <w:trHeight w:val="315"/>
        </w:trPr>
        <w:tc>
          <w:tcPr>
            <w:tcW w:w="820" w:type="dxa"/>
            <w:tcBorders>
              <w:top w:val="nil"/>
              <w:left w:val="single" w:sz="8" w:space="0" w:color="auto"/>
              <w:bottom w:val="nil"/>
              <w:right w:val="nil"/>
            </w:tcBorders>
            <w:shd w:val="clear" w:color="auto" w:fill="auto"/>
            <w:noWrap/>
            <w:vAlign w:val="bottom"/>
            <w:hideMark/>
          </w:tcPr>
          <w:p w14:paraId="7AF31D58"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2005</w:t>
            </w:r>
          </w:p>
        </w:tc>
        <w:tc>
          <w:tcPr>
            <w:tcW w:w="1322" w:type="dxa"/>
            <w:tcBorders>
              <w:top w:val="nil"/>
              <w:left w:val="nil"/>
              <w:bottom w:val="nil"/>
              <w:right w:val="nil"/>
            </w:tcBorders>
            <w:shd w:val="clear" w:color="auto" w:fill="auto"/>
            <w:noWrap/>
            <w:vAlign w:val="bottom"/>
            <w:hideMark/>
          </w:tcPr>
          <w:p w14:paraId="5BB9AFA7"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1,226 (75.5)</w:t>
            </w:r>
          </w:p>
        </w:tc>
        <w:tc>
          <w:tcPr>
            <w:tcW w:w="1134" w:type="dxa"/>
            <w:tcBorders>
              <w:top w:val="nil"/>
              <w:left w:val="nil"/>
              <w:bottom w:val="nil"/>
              <w:right w:val="nil"/>
            </w:tcBorders>
            <w:shd w:val="clear" w:color="auto" w:fill="auto"/>
            <w:noWrap/>
            <w:vAlign w:val="bottom"/>
            <w:hideMark/>
          </w:tcPr>
          <w:p w14:paraId="7D948F14"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270 (16.6)</w:t>
            </w:r>
          </w:p>
        </w:tc>
        <w:tc>
          <w:tcPr>
            <w:tcW w:w="1275" w:type="dxa"/>
            <w:tcBorders>
              <w:top w:val="nil"/>
              <w:left w:val="nil"/>
              <w:bottom w:val="nil"/>
              <w:right w:val="nil"/>
            </w:tcBorders>
            <w:shd w:val="clear" w:color="auto" w:fill="auto"/>
            <w:noWrap/>
            <w:vAlign w:val="bottom"/>
            <w:hideMark/>
          </w:tcPr>
          <w:p w14:paraId="4741E44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704 (43.3)</w:t>
            </w:r>
          </w:p>
        </w:tc>
        <w:tc>
          <w:tcPr>
            <w:tcW w:w="1134" w:type="dxa"/>
            <w:tcBorders>
              <w:top w:val="nil"/>
              <w:left w:val="nil"/>
              <w:bottom w:val="nil"/>
              <w:right w:val="nil"/>
            </w:tcBorders>
            <w:shd w:val="clear" w:color="auto" w:fill="auto"/>
            <w:noWrap/>
            <w:vAlign w:val="bottom"/>
            <w:hideMark/>
          </w:tcPr>
          <w:p w14:paraId="45E06FDC"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651 (40.1)</w:t>
            </w:r>
          </w:p>
        </w:tc>
        <w:tc>
          <w:tcPr>
            <w:tcW w:w="1276" w:type="dxa"/>
            <w:tcBorders>
              <w:top w:val="nil"/>
              <w:left w:val="nil"/>
              <w:bottom w:val="nil"/>
              <w:right w:val="nil"/>
            </w:tcBorders>
            <w:shd w:val="clear" w:color="auto" w:fill="auto"/>
            <w:noWrap/>
            <w:vAlign w:val="bottom"/>
            <w:hideMark/>
          </w:tcPr>
          <w:p w14:paraId="4E30178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1,011 (62.2)</w:t>
            </w:r>
          </w:p>
        </w:tc>
        <w:tc>
          <w:tcPr>
            <w:tcW w:w="1134" w:type="dxa"/>
            <w:tcBorders>
              <w:top w:val="nil"/>
              <w:left w:val="nil"/>
              <w:bottom w:val="nil"/>
              <w:right w:val="nil"/>
            </w:tcBorders>
            <w:shd w:val="clear" w:color="auto" w:fill="auto"/>
            <w:noWrap/>
            <w:vAlign w:val="bottom"/>
            <w:hideMark/>
          </w:tcPr>
          <w:p w14:paraId="26025567"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424 (26.1)</w:t>
            </w:r>
          </w:p>
        </w:tc>
        <w:tc>
          <w:tcPr>
            <w:tcW w:w="1134" w:type="dxa"/>
            <w:tcBorders>
              <w:top w:val="nil"/>
              <w:left w:val="nil"/>
              <w:bottom w:val="nil"/>
              <w:right w:val="nil"/>
            </w:tcBorders>
            <w:shd w:val="clear" w:color="auto" w:fill="auto"/>
            <w:noWrap/>
            <w:vAlign w:val="bottom"/>
            <w:hideMark/>
          </w:tcPr>
          <w:p w14:paraId="42932A55"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124 (7.6)</w:t>
            </w:r>
          </w:p>
        </w:tc>
        <w:tc>
          <w:tcPr>
            <w:tcW w:w="992" w:type="dxa"/>
            <w:tcBorders>
              <w:top w:val="nil"/>
              <w:left w:val="nil"/>
              <w:bottom w:val="nil"/>
              <w:right w:val="nil"/>
            </w:tcBorders>
            <w:shd w:val="clear" w:color="auto" w:fill="auto"/>
            <w:noWrap/>
            <w:vAlign w:val="bottom"/>
            <w:hideMark/>
          </w:tcPr>
          <w:p w14:paraId="22CBD785"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66 (4.1)</w:t>
            </w:r>
          </w:p>
        </w:tc>
        <w:tc>
          <w:tcPr>
            <w:tcW w:w="1526" w:type="dxa"/>
            <w:tcBorders>
              <w:top w:val="nil"/>
              <w:left w:val="nil"/>
              <w:bottom w:val="nil"/>
              <w:right w:val="nil"/>
            </w:tcBorders>
            <w:shd w:val="clear" w:color="auto" w:fill="auto"/>
            <w:noWrap/>
            <w:vAlign w:val="bottom"/>
            <w:hideMark/>
          </w:tcPr>
          <w:p w14:paraId="0117DE97"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180 (11.1)</w:t>
            </w:r>
          </w:p>
        </w:tc>
        <w:tc>
          <w:tcPr>
            <w:tcW w:w="1526" w:type="dxa"/>
            <w:tcBorders>
              <w:top w:val="nil"/>
              <w:left w:val="nil"/>
              <w:bottom w:val="nil"/>
              <w:right w:val="nil"/>
            </w:tcBorders>
            <w:shd w:val="clear" w:color="auto" w:fill="auto"/>
            <w:noWrap/>
            <w:vAlign w:val="bottom"/>
            <w:hideMark/>
          </w:tcPr>
          <w:p w14:paraId="0BC2EF18"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115 (7.1)</w:t>
            </w:r>
          </w:p>
        </w:tc>
        <w:tc>
          <w:tcPr>
            <w:tcW w:w="776" w:type="dxa"/>
            <w:tcBorders>
              <w:top w:val="nil"/>
              <w:left w:val="nil"/>
              <w:bottom w:val="nil"/>
              <w:right w:val="single" w:sz="8" w:space="0" w:color="auto"/>
            </w:tcBorders>
            <w:shd w:val="clear" w:color="auto" w:fill="auto"/>
            <w:noWrap/>
            <w:vAlign w:val="bottom"/>
            <w:hideMark/>
          </w:tcPr>
          <w:p w14:paraId="505B33F3"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1,625</w:t>
            </w:r>
          </w:p>
        </w:tc>
      </w:tr>
      <w:tr w:rsidR="00866F8C" w:rsidRPr="00591BFC" w14:paraId="2561FF98" w14:textId="77777777" w:rsidTr="00866F8C">
        <w:trPr>
          <w:trHeight w:val="315"/>
        </w:trPr>
        <w:tc>
          <w:tcPr>
            <w:tcW w:w="820" w:type="dxa"/>
            <w:tcBorders>
              <w:top w:val="nil"/>
              <w:left w:val="single" w:sz="8" w:space="0" w:color="auto"/>
              <w:bottom w:val="nil"/>
              <w:right w:val="nil"/>
            </w:tcBorders>
            <w:shd w:val="clear" w:color="auto" w:fill="auto"/>
            <w:noWrap/>
            <w:vAlign w:val="bottom"/>
            <w:hideMark/>
          </w:tcPr>
          <w:p w14:paraId="479FC508"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2006</w:t>
            </w:r>
          </w:p>
        </w:tc>
        <w:tc>
          <w:tcPr>
            <w:tcW w:w="1322" w:type="dxa"/>
            <w:tcBorders>
              <w:top w:val="nil"/>
              <w:left w:val="nil"/>
              <w:bottom w:val="nil"/>
              <w:right w:val="nil"/>
            </w:tcBorders>
            <w:shd w:val="clear" w:color="auto" w:fill="auto"/>
            <w:noWrap/>
            <w:vAlign w:val="bottom"/>
            <w:hideMark/>
          </w:tcPr>
          <w:p w14:paraId="57569DE5"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1,189 (74.9)</w:t>
            </w:r>
          </w:p>
        </w:tc>
        <w:tc>
          <w:tcPr>
            <w:tcW w:w="1134" w:type="dxa"/>
            <w:tcBorders>
              <w:top w:val="nil"/>
              <w:left w:val="nil"/>
              <w:bottom w:val="nil"/>
              <w:right w:val="nil"/>
            </w:tcBorders>
            <w:shd w:val="clear" w:color="auto" w:fill="auto"/>
            <w:noWrap/>
            <w:vAlign w:val="bottom"/>
            <w:hideMark/>
          </w:tcPr>
          <w:p w14:paraId="30F439CD"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281 (17.7)</w:t>
            </w:r>
          </w:p>
        </w:tc>
        <w:tc>
          <w:tcPr>
            <w:tcW w:w="1275" w:type="dxa"/>
            <w:tcBorders>
              <w:top w:val="nil"/>
              <w:left w:val="nil"/>
              <w:bottom w:val="nil"/>
              <w:right w:val="nil"/>
            </w:tcBorders>
            <w:shd w:val="clear" w:color="auto" w:fill="auto"/>
            <w:noWrap/>
            <w:vAlign w:val="bottom"/>
            <w:hideMark/>
          </w:tcPr>
          <w:p w14:paraId="245A3E9F"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651 (41.0)</w:t>
            </w:r>
          </w:p>
        </w:tc>
        <w:tc>
          <w:tcPr>
            <w:tcW w:w="1134" w:type="dxa"/>
            <w:tcBorders>
              <w:top w:val="nil"/>
              <w:left w:val="nil"/>
              <w:bottom w:val="nil"/>
              <w:right w:val="nil"/>
            </w:tcBorders>
            <w:shd w:val="clear" w:color="auto" w:fill="auto"/>
            <w:noWrap/>
            <w:vAlign w:val="bottom"/>
            <w:hideMark/>
          </w:tcPr>
          <w:p w14:paraId="352128BD"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656 (41.3)</w:t>
            </w:r>
          </w:p>
        </w:tc>
        <w:tc>
          <w:tcPr>
            <w:tcW w:w="1276" w:type="dxa"/>
            <w:tcBorders>
              <w:top w:val="nil"/>
              <w:left w:val="nil"/>
              <w:bottom w:val="nil"/>
              <w:right w:val="nil"/>
            </w:tcBorders>
            <w:shd w:val="clear" w:color="auto" w:fill="auto"/>
            <w:noWrap/>
            <w:vAlign w:val="bottom"/>
            <w:hideMark/>
          </w:tcPr>
          <w:p w14:paraId="54249F5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923 (58.1)</w:t>
            </w:r>
          </w:p>
        </w:tc>
        <w:tc>
          <w:tcPr>
            <w:tcW w:w="1134" w:type="dxa"/>
            <w:tcBorders>
              <w:top w:val="nil"/>
              <w:left w:val="nil"/>
              <w:bottom w:val="nil"/>
              <w:right w:val="nil"/>
            </w:tcBorders>
            <w:shd w:val="clear" w:color="auto" w:fill="auto"/>
            <w:noWrap/>
            <w:vAlign w:val="bottom"/>
            <w:hideMark/>
          </w:tcPr>
          <w:p w14:paraId="1C02C8A5"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436 (27.5)</w:t>
            </w:r>
          </w:p>
        </w:tc>
        <w:tc>
          <w:tcPr>
            <w:tcW w:w="1134" w:type="dxa"/>
            <w:tcBorders>
              <w:top w:val="nil"/>
              <w:left w:val="nil"/>
              <w:bottom w:val="nil"/>
              <w:right w:val="nil"/>
            </w:tcBorders>
            <w:shd w:val="clear" w:color="auto" w:fill="auto"/>
            <w:noWrap/>
            <w:vAlign w:val="bottom"/>
            <w:hideMark/>
          </w:tcPr>
          <w:p w14:paraId="31D82035"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157 (9.9)</w:t>
            </w:r>
          </w:p>
        </w:tc>
        <w:tc>
          <w:tcPr>
            <w:tcW w:w="992" w:type="dxa"/>
            <w:tcBorders>
              <w:top w:val="nil"/>
              <w:left w:val="nil"/>
              <w:bottom w:val="nil"/>
              <w:right w:val="nil"/>
            </w:tcBorders>
            <w:shd w:val="clear" w:color="auto" w:fill="auto"/>
            <w:noWrap/>
            <w:vAlign w:val="bottom"/>
            <w:hideMark/>
          </w:tcPr>
          <w:p w14:paraId="4B5868EB"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72 (4.5)</w:t>
            </w:r>
          </w:p>
        </w:tc>
        <w:tc>
          <w:tcPr>
            <w:tcW w:w="1526" w:type="dxa"/>
            <w:tcBorders>
              <w:top w:val="nil"/>
              <w:left w:val="nil"/>
              <w:bottom w:val="nil"/>
              <w:right w:val="nil"/>
            </w:tcBorders>
            <w:shd w:val="clear" w:color="auto" w:fill="auto"/>
            <w:noWrap/>
            <w:vAlign w:val="bottom"/>
            <w:hideMark/>
          </w:tcPr>
          <w:p w14:paraId="19BDED25"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205 (12.9)</w:t>
            </w:r>
          </w:p>
        </w:tc>
        <w:tc>
          <w:tcPr>
            <w:tcW w:w="1526" w:type="dxa"/>
            <w:tcBorders>
              <w:top w:val="nil"/>
              <w:left w:val="nil"/>
              <w:bottom w:val="nil"/>
              <w:right w:val="nil"/>
            </w:tcBorders>
            <w:shd w:val="clear" w:color="auto" w:fill="auto"/>
            <w:noWrap/>
            <w:vAlign w:val="bottom"/>
            <w:hideMark/>
          </w:tcPr>
          <w:p w14:paraId="263F5BE4"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136 (8.6)</w:t>
            </w:r>
          </w:p>
        </w:tc>
        <w:tc>
          <w:tcPr>
            <w:tcW w:w="776" w:type="dxa"/>
            <w:tcBorders>
              <w:top w:val="nil"/>
              <w:left w:val="nil"/>
              <w:bottom w:val="nil"/>
              <w:right w:val="single" w:sz="8" w:space="0" w:color="auto"/>
            </w:tcBorders>
            <w:shd w:val="clear" w:color="auto" w:fill="auto"/>
            <w:noWrap/>
            <w:vAlign w:val="bottom"/>
            <w:hideMark/>
          </w:tcPr>
          <w:p w14:paraId="67B4FD3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1,588</w:t>
            </w:r>
          </w:p>
        </w:tc>
      </w:tr>
      <w:tr w:rsidR="00866F8C" w:rsidRPr="00591BFC" w14:paraId="25505116" w14:textId="77777777" w:rsidTr="00866F8C">
        <w:trPr>
          <w:trHeight w:val="315"/>
        </w:trPr>
        <w:tc>
          <w:tcPr>
            <w:tcW w:w="820" w:type="dxa"/>
            <w:tcBorders>
              <w:top w:val="nil"/>
              <w:left w:val="single" w:sz="8" w:space="0" w:color="auto"/>
              <w:bottom w:val="nil"/>
              <w:right w:val="nil"/>
            </w:tcBorders>
            <w:shd w:val="clear" w:color="auto" w:fill="auto"/>
            <w:noWrap/>
            <w:vAlign w:val="bottom"/>
            <w:hideMark/>
          </w:tcPr>
          <w:p w14:paraId="3B9725F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2007</w:t>
            </w:r>
          </w:p>
        </w:tc>
        <w:tc>
          <w:tcPr>
            <w:tcW w:w="1322" w:type="dxa"/>
            <w:tcBorders>
              <w:top w:val="nil"/>
              <w:left w:val="nil"/>
              <w:bottom w:val="nil"/>
              <w:right w:val="nil"/>
            </w:tcBorders>
            <w:shd w:val="clear" w:color="auto" w:fill="auto"/>
            <w:noWrap/>
            <w:vAlign w:val="bottom"/>
            <w:hideMark/>
          </w:tcPr>
          <w:p w14:paraId="3097391C"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1,229 (78.4)</w:t>
            </w:r>
          </w:p>
        </w:tc>
        <w:tc>
          <w:tcPr>
            <w:tcW w:w="1134" w:type="dxa"/>
            <w:tcBorders>
              <w:top w:val="nil"/>
              <w:left w:val="nil"/>
              <w:bottom w:val="nil"/>
              <w:right w:val="nil"/>
            </w:tcBorders>
            <w:shd w:val="clear" w:color="auto" w:fill="auto"/>
            <w:noWrap/>
            <w:vAlign w:val="bottom"/>
            <w:hideMark/>
          </w:tcPr>
          <w:p w14:paraId="3476C79B"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258 (16.5)</w:t>
            </w:r>
          </w:p>
        </w:tc>
        <w:tc>
          <w:tcPr>
            <w:tcW w:w="1275" w:type="dxa"/>
            <w:tcBorders>
              <w:top w:val="nil"/>
              <w:left w:val="nil"/>
              <w:bottom w:val="nil"/>
              <w:right w:val="nil"/>
            </w:tcBorders>
            <w:shd w:val="clear" w:color="auto" w:fill="auto"/>
            <w:noWrap/>
            <w:vAlign w:val="bottom"/>
            <w:hideMark/>
          </w:tcPr>
          <w:p w14:paraId="4BD45661"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650 (41.5)</w:t>
            </w:r>
          </w:p>
        </w:tc>
        <w:tc>
          <w:tcPr>
            <w:tcW w:w="1134" w:type="dxa"/>
            <w:tcBorders>
              <w:top w:val="nil"/>
              <w:left w:val="nil"/>
              <w:bottom w:val="nil"/>
              <w:right w:val="nil"/>
            </w:tcBorders>
            <w:shd w:val="clear" w:color="auto" w:fill="auto"/>
            <w:noWrap/>
            <w:vAlign w:val="bottom"/>
            <w:hideMark/>
          </w:tcPr>
          <w:p w14:paraId="2C02B59C"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659 (42.1)</w:t>
            </w:r>
          </w:p>
        </w:tc>
        <w:tc>
          <w:tcPr>
            <w:tcW w:w="1276" w:type="dxa"/>
            <w:tcBorders>
              <w:top w:val="nil"/>
              <w:left w:val="nil"/>
              <w:bottom w:val="nil"/>
              <w:right w:val="nil"/>
            </w:tcBorders>
            <w:shd w:val="clear" w:color="auto" w:fill="auto"/>
            <w:noWrap/>
            <w:vAlign w:val="bottom"/>
            <w:hideMark/>
          </w:tcPr>
          <w:p w14:paraId="7EFDEA8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848 (54.1)</w:t>
            </w:r>
          </w:p>
        </w:tc>
        <w:tc>
          <w:tcPr>
            <w:tcW w:w="1134" w:type="dxa"/>
            <w:tcBorders>
              <w:top w:val="nil"/>
              <w:left w:val="nil"/>
              <w:bottom w:val="nil"/>
              <w:right w:val="nil"/>
            </w:tcBorders>
            <w:shd w:val="clear" w:color="auto" w:fill="auto"/>
            <w:noWrap/>
            <w:vAlign w:val="bottom"/>
            <w:hideMark/>
          </w:tcPr>
          <w:p w14:paraId="6E1A1F9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429 (27.4)</w:t>
            </w:r>
          </w:p>
        </w:tc>
        <w:tc>
          <w:tcPr>
            <w:tcW w:w="1134" w:type="dxa"/>
            <w:tcBorders>
              <w:top w:val="nil"/>
              <w:left w:val="nil"/>
              <w:bottom w:val="nil"/>
              <w:right w:val="nil"/>
            </w:tcBorders>
            <w:shd w:val="clear" w:color="auto" w:fill="auto"/>
            <w:noWrap/>
            <w:vAlign w:val="bottom"/>
            <w:hideMark/>
          </w:tcPr>
          <w:p w14:paraId="7B3BD89F"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195 (12.4)</w:t>
            </w:r>
          </w:p>
        </w:tc>
        <w:tc>
          <w:tcPr>
            <w:tcW w:w="992" w:type="dxa"/>
            <w:tcBorders>
              <w:top w:val="nil"/>
              <w:left w:val="nil"/>
              <w:bottom w:val="nil"/>
              <w:right w:val="nil"/>
            </w:tcBorders>
            <w:shd w:val="clear" w:color="auto" w:fill="auto"/>
            <w:noWrap/>
            <w:vAlign w:val="bottom"/>
            <w:hideMark/>
          </w:tcPr>
          <w:p w14:paraId="41F23F14"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95 (6.1)</w:t>
            </w:r>
          </w:p>
        </w:tc>
        <w:tc>
          <w:tcPr>
            <w:tcW w:w="1526" w:type="dxa"/>
            <w:tcBorders>
              <w:top w:val="nil"/>
              <w:left w:val="nil"/>
              <w:bottom w:val="nil"/>
              <w:right w:val="nil"/>
            </w:tcBorders>
            <w:shd w:val="clear" w:color="auto" w:fill="auto"/>
            <w:noWrap/>
            <w:vAlign w:val="bottom"/>
            <w:hideMark/>
          </w:tcPr>
          <w:p w14:paraId="056AAABA"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193 (12.3)</w:t>
            </w:r>
          </w:p>
        </w:tc>
        <w:tc>
          <w:tcPr>
            <w:tcW w:w="1526" w:type="dxa"/>
            <w:tcBorders>
              <w:top w:val="nil"/>
              <w:left w:val="nil"/>
              <w:bottom w:val="nil"/>
              <w:right w:val="nil"/>
            </w:tcBorders>
            <w:shd w:val="clear" w:color="auto" w:fill="auto"/>
            <w:noWrap/>
            <w:vAlign w:val="bottom"/>
            <w:hideMark/>
          </w:tcPr>
          <w:p w14:paraId="6824477B"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122 (7.8)</w:t>
            </w:r>
          </w:p>
        </w:tc>
        <w:tc>
          <w:tcPr>
            <w:tcW w:w="776" w:type="dxa"/>
            <w:tcBorders>
              <w:top w:val="nil"/>
              <w:left w:val="nil"/>
              <w:bottom w:val="nil"/>
              <w:right w:val="single" w:sz="8" w:space="0" w:color="auto"/>
            </w:tcBorders>
            <w:shd w:val="clear" w:color="auto" w:fill="auto"/>
            <w:noWrap/>
            <w:vAlign w:val="bottom"/>
            <w:hideMark/>
          </w:tcPr>
          <w:p w14:paraId="52D7367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1,567</w:t>
            </w:r>
          </w:p>
        </w:tc>
      </w:tr>
      <w:tr w:rsidR="00866F8C" w:rsidRPr="00591BFC" w14:paraId="5A4EDF3C" w14:textId="77777777" w:rsidTr="00866F8C">
        <w:trPr>
          <w:trHeight w:val="315"/>
        </w:trPr>
        <w:tc>
          <w:tcPr>
            <w:tcW w:w="820" w:type="dxa"/>
            <w:tcBorders>
              <w:top w:val="nil"/>
              <w:left w:val="single" w:sz="8" w:space="0" w:color="auto"/>
              <w:bottom w:val="nil"/>
              <w:right w:val="nil"/>
            </w:tcBorders>
            <w:shd w:val="clear" w:color="auto" w:fill="auto"/>
            <w:noWrap/>
            <w:vAlign w:val="bottom"/>
            <w:hideMark/>
          </w:tcPr>
          <w:p w14:paraId="15439023"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2008</w:t>
            </w:r>
          </w:p>
        </w:tc>
        <w:tc>
          <w:tcPr>
            <w:tcW w:w="1322" w:type="dxa"/>
            <w:tcBorders>
              <w:top w:val="nil"/>
              <w:left w:val="nil"/>
              <w:bottom w:val="nil"/>
              <w:right w:val="nil"/>
            </w:tcBorders>
            <w:shd w:val="clear" w:color="auto" w:fill="auto"/>
            <w:noWrap/>
            <w:vAlign w:val="bottom"/>
            <w:hideMark/>
          </w:tcPr>
          <w:p w14:paraId="5BFD4BB5"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1,139 (73.0)</w:t>
            </w:r>
          </w:p>
        </w:tc>
        <w:tc>
          <w:tcPr>
            <w:tcW w:w="1134" w:type="dxa"/>
            <w:tcBorders>
              <w:top w:val="nil"/>
              <w:left w:val="nil"/>
              <w:bottom w:val="nil"/>
              <w:right w:val="nil"/>
            </w:tcBorders>
            <w:shd w:val="clear" w:color="auto" w:fill="auto"/>
            <w:noWrap/>
            <w:vAlign w:val="bottom"/>
            <w:hideMark/>
          </w:tcPr>
          <w:p w14:paraId="1F4E330D"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332 (21.3)</w:t>
            </w:r>
          </w:p>
        </w:tc>
        <w:tc>
          <w:tcPr>
            <w:tcW w:w="1275" w:type="dxa"/>
            <w:tcBorders>
              <w:top w:val="nil"/>
              <w:left w:val="nil"/>
              <w:bottom w:val="nil"/>
              <w:right w:val="nil"/>
            </w:tcBorders>
            <w:shd w:val="clear" w:color="auto" w:fill="auto"/>
            <w:noWrap/>
            <w:vAlign w:val="bottom"/>
            <w:hideMark/>
          </w:tcPr>
          <w:p w14:paraId="16093A77"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572 (36.7)</w:t>
            </w:r>
          </w:p>
        </w:tc>
        <w:tc>
          <w:tcPr>
            <w:tcW w:w="1134" w:type="dxa"/>
            <w:tcBorders>
              <w:top w:val="nil"/>
              <w:left w:val="nil"/>
              <w:bottom w:val="nil"/>
              <w:right w:val="nil"/>
            </w:tcBorders>
            <w:shd w:val="clear" w:color="auto" w:fill="auto"/>
            <w:noWrap/>
            <w:vAlign w:val="bottom"/>
            <w:hideMark/>
          </w:tcPr>
          <w:p w14:paraId="7B14984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656 (42.1)</w:t>
            </w:r>
          </w:p>
        </w:tc>
        <w:tc>
          <w:tcPr>
            <w:tcW w:w="1276" w:type="dxa"/>
            <w:tcBorders>
              <w:top w:val="nil"/>
              <w:left w:val="nil"/>
              <w:bottom w:val="nil"/>
              <w:right w:val="nil"/>
            </w:tcBorders>
            <w:shd w:val="clear" w:color="auto" w:fill="auto"/>
            <w:noWrap/>
            <w:vAlign w:val="bottom"/>
            <w:hideMark/>
          </w:tcPr>
          <w:p w14:paraId="6023E79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827 (53.0)</w:t>
            </w:r>
          </w:p>
        </w:tc>
        <w:tc>
          <w:tcPr>
            <w:tcW w:w="1134" w:type="dxa"/>
            <w:tcBorders>
              <w:top w:val="nil"/>
              <w:left w:val="nil"/>
              <w:bottom w:val="nil"/>
              <w:right w:val="nil"/>
            </w:tcBorders>
            <w:shd w:val="clear" w:color="auto" w:fill="auto"/>
            <w:noWrap/>
            <w:vAlign w:val="bottom"/>
            <w:hideMark/>
          </w:tcPr>
          <w:p w14:paraId="5C7769A2"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452 (29.0)</w:t>
            </w:r>
          </w:p>
        </w:tc>
        <w:tc>
          <w:tcPr>
            <w:tcW w:w="1134" w:type="dxa"/>
            <w:tcBorders>
              <w:top w:val="nil"/>
              <w:left w:val="nil"/>
              <w:bottom w:val="nil"/>
              <w:right w:val="nil"/>
            </w:tcBorders>
            <w:shd w:val="clear" w:color="auto" w:fill="auto"/>
            <w:noWrap/>
            <w:vAlign w:val="bottom"/>
            <w:hideMark/>
          </w:tcPr>
          <w:p w14:paraId="6C1C6263"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181 (11.6)</w:t>
            </w:r>
          </w:p>
        </w:tc>
        <w:tc>
          <w:tcPr>
            <w:tcW w:w="992" w:type="dxa"/>
            <w:tcBorders>
              <w:top w:val="nil"/>
              <w:left w:val="nil"/>
              <w:bottom w:val="nil"/>
              <w:right w:val="nil"/>
            </w:tcBorders>
            <w:shd w:val="clear" w:color="auto" w:fill="auto"/>
            <w:noWrap/>
            <w:vAlign w:val="bottom"/>
            <w:hideMark/>
          </w:tcPr>
          <w:p w14:paraId="17F75772"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100 (6.4)</w:t>
            </w:r>
          </w:p>
        </w:tc>
        <w:tc>
          <w:tcPr>
            <w:tcW w:w="1526" w:type="dxa"/>
            <w:tcBorders>
              <w:top w:val="nil"/>
              <w:left w:val="nil"/>
              <w:bottom w:val="nil"/>
              <w:right w:val="nil"/>
            </w:tcBorders>
            <w:shd w:val="clear" w:color="auto" w:fill="auto"/>
            <w:noWrap/>
            <w:vAlign w:val="bottom"/>
            <w:hideMark/>
          </w:tcPr>
          <w:p w14:paraId="06E25E0D"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217 (13.9)</w:t>
            </w:r>
          </w:p>
        </w:tc>
        <w:tc>
          <w:tcPr>
            <w:tcW w:w="1526" w:type="dxa"/>
            <w:tcBorders>
              <w:top w:val="nil"/>
              <w:left w:val="nil"/>
              <w:bottom w:val="nil"/>
              <w:right w:val="nil"/>
            </w:tcBorders>
            <w:shd w:val="clear" w:color="auto" w:fill="auto"/>
            <w:noWrap/>
            <w:vAlign w:val="bottom"/>
            <w:hideMark/>
          </w:tcPr>
          <w:p w14:paraId="353EBD97"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130 (8.3)</w:t>
            </w:r>
          </w:p>
        </w:tc>
        <w:tc>
          <w:tcPr>
            <w:tcW w:w="776" w:type="dxa"/>
            <w:tcBorders>
              <w:top w:val="nil"/>
              <w:left w:val="nil"/>
              <w:bottom w:val="nil"/>
              <w:right w:val="single" w:sz="8" w:space="0" w:color="auto"/>
            </w:tcBorders>
            <w:shd w:val="clear" w:color="auto" w:fill="auto"/>
            <w:noWrap/>
            <w:vAlign w:val="bottom"/>
            <w:hideMark/>
          </w:tcPr>
          <w:p w14:paraId="42FC0B6B"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1,560</w:t>
            </w:r>
          </w:p>
        </w:tc>
      </w:tr>
      <w:tr w:rsidR="00866F8C" w:rsidRPr="00591BFC" w14:paraId="2687B4DF" w14:textId="77777777" w:rsidTr="00866F8C">
        <w:trPr>
          <w:trHeight w:val="315"/>
        </w:trPr>
        <w:tc>
          <w:tcPr>
            <w:tcW w:w="820" w:type="dxa"/>
            <w:tcBorders>
              <w:top w:val="nil"/>
              <w:left w:val="single" w:sz="8" w:space="0" w:color="auto"/>
              <w:bottom w:val="nil"/>
              <w:right w:val="nil"/>
            </w:tcBorders>
            <w:shd w:val="clear" w:color="auto" w:fill="auto"/>
            <w:noWrap/>
            <w:vAlign w:val="bottom"/>
            <w:hideMark/>
          </w:tcPr>
          <w:p w14:paraId="1ED6F90F"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2009</w:t>
            </w:r>
          </w:p>
        </w:tc>
        <w:tc>
          <w:tcPr>
            <w:tcW w:w="1322" w:type="dxa"/>
            <w:tcBorders>
              <w:top w:val="nil"/>
              <w:left w:val="nil"/>
              <w:bottom w:val="nil"/>
              <w:right w:val="nil"/>
            </w:tcBorders>
            <w:shd w:val="clear" w:color="auto" w:fill="auto"/>
            <w:noWrap/>
            <w:vAlign w:val="bottom"/>
            <w:hideMark/>
          </w:tcPr>
          <w:p w14:paraId="381D7C62"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1,097 (75.5)</w:t>
            </w:r>
          </w:p>
        </w:tc>
        <w:tc>
          <w:tcPr>
            <w:tcW w:w="1134" w:type="dxa"/>
            <w:tcBorders>
              <w:top w:val="nil"/>
              <w:left w:val="nil"/>
              <w:bottom w:val="nil"/>
              <w:right w:val="nil"/>
            </w:tcBorders>
            <w:shd w:val="clear" w:color="auto" w:fill="auto"/>
            <w:noWrap/>
            <w:vAlign w:val="bottom"/>
            <w:hideMark/>
          </w:tcPr>
          <w:p w14:paraId="5E397D76"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296 (20.4)</w:t>
            </w:r>
          </w:p>
        </w:tc>
        <w:tc>
          <w:tcPr>
            <w:tcW w:w="1275" w:type="dxa"/>
            <w:tcBorders>
              <w:top w:val="nil"/>
              <w:left w:val="nil"/>
              <w:bottom w:val="nil"/>
              <w:right w:val="nil"/>
            </w:tcBorders>
            <w:shd w:val="clear" w:color="auto" w:fill="auto"/>
            <w:noWrap/>
            <w:vAlign w:val="bottom"/>
            <w:hideMark/>
          </w:tcPr>
          <w:p w14:paraId="5E8F0B1B"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521 (35.8)</w:t>
            </w:r>
          </w:p>
        </w:tc>
        <w:tc>
          <w:tcPr>
            <w:tcW w:w="1134" w:type="dxa"/>
            <w:tcBorders>
              <w:top w:val="nil"/>
              <w:left w:val="nil"/>
              <w:bottom w:val="nil"/>
              <w:right w:val="nil"/>
            </w:tcBorders>
            <w:shd w:val="clear" w:color="auto" w:fill="auto"/>
            <w:noWrap/>
            <w:vAlign w:val="bottom"/>
            <w:hideMark/>
          </w:tcPr>
          <w:p w14:paraId="30A9F296"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637 (43.8)</w:t>
            </w:r>
          </w:p>
        </w:tc>
        <w:tc>
          <w:tcPr>
            <w:tcW w:w="1276" w:type="dxa"/>
            <w:tcBorders>
              <w:top w:val="nil"/>
              <w:left w:val="nil"/>
              <w:bottom w:val="nil"/>
              <w:right w:val="nil"/>
            </w:tcBorders>
            <w:shd w:val="clear" w:color="auto" w:fill="auto"/>
            <w:noWrap/>
            <w:vAlign w:val="bottom"/>
            <w:hideMark/>
          </w:tcPr>
          <w:p w14:paraId="02CC2DED"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758 (52.1)</w:t>
            </w:r>
          </w:p>
        </w:tc>
        <w:tc>
          <w:tcPr>
            <w:tcW w:w="1134" w:type="dxa"/>
            <w:tcBorders>
              <w:top w:val="nil"/>
              <w:left w:val="nil"/>
              <w:bottom w:val="nil"/>
              <w:right w:val="nil"/>
            </w:tcBorders>
            <w:shd w:val="clear" w:color="auto" w:fill="auto"/>
            <w:noWrap/>
            <w:vAlign w:val="bottom"/>
            <w:hideMark/>
          </w:tcPr>
          <w:p w14:paraId="6E0A90DF"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428 (29.4)</w:t>
            </w:r>
          </w:p>
        </w:tc>
        <w:tc>
          <w:tcPr>
            <w:tcW w:w="1134" w:type="dxa"/>
            <w:tcBorders>
              <w:top w:val="nil"/>
              <w:left w:val="nil"/>
              <w:bottom w:val="nil"/>
              <w:right w:val="nil"/>
            </w:tcBorders>
            <w:shd w:val="clear" w:color="auto" w:fill="auto"/>
            <w:noWrap/>
            <w:vAlign w:val="bottom"/>
            <w:hideMark/>
          </w:tcPr>
          <w:p w14:paraId="2664A89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174 (12.0)</w:t>
            </w:r>
          </w:p>
        </w:tc>
        <w:tc>
          <w:tcPr>
            <w:tcW w:w="992" w:type="dxa"/>
            <w:tcBorders>
              <w:top w:val="nil"/>
              <w:left w:val="nil"/>
              <w:bottom w:val="nil"/>
              <w:right w:val="nil"/>
            </w:tcBorders>
            <w:shd w:val="clear" w:color="auto" w:fill="auto"/>
            <w:noWrap/>
            <w:vAlign w:val="bottom"/>
            <w:hideMark/>
          </w:tcPr>
          <w:p w14:paraId="7EA355E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94 (6.5)</w:t>
            </w:r>
          </w:p>
        </w:tc>
        <w:tc>
          <w:tcPr>
            <w:tcW w:w="1526" w:type="dxa"/>
            <w:tcBorders>
              <w:top w:val="nil"/>
              <w:left w:val="nil"/>
              <w:bottom w:val="nil"/>
              <w:right w:val="nil"/>
            </w:tcBorders>
            <w:shd w:val="clear" w:color="auto" w:fill="auto"/>
            <w:noWrap/>
            <w:vAlign w:val="bottom"/>
            <w:hideMark/>
          </w:tcPr>
          <w:p w14:paraId="5B247F73"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23 (16.0)</w:t>
            </w:r>
          </w:p>
        </w:tc>
        <w:tc>
          <w:tcPr>
            <w:tcW w:w="1526" w:type="dxa"/>
            <w:tcBorders>
              <w:top w:val="nil"/>
              <w:left w:val="nil"/>
              <w:bottom w:val="nil"/>
              <w:right w:val="nil"/>
            </w:tcBorders>
            <w:shd w:val="clear" w:color="auto" w:fill="auto"/>
            <w:noWrap/>
            <w:vAlign w:val="bottom"/>
            <w:hideMark/>
          </w:tcPr>
          <w:p w14:paraId="223A3F83"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154 (10.6)</w:t>
            </w:r>
          </w:p>
        </w:tc>
        <w:tc>
          <w:tcPr>
            <w:tcW w:w="776" w:type="dxa"/>
            <w:tcBorders>
              <w:top w:val="nil"/>
              <w:left w:val="nil"/>
              <w:bottom w:val="nil"/>
              <w:right w:val="single" w:sz="8" w:space="0" w:color="auto"/>
            </w:tcBorders>
            <w:shd w:val="clear" w:color="auto" w:fill="auto"/>
            <w:noWrap/>
            <w:vAlign w:val="bottom"/>
            <w:hideMark/>
          </w:tcPr>
          <w:p w14:paraId="2FA34B2C"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1,454</w:t>
            </w:r>
          </w:p>
        </w:tc>
      </w:tr>
      <w:tr w:rsidR="00866F8C" w:rsidRPr="00591BFC" w14:paraId="70C1F615" w14:textId="77777777" w:rsidTr="00866F8C">
        <w:trPr>
          <w:trHeight w:val="315"/>
        </w:trPr>
        <w:tc>
          <w:tcPr>
            <w:tcW w:w="820" w:type="dxa"/>
            <w:tcBorders>
              <w:top w:val="nil"/>
              <w:left w:val="single" w:sz="8" w:space="0" w:color="auto"/>
              <w:bottom w:val="nil"/>
              <w:right w:val="nil"/>
            </w:tcBorders>
            <w:shd w:val="clear" w:color="auto" w:fill="auto"/>
            <w:noWrap/>
            <w:vAlign w:val="bottom"/>
            <w:hideMark/>
          </w:tcPr>
          <w:p w14:paraId="3F329957"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2010</w:t>
            </w:r>
          </w:p>
        </w:tc>
        <w:tc>
          <w:tcPr>
            <w:tcW w:w="1322" w:type="dxa"/>
            <w:tcBorders>
              <w:top w:val="nil"/>
              <w:left w:val="nil"/>
              <w:bottom w:val="nil"/>
              <w:right w:val="nil"/>
            </w:tcBorders>
            <w:shd w:val="clear" w:color="auto" w:fill="auto"/>
            <w:noWrap/>
            <w:vAlign w:val="bottom"/>
            <w:hideMark/>
          </w:tcPr>
          <w:p w14:paraId="13317FA4"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1,039 (73.9)</w:t>
            </w:r>
          </w:p>
        </w:tc>
        <w:tc>
          <w:tcPr>
            <w:tcW w:w="1134" w:type="dxa"/>
            <w:tcBorders>
              <w:top w:val="nil"/>
              <w:left w:val="nil"/>
              <w:bottom w:val="nil"/>
              <w:right w:val="nil"/>
            </w:tcBorders>
            <w:shd w:val="clear" w:color="auto" w:fill="auto"/>
            <w:noWrap/>
            <w:vAlign w:val="bottom"/>
            <w:hideMark/>
          </w:tcPr>
          <w:p w14:paraId="6CFA72AB"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290 (20.6)</w:t>
            </w:r>
          </w:p>
        </w:tc>
        <w:tc>
          <w:tcPr>
            <w:tcW w:w="1275" w:type="dxa"/>
            <w:tcBorders>
              <w:top w:val="nil"/>
              <w:left w:val="nil"/>
              <w:bottom w:val="nil"/>
              <w:right w:val="nil"/>
            </w:tcBorders>
            <w:shd w:val="clear" w:color="auto" w:fill="auto"/>
            <w:noWrap/>
            <w:vAlign w:val="bottom"/>
            <w:hideMark/>
          </w:tcPr>
          <w:p w14:paraId="5F0DFDE2"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502 (35.7)</w:t>
            </w:r>
          </w:p>
        </w:tc>
        <w:tc>
          <w:tcPr>
            <w:tcW w:w="1134" w:type="dxa"/>
            <w:tcBorders>
              <w:top w:val="nil"/>
              <w:left w:val="nil"/>
              <w:bottom w:val="nil"/>
              <w:right w:val="nil"/>
            </w:tcBorders>
            <w:shd w:val="clear" w:color="auto" w:fill="auto"/>
            <w:noWrap/>
            <w:vAlign w:val="bottom"/>
            <w:hideMark/>
          </w:tcPr>
          <w:p w14:paraId="36D1B95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615 (43.7)</w:t>
            </w:r>
          </w:p>
        </w:tc>
        <w:tc>
          <w:tcPr>
            <w:tcW w:w="1276" w:type="dxa"/>
            <w:tcBorders>
              <w:top w:val="nil"/>
              <w:left w:val="nil"/>
              <w:bottom w:val="nil"/>
              <w:right w:val="nil"/>
            </w:tcBorders>
            <w:shd w:val="clear" w:color="auto" w:fill="auto"/>
            <w:noWrap/>
            <w:vAlign w:val="bottom"/>
            <w:hideMark/>
          </w:tcPr>
          <w:p w14:paraId="26C1251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733 (52.0)</w:t>
            </w:r>
          </w:p>
        </w:tc>
        <w:tc>
          <w:tcPr>
            <w:tcW w:w="1134" w:type="dxa"/>
            <w:tcBorders>
              <w:top w:val="nil"/>
              <w:left w:val="nil"/>
              <w:bottom w:val="nil"/>
              <w:right w:val="nil"/>
            </w:tcBorders>
            <w:shd w:val="clear" w:color="auto" w:fill="auto"/>
            <w:noWrap/>
            <w:vAlign w:val="bottom"/>
            <w:hideMark/>
          </w:tcPr>
          <w:p w14:paraId="5AB7AF74"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433 (30.8)</w:t>
            </w:r>
          </w:p>
        </w:tc>
        <w:tc>
          <w:tcPr>
            <w:tcW w:w="1134" w:type="dxa"/>
            <w:tcBorders>
              <w:top w:val="nil"/>
              <w:left w:val="nil"/>
              <w:bottom w:val="nil"/>
              <w:right w:val="nil"/>
            </w:tcBorders>
            <w:shd w:val="clear" w:color="auto" w:fill="auto"/>
            <w:noWrap/>
            <w:vAlign w:val="bottom"/>
            <w:hideMark/>
          </w:tcPr>
          <w:p w14:paraId="53D2CA68"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160 (11.4)</w:t>
            </w:r>
          </w:p>
        </w:tc>
        <w:tc>
          <w:tcPr>
            <w:tcW w:w="992" w:type="dxa"/>
            <w:tcBorders>
              <w:top w:val="nil"/>
              <w:left w:val="nil"/>
              <w:bottom w:val="nil"/>
              <w:right w:val="nil"/>
            </w:tcBorders>
            <w:shd w:val="clear" w:color="auto" w:fill="auto"/>
            <w:noWrap/>
            <w:vAlign w:val="bottom"/>
            <w:hideMark/>
          </w:tcPr>
          <w:p w14:paraId="58ABECB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81 (5.8)</w:t>
            </w:r>
          </w:p>
        </w:tc>
        <w:tc>
          <w:tcPr>
            <w:tcW w:w="1526" w:type="dxa"/>
            <w:tcBorders>
              <w:top w:val="nil"/>
              <w:left w:val="nil"/>
              <w:bottom w:val="nil"/>
              <w:right w:val="nil"/>
            </w:tcBorders>
            <w:shd w:val="clear" w:color="auto" w:fill="auto"/>
            <w:noWrap/>
            <w:vAlign w:val="bottom"/>
            <w:hideMark/>
          </w:tcPr>
          <w:p w14:paraId="56A6239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220 (15.6)</w:t>
            </w:r>
          </w:p>
        </w:tc>
        <w:tc>
          <w:tcPr>
            <w:tcW w:w="1526" w:type="dxa"/>
            <w:tcBorders>
              <w:top w:val="nil"/>
              <w:left w:val="nil"/>
              <w:bottom w:val="nil"/>
              <w:right w:val="nil"/>
            </w:tcBorders>
            <w:shd w:val="clear" w:color="auto" w:fill="auto"/>
            <w:noWrap/>
            <w:vAlign w:val="bottom"/>
            <w:hideMark/>
          </w:tcPr>
          <w:p w14:paraId="3EB14222"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136 (9.7)</w:t>
            </w:r>
          </w:p>
        </w:tc>
        <w:tc>
          <w:tcPr>
            <w:tcW w:w="776" w:type="dxa"/>
            <w:tcBorders>
              <w:top w:val="nil"/>
              <w:left w:val="nil"/>
              <w:bottom w:val="nil"/>
              <w:right w:val="single" w:sz="8" w:space="0" w:color="auto"/>
            </w:tcBorders>
            <w:shd w:val="clear" w:color="auto" w:fill="auto"/>
            <w:noWrap/>
            <w:vAlign w:val="bottom"/>
            <w:hideMark/>
          </w:tcPr>
          <w:p w14:paraId="3142F51C"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1,407</w:t>
            </w:r>
          </w:p>
        </w:tc>
      </w:tr>
      <w:tr w:rsidR="00866F8C" w:rsidRPr="00591BFC" w14:paraId="0E341C8C" w14:textId="77777777" w:rsidTr="00866F8C">
        <w:trPr>
          <w:trHeight w:val="315"/>
        </w:trPr>
        <w:tc>
          <w:tcPr>
            <w:tcW w:w="820" w:type="dxa"/>
            <w:tcBorders>
              <w:top w:val="nil"/>
              <w:left w:val="single" w:sz="8" w:space="0" w:color="auto"/>
              <w:bottom w:val="nil"/>
              <w:right w:val="nil"/>
            </w:tcBorders>
            <w:shd w:val="clear" w:color="auto" w:fill="auto"/>
            <w:noWrap/>
            <w:vAlign w:val="bottom"/>
            <w:hideMark/>
          </w:tcPr>
          <w:p w14:paraId="5C0A6556"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2011</w:t>
            </w:r>
          </w:p>
        </w:tc>
        <w:tc>
          <w:tcPr>
            <w:tcW w:w="1322" w:type="dxa"/>
            <w:tcBorders>
              <w:top w:val="nil"/>
              <w:left w:val="nil"/>
              <w:bottom w:val="nil"/>
              <w:right w:val="nil"/>
            </w:tcBorders>
            <w:shd w:val="clear" w:color="auto" w:fill="auto"/>
            <w:noWrap/>
            <w:vAlign w:val="bottom"/>
            <w:hideMark/>
          </w:tcPr>
          <w:p w14:paraId="15DE68B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976 (76.9)</w:t>
            </w:r>
          </w:p>
        </w:tc>
        <w:tc>
          <w:tcPr>
            <w:tcW w:w="1134" w:type="dxa"/>
            <w:tcBorders>
              <w:top w:val="nil"/>
              <w:left w:val="nil"/>
              <w:bottom w:val="nil"/>
              <w:right w:val="nil"/>
            </w:tcBorders>
            <w:shd w:val="clear" w:color="auto" w:fill="auto"/>
            <w:noWrap/>
            <w:vAlign w:val="bottom"/>
            <w:hideMark/>
          </w:tcPr>
          <w:p w14:paraId="1062F69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220 (17.3)</w:t>
            </w:r>
          </w:p>
        </w:tc>
        <w:tc>
          <w:tcPr>
            <w:tcW w:w="1275" w:type="dxa"/>
            <w:tcBorders>
              <w:top w:val="nil"/>
              <w:left w:val="nil"/>
              <w:bottom w:val="nil"/>
              <w:right w:val="nil"/>
            </w:tcBorders>
            <w:shd w:val="clear" w:color="auto" w:fill="auto"/>
            <w:noWrap/>
            <w:vAlign w:val="bottom"/>
            <w:hideMark/>
          </w:tcPr>
          <w:p w14:paraId="3F9BB43C"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497 (39.2)</w:t>
            </w:r>
          </w:p>
        </w:tc>
        <w:tc>
          <w:tcPr>
            <w:tcW w:w="1134" w:type="dxa"/>
            <w:tcBorders>
              <w:top w:val="nil"/>
              <w:left w:val="nil"/>
              <w:bottom w:val="nil"/>
              <w:right w:val="nil"/>
            </w:tcBorders>
            <w:shd w:val="clear" w:color="auto" w:fill="auto"/>
            <w:noWrap/>
            <w:vAlign w:val="bottom"/>
            <w:hideMark/>
          </w:tcPr>
          <w:p w14:paraId="535E3B69"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552 (43.5)</w:t>
            </w:r>
          </w:p>
        </w:tc>
        <w:tc>
          <w:tcPr>
            <w:tcW w:w="1276" w:type="dxa"/>
            <w:tcBorders>
              <w:top w:val="nil"/>
              <w:left w:val="nil"/>
              <w:bottom w:val="nil"/>
              <w:right w:val="nil"/>
            </w:tcBorders>
            <w:shd w:val="clear" w:color="auto" w:fill="auto"/>
            <w:noWrap/>
            <w:vAlign w:val="bottom"/>
            <w:hideMark/>
          </w:tcPr>
          <w:p w14:paraId="611A0E46"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647 (51.0)</w:t>
            </w:r>
          </w:p>
        </w:tc>
        <w:tc>
          <w:tcPr>
            <w:tcW w:w="1134" w:type="dxa"/>
            <w:tcBorders>
              <w:top w:val="nil"/>
              <w:left w:val="nil"/>
              <w:bottom w:val="nil"/>
              <w:right w:val="nil"/>
            </w:tcBorders>
            <w:shd w:val="clear" w:color="auto" w:fill="auto"/>
            <w:noWrap/>
            <w:vAlign w:val="bottom"/>
            <w:hideMark/>
          </w:tcPr>
          <w:p w14:paraId="3FA2792F"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390 (30.7)</w:t>
            </w:r>
          </w:p>
        </w:tc>
        <w:tc>
          <w:tcPr>
            <w:tcW w:w="1134" w:type="dxa"/>
            <w:tcBorders>
              <w:top w:val="nil"/>
              <w:left w:val="nil"/>
              <w:bottom w:val="nil"/>
              <w:right w:val="nil"/>
            </w:tcBorders>
            <w:shd w:val="clear" w:color="auto" w:fill="auto"/>
            <w:noWrap/>
            <w:vAlign w:val="bottom"/>
            <w:hideMark/>
          </w:tcPr>
          <w:p w14:paraId="570FCD2D"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153 (12.1)</w:t>
            </w:r>
          </w:p>
        </w:tc>
        <w:tc>
          <w:tcPr>
            <w:tcW w:w="992" w:type="dxa"/>
            <w:tcBorders>
              <w:top w:val="nil"/>
              <w:left w:val="nil"/>
              <w:bottom w:val="nil"/>
              <w:right w:val="nil"/>
            </w:tcBorders>
            <w:shd w:val="clear" w:color="auto" w:fill="auto"/>
            <w:noWrap/>
            <w:vAlign w:val="bottom"/>
            <w:hideMark/>
          </w:tcPr>
          <w:p w14:paraId="143F0DAB"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79 (6.2)</w:t>
            </w:r>
          </w:p>
        </w:tc>
        <w:tc>
          <w:tcPr>
            <w:tcW w:w="1526" w:type="dxa"/>
            <w:tcBorders>
              <w:top w:val="nil"/>
              <w:left w:val="nil"/>
              <w:bottom w:val="nil"/>
              <w:right w:val="nil"/>
            </w:tcBorders>
            <w:shd w:val="clear" w:color="auto" w:fill="auto"/>
            <w:noWrap/>
            <w:vAlign w:val="bottom"/>
            <w:hideMark/>
          </w:tcPr>
          <w:p w14:paraId="51FC163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216 (17.0)</w:t>
            </w:r>
          </w:p>
        </w:tc>
        <w:tc>
          <w:tcPr>
            <w:tcW w:w="1526" w:type="dxa"/>
            <w:tcBorders>
              <w:top w:val="nil"/>
              <w:left w:val="nil"/>
              <w:bottom w:val="nil"/>
              <w:right w:val="nil"/>
            </w:tcBorders>
            <w:shd w:val="clear" w:color="auto" w:fill="auto"/>
            <w:noWrap/>
            <w:vAlign w:val="bottom"/>
            <w:hideMark/>
          </w:tcPr>
          <w:p w14:paraId="4EEC0AB3"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133 (10.5)</w:t>
            </w:r>
          </w:p>
        </w:tc>
        <w:tc>
          <w:tcPr>
            <w:tcW w:w="776" w:type="dxa"/>
            <w:tcBorders>
              <w:top w:val="nil"/>
              <w:left w:val="nil"/>
              <w:bottom w:val="nil"/>
              <w:right w:val="single" w:sz="8" w:space="0" w:color="auto"/>
            </w:tcBorders>
            <w:shd w:val="clear" w:color="auto" w:fill="auto"/>
            <w:noWrap/>
            <w:vAlign w:val="bottom"/>
            <w:hideMark/>
          </w:tcPr>
          <w:p w14:paraId="50635802"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1,269</w:t>
            </w:r>
          </w:p>
        </w:tc>
      </w:tr>
      <w:tr w:rsidR="00866F8C" w:rsidRPr="00591BFC" w14:paraId="54A2DC2E" w14:textId="77777777" w:rsidTr="00866F8C">
        <w:trPr>
          <w:trHeight w:val="315"/>
        </w:trPr>
        <w:tc>
          <w:tcPr>
            <w:tcW w:w="820" w:type="dxa"/>
            <w:tcBorders>
              <w:top w:val="nil"/>
              <w:left w:val="single" w:sz="8" w:space="0" w:color="auto"/>
              <w:bottom w:val="nil"/>
              <w:right w:val="nil"/>
            </w:tcBorders>
            <w:shd w:val="clear" w:color="auto" w:fill="auto"/>
            <w:noWrap/>
            <w:vAlign w:val="bottom"/>
            <w:hideMark/>
          </w:tcPr>
          <w:p w14:paraId="0037D5D8"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2012</w:t>
            </w:r>
          </w:p>
        </w:tc>
        <w:tc>
          <w:tcPr>
            <w:tcW w:w="1322" w:type="dxa"/>
            <w:tcBorders>
              <w:top w:val="nil"/>
              <w:left w:val="nil"/>
              <w:bottom w:val="nil"/>
              <w:right w:val="nil"/>
            </w:tcBorders>
            <w:shd w:val="clear" w:color="auto" w:fill="auto"/>
            <w:noWrap/>
            <w:vAlign w:val="bottom"/>
            <w:hideMark/>
          </w:tcPr>
          <w:p w14:paraId="79136EAC"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965 (74.0)</w:t>
            </w:r>
          </w:p>
        </w:tc>
        <w:tc>
          <w:tcPr>
            <w:tcW w:w="1134" w:type="dxa"/>
            <w:tcBorders>
              <w:top w:val="nil"/>
              <w:left w:val="nil"/>
              <w:bottom w:val="nil"/>
              <w:right w:val="nil"/>
            </w:tcBorders>
            <w:shd w:val="clear" w:color="auto" w:fill="auto"/>
            <w:noWrap/>
            <w:vAlign w:val="bottom"/>
            <w:hideMark/>
          </w:tcPr>
          <w:p w14:paraId="7989A6F5"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228 (17.5)</w:t>
            </w:r>
          </w:p>
        </w:tc>
        <w:tc>
          <w:tcPr>
            <w:tcW w:w="1275" w:type="dxa"/>
            <w:tcBorders>
              <w:top w:val="nil"/>
              <w:left w:val="nil"/>
              <w:bottom w:val="nil"/>
              <w:right w:val="nil"/>
            </w:tcBorders>
            <w:shd w:val="clear" w:color="auto" w:fill="auto"/>
            <w:noWrap/>
            <w:vAlign w:val="bottom"/>
            <w:hideMark/>
          </w:tcPr>
          <w:p w14:paraId="30D6F194"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484 (37.1)</w:t>
            </w:r>
          </w:p>
        </w:tc>
        <w:tc>
          <w:tcPr>
            <w:tcW w:w="1134" w:type="dxa"/>
            <w:tcBorders>
              <w:top w:val="nil"/>
              <w:left w:val="nil"/>
              <w:bottom w:val="nil"/>
              <w:right w:val="nil"/>
            </w:tcBorders>
            <w:shd w:val="clear" w:color="auto" w:fill="auto"/>
            <w:noWrap/>
            <w:vAlign w:val="bottom"/>
            <w:hideMark/>
          </w:tcPr>
          <w:p w14:paraId="40FE75E2"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592 (45.4)</w:t>
            </w:r>
          </w:p>
        </w:tc>
        <w:tc>
          <w:tcPr>
            <w:tcW w:w="1276" w:type="dxa"/>
            <w:tcBorders>
              <w:top w:val="nil"/>
              <w:left w:val="nil"/>
              <w:bottom w:val="nil"/>
              <w:right w:val="nil"/>
            </w:tcBorders>
            <w:shd w:val="clear" w:color="auto" w:fill="auto"/>
            <w:noWrap/>
            <w:vAlign w:val="bottom"/>
            <w:hideMark/>
          </w:tcPr>
          <w:p w14:paraId="7CFD450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747 (57.3)</w:t>
            </w:r>
          </w:p>
        </w:tc>
        <w:tc>
          <w:tcPr>
            <w:tcW w:w="1134" w:type="dxa"/>
            <w:tcBorders>
              <w:top w:val="nil"/>
              <w:left w:val="nil"/>
              <w:bottom w:val="nil"/>
              <w:right w:val="nil"/>
            </w:tcBorders>
            <w:shd w:val="clear" w:color="auto" w:fill="auto"/>
            <w:noWrap/>
            <w:vAlign w:val="bottom"/>
            <w:hideMark/>
          </w:tcPr>
          <w:p w14:paraId="1B4D1267"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365 (28.0)</w:t>
            </w:r>
          </w:p>
        </w:tc>
        <w:tc>
          <w:tcPr>
            <w:tcW w:w="1134" w:type="dxa"/>
            <w:tcBorders>
              <w:top w:val="nil"/>
              <w:left w:val="nil"/>
              <w:bottom w:val="nil"/>
              <w:right w:val="nil"/>
            </w:tcBorders>
            <w:shd w:val="clear" w:color="auto" w:fill="auto"/>
            <w:noWrap/>
            <w:vAlign w:val="bottom"/>
            <w:hideMark/>
          </w:tcPr>
          <w:p w14:paraId="76C7C791"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127 (9.7)</w:t>
            </w:r>
          </w:p>
        </w:tc>
        <w:tc>
          <w:tcPr>
            <w:tcW w:w="992" w:type="dxa"/>
            <w:tcBorders>
              <w:top w:val="nil"/>
              <w:left w:val="nil"/>
              <w:bottom w:val="nil"/>
              <w:right w:val="nil"/>
            </w:tcBorders>
            <w:shd w:val="clear" w:color="auto" w:fill="auto"/>
            <w:noWrap/>
            <w:vAlign w:val="bottom"/>
            <w:hideMark/>
          </w:tcPr>
          <w:p w14:paraId="693FF0D2"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65 (5.0)</w:t>
            </w:r>
          </w:p>
        </w:tc>
        <w:tc>
          <w:tcPr>
            <w:tcW w:w="1526" w:type="dxa"/>
            <w:tcBorders>
              <w:top w:val="nil"/>
              <w:left w:val="nil"/>
              <w:bottom w:val="nil"/>
              <w:right w:val="nil"/>
            </w:tcBorders>
            <w:shd w:val="clear" w:color="auto" w:fill="auto"/>
            <w:noWrap/>
            <w:vAlign w:val="bottom"/>
            <w:hideMark/>
          </w:tcPr>
          <w:p w14:paraId="55069EE6"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229 (17.6)</w:t>
            </w:r>
          </w:p>
        </w:tc>
        <w:tc>
          <w:tcPr>
            <w:tcW w:w="1526" w:type="dxa"/>
            <w:tcBorders>
              <w:top w:val="nil"/>
              <w:left w:val="nil"/>
              <w:bottom w:val="nil"/>
              <w:right w:val="nil"/>
            </w:tcBorders>
            <w:shd w:val="clear" w:color="auto" w:fill="auto"/>
            <w:noWrap/>
            <w:vAlign w:val="bottom"/>
            <w:hideMark/>
          </w:tcPr>
          <w:p w14:paraId="7A0ACBFF"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115 (8.8)</w:t>
            </w:r>
          </w:p>
        </w:tc>
        <w:tc>
          <w:tcPr>
            <w:tcW w:w="776" w:type="dxa"/>
            <w:tcBorders>
              <w:top w:val="nil"/>
              <w:left w:val="nil"/>
              <w:bottom w:val="nil"/>
              <w:right w:val="single" w:sz="8" w:space="0" w:color="auto"/>
            </w:tcBorders>
            <w:shd w:val="clear" w:color="auto" w:fill="auto"/>
            <w:noWrap/>
            <w:vAlign w:val="bottom"/>
            <w:hideMark/>
          </w:tcPr>
          <w:p w14:paraId="0B40EBCD"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1,304</w:t>
            </w:r>
          </w:p>
        </w:tc>
      </w:tr>
      <w:tr w:rsidR="00866F8C" w:rsidRPr="00591BFC" w14:paraId="5A0B1138" w14:textId="77777777" w:rsidTr="00866F8C">
        <w:trPr>
          <w:trHeight w:val="330"/>
        </w:trPr>
        <w:tc>
          <w:tcPr>
            <w:tcW w:w="820" w:type="dxa"/>
            <w:tcBorders>
              <w:top w:val="nil"/>
              <w:left w:val="single" w:sz="8" w:space="0" w:color="auto"/>
              <w:bottom w:val="single" w:sz="8" w:space="0" w:color="auto"/>
              <w:right w:val="nil"/>
            </w:tcBorders>
            <w:shd w:val="clear" w:color="auto" w:fill="auto"/>
            <w:noWrap/>
            <w:vAlign w:val="bottom"/>
            <w:hideMark/>
          </w:tcPr>
          <w:p w14:paraId="06E5C035"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Overall</w:t>
            </w:r>
          </w:p>
        </w:tc>
        <w:tc>
          <w:tcPr>
            <w:tcW w:w="1322" w:type="dxa"/>
            <w:tcBorders>
              <w:top w:val="nil"/>
              <w:left w:val="nil"/>
              <w:bottom w:val="single" w:sz="8" w:space="0" w:color="auto"/>
              <w:right w:val="nil"/>
            </w:tcBorders>
            <w:shd w:val="clear" w:color="auto" w:fill="auto"/>
            <w:noWrap/>
            <w:vAlign w:val="bottom"/>
            <w:hideMark/>
          </w:tcPr>
          <w:p w14:paraId="370B6F85"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16,547 (76.6)</w:t>
            </w:r>
          </w:p>
        </w:tc>
        <w:tc>
          <w:tcPr>
            <w:tcW w:w="1134" w:type="dxa"/>
            <w:tcBorders>
              <w:top w:val="nil"/>
              <w:left w:val="nil"/>
              <w:bottom w:val="single" w:sz="8" w:space="0" w:color="auto"/>
              <w:right w:val="nil"/>
            </w:tcBorders>
            <w:shd w:val="clear" w:color="auto" w:fill="auto"/>
            <w:noWrap/>
            <w:vAlign w:val="bottom"/>
            <w:hideMark/>
          </w:tcPr>
          <w:p w14:paraId="4CC218FB"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3,990 (18.5)</w:t>
            </w:r>
          </w:p>
        </w:tc>
        <w:tc>
          <w:tcPr>
            <w:tcW w:w="1275" w:type="dxa"/>
            <w:tcBorders>
              <w:top w:val="nil"/>
              <w:left w:val="nil"/>
              <w:bottom w:val="single" w:sz="8" w:space="0" w:color="auto"/>
              <w:right w:val="nil"/>
            </w:tcBorders>
            <w:shd w:val="clear" w:color="auto" w:fill="auto"/>
            <w:noWrap/>
            <w:vAlign w:val="bottom"/>
            <w:hideMark/>
          </w:tcPr>
          <w:p w14:paraId="4D4542F4"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8,833 (40.9)</w:t>
            </w:r>
          </w:p>
        </w:tc>
        <w:tc>
          <w:tcPr>
            <w:tcW w:w="1134" w:type="dxa"/>
            <w:tcBorders>
              <w:top w:val="nil"/>
              <w:left w:val="nil"/>
              <w:bottom w:val="single" w:sz="8" w:space="0" w:color="auto"/>
              <w:right w:val="nil"/>
            </w:tcBorders>
            <w:shd w:val="clear" w:color="auto" w:fill="auto"/>
            <w:noWrap/>
            <w:vAlign w:val="bottom"/>
            <w:hideMark/>
          </w:tcPr>
          <w:p w14:paraId="75266873"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8,783 (40.7)</w:t>
            </w:r>
          </w:p>
        </w:tc>
        <w:tc>
          <w:tcPr>
            <w:tcW w:w="1276" w:type="dxa"/>
            <w:tcBorders>
              <w:top w:val="nil"/>
              <w:left w:val="nil"/>
              <w:bottom w:val="single" w:sz="8" w:space="0" w:color="auto"/>
              <w:right w:val="nil"/>
            </w:tcBorders>
            <w:shd w:val="clear" w:color="auto" w:fill="auto"/>
            <w:noWrap/>
            <w:vAlign w:val="bottom"/>
            <w:hideMark/>
          </w:tcPr>
          <w:p w14:paraId="5D81ED8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12,757 (59.0)</w:t>
            </w:r>
          </w:p>
        </w:tc>
        <w:tc>
          <w:tcPr>
            <w:tcW w:w="1134" w:type="dxa"/>
            <w:tcBorders>
              <w:top w:val="nil"/>
              <w:left w:val="nil"/>
              <w:bottom w:val="single" w:sz="8" w:space="0" w:color="auto"/>
              <w:right w:val="nil"/>
            </w:tcBorders>
            <w:shd w:val="clear" w:color="auto" w:fill="auto"/>
            <w:noWrap/>
            <w:vAlign w:val="bottom"/>
            <w:hideMark/>
          </w:tcPr>
          <w:p w14:paraId="5C812CBA"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6,063 (28.1)</w:t>
            </w:r>
          </w:p>
        </w:tc>
        <w:tc>
          <w:tcPr>
            <w:tcW w:w="1134" w:type="dxa"/>
            <w:tcBorders>
              <w:top w:val="nil"/>
              <w:left w:val="nil"/>
              <w:bottom w:val="single" w:sz="8" w:space="0" w:color="auto"/>
              <w:right w:val="nil"/>
            </w:tcBorders>
            <w:shd w:val="clear" w:color="auto" w:fill="auto"/>
            <w:noWrap/>
            <w:vAlign w:val="bottom"/>
            <w:hideMark/>
          </w:tcPr>
          <w:p w14:paraId="629DC49E"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1,914 (8.9)</w:t>
            </w:r>
          </w:p>
        </w:tc>
        <w:tc>
          <w:tcPr>
            <w:tcW w:w="992" w:type="dxa"/>
            <w:tcBorders>
              <w:top w:val="nil"/>
              <w:left w:val="nil"/>
              <w:bottom w:val="single" w:sz="8" w:space="0" w:color="auto"/>
              <w:right w:val="nil"/>
            </w:tcBorders>
            <w:shd w:val="clear" w:color="auto" w:fill="auto"/>
            <w:noWrap/>
            <w:vAlign w:val="bottom"/>
            <w:hideMark/>
          </w:tcPr>
          <w:p w14:paraId="598CD49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872 (4.0)</w:t>
            </w:r>
          </w:p>
        </w:tc>
        <w:tc>
          <w:tcPr>
            <w:tcW w:w="1526" w:type="dxa"/>
            <w:tcBorders>
              <w:top w:val="nil"/>
              <w:left w:val="nil"/>
              <w:bottom w:val="single" w:sz="8" w:space="0" w:color="auto"/>
              <w:right w:val="nil"/>
            </w:tcBorders>
            <w:shd w:val="clear" w:color="auto" w:fill="auto"/>
            <w:noWrap/>
            <w:vAlign w:val="bottom"/>
            <w:hideMark/>
          </w:tcPr>
          <w:p w14:paraId="0AC37920"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2,331 (10.8)</w:t>
            </w:r>
          </w:p>
        </w:tc>
        <w:tc>
          <w:tcPr>
            <w:tcW w:w="1526" w:type="dxa"/>
            <w:tcBorders>
              <w:top w:val="nil"/>
              <w:left w:val="nil"/>
              <w:bottom w:val="single" w:sz="8" w:space="0" w:color="auto"/>
              <w:right w:val="nil"/>
            </w:tcBorders>
            <w:shd w:val="clear" w:color="auto" w:fill="auto"/>
            <w:noWrap/>
            <w:vAlign w:val="bottom"/>
            <w:hideMark/>
          </w:tcPr>
          <w:p w14:paraId="080A67D1"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1,442 (6.7)</w:t>
            </w:r>
          </w:p>
        </w:tc>
        <w:tc>
          <w:tcPr>
            <w:tcW w:w="776" w:type="dxa"/>
            <w:tcBorders>
              <w:top w:val="nil"/>
              <w:left w:val="nil"/>
              <w:bottom w:val="single" w:sz="8" w:space="0" w:color="auto"/>
              <w:right w:val="single" w:sz="8" w:space="0" w:color="auto"/>
            </w:tcBorders>
            <w:shd w:val="clear" w:color="auto" w:fill="auto"/>
            <w:noWrap/>
            <w:vAlign w:val="bottom"/>
            <w:hideMark/>
          </w:tcPr>
          <w:p w14:paraId="123D7054" w14:textId="77777777" w:rsidR="00866F8C" w:rsidRPr="00866F8C" w:rsidRDefault="00866F8C" w:rsidP="00866F8C">
            <w:pPr>
              <w:spacing w:after="0" w:line="360" w:lineRule="auto"/>
              <w:jc w:val="center"/>
              <w:rPr>
                <w:rFonts w:eastAsia="Times New Roman"/>
                <w:color w:val="000000"/>
                <w:sz w:val="18"/>
                <w:szCs w:val="20"/>
                <w:lang w:eastAsia="en-GB"/>
              </w:rPr>
            </w:pPr>
            <w:r w:rsidRPr="00866F8C">
              <w:rPr>
                <w:rFonts w:eastAsia="Times New Roman"/>
                <w:color w:val="000000"/>
                <w:sz w:val="18"/>
                <w:szCs w:val="20"/>
                <w:lang w:eastAsia="en-GB"/>
              </w:rPr>
              <w:t>21,606</w:t>
            </w:r>
          </w:p>
        </w:tc>
      </w:tr>
    </w:tbl>
    <w:p w14:paraId="75A06EDA" w14:textId="77777777" w:rsidR="00866F8C" w:rsidRPr="00866F8C" w:rsidRDefault="00866F8C" w:rsidP="00866F8C">
      <w:pPr>
        <w:keepNext/>
        <w:keepLines/>
        <w:spacing w:before="200" w:after="0" w:line="360" w:lineRule="auto"/>
        <w:outlineLvl w:val="1"/>
        <w:rPr>
          <w:rFonts w:ascii="Cambria" w:eastAsia="MS Gothic" w:hAnsi="Cambria"/>
          <w:b/>
          <w:bCs/>
          <w:color w:val="4F81BD"/>
          <w:sz w:val="26"/>
          <w:szCs w:val="26"/>
          <w:lang w:eastAsia="x-none"/>
        </w:rPr>
      </w:pPr>
      <w:r w:rsidRPr="00866F8C">
        <w:rPr>
          <w:rFonts w:ascii="Cambria" w:eastAsia="MS Gothic" w:hAnsi="Cambria"/>
          <w:b/>
          <w:bCs/>
          <w:color w:val="4F81BD"/>
          <w:sz w:val="26"/>
          <w:szCs w:val="26"/>
          <w:lang w:eastAsia="x-none"/>
        </w:rPr>
        <w:t>Appendix 6: Baseline characteristics of controls</w:t>
      </w:r>
    </w:p>
    <w:p w14:paraId="26C99569" w14:textId="77777777" w:rsidR="0079486A" w:rsidRDefault="0079486A" w:rsidP="00E86771">
      <w:pPr>
        <w:spacing w:line="360" w:lineRule="auto"/>
        <w:rPr>
          <w:lang w:eastAsia="x-none"/>
        </w:rPr>
      </w:pPr>
    </w:p>
    <w:p w14:paraId="1E75AC7F" w14:textId="77777777" w:rsidR="0079486A" w:rsidRDefault="0079486A" w:rsidP="00E86771">
      <w:pPr>
        <w:spacing w:line="360" w:lineRule="auto"/>
        <w:rPr>
          <w:lang w:eastAsia="x-none"/>
        </w:rPr>
      </w:pPr>
      <w:r>
        <w:rPr>
          <w:lang w:eastAsia="x-none"/>
        </w:rPr>
        <w:t xml:space="preserve">*financial years; ** prior bisphosphonate use defined as &gt;=1 prescription in previous 6 months; </w:t>
      </w:r>
      <w:r>
        <w:rPr>
          <w:rFonts w:ascii="Cambria Math" w:hAnsi="Cambria Math" w:cs="Cambria Math"/>
          <w:lang w:eastAsia="x-none"/>
        </w:rPr>
        <w:t>∧</w:t>
      </w:r>
      <w:r>
        <w:rPr>
          <w:lang w:eastAsia="x-none"/>
        </w:rPr>
        <w:t xml:space="preserve"> based on months April-Sept 2013</w:t>
      </w:r>
    </w:p>
    <w:p w14:paraId="23674554" w14:textId="77777777" w:rsidR="0079486A" w:rsidRDefault="0079486A" w:rsidP="00E86771">
      <w:pPr>
        <w:spacing w:line="360" w:lineRule="auto"/>
        <w:rPr>
          <w:lang w:eastAsia="x-none"/>
        </w:rPr>
      </w:pPr>
      <w:r>
        <w:rPr>
          <w:lang w:eastAsia="x-none"/>
        </w:rPr>
        <w:t>Note: ratio of 2:1 for controls to cases broken owing to exclusion criteria relating to data quality (i.e. no date of birth)</w:t>
      </w:r>
    </w:p>
    <w:p w14:paraId="4BDB5C0A" w14:textId="77777777" w:rsidR="0079486A" w:rsidRDefault="0079486A" w:rsidP="00E86771">
      <w:pPr>
        <w:spacing w:line="360" w:lineRule="auto"/>
        <w:rPr>
          <w:lang w:eastAsia="x-none"/>
        </w:rPr>
      </w:pPr>
    </w:p>
    <w:p w14:paraId="3966D223" w14:textId="77777777" w:rsidR="0079486A" w:rsidRDefault="0079486A" w:rsidP="00E86771">
      <w:pPr>
        <w:spacing w:line="360" w:lineRule="auto"/>
        <w:rPr>
          <w:lang w:eastAsia="x-none"/>
        </w:rPr>
        <w:sectPr w:rsidR="0079486A" w:rsidSect="00DB4F65">
          <w:pgSz w:w="16840" w:h="11900" w:orient="landscape"/>
          <w:pgMar w:top="1440" w:right="1440" w:bottom="1440" w:left="1440" w:header="708" w:footer="708" w:gutter="0"/>
          <w:cols w:space="708"/>
          <w:docGrid w:linePitch="360"/>
        </w:sectPr>
      </w:pPr>
    </w:p>
    <w:p w14:paraId="38984EC6" w14:textId="77777777" w:rsidR="00746C94" w:rsidRPr="00591BFC" w:rsidRDefault="00746C94" w:rsidP="00E86771">
      <w:pPr>
        <w:pStyle w:val="Heading2"/>
        <w:spacing w:line="360" w:lineRule="auto"/>
        <w:rPr>
          <w:rFonts w:ascii="Calibri" w:hAnsi="Calibri"/>
        </w:rPr>
      </w:pPr>
      <w:bookmarkStart w:id="697" w:name="_Toc308300847"/>
      <w:bookmarkStart w:id="698" w:name="_Toc311366655"/>
      <w:r w:rsidRPr="00591BFC">
        <w:rPr>
          <w:rFonts w:ascii="Calibri" w:hAnsi="Calibri"/>
        </w:rPr>
        <w:lastRenderedPageBreak/>
        <w:t xml:space="preserve">Appendix </w:t>
      </w:r>
      <w:r w:rsidR="00866F8C">
        <w:rPr>
          <w:rFonts w:ascii="Calibri" w:hAnsi="Calibri"/>
          <w:lang w:val="en-GB"/>
        </w:rPr>
        <w:t>7</w:t>
      </w:r>
      <w:r w:rsidRPr="00591BFC">
        <w:rPr>
          <w:rFonts w:ascii="Calibri" w:hAnsi="Calibri"/>
        </w:rPr>
        <w:t xml:space="preserve"> Estimated impact of interventions using segmented linear regression (PARSIMONIOUS) models on all primary hip fracture patients</w:t>
      </w:r>
      <w:bookmarkEnd w:id="697"/>
      <w:bookmarkEnd w:id="698"/>
    </w:p>
    <w:tbl>
      <w:tblP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16"/>
        <w:gridCol w:w="1320"/>
        <w:gridCol w:w="1320"/>
        <w:gridCol w:w="1320"/>
        <w:gridCol w:w="1063"/>
      </w:tblGrid>
      <w:tr w:rsidR="00746C94" w:rsidRPr="00591BFC" w14:paraId="712ABF34" w14:textId="77777777" w:rsidTr="00FE3F68">
        <w:trPr>
          <w:trHeight w:val="799"/>
        </w:trPr>
        <w:tc>
          <w:tcPr>
            <w:tcW w:w="4016" w:type="dxa"/>
            <w:shd w:val="clear" w:color="auto" w:fill="auto"/>
            <w:noWrap/>
            <w:hideMark/>
          </w:tcPr>
          <w:p w14:paraId="4612D566" w14:textId="77777777" w:rsidR="00746C94" w:rsidRPr="00591BFC" w:rsidRDefault="00746C94" w:rsidP="00E86771">
            <w:pPr>
              <w:spacing w:line="360" w:lineRule="auto"/>
            </w:pPr>
            <w:r w:rsidRPr="00591BFC">
              <w:t> </w:t>
            </w:r>
          </w:p>
        </w:tc>
        <w:tc>
          <w:tcPr>
            <w:tcW w:w="1320" w:type="dxa"/>
            <w:shd w:val="clear" w:color="auto" w:fill="auto"/>
            <w:hideMark/>
          </w:tcPr>
          <w:p w14:paraId="5B91913B" w14:textId="77777777" w:rsidR="00746C94" w:rsidRPr="00591BFC" w:rsidRDefault="00746C94" w:rsidP="00E86771">
            <w:pPr>
              <w:spacing w:line="360" w:lineRule="auto"/>
            </w:pPr>
            <w:r w:rsidRPr="00591BFC">
              <w:t xml:space="preserve">Coefficient                                </w:t>
            </w:r>
          </w:p>
        </w:tc>
        <w:tc>
          <w:tcPr>
            <w:tcW w:w="1320" w:type="dxa"/>
            <w:shd w:val="clear" w:color="auto" w:fill="auto"/>
            <w:hideMark/>
          </w:tcPr>
          <w:p w14:paraId="7A7D62D7" w14:textId="77777777" w:rsidR="00746C94" w:rsidRPr="00591BFC" w:rsidRDefault="00746C94" w:rsidP="00E86771">
            <w:pPr>
              <w:spacing w:line="360" w:lineRule="auto"/>
            </w:pPr>
            <w:r w:rsidRPr="00591BFC">
              <w:t>lower 95% confidence interval</w:t>
            </w:r>
          </w:p>
        </w:tc>
        <w:tc>
          <w:tcPr>
            <w:tcW w:w="1320" w:type="dxa"/>
            <w:shd w:val="clear" w:color="auto" w:fill="auto"/>
            <w:hideMark/>
          </w:tcPr>
          <w:p w14:paraId="3745CD37" w14:textId="77777777" w:rsidR="00746C94" w:rsidRPr="00591BFC" w:rsidRDefault="00746C94" w:rsidP="00E86771">
            <w:pPr>
              <w:spacing w:line="360" w:lineRule="auto"/>
            </w:pPr>
            <w:r w:rsidRPr="00591BFC">
              <w:t>upper 95% confidence interval</w:t>
            </w:r>
          </w:p>
        </w:tc>
        <w:tc>
          <w:tcPr>
            <w:tcW w:w="1063" w:type="dxa"/>
            <w:shd w:val="clear" w:color="auto" w:fill="auto"/>
            <w:noWrap/>
            <w:hideMark/>
          </w:tcPr>
          <w:p w14:paraId="0BDE7B3E" w14:textId="77777777" w:rsidR="00746C94" w:rsidRPr="00591BFC" w:rsidRDefault="00746C94" w:rsidP="00E86771">
            <w:pPr>
              <w:spacing w:line="360" w:lineRule="auto"/>
            </w:pPr>
            <w:r w:rsidRPr="00591BFC">
              <w:t>P-value</w:t>
            </w:r>
          </w:p>
        </w:tc>
      </w:tr>
      <w:tr w:rsidR="00746C94" w:rsidRPr="00591BFC" w14:paraId="71E5E561" w14:textId="77777777" w:rsidTr="00FE3F68">
        <w:trPr>
          <w:trHeight w:val="300"/>
        </w:trPr>
        <w:tc>
          <w:tcPr>
            <w:tcW w:w="9039" w:type="dxa"/>
            <w:gridSpan w:val="5"/>
            <w:shd w:val="clear" w:color="auto" w:fill="auto"/>
            <w:hideMark/>
          </w:tcPr>
          <w:p w14:paraId="0FF62B40" w14:textId="77777777" w:rsidR="00746C94" w:rsidRPr="00591BFC" w:rsidRDefault="00746C94" w:rsidP="00E86771">
            <w:pPr>
              <w:spacing w:line="360" w:lineRule="auto"/>
              <w:rPr>
                <w:u w:val="single"/>
              </w:rPr>
            </w:pPr>
            <w:r w:rsidRPr="00591BFC">
              <w:rPr>
                <w:u w:val="single"/>
              </w:rPr>
              <w:t>primary hip fracture rate (i.e. no. per half annum)</w:t>
            </w:r>
          </w:p>
        </w:tc>
      </w:tr>
      <w:tr w:rsidR="00746C94" w:rsidRPr="00591BFC" w14:paraId="5C1C7273" w14:textId="77777777" w:rsidTr="00FE3F68">
        <w:trPr>
          <w:trHeight w:val="330"/>
        </w:trPr>
        <w:tc>
          <w:tcPr>
            <w:tcW w:w="4016" w:type="dxa"/>
            <w:shd w:val="clear" w:color="auto" w:fill="auto"/>
            <w:noWrap/>
            <w:hideMark/>
          </w:tcPr>
          <w:p w14:paraId="1B9D9DBF"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08B96442" w14:textId="77777777" w:rsidR="00746C94" w:rsidRPr="00591BFC" w:rsidRDefault="00746C94" w:rsidP="00E86771">
            <w:pPr>
              <w:spacing w:line="360" w:lineRule="auto"/>
            </w:pPr>
            <w:r w:rsidRPr="00591BFC">
              <w:t>431</w:t>
            </w:r>
          </w:p>
        </w:tc>
        <w:tc>
          <w:tcPr>
            <w:tcW w:w="1320" w:type="dxa"/>
            <w:shd w:val="clear" w:color="auto" w:fill="auto"/>
            <w:noWrap/>
            <w:hideMark/>
          </w:tcPr>
          <w:p w14:paraId="4B47F079" w14:textId="77777777" w:rsidR="00746C94" w:rsidRPr="00591BFC" w:rsidRDefault="00746C94" w:rsidP="00E86771">
            <w:pPr>
              <w:spacing w:line="360" w:lineRule="auto"/>
            </w:pPr>
            <w:r w:rsidRPr="00591BFC">
              <w:t>421</w:t>
            </w:r>
          </w:p>
        </w:tc>
        <w:tc>
          <w:tcPr>
            <w:tcW w:w="1320" w:type="dxa"/>
            <w:shd w:val="clear" w:color="auto" w:fill="auto"/>
            <w:noWrap/>
            <w:hideMark/>
          </w:tcPr>
          <w:p w14:paraId="21E12A26" w14:textId="77777777" w:rsidR="00746C94" w:rsidRPr="00591BFC" w:rsidRDefault="00746C94" w:rsidP="00E86771">
            <w:pPr>
              <w:spacing w:line="360" w:lineRule="auto"/>
            </w:pPr>
            <w:r w:rsidRPr="00591BFC">
              <w:t>441</w:t>
            </w:r>
          </w:p>
        </w:tc>
        <w:tc>
          <w:tcPr>
            <w:tcW w:w="1063" w:type="dxa"/>
            <w:shd w:val="clear" w:color="auto" w:fill="auto"/>
            <w:noWrap/>
            <w:hideMark/>
          </w:tcPr>
          <w:p w14:paraId="561AC5A0" w14:textId="77777777" w:rsidR="00746C94" w:rsidRPr="00591BFC" w:rsidRDefault="00746C94" w:rsidP="00E86771">
            <w:pPr>
              <w:spacing w:line="360" w:lineRule="auto"/>
            </w:pPr>
            <w:r w:rsidRPr="00591BFC">
              <w:t>&lt;0.001</w:t>
            </w:r>
          </w:p>
        </w:tc>
      </w:tr>
      <w:tr w:rsidR="00746C94" w:rsidRPr="00591BFC" w14:paraId="0F8E900B" w14:textId="77777777" w:rsidTr="00FE3F68">
        <w:trPr>
          <w:trHeight w:val="330"/>
        </w:trPr>
        <w:tc>
          <w:tcPr>
            <w:tcW w:w="4016" w:type="dxa"/>
            <w:shd w:val="clear" w:color="auto" w:fill="auto"/>
            <w:noWrap/>
            <w:hideMark/>
          </w:tcPr>
          <w:p w14:paraId="4A5F9220"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4F75A220" w14:textId="77777777" w:rsidR="00746C94" w:rsidRPr="00591BFC" w:rsidRDefault="00746C94" w:rsidP="00E86771">
            <w:pPr>
              <w:spacing w:line="360" w:lineRule="auto"/>
            </w:pPr>
            <w:r w:rsidRPr="00591BFC">
              <w:t> </w:t>
            </w:r>
          </w:p>
        </w:tc>
        <w:tc>
          <w:tcPr>
            <w:tcW w:w="1320" w:type="dxa"/>
            <w:shd w:val="clear" w:color="auto" w:fill="auto"/>
            <w:noWrap/>
            <w:hideMark/>
          </w:tcPr>
          <w:p w14:paraId="6ED990EB" w14:textId="77777777" w:rsidR="00746C94" w:rsidRPr="00591BFC" w:rsidRDefault="00746C94" w:rsidP="00E86771">
            <w:pPr>
              <w:spacing w:line="360" w:lineRule="auto"/>
            </w:pPr>
            <w:r w:rsidRPr="00591BFC">
              <w:t> </w:t>
            </w:r>
          </w:p>
        </w:tc>
        <w:tc>
          <w:tcPr>
            <w:tcW w:w="1320" w:type="dxa"/>
            <w:shd w:val="clear" w:color="auto" w:fill="auto"/>
            <w:noWrap/>
            <w:hideMark/>
          </w:tcPr>
          <w:p w14:paraId="2B998BC5" w14:textId="77777777" w:rsidR="00746C94" w:rsidRPr="00591BFC" w:rsidRDefault="00746C94" w:rsidP="00E86771">
            <w:pPr>
              <w:spacing w:line="360" w:lineRule="auto"/>
            </w:pPr>
            <w:r w:rsidRPr="00591BFC">
              <w:t> </w:t>
            </w:r>
          </w:p>
        </w:tc>
        <w:tc>
          <w:tcPr>
            <w:tcW w:w="1063" w:type="dxa"/>
            <w:shd w:val="clear" w:color="auto" w:fill="auto"/>
            <w:noWrap/>
            <w:hideMark/>
          </w:tcPr>
          <w:p w14:paraId="3C93DCE8" w14:textId="77777777" w:rsidR="00746C94" w:rsidRPr="00591BFC" w:rsidRDefault="00746C94" w:rsidP="00E86771">
            <w:pPr>
              <w:spacing w:line="360" w:lineRule="auto"/>
            </w:pPr>
            <w:r w:rsidRPr="00591BFC">
              <w:t> </w:t>
            </w:r>
          </w:p>
        </w:tc>
      </w:tr>
      <w:tr w:rsidR="00746C94" w:rsidRPr="00591BFC" w14:paraId="60C06B84" w14:textId="77777777" w:rsidTr="00FE3F68">
        <w:trPr>
          <w:trHeight w:val="330"/>
        </w:trPr>
        <w:tc>
          <w:tcPr>
            <w:tcW w:w="4016" w:type="dxa"/>
            <w:shd w:val="clear" w:color="auto" w:fill="auto"/>
            <w:noWrap/>
            <w:hideMark/>
          </w:tcPr>
          <w:p w14:paraId="6B38AEB7"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78938F93" w14:textId="77777777" w:rsidR="00746C94" w:rsidRPr="00591BFC" w:rsidRDefault="00746C94" w:rsidP="00E86771">
            <w:pPr>
              <w:spacing w:line="360" w:lineRule="auto"/>
            </w:pPr>
            <w:r w:rsidRPr="00591BFC">
              <w:t> </w:t>
            </w:r>
          </w:p>
        </w:tc>
        <w:tc>
          <w:tcPr>
            <w:tcW w:w="1320" w:type="dxa"/>
            <w:shd w:val="clear" w:color="auto" w:fill="auto"/>
            <w:noWrap/>
            <w:hideMark/>
          </w:tcPr>
          <w:p w14:paraId="4FF7E639" w14:textId="77777777" w:rsidR="00746C94" w:rsidRPr="00591BFC" w:rsidRDefault="00746C94" w:rsidP="00E86771">
            <w:pPr>
              <w:spacing w:line="360" w:lineRule="auto"/>
            </w:pPr>
            <w:r w:rsidRPr="00591BFC">
              <w:t> </w:t>
            </w:r>
          </w:p>
        </w:tc>
        <w:tc>
          <w:tcPr>
            <w:tcW w:w="1320" w:type="dxa"/>
            <w:shd w:val="clear" w:color="auto" w:fill="auto"/>
            <w:noWrap/>
            <w:hideMark/>
          </w:tcPr>
          <w:p w14:paraId="7448013B" w14:textId="77777777" w:rsidR="00746C94" w:rsidRPr="00591BFC" w:rsidRDefault="00746C94" w:rsidP="00E86771">
            <w:pPr>
              <w:spacing w:line="360" w:lineRule="auto"/>
            </w:pPr>
            <w:r w:rsidRPr="00591BFC">
              <w:t> </w:t>
            </w:r>
          </w:p>
        </w:tc>
        <w:tc>
          <w:tcPr>
            <w:tcW w:w="1063" w:type="dxa"/>
            <w:shd w:val="clear" w:color="auto" w:fill="auto"/>
            <w:noWrap/>
            <w:hideMark/>
          </w:tcPr>
          <w:p w14:paraId="09641D30" w14:textId="77777777" w:rsidR="00746C94" w:rsidRPr="00591BFC" w:rsidRDefault="00746C94" w:rsidP="00E86771">
            <w:pPr>
              <w:spacing w:line="360" w:lineRule="auto"/>
            </w:pPr>
            <w:r w:rsidRPr="00591BFC">
              <w:t> </w:t>
            </w:r>
          </w:p>
        </w:tc>
      </w:tr>
      <w:tr w:rsidR="00746C94" w:rsidRPr="00591BFC" w14:paraId="27E5DF28" w14:textId="77777777" w:rsidTr="00FE3F68">
        <w:trPr>
          <w:trHeight w:val="330"/>
        </w:trPr>
        <w:tc>
          <w:tcPr>
            <w:tcW w:w="4016" w:type="dxa"/>
            <w:shd w:val="clear" w:color="auto" w:fill="auto"/>
            <w:noWrap/>
            <w:hideMark/>
          </w:tcPr>
          <w:p w14:paraId="50E97FD1"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28D95F1A" w14:textId="77777777" w:rsidR="00746C94" w:rsidRPr="00591BFC" w:rsidRDefault="00746C94" w:rsidP="00E86771">
            <w:pPr>
              <w:spacing w:line="360" w:lineRule="auto"/>
            </w:pPr>
            <w:r w:rsidRPr="00591BFC">
              <w:t>-7.18</w:t>
            </w:r>
          </w:p>
        </w:tc>
        <w:tc>
          <w:tcPr>
            <w:tcW w:w="1320" w:type="dxa"/>
            <w:shd w:val="clear" w:color="auto" w:fill="auto"/>
            <w:noWrap/>
            <w:hideMark/>
          </w:tcPr>
          <w:p w14:paraId="36222AAF" w14:textId="77777777" w:rsidR="00746C94" w:rsidRPr="00591BFC" w:rsidRDefault="00746C94" w:rsidP="00E86771">
            <w:pPr>
              <w:spacing w:line="360" w:lineRule="auto"/>
            </w:pPr>
            <w:r w:rsidRPr="00591BFC">
              <w:t>-8.75</w:t>
            </w:r>
          </w:p>
        </w:tc>
        <w:tc>
          <w:tcPr>
            <w:tcW w:w="1320" w:type="dxa"/>
            <w:shd w:val="clear" w:color="auto" w:fill="auto"/>
            <w:noWrap/>
            <w:hideMark/>
          </w:tcPr>
          <w:p w14:paraId="57CC44EE" w14:textId="77777777" w:rsidR="00746C94" w:rsidRPr="00591BFC" w:rsidRDefault="00746C94" w:rsidP="00E86771">
            <w:pPr>
              <w:spacing w:line="360" w:lineRule="auto"/>
            </w:pPr>
            <w:r w:rsidRPr="00591BFC">
              <w:t>-5.6</w:t>
            </w:r>
          </w:p>
        </w:tc>
        <w:tc>
          <w:tcPr>
            <w:tcW w:w="1063" w:type="dxa"/>
            <w:shd w:val="clear" w:color="auto" w:fill="auto"/>
            <w:noWrap/>
            <w:hideMark/>
          </w:tcPr>
          <w:p w14:paraId="527D31A1" w14:textId="77777777" w:rsidR="00746C94" w:rsidRPr="00591BFC" w:rsidRDefault="00746C94" w:rsidP="00E86771">
            <w:pPr>
              <w:spacing w:line="360" w:lineRule="auto"/>
            </w:pPr>
            <w:r w:rsidRPr="00591BFC">
              <w:t>&lt;0.001</w:t>
            </w:r>
          </w:p>
        </w:tc>
      </w:tr>
      <w:tr w:rsidR="00746C94" w:rsidRPr="00591BFC" w14:paraId="25A55070" w14:textId="77777777" w:rsidTr="00FE3F68">
        <w:trPr>
          <w:trHeight w:val="330"/>
        </w:trPr>
        <w:tc>
          <w:tcPr>
            <w:tcW w:w="4016" w:type="dxa"/>
            <w:shd w:val="clear" w:color="auto" w:fill="auto"/>
            <w:noWrap/>
            <w:hideMark/>
          </w:tcPr>
          <w:p w14:paraId="38AECA10"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248A9B0F" w14:textId="77777777" w:rsidR="00746C94" w:rsidRPr="00591BFC" w:rsidRDefault="00746C94" w:rsidP="00E86771">
            <w:pPr>
              <w:spacing w:line="360" w:lineRule="auto"/>
            </w:pPr>
            <w:r w:rsidRPr="00591BFC">
              <w:t> </w:t>
            </w:r>
          </w:p>
        </w:tc>
        <w:tc>
          <w:tcPr>
            <w:tcW w:w="1320" w:type="dxa"/>
            <w:shd w:val="clear" w:color="auto" w:fill="auto"/>
            <w:noWrap/>
            <w:hideMark/>
          </w:tcPr>
          <w:p w14:paraId="746B60B8" w14:textId="77777777" w:rsidR="00746C94" w:rsidRPr="00591BFC" w:rsidRDefault="00746C94" w:rsidP="00E86771">
            <w:pPr>
              <w:spacing w:line="360" w:lineRule="auto"/>
            </w:pPr>
            <w:r w:rsidRPr="00591BFC">
              <w:t> </w:t>
            </w:r>
          </w:p>
        </w:tc>
        <w:tc>
          <w:tcPr>
            <w:tcW w:w="1320" w:type="dxa"/>
            <w:shd w:val="clear" w:color="auto" w:fill="auto"/>
            <w:noWrap/>
            <w:hideMark/>
          </w:tcPr>
          <w:p w14:paraId="566A5D9E" w14:textId="77777777" w:rsidR="00746C94" w:rsidRPr="00591BFC" w:rsidRDefault="00746C94" w:rsidP="00E86771">
            <w:pPr>
              <w:spacing w:line="360" w:lineRule="auto"/>
            </w:pPr>
            <w:r w:rsidRPr="00591BFC">
              <w:t> </w:t>
            </w:r>
          </w:p>
        </w:tc>
        <w:tc>
          <w:tcPr>
            <w:tcW w:w="1063" w:type="dxa"/>
            <w:shd w:val="clear" w:color="auto" w:fill="auto"/>
            <w:noWrap/>
            <w:hideMark/>
          </w:tcPr>
          <w:p w14:paraId="49964A18" w14:textId="77777777" w:rsidR="00746C94" w:rsidRPr="00591BFC" w:rsidRDefault="00746C94" w:rsidP="00E86771">
            <w:pPr>
              <w:spacing w:line="360" w:lineRule="auto"/>
            </w:pPr>
            <w:r w:rsidRPr="00591BFC">
              <w:t> </w:t>
            </w:r>
          </w:p>
        </w:tc>
      </w:tr>
      <w:tr w:rsidR="00746C94" w:rsidRPr="00591BFC" w14:paraId="1E8231B8" w14:textId="77777777" w:rsidTr="00FE3F68">
        <w:trPr>
          <w:trHeight w:val="330"/>
        </w:trPr>
        <w:tc>
          <w:tcPr>
            <w:tcW w:w="4016" w:type="dxa"/>
            <w:shd w:val="clear" w:color="auto" w:fill="auto"/>
            <w:noWrap/>
            <w:hideMark/>
          </w:tcPr>
          <w:p w14:paraId="520BAABC"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24A1C42B" w14:textId="77777777" w:rsidR="00746C94" w:rsidRPr="00591BFC" w:rsidRDefault="00746C94" w:rsidP="00E86771">
            <w:pPr>
              <w:spacing w:line="360" w:lineRule="auto"/>
            </w:pPr>
            <w:r w:rsidRPr="00591BFC">
              <w:t> </w:t>
            </w:r>
          </w:p>
        </w:tc>
        <w:tc>
          <w:tcPr>
            <w:tcW w:w="1320" w:type="dxa"/>
            <w:shd w:val="clear" w:color="auto" w:fill="auto"/>
            <w:noWrap/>
            <w:hideMark/>
          </w:tcPr>
          <w:p w14:paraId="6CEF5F3D" w14:textId="77777777" w:rsidR="00746C94" w:rsidRPr="00591BFC" w:rsidRDefault="00746C94" w:rsidP="00E86771">
            <w:pPr>
              <w:spacing w:line="360" w:lineRule="auto"/>
            </w:pPr>
            <w:r w:rsidRPr="00591BFC">
              <w:t> </w:t>
            </w:r>
          </w:p>
        </w:tc>
        <w:tc>
          <w:tcPr>
            <w:tcW w:w="1320" w:type="dxa"/>
            <w:shd w:val="clear" w:color="auto" w:fill="auto"/>
            <w:noWrap/>
            <w:hideMark/>
          </w:tcPr>
          <w:p w14:paraId="36259B26" w14:textId="77777777" w:rsidR="00746C94" w:rsidRPr="00591BFC" w:rsidRDefault="00746C94" w:rsidP="00E86771">
            <w:pPr>
              <w:spacing w:line="360" w:lineRule="auto"/>
            </w:pPr>
            <w:r w:rsidRPr="00591BFC">
              <w:t> </w:t>
            </w:r>
          </w:p>
        </w:tc>
        <w:tc>
          <w:tcPr>
            <w:tcW w:w="1063" w:type="dxa"/>
            <w:shd w:val="clear" w:color="auto" w:fill="auto"/>
            <w:noWrap/>
            <w:hideMark/>
          </w:tcPr>
          <w:p w14:paraId="5BBDE189" w14:textId="77777777" w:rsidR="00746C94" w:rsidRPr="00591BFC" w:rsidRDefault="00746C94" w:rsidP="00E86771">
            <w:pPr>
              <w:spacing w:line="360" w:lineRule="auto"/>
            </w:pPr>
            <w:r w:rsidRPr="00591BFC">
              <w:t> </w:t>
            </w:r>
          </w:p>
        </w:tc>
      </w:tr>
      <w:tr w:rsidR="00746C94" w:rsidRPr="00591BFC" w14:paraId="301E2CDE" w14:textId="77777777" w:rsidTr="00FE3F68">
        <w:trPr>
          <w:trHeight w:val="342"/>
        </w:trPr>
        <w:tc>
          <w:tcPr>
            <w:tcW w:w="4016" w:type="dxa"/>
            <w:shd w:val="clear" w:color="auto" w:fill="auto"/>
            <w:noWrap/>
            <w:hideMark/>
          </w:tcPr>
          <w:p w14:paraId="03BA175F"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151F3B7B" w14:textId="77777777" w:rsidR="00746C94" w:rsidRPr="00591BFC" w:rsidRDefault="00746C94" w:rsidP="00E86771">
            <w:pPr>
              <w:spacing w:line="360" w:lineRule="auto"/>
            </w:pPr>
            <w:r w:rsidRPr="00591BFC">
              <w:t> </w:t>
            </w:r>
          </w:p>
        </w:tc>
        <w:tc>
          <w:tcPr>
            <w:tcW w:w="1320" w:type="dxa"/>
            <w:shd w:val="clear" w:color="auto" w:fill="auto"/>
            <w:noWrap/>
            <w:hideMark/>
          </w:tcPr>
          <w:p w14:paraId="6A39985A" w14:textId="77777777" w:rsidR="00746C94" w:rsidRPr="00591BFC" w:rsidRDefault="00746C94" w:rsidP="00E86771">
            <w:pPr>
              <w:spacing w:line="360" w:lineRule="auto"/>
            </w:pPr>
            <w:r w:rsidRPr="00591BFC">
              <w:t> </w:t>
            </w:r>
          </w:p>
        </w:tc>
        <w:tc>
          <w:tcPr>
            <w:tcW w:w="1320" w:type="dxa"/>
            <w:shd w:val="clear" w:color="auto" w:fill="auto"/>
            <w:noWrap/>
            <w:hideMark/>
          </w:tcPr>
          <w:p w14:paraId="3E969727" w14:textId="77777777" w:rsidR="00746C94" w:rsidRPr="00591BFC" w:rsidRDefault="00746C94" w:rsidP="00E86771">
            <w:pPr>
              <w:spacing w:line="360" w:lineRule="auto"/>
            </w:pPr>
            <w:r w:rsidRPr="00591BFC">
              <w:t> </w:t>
            </w:r>
          </w:p>
        </w:tc>
        <w:tc>
          <w:tcPr>
            <w:tcW w:w="1063" w:type="dxa"/>
            <w:shd w:val="clear" w:color="auto" w:fill="auto"/>
            <w:noWrap/>
            <w:hideMark/>
          </w:tcPr>
          <w:p w14:paraId="32318092" w14:textId="77777777" w:rsidR="00746C94" w:rsidRPr="00591BFC" w:rsidRDefault="00746C94" w:rsidP="00E86771">
            <w:pPr>
              <w:spacing w:line="360" w:lineRule="auto"/>
            </w:pPr>
            <w:r w:rsidRPr="00591BFC">
              <w:t> </w:t>
            </w:r>
          </w:p>
        </w:tc>
      </w:tr>
      <w:tr w:rsidR="00746C94" w:rsidRPr="00591BFC" w14:paraId="695A3B55" w14:textId="77777777" w:rsidTr="00FE3F68">
        <w:trPr>
          <w:trHeight w:val="330"/>
        </w:trPr>
        <w:tc>
          <w:tcPr>
            <w:tcW w:w="4016" w:type="dxa"/>
            <w:shd w:val="clear" w:color="auto" w:fill="auto"/>
            <w:noWrap/>
            <w:hideMark/>
          </w:tcPr>
          <w:p w14:paraId="10AC1399"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34788AFB" w14:textId="77777777" w:rsidR="00746C94" w:rsidRPr="00591BFC" w:rsidRDefault="00746C94" w:rsidP="00E86771">
            <w:pPr>
              <w:spacing w:line="360" w:lineRule="auto"/>
            </w:pPr>
            <w:r w:rsidRPr="00591BFC">
              <w:t> </w:t>
            </w:r>
          </w:p>
        </w:tc>
        <w:tc>
          <w:tcPr>
            <w:tcW w:w="1320" w:type="dxa"/>
            <w:shd w:val="clear" w:color="auto" w:fill="auto"/>
            <w:noWrap/>
            <w:hideMark/>
          </w:tcPr>
          <w:p w14:paraId="0F789415" w14:textId="77777777" w:rsidR="00746C94" w:rsidRPr="00591BFC" w:rsidRDefault="00746C94" w:rsidP="00E86771">
            <w:pPr>
              <w:spacing w:line="360" w:lineRule="auto"/>
            </w:pPr>
            <w:r w:rsidRPr="00591BFC">
              <w:t> </w:t>
            </w:r>
          </w:p>
        </w:tc>
        <w:tc>
          <w:tcPr>
            <w:tcW w:w="1320" w:type="dxa"/>
            <w:shd w:val="clear" w:color="auto" w:fill="auto"/>
            <w:noWrap/>
            <w:hideMark/>
          </w:tcPr>
          <w:p w14:paraId="1FD59564" w14:textId="77777777" w:rsidR="00746C94" w:rsidRPr="00591BFC" w:rsidRDefault="00746C94" w:rsidP="00E86771">
            <w:pPr>
              <w:spacing w:line="360" w:lineRule="auto"/>
            </w:pPr>
            <w:r w:rsidRPr="00591BFC">
              <w:t> </w:t>
            </w:r>
          </w:p>
        </w:tc>
        <w:tc>
          <w:tcPr>
            <w:tcW w:w="1063" w:type="dxa"/>
            <w:shd w:val="clear" w:color="auto" w:fill="auto"/>
            <w:noWrap/>
            <w:hideMark/>
          </w:tcPr>
          <w:p w14:paraId="5FD0D3CD" w14:textId="77777777" w:rsidR="00746C94" w:rsidRPr="00591BFC" w:rsidRDefault="00746C94" w:rsidP="00E86771">
            <w:pPr>
              <w:spacing w:line="360" w:lineRule="auto"/>
            </w:pPr>
            <w:r w:rsidRPr="00591BFC">
              <w:t> </w:t>
            </w:r>
          </w:p>
        </w:tc>
      </w:tr>
      <w:tr w:rsidR="00746C94" w:rsidRPr="00591BFC" w14:paraId="1E18C7BD" w14:textId="77777777" w:rsidTr="00FE3F68">
        <w:trPr>
          <w:trHeight w:val="300"/>
        </w:trPr>
        <w:tc>
          <w:tcPr>
            <w:tcW w:w="9039" w:type="dxa"/>
            <w:gridSpan w:val="5"/>
            <w:shd w:val="clear" w:color="auto" w:fill="auto"/>
            <w:hideMark/>
          </w:tcPr>
          <w:p w14:paraId="45A3203E" w14:textId="77777777" w:rsidR="00746C94" w:rsidRPr="00591BFC" w:rsidRDefault="00746C94" w:rsidP="00E86771">
            <w:pPr>
              <w:spacing w:line="360" w:lineRule="auto"/>
              <w:rPr>
                <w:u w:val="single"/>
              </w:rPr>
            </w:pPr>
            <w:r w:rsidRPr="00591BFC">
              <w:rPr>
                <w:u w:val="single"/>
              </w:rPr>
              <w:t>overall hip fracture rate (i.e. no. per half annum)</w:t>
            </w:r>
          </w:p>
        </w:tc>
      </w:tr>
      <w:tr w:rsidR="00746C94" w:rsidRPr="00591BFC" w14:paraId="6D06F62B" w14:textId="77777777" w:rsidTr="00FE3F68">
        <w:trPr>
          <w:trHeight w:val="330"/>
        </w:trPr>
        <w:tc>
          <w:tcPr>
            <w:tcW w:w="4016" w:type="dxa"/>
            <w:shd w:val="clear" w:color="auto" w:fill="auto"/>
            <w:noWrap/>
            <w:hideMark/>
          </w:tcPr>
          <w:p w14:paraId="37B34FA3"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7502FFF8" w14:textId="77777777" w:rsidR="00746C94" w:rsidRPr="00591BFC" w:rsidRDefault="00746C94" w:rsidP="00E86771">
            <w:pPr>
              <w:spacing w:line="360" w:lineRule="auto"/>
            </w:pPr>
            <w:r w:rsidRPr="00591BFC">
              <w:t>442.2</w:t>
            </w:r>
          </w:p>
        </w:tc>
        <w:tc>
          <w:tcPr>
            <w:tcW w:w="1320" w:type="dxa"/>
            <w:shd w:val="clear" w:color="auto" w:fill="auto"/>
            <w:noWrap/>
            <w:hideMark/>
          </w:tcPr>
          <w:p w14:paraId="0F22D28B" w14:textId="77777777" w:rsidR="00746C94" w:rsidRPr="00591BFC" w:rsidRDefault="00746C94" w:rsidP="00E86771">
            <w:pPr>
              <w:spacing w:line="360" w:lineRule="auto"/>
            </w:pPr>
            <w:r w:rsidRPr="00591BFC">
              <w:t>430.8</w:t>
            </w:r>
          </w:p>
        </w:tc>
        <w:tc>
          <w:tcPr>
            <w:tcW w:w="1320" w:type="dxa"/>
            <w:shd w:val="clear" w:color="auto" w:fill="auto"/>
            <w:noWrap/>
            <w:hideMark/>
          </w:tcPr>
          <w:p w14:paraId="45F3E54E" w14:textId="77777777" w:rsidR="00746C94" w:rsidRPr="00591BFC" w:rsidRDefault="00746C94" w:rsidP="00E86771">
            <w:pPr>
              <w:spacing w:line="360" w:lineRule="auto"/>
            </w:pPr>
            <w:r w:rsidRPr="00591BFC">
              <w:t>453.6</w:t>
            </w:r>
          </w:p>
        </w:tc>
        <w:tc>
          <w:tcPr>
            <w:tcW w:w="1063" w:type="dxa"/>
            <w:shd w:val="clear" w:color="auto" w:fill="auto"/>
            <w:noWrap/>
            <w:hideMark/>
          </w:tcPr>
          <w:p w14:paraId="38B0ADC3" w14:textId="77777777" w:rsidR="00746C94" w:rsidRPr="00591BFC" w:rsidRDefault="00746C94" w:rsidP="00E86771">
            <w:pPr>
              <w:spacing w:line="360" w:lineRule="auto"/>
            </w:pPr>
            <w:r w:rsidRPr="00591BFC">
              <w:t>&lt;0.001</w:t>
            </w:r>
          </w:p>
        </w:tc>
      </w:tr>
      <w:tr w:rsidR="00746C94" w:rsidRPr="00591BFC" w14:paraId="66FE3099" w14:textId="77777777" w:rsidTr="00FE3F68">
        <w:trPr>
          <w:trHeight w:val="330"/>
        </w:trPr>
        <w:tc>
          <w:tcPr>
            <w:tcW w:w="4016" w:type="dxa"/>
            <w:shd w:val="clear" w:color="auto" w:fill="auto"/>
            <w:noWrap/>
            <w:hideMark/>
          </w:tcPr>
          <w:p w14:paraId="3F1EB1C7"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1796F756" w14:textId="77777777" w:rsidR="00746C94" w:rsidRPr="00591BFC" w:rsidRDefault="00746C94" w:rsidP="00E86771">
            <w:pPr>
              <w:spacing w:line="360" w:lineRule="auto"/>
            </w:pPr>
            <w:r w:rsidRPr="00591BFC">
              <w:t> </w:t>
            </w:r>
          </w:p>
        </w:tc>
        <w:tc>
          <w:tcPr>
            <w:tcW w:w="1320" w:type="dxa"/>
            <w:shd w:val="clear" w:color="auto" w:fill="auto"/>
            <w:noWrap/>
            <w:hideMark/>
          </w:tcPr>
          <w:p w14:paraId="159B6221" w14:textId="77777777" w:rsidR="00746C94" w:rsidRPr="00591BFC" w:rsidRDefault="00746C94" w:rsidP="00E86771">
            <w:pPr>
              <w:spacing w:line="360" w:lineRule="auto"/>
            </w:pPr>
            <w:r w:rsidRPr="00591BFC">
              <w:t> </w:t>
            </w:r>
          </w:p>
        </w:tc>
        <w:tc>
          <w:tcPr>
            <w:tcW w:w="1320" w:type="dxa"/>
            <w:shd w:val="clear" w:color="auto" w:fill="auto"/>
            <w:noWrap/>
            <w:hideMark/>
          </w:tcPr>
          <w:p w14:paraId="05105532" w14:textId="77777777" w:rsidR="00746C94" w:rsidRPr="00591BFC" w:rsidRDefault="00746C94" w:rsidP="00E86771">
            <w:pPr>
              <w:spacing w:line="360" w:lineRule="auto"/>
            </w:pPr>
            <w:r w:rsidRPr="00591BFC">
              <w:t> </w:t>
            </w:r>
          </w:p>
        </w:tc>
        <w:tc>
          <w:tcPr>
            <w:tcW w:w="1063" w:type="dxa"/>
            <w:shd w:val="clear" w:color="auto" w:fill="auto"/>
            <w:noWrap/>
            <w:hideMark/>
          </w:tcPr>
          <w:p w14:paraId="5EA12465" w14:textId="77777777" w:rsidR="00746C94" w:rsidRPr="00591BFC" w:rsidRDefault="00746C94" w:rsidP="00E86771">
            <w:pPr>
              <w:spacing w:line="360" w:lineRule="auto"/>
            </w:pPr>
            <w:r w:rsidRPr="00591BFC">
              <w:t> </w:t>
            </w:r>
          </w:p>
        </w:tc>
      </w:tr>
      <w:tr w:rsidR="00746C94" w:rsidRPr="00591BFC" w14:paraId="656A67A2" w14:textId="77777777" w:rsidTr="00FE3F68">
        <w:trPr>
          <w:trHeight w:val="330"/>
        </w:trPr>
        <w:tc>
          <w:tcPr>
            <w:tcW w:w="4016" w:type="dxa"/>
            <w:shd w:val="clear" w:color="auto" w:fill="auto"/>
            <w:noWrap/>
            <w:hideMark/>
          </w:tcPr>
          <w:p w14:paraId="409B4BBA"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20B4F8DC" w14:textId="77777777" w:rsidR="00746C94" w:rsidRPr="00591BFC" w:rsidRDefault="00746C94" w:rsidP="00E86771">
            <w:pPr>
              <w:spacing w:line="360" w:lineRule="auto"/>
            </w:pPr>
            <w:r w:rsidRPr="00591BFC">
              <w:t> </w:t>
            </w:r>
          </w:p>
        </w:tc>
        <w:tc>
          <w:tcPr>
            <w:tcW w:w="1320" w:type="dxa"/>
            <w:shd w:val="clear" w:color="auto" w:fill="auto"/>
            <w:noWrap/>
            <w:hideMark/>
          </w:tcPr>
          <w:p w14:paraId="59BBE50A" w14:textId="77777777" w:rsidR="00746C94" w:rsidRPr="00591BFC" w:rsidRDefault="00746C94" w:rsidP="00E86771">
            <w:pPr>
              <w:spacing w:line="360" w:lineRule="auto"/>
            </w:pPr>
            <w:r w:rsidRPr="00591BFC">
              <w:t> </w:t>
            </w:r>
          </w:p>
        </w:tc>
        <w:tc>
          <w:tcPr>
            <w:tcW w:w="1320" w:type="dxa"/>
            <w:shd w:val="clear" w:color="auto" w:fill="auto"/>
            <w:noWrap/>
            <w:hideMark/>
          </w:tcPr>
          <w:p w14:paraId="184E97A9" w14:textId="77777777" w:rsidR="00746C94" w:rsidRPr="00591BFC" w:rsidRDefault="00746C94" w:rsidP="00E86771">
            <w:pPr>
              <w:spacing w:line="360" w:lineRule="auto"/>
            </w:pPr>
            <w:r w:rsidRPr="00591BFC">
              <w:t> </w:t>
            </w:r>
          </w:p>
        </w:tc>
        <w:tc>
          <w:tcPr>
            <w:tcW w:w="1063" w:type="dxa"/>
            <w:shd w:val="clear" w:color="auto" w:fill="auto"/>
            <w:noWrap/>
            <w:hideMark/>
          </w:tcPr>
          <w:p w14:paraId="1A1CFEDF" w14:textId="77777777" w:rsidR="00746C94" w:rsidRPr="00591BFC" w:rsidRDefault="00746C94" w:rsidP="00E86771">
            <w:pPr>
              <w:spacing w:line="360" w:lineRule="auto"/>
            </w:pPr>
            <w:r w:rsidRPr="00591BFC">
              <w:t> </w:t>
            </w:r>
          </w:p>
        </w:tc>
      </w:tr>
      <w:tr w:rsidR="00746C94" w:rsidRPr="00591BFC" w14:paraId="0734EEF2" w14:textId="77777777" w:rsidTr="00FE3F68">
        <w:trPr>
          <w:trHeight w:val="330"/>
        </w:trPr>
        <w:tc>
          <w:tcPr>
            <w:tcW w:w="4016" w:type="dxa"/>
            <w:shd w:val="clear" w:color="auto" w:fill="auto"/>
            <w:noWrap/>
            <w:hideMark/>
          </w:tcPr>
          <w:p w14:paraId="3E169BA7"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045E1B6E" w14:textId="77777777" w:rsidR="00746C94" w:rsidRPr="00591BFC" w:rsidRDefault="00746C94" w:rsidP="00E86771">
            <w:pPr>
              <w:spacing w:line="360" w:lineRule="auto"/>
            </w:pPr>
            <w:r w:rsidRPr="00591BFC">
              <w:t>-7.85</w:t>
            </w:r>
          </w:p>
        </w:tc>
        <w:tc>
          <w:tcPr>
            <w:tcW w:w="1320" w:type="dxa"/>
            <w:shd w:val="clear" w:color="auto" w:fill="auto"/>
            <w:noWrap/>
            <w:hideMark/>
          </w:tcPr>
          <w:p w14:paraId="294F028F" w14:textId="77777777" w:rsidR="00746C94" w:rsidRPr="00591BFC" w:rsidRDefault="00746C94" w:rsidP="00E86771">
            <w:pPr>
              <w:spacing w:line="360" w:lineRule="auto"/>
            </w:pPr>
            <w:r w:rsidRPr="00591BFC">
              <w:t>-10.23</w:t>
            </w:r>
          </w:p>
        </w:tc>
        <w:tc>
          <w:tcPr>
            <w:tcW w:w="1320" w:type="dxa"/>
            <w:shd w:val="clear" w:color="auto" w:fill="auto"/>
            <w:noWrap/>
            <w:hideMark/>
          </w:tcPr>
          <w:p w14:paraId="5721F93F" w14:textId="77777777" w:rsidR="00746C94" w:rsidRPr="00591BFC" w:rsidRDefault="00746C94" w:rsidP="00E86771">
            <w:pPr>
              <w:spacing w:line="360" w:lineRule="auto"/>
            </w:pPr>
            <w:r w:rsidRPr="00591BFC">
              <w:t>-5.47</w:t>
            </w:r>
          </w:p>
        </w:tc>
        <w:tc>
          <w:tcPr>
            <w:tcW w:w="1063" w:type="dxa"/>
            <w:shd w:val="clear" w:color="auto" w:fill="auto"/>
            <w:noWrap/>
            <w:hideMark/>
          </w:tcPr>
          <w:p w14:paraId="4D63C2CC" w14:textId="77777777" w:rsidR="00746C94" w:rsidRPr="00591BFC" w:rsidRDefault="00746C94" w:rsidP="00E86771">
            <w:pPr>
              <w:spacing w:line="360" w:lineRule="auto"/>
            </w:pPr>
            <w:r w:rsidRPr="00591BFC">
              <w:t>&lt;0.001</w:t>
            </w:r>
          </w:p>
        </w:tc>
      </w:tr>
      <w:tr w:rsidR="00746C94" w:rsidRPr="00591BFC" w14:paraId="27CBFF83" w14:textId="77777777" w:rsidTr="00FE3F68">
        <w:trPr>
          <w:trHeight w:val="330"/>
        </w:trPr>
        <w:tc>
          <w:tcPr>
            <w:tcW w:w="4016" w:type="dxa"/>
            <w:shd w:val="clear" w:color="auto" w:fill="auto"/>
            <w:noWrap/>
            <w:hideMark/>
          </w:tcPr>
          <w:p w14:paraId="14BF5D6F"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0C70228D" w14:textId="77777777" w:rsidR="00746C94" w:rsidRPr="00591BFC" w:rsidRDefault="00746C94" w:rsidP="00E86771">
            <w:pPr>
              <w:spacing w:line="360" w:lineRule="auto"/>
            </w:pPr>
            <w:r w:rsidRPr="00591BFC">
              <w:t> </w:t>
            </w:r>
          </w:p>
        </w:tc>
        <w:tc>
          <w:tcPr>
            <w:tcW w:w="1320" w:type="dxa"/>
            <w:shd w:val="clear" w:color="auto" w:fill="auto"/>
            <w:noWrap/>
            <w:hideMark/>
          </w:tcPr>
          <w:p w14:paraId="44EA29AE" w14:textId="77777777" w:rsidR="00746C94" w:rsidRPr="00591BFC" w:rsidRDefault="00746C94" w:rsidP="00E86771">
            <w:pPr>
              <w:spacing w:line="360" w:lineRule="auto"/>
            </w:pPr>
            <w:r w:rsidRPr="00591BFC">
              <w:t> </w:t>
            </w:r>
          </w:p>
        </w:tc>
        <w:tc>
          <w:tcPr>
            <w:tcW w:w="1320" w:type="dxa"/>
            <w:shd w:val="clear" w:color="auto" w:fill="auto"/>
            <w:noWrap/>
            <w:hideMark/>
          </w:tcPr>
          <w:p w14:paraId="664DC35D" w14:textId="77777777" w:rsidR="00746C94" w:rsidRPr="00591BFC" w:rsidRDefault="00746C94" w:rsidP="00E86771">
            <w:pPr>
              <w:spacing w:line="360" w:lineRule="auto"/>
            </w:pPr>
            <w:r w:rsidRPr="00591BFC">
              <w:t> </w:t>
            </w:r>
          </w:p>
        </w:tc>
        <w:tc>
          <w:tcPr>
            <w:tcW w:w="1063" w:type="dxa"/>
            <w:shd w:val="clear" w:color="auto" w:fill="auto"/>
            <w:noWrap/>
            <w:hideMark/>
          </w:tcPr>
          <w:p w14:paraId="504CA7BE" w14:textId="77777777" w:rsidR="00746C94" w:rsidRPr="00591BFC" w:rsidRDefault="00746C94" w:rsidP="00E86771">
            <w:pPr>
              <w:spacing w:line="360" w:lineRule="auto"/>
            </w:pPr>
            <w:r w:rsidRPr="00591BFC">
              <w:t> </w:t>
            </w:r>
          </w:p>
        </w:tc>
      </w:tr>
      <w:tr w:rsidR="00746C94" w:rsidRPr="00591BFC" w14:paraId="609BE639" w14:textId="77777777" w:rsidTr="00FE3F68">
        <w:trPr>
          <w:trHeight w:val="330"/>
        </w:trPr>
        <w:tc>
          <w:tcPr>
            <w:tcW w:w="4016" w:type="dxa"/>
            <w:shd w:val="clear" w:color="auto" w:fill="auto"/>
            <w:noWrap/>
            <w:hideMark/>
          </w:tcPr>
          <w:p w14:paraId="5816161C"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625B21FC" w14:textId="77777777" w:rsidR="00746C94" w:rsidRPr="00591BFC" w:rsidRDefault="00746C94" w:rsidP="00E86771">
            <w:pPr>
              <w:spacing w:line="360" w:lineRule="auto"/>
            </w:pPr>
            <w:r w:rsidRPr="00591BFC">
              <w:t> </w:t>
            </w:r>
          </w:p>
        </w:tc>
        <w:tc>
          <w:tcPr>
            <w:tcW w:w="1320" w:type="dxa"/>
            <w:shd w:val="clear" w:color="auto" w:fill="auto"/>
            <w:noWrap/>
            <w:hideMark/>
          </w:tcPr>
          <w:p w14:paraId="5D33BD60" w14:textId="77777777" w:rsidR="00746C94" w:rsidRPr="00591BFC" w:rsidRDefault="00746C94" w:rsidP="00E86771">
            <w:pPr>
              <w:spacing w:line="360" w:lineRule="auto"/>
            </w:pPr>
            <w:r w:rsidRPr="00591BFC">
              <w:t> </w:t>
            </w:r>
          </w:p>
        </w:tc>
        <w:tc>
          <w:tcPr>
            <w:tcW w:w="1320" w:type="dxa"/>
            <w:shd w:val="clear" w:color="auto" w:fill="auto"/>
            <w:noWrap/>
            <w:hideMark/>
          </w:tcPr>
          <w:p w14:paraId="24F4FD3E" w14:textId="77777777" w:rsidR="00746C94" w:rsidRPr="00591BFC" w:rsidRDefault="00746C94" w:rsidP="00E86771">
            <w:pPr>
              <w:spacing w:line="360" w:lineRule="auto"/>
            </w:pPr>
            <w:r w:rsidRPr="00591BFC">
              <w:t> </w:t>
            </w:r>
          </w:p>
        </w:tc>
        <w:tc>
          <w:tcPr>
            <w:tcW w:w="1063" w:type="dxa"/>
            <w:shd w:val="clear" w:color="auto" w:fill="auto"/>
            <w:noWrap/>
            <w:hideMark/>
          </w:tcPr>
          <w:p w14:paraId="65A4068B" w14:textId="77777777" w:rsidR="00746C94" w:rsidRPr="00591BFC" w:rsidRDefault="00746C94" w:rsidP="00E86771">
            <w:pPr>
              <w:spacing w:line="360" w:lineRule="auto"/>
            </w:pPr>
            <w:r w:rsidRPr="00591BFC">
              <w:t> </w:t>
            </w:r>
          </w:p>
        </w:tc>
      </w:tr>
      <w:tr w:rsidR="00746C94" w:rsidRPr="00591BFC" w14:paraId="35728109" w14:textId="77777777" w:rsidTr="00FE3F68">
        <w:trPr>
          <w:trHeight w:val="330"/>
        </w:trPr>
        <w:tc>
          <w:tcPr>
            <w:tcW w:w="4016" w:type="dxa"/>
            <w:shd w:val="clear" w:color="auto" w:fill="auto"/>
            <w:noWrap/>
            <w:hideMark/>
          </w:tcPr>
          <w:p w14:paraId="57DC0FD8"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3058A3F7" w14:textId="77777777" w:rsidR="00746C94" w:rsidRPr="00591BFC" w:rsidRDefault="00746C94" w:rsidP="00E86771">
            <w:pPr>
              <w:spacing w:line="360" w:lineRule="auto"/>
            </w:pPr>
            <w:r w:rsidRPr="00591BFC">
              <w:t> </w:t>
            </w:r>
          </w:p>
        </w:tc>
        <w:tc>
          <w:tcPr>
            <w:tcW w:w="1320" w:type="dxa"/>
            <w:shd w:val="clear" w:color="auto" w:fill="auto"/>
            <w:noWrap/>
            <w:hideMark/>
          </w:tcPr>
          <w:p w14:paraId="5397140B" w14:textId="77777777" w:rsidR="00746C94" w:rsidRPr="00591BFC" w:rsidRDefault="00746C94" w:rsidP="00E86771">
            <w:pPr>
              <w:spacing w:line="360" w:lineRule="auto"/>
            </w:pPr>
            <w:r w:rsidRPr="00591BFC">
              <w:t> </w:t>
            </w:r>
          </w:p>
        </w:tc>
        <w:tc>
          <w:tcPr>
            <w:tcW w:w="1320" w:type="dxa"/>
            <w:shd w:val="clear" w:color="auto" w:fill="auto"/>
            <w:noWrap/>
            <w:hideMark/>
          </w:tcPr>
          <w:p w14:paraId="65E8D79D" w14:textId="77777777" w:rsidR="00746C94" w:rsidRPr="00591BFC" w:rsidRDefault="00746C94" w:rsidP="00E86771">
            <w:pPr>
              <w:spacing w:line="360" w:lineRule="auto"/>
            </w:pPr>
            <w:r w:rsidRPr="00591BFC">
              <w:t> </w:t>
            </w:r>
          </w:p>
        </w:tc>
        <w:tc>
          <w:tcPr>
            <w:tcW w:w="1063" w:type="dxa"/>
            <w:shd w:val="clear" w:color="auto" w:fill="auto"/>
            <w:noWrap/>
            <w:hideMark/>
          </w:tcPr>
          <w:p w14:paraId="30A49846" w14:textId="77777777" w:rsidR="00746C94" w:rsidRPr="00591BFC" w:rsidRDefault="00746C94" w:rsidP="00E86771">
            <w:pPr>
              <w:spacing w:line="360" w:lineRule="auto"/>
            </w:pPr>
            <w:r w:rsidRPr="00591BFC">
              <w:t> </w:t>
            </w:r>
          </w:p>
        </w:tc>
      </w:tr>
      <w:tr w:rsidR="00746C94" w:rsidRPr="00591BFC" w14:paraId="09DD78A4" w14:textId="77777777" w:rsidTr="00FE3F68">
        <w:trPr>
          <w:trHeight w:val="330"/>
        </w:trPr>
        <w:tc>
          <w:tcPr>
            <w:tcW w:w="4016" w:type="dxa"/>
            <w:shd w:val="clear" w:color="auto" w:fill="auto"/>
            <w:noWrap/>
            <w:hideMark/>
          </w:tcPr>
          <w:p w14:paraId="04CCF450"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45C563D3" w14:textId="77777777" w:rsidR="00746C94" w:rsidRPr="00591BFC" w:rsidRDefault="00746C94" w:rsidP="00E86771">
            <w:pPr>
              <w:spacing w:line="360" w:lineRule="auto"/>
            </w:pPr>
            <w:r w:rsidRPr="00591BFC">
              <w:t> </w:t>
            </w:r>
          </w:p>
        </w:tc>
        <w:tc>
          <w:tcPr>
            <w:tcW w:w="1320" w:type="dxa"/>
            <w:shd w:val="clear" w:color="auto" w:fill="auto"/>
            <w:noWrap/>
            <w:hideMark/>
          </w:tcPr>
          <w:p w14:paraId="4093696C" w14:textId="77777777" w:rsidR="00746C94" w:rsidRPr="00591BFC" w:rsidRDefault="00746C94" w:rsidP="00E86771">
            <w:pPr>
              <w:spacing w:line="360" w:lineRule="auto"/>
            </w:pPr>
            <w:r w:rsidRPr="00591BFC">
              <w:t> </w:t>
            </w:r>
          </w:p>
        </w:tc>
        <w:tc>
          <w:tcPr>
            <w:tcW w:w="1320" w:type="dxa"/>
            <w:shd w:val="clear" w:color="auto" w:fill="auto"/>
            <w:noWrap/>
            <w:hideMark/>
          </w:tcPr>
          <w:p w14:paraId="724030EB" w14:textId="77777777" w:rsidR="00746C94" w:rsidRPr="00591BFC" w:rsidRDefault="00746C94" w:rsidP="00E86771">
            <w:pPr>
              <w:spacing w:line="360" w:lineRule="auto"/>
            </w:pPr>
            <w:r w:rsidRPr="00591BFC">
              <w:t> </w:t>
            </w:r>
          </w:p>
        </w:tc>
        <w:tc>
          <w:tcPr>
            <w:tcW w:w="1063" w:type="dxa"/>
            <w:shd w:val="clear" w:color="auto" w:fill="auto"/>
            <w:noWrap/>
            <w:hideMark/>
          </w:tcPr>
          <w:p w14:paraId="23A19BA9" w14:textId="77777777" w:rsidR="00746C94" w:rsidRPr="00591BFC" w:rsidRDefault="00746C94" w:rsidP="00E86771">
            <w:pPr>
              <w:spacing w:line="360" w:lineRule="auto"/>
            </w:pPr>
            <w:r w:rsidRPr="00591BFC">
              <w:t> </w:t>
            </w:r>
          </w:p>
        </w:tc>
      </w:tr>
      <w:tr w:rsidR="00746C94" w:rsidRPr="00591BFC" w14:paraId="4903893B" w14:textId="77777777" w:rsidTr="00FE3F68">
        <w:trPr>
          <w:trHeight w:val="315"/>
        </w:trPr>
        <w:tc>
          <w:tcPr>
            <w:tcW w:w="9039" w:type="dxa"/>
            <w:gridSpan w:val="5"/>
            <w:shd w:val="clear" w:color="auto" w:fill="auto"/>
            <w:hideMark/>
          </w:tcPr>
          <w:p w14:paraId="1069E1AE" w14:textId="77777777" w:rsidR="00746C94" w:rsidRPr="00591BFC" w:rsidRDefault="00746C94" w:rsidP="00E86771">
            <w:pPr>
              <w:spacing w:line="360" w:lineRule="auto"/>
              <w:rPr>
                <w:u w:val="single"/>
              </w:rPr>
            </w:pPr>
            <w:r w:rsidRPr="00591BFC">
              <w:rPr>
                <w:u w:val="single"/>
              </w:rPr>
              <w:t>second hip fracture (2 years)</w:t>
            </w:r>
          </w:p>
        </w:tc>
      </w:tr>
      <w:tr w:rsidR="00746C94" w:rsidRPr="00591BFC" w14:paraId="66996FDC" w14:textId="77777777" w:rsidTr="00FE3F68">
        <w:trPr>
          <w:trHeight w:val="330"/>
        </w:trPr>
        <w:tc>
          <w:tcPr>
            <w:tcW w:w="4016" w:type="dxa"/>
            <w:shd w:val="clear" w:color="auto" w:fill="auto"/>
            <w:noWrap/>
            <w:hideMark/>
          </w:tcPr>
          <w:p w14:paraId="27B47F0B" w14:textId="77777777" w:rsidR="00746C94" w:rsidRPr="00591BFC" w:rsidRDefault="00746C94" w:rsidP="00E86771">
            <w:pPr>
              <w:spacing w:line="360" w:lineRule="auto"/>
            </w:pPr>
            <w:r w:rsidRPr="00591BFC">
              <w:lastRenderedPageBreak/>
              <w:t>Intercept (β</w:t>
            </w:r>
            <w:r w:rsidRPr="00591BFC">
              <w:rPr>
                <w:vertAlign w:val="subscript"/>
              </w:rPr>
              <w:t>0</w:t>
            </w:r>
            <w:r w:rsidRPr="00591BFC">
              <w:t>)</w:t>
            </w:r>
          </w:p>
        </w:tc>
        <w:tc>
          <w:tcPr>
            <w:tcW w:w="1320" w:type="dxa"/>
            <w:shd w:val="clear" w:color="auto" w:fill="auto"/>
            <w:noWrap/>
            <w:hideMark/>
          </w:tcPr>
          <w:p w14:paraId="527A7DF8" w14:textId="77777777" w:rsidR="00746C94" w:rsidRPr="00591BFC" w:rsidRDefault="00746C94" w:rsidP="00E86771">
            <w:pPr>
              <w:spacing w:line="360" w:lineRule="auto"/>
            </w:pPr>
            <w:r w:rsidRPr="00591BFC">
              <w:t>2.49</w:t>
            </w:r>
          </w:p>
        </w:tc>
        <w:tc>
          <w:tcPr>
            <w:tcW w:w="1320" w:type="dxa"/>
            <w:shd w:val="clear" w:color="auto" w:fill="auto"/>
            <w:noWrap/>
            <w:hideMark/>
          </w:tcPr>
          <w:p w14:paraId="403F7D0B" w14:textId="77777777" w:rsidR="00746C94" w:rsidRPr="00591BFC" w:rsidRDefault="00746C94" w:rsidP="00E86771">
            <w:pPr>
              <w:spacing w:line="360" w:lineRule="auto"/>
            </w:pPr>
            <w:r w:rsidRPr="00591BFC">
              <w:t>2.12</w:t>
            </w:r>
          </w:p>
        </w:tc>
        <w:tc>
          <w:tcPr>
            <w:tcW w:w="1320" w:type="dxa"/>
            <w:shd w:val="clear" w:color="auto" w:fill="auto"/>
            <w:noWrap/>
            <w:hideMark/>
          </w:tcPr>
          <w:p w14:paraId="5EACE2B0" w14:textId="77777777" w:rsidR="00746C94" w:rsidRPr="00591BFC" w:rsidRDefault="00746C94" w:rsidP="00E86771">
            <w:pPr>
              <w:spacing w:line="360" w:lineRule="auto"/>
            </w:pPr>
            <w:r w:rsidRPr="00591BFC">
              <w:t>2.87</w:t>
            </w:r>
          </w:p>
        </w:tc>
        <w:tc>
          <w:tcPr>
            <w:tcW w:w="1063" w:type="dxa"/>
            <w:shd w:val="clear" w:color="auto" w:fill="auto"/>
            <w:noWrap/>
            <w:hideMark/>
          </w:tcPr>
          <w:p w14:paraId="29817605" w14:textId="77777777" w:rsidR="00746C94" w:rsidRPr="00591BFC" w:rsidRDefault="00746C94" w:rsidP="00E86771">
            <w:pPr>
              <w:spacing w:line="360" w:lineRule="auto"/>
            </w:pPr>
            <w:r w:rsidRPr="00591BFC">
              <w:t>&lt;0.001</w:t>
            </w:r>
          </w:p>
        </w:tc>
      </w:tr>
      <w:tr w:rsidR="00746C94" w:rsidRPr="00591BFC" w14:paraId="6BE227BC" w14:textId="77777777" w:rsidTr="00FE3F68">
        <w:trPr>
          <w:trHeight w:val="330"/>
        </w:trPr>
        <w:tc>
          <w:tcPr>
            <w:tcW w:w="4016" w:type="dxa"/>
            <w:shd w:val="clear" w:color="auto" w:fill="auto"/>
            <w:noWrap/>
            <w:hideMark/>
          </w:tcPr>
          <w:p w14:paraId="27654728"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73678326" w14:textId="77777777" w:rsidR="00746C94" w:rsidRPr="00591BFC" w:rsidRDefault="00746C94" w:rsidP="00E86771">
            <w:pPr>
              <w:spacing w:line="360" w:lineRule="auto"/>
            </w:pPr>
            <w:r w:rsidRPr="00591BFC">
              <w:t> </w:t>
            </w:r>
          </w:p>
        </w:tc>
        <w:tc>
          <w:tcPr>
            <w:tcW w:w="1320" w:type="dxa"/>
            <w:shd w:val="clear" w:color="auto" w:fill="auto"/>
            <w:noWrap/>
            <w:hideMark/>
          </w:tcPr>
          <w:p w14:paraId="651F3CCB" w14:textId="77777777" w:rsidR="00746C94" w:rsidRPr="00591BFC" w:rsidRDefault="00746C94" w:rsidP="00E86771">
            <w:pPr>
              <w:spacing w:line="360" w:lineRule="auto"/>
            </w:pPr>
            <w:r w:rsidRPr="00591BFC">
              <w:t> </w:t>
            </w:r>
          </w:p>
        </w:tc>
        <w:tc>
          <w:tcPr>
            <w:tcW w:w="1320" w:type="dxa"/>
            <w:shd w:val="clear" w:color="auto" w:fill="auto"/>
            <w:noWrap/>
            <w:hideMark/>
          </w:tcPr>
          <w:p w14:paraId="7A6C187A" w14:textId="77777777" w:rsidR="00746C94" w:rsidRPr="00591BFC" w:rsidRDefault="00746C94" w:rsidP="00E86771">
            <w:pPr>
              <w:spacing w:line="360" w:lineRule="auto"/>
            </w:pPr>
            <w:r w:rsidRPr="00591BFC">
              <w:t> </w:t>
            </w:r>
          </w:p>
        </w:tc>
        <w:tc>
          <w:tcPr>
            <w:tcW w:w="1063" w:type="dxa"/>
            <w:shd w:val="clear" w:color="auto" w:fill="auto"/>
            <w:noWrap/>
            <w:hideMark/>
          </w:tcPr>
          <w:p w14:paraId="1FF3ED45" w14:textId="77777777" w:rsidR="00746C94" w:rsidRPr="00591BFC" w:rsidRDefault="00746C94" w:rsidP="00E86771">
            <w:pPr>
              <w:spacing w:line="360" w:lineRule="auto"/>
            </w:pPr>
            <w:r w:rsidRPr="00591BFC">
              <w:t> </w:t>
            </w:r>
          </w:p>
        </w:tc>
      </w:tr>
      <w:tr w:rsidR="00746C94" w:rsidRPr="00591BFC" w14:paraId="26CC2836" w14:textId="77777777" w:rsidTr="00FE3F68">
        <w:trPr>
          <w:trHeight w:val="330"/>
        </w:trPr>
        <w:tc>
          <w:tcPr>
            <w:tcW w:w="4016" w:type="dxa"/>
            <w:shd w:val="clear" w:color="auto" w:fill="auto"/>
            <w:noWrap/>
            <w:hideMark/>
          </w:tcPr>
          <w:p w14:paraId="5E1B55ED"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59BC3E09" w14:textId="77777777" w:rsidR="00746C94" w:rsidRPr="00591BFC" w:rsidRDefault="00746C94" w:rsidP="00E86771">
            <w:pPr>
              <w:spacing w:line="360" w:lineRule="auto"/>
            </w:pPr>
            <w:r w:rsidRPr="00591BFC">
              <w:t> </w:t>
            </w:r>
          </w:p>
        </w:tc>
        <w:tc>
          <w:tcPr>
            <w:tcW w:w="1320" w:type="dxa"/>
            <w:shd w:val="clear" w:color="auto" w:fill="auto"/>
            <w:noWrap/>
            <w:hideMark/>
          </w:tcPr>
          <w:p w14:paraId="25A4D06A" w14:textId="77777777" w:rsidR="00746C94" w:rsidRPr="00591BFC" w:rsidRDefault="00746C94" w:rsidP="00E86771">
            <w:pPr>
              <w:spacing w:line="360" w:lineRule="auto"/>
            </w:pPr>
            <w:r w:rsidRPr="00591BFC">
              <w:t> </w:t>
            </w:r>
          </w:p>
        </w:tc>
        <w:tc>
          <w:tcPr>
            <w:tcW w:w="1320" w:type="dxa"/>
            <w:shd w:val="clear" w:color="auto" w:fill="auto"/>
            <w:noWrap/>
            <w:hideMark/>
          </w:tcPr>
          <w:p w14:paraId="3EDC30A0" w14:textId="77777777" w:rsidR="00746C94" w:rsidRPr="00591BFC" w:rsidRDefault="00746C94" w:rsidP="00E86771">
            <w:pPr>
              <w:spacing w:line="360" w:lineRule="auto"/>
            </w:pPr>
            <w:r w:rsidRPr="00591BFC">
              <w:t> </w:t>
            </w:r>
          </w:p>
        </w:tc>
        <w:tc>
          <w:tcPr>
            <w:tcW w:w="1063" w:type="dxa"/>
            <w:shd w:val="clear" w:color="auto" w:fill="auto"/>
            <w:noWrap/>
            <w:hideMark/>
          </w:tcPr>
          <w:p w14:paraId="204233DB" w14:textId="77777777" w:rsidR="00746C94" w:rsidRPr="00591BFC" w:rsidRDefault="00746C94" w:rsidP="00E86771">
            <w:pPr>
              <w:spacing w:line="360" w:lineRule="auto"/>
            </w:pPr>
            <w:r w:rsidRPr="00591BFC">
              <w:t> </w:t>
            </w:r>
          </w:p>
        </w:tc>
      </w:tr>
      <w:tr w:rsidR="00746C94" w:rsidRPr="00591BFC" w14:paraId="11E73D75" w14:textId="77777777" w:rsidTr="00FE3F68">
        <w:trPr>
          <w:trHeight w:val="330"/>
        </w:trPr>
        <w:tc>
          <w:tcPr>
            <w:tcW w:w="4016" w:type="dxa"/>
            <w:shd w:val="clear" w:color="auto" w:fill="auto"/>
            <w:noWrap/>
            <w:hideMark/>
          </w:tcPr>
          <w:p w14:paraId="012F5652"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100F2BD5" w14:textId="77777777" w:rsidR="00746C94" w:rsidRPr="00591BFC" w:rsidRDefault="00746C94" w:rsidP="00E86771">
            <w:pPr>
              <w:spacing w:line="360" w:lineRule="auto"/>
            </w:pPr>
            <w:r w:rsidRPr="00591BFC">
              <w:t> </w:t>
            </w:r>
          </w:p>
        </w:tc>
        <w:tc>
          <w:tcPr>
            <w:tcW w:w="1320" w:type="dxa"/>
            <w:shd w:val="clear" w:color="auto" w:fill="auto"/>
            <w:noWrap/>
            <w:hideMark/>
          </w:tcPr>
          <w:p w14:paraId="31114C05" w14:textId="77777777" w:rsidR="00746C94" w:rsidRPr="00591BFC" w:rsidRDefault="00746C94" w:rsidP="00E86771">
            <w:pPr>
              <w:spacing w:line="360" w:lineRule="auto"/>
            </w:pPr>
            <w:r w:rsidRPr="00591BFC">
              <w:t> </w:t>
            </w:r>
          </w:p>
        </w:tc>
        <w:tc>
          <w:tcPr>
            <w:tcW w:w="1320" w:type="dxa"/>
            <w:shd w:val="clear" w:color="auto" w:fill="auto"/>
            <w:noWrap/>
            <w:hideMark/>
          </w:tcPr>
          <w:p w14:paraId="7F9E1F49" w14:textId="77777777" w:rsidR="00746C94" w:rsidRPr="00591BFC" w:rsidRDefault="00746C94" w:rsidP="00E86771">
            <w:pPr>
              <w:spacing w:line="360" w:lineRule="auto"/>
            </w:pPr>
            <w:r w:rsidRPr="00591BFC">
              <w:t> </w:t>
            </w:r>
          </w:p>
        </w:tc>
        <w:tc>
          <w:tcPr>
            <w:tcW w:w="1063" w:type="dxa"/>
            <w:shd w:val="clear" w:color="auto" w:fill="auto"/>
            <w:noWrap/>
            <w:hideMark/>
          </w:tcPr>
          <w:p w14:paraId="7023364E" w14:textId="77777777" w:rsidR="00746C94" w:rsidRPr="00591BFC" w:rsidRDefault="00746C94" w:rsidP="00E86771">
            <w:pPr>
              <w:spacing w:line="360" w:lineRule="auto"/>
            </w:pPr>
            <w:r w:rsidRPr="00591BFC">
              <w:t> </w:t>
            </w:r>
          </w:p>
        </w:tc>
      </w:tr>
      <w:tr w:rsidR="00746C94" w:rsidRPr="00591BFC" w14:paraId="516F93E4" w14:textId="77777777" w:rsidTr="00FE3F68">
        <w:trPr>
          <w:trHeight w:val="330"/>
        </w:trPr>
        <w:tc>
          <w:tcPr>
            <w:tcW w:w="4016" w:type="dxa"/>
            <w:shd w:val="clear" w:color="auto" w:fill="auto"/>
            <w:noWrap/>
            <w:hideMark/>
          </w:tcPr>
          <w:p w14:paraId="6F2D735D"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3DAFAA06" w14:textId="77777777" w:rsidR="00746C94" w:rsidRPr="00591BFC" w:rsidRDefault="00746C94" w:rsidP="00E86771">
            <w:pPr>
              <w:spacing w:line="360" w:lineRule="auto"/>
            </w:pPr>
            <w:r w:rsidRPr="00591BFC">
              <w:t>-0.95</w:t>
            </w:r>
          </w:p>
        </w:tc>
        <w:tc>
          <w:tcPr>
            <w:tcW w:w="1320" w:type="dxa"/>
            <w:shd w:val="clear" w:color="auto" w:fill="auto"/>
            <w:noWrap/>
            <w:hideMark/>
          </w:tcPr>
          <w:p w14:paraId="171A901C" w14:textId="77777777" w:rsidR="00746C94" w:rsidRPr="00591BFC" w:rsidRDefault="00746C94" w:rsidP="00E86771">
            <w:pPr>
              <w:spacing w:line="360" w:lineRule="auto"/>
            </w:pPr>
            <w:r w:rsidRPr="00591BFC">
              <w:t>-1.67</w:t>
            </w:r>
          </w:p>
        </w:tc>
        <w:tc>
          <w:tcPr>
            <w:tcW w:w="1320" w:type="dxa"/>
            <w:shd w:val="clear" w:color="auto" w:fill="auto"/>
            <w:noWrap/>
            <w:hideMark/>
          </w:tcPr>
          <w:p w14:paraId="7117332C" w14:textId="77777777" w:rsidR="00746C94" w:rsidRPr="00591BFC" w:rsidRDefault="00746C94" w:rsidP="00E86771">
            <w:pPr>
              <w:spacing w:line="360" w:lineRule="auto"/>
            </w:pPr>
            <w:r w:rsidRPr="00591BFC">
              <w:t>-0.23</w:t>
            </w:r>
          </w:p>
        </w:tc>
        <w:tc>
          <w:tcPr>
            <w:tcW w:w="1063" w:type="dxa"/>
            <w:shd w:val="clear" w:color="auto" w:fill="auto"/>
            <w:noWrap/>
            <w:hideMark/>
          </w:tcPr>
          <w:p w14:paraId="2213173F" w14:textId="77777777" w:rsidR="00746C94" w:rsidRPr="00591BFC" w:rsidRDefault="00746C94" w:rsidP="00E86771">
            <w:pPr>
              <w:spacing w:line="360" w:lineRule="auto"/>
            </w:pPr>
            <w:r w:rsidRPr="00591BFC">
              <w:t>0.012</w:t>
            </w:r>
          </w:p>
        </w:tc>
      </w:tr>
      <w:tr w:rsidR="00746C94" w:rsidRPr="00591BFC" w14:paraId="1745866F" w14:textId="77777777" w:rsidTr="00FE3F68">
        <w:trPr>
          <w:trHeight w:val="330"/>
        </w:trPr>
        <w:tc>
          <w:tcPr>
            <w:tcW w:w="4016" w:type="dxa"/>
            <w:shd w:val="clear" w:color="auto" w:fill="auto"/>
            <w:noWrap/>
            <w:hideMark/>
          </w:tcPr>
          <w:p w14:paraId="40898106"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76278BEF" w14:textId="77777777" w:rsidR="00746C94" w:rsidRPr="00591BFC" w:rsidRDefault="00746C94" w:rsidP="00E86771">
            <w:pPr>
              <w:spacing w:line="360" w:lineRule="auto"/>
            </w:pPr>
            <w:r w:rsidRPr="00591BFC">
              <w:t> </w:t>
            </w:r>
          </w:p>
        </w:tc>
        <w:tc>
          <w:tcPr>
            <w:tcW w:w="1320" w:type="dxa"/>
            <w:shd w:val="clear" w:color="auto" w:fill="auto"/>
            <w:noWrap/>
            <w:hideMark/>
          </w:tcPr>
          <w:p w14:paraId="663037F9" w14:textId="77777777" w:rsidR="00746C94" w:rsidRPr="00591BFC" w:rsidRDefault="00746C94" w:rsidP="00E86771">
            <w:pPr>
              <w:spacing w:line="360" w:lineRule="auto"/>
            </w:pPr>
            <w:r w:rsidRPr="00591BFC">
              <w:t> </w:t>
            </w:r>
          </w:p>
        </w:tc>
        <w:tc>
          <w:tcPr>
            <w:tcW w:w="1320" w:type="dxa"/>
            <w:shd w:val="clear" w:color="auto" w:fill="auto"/>
            <w:noWrap/>
            <w:hideMark/>
          </w:tcPr>
          <w:p w14:paraId="62E037E0" w14:textId="77777777" w:rsidR="00746C94" w:rsidRPr="00591BFC" w:rsidRDefault="00746C94" w:rsidP="00E86771">
            <w:pPr>
              <w:spacing w:line="360" w:lineRule="auto"/>
            </w:pPr>
            <w:r w:rsidRPr="00591BFC">
              <w:t> </w:t>
            </w:r>
          </w:p>
        </w:tc>
        <w:tc>
          <w:tcPr>
            <w:tcW w:w="1063" w:type="dxa"/>
            <w:shd w:val="clear" w:color="auto" w:fill="auto"/>
            <w:noWrap/>
            <w:hideMark/>
          </w:tcPr>
          <w:p w14:paraId="4ECC8635" w14:textId="77777777" w:rsidR="00746C94" w:rsidRPr="00591BFC" w:rsidRDefault="00746C94" w:rsidP="00E86771">
            <w:pPr>
              <w:spacing w:line="360" w:lineRule="auto"/>
            </w:pPr>
            <w:r w:rsidRPr="00591BFC">
              <w:t> </w:t>
            </w:r>
          </w:p>
        </w:tc>
      </w:tr>
      <w:tr w:rsidR="00746C94" w:rsidRPr="00591BFC" w14:paraId="01E4F716" w14:textId="77777777" w:rsidTr="00FE3F68">
        <w:trPr>
          <w:trHeight w:val="330"/>
        </w:trPr>
        <w:tc>
          <w:tcPr>
            <w:tcW w:w="4016" w:type="dxa"/>
            <w:shd w:val="clear" w:color="auto" w:fill="auto"/>
            <w:noWrap/>
            <w:hideMark/>
          </w:tcPr>
          <w:p w14:paraId="6143085E"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63A4F941" w14:textId="77777777" w:rsidR="00746C94" w:rsidRPr="00591BFC" w:rsidRDefault="00746C94" w:rsidP="00E86771">
            <w:pPr>
              <w:spacing w:line="360" w:lineRule="auto"/>
            </w:pPr>
            <w:r w:rsidRPr="00591BFC">
              <w:t> </w:t>
            </w:r>
          </w:p>
        </w:tc>
        <w:tc>
          <w:tcPr>
            <w:tcW w:w="1320" w:type="dxa"/>
            <w:shd w:val="clear" w:color="auto" w:fill="auto"/>
            <w:noWrap/>
            <w:hideMark/>
          </w:tcPr>
          <w:p w14:paraId="4AFB1D29" w14:textId="77777777" w:rsidR="00746C94" w:rsidRPr="00591BFC" w:rsidRDefault="00746C94" w:rsidP="00E86771">
            <w:pPr>
              <w:spacing w:line="360" w:lineRule="auto"/>
            </w:pPr>
            <w:r w:rsidRPr="00591BFC">
              <w:t> </w:t>
            </w:r>
          </w:p>
        </w:tc>
        <w:tc>
          <w:tcPr>
            <w:tcW w:w="1320" w:type="dxa"/>
            <w:shd w:val="clear" w:color="auto" w:fill="auto"/>
            <w:noWrap/>
            <w:hideMark/>
          </w:tcPr>
          <w:p w14:paraId="1E9A92FA" w14:textId="77777777" w:rsidR="00746C94" w:rsidRPr="00591BFC" w:rsidRDefault="00746C94" w:rsidP="00E86771">
            <w:pPr>
              <w:spacing w:line="360" w:lineRule="auto"/>
            </w:pPr>
            <w:r w:rsidRPr="00591BFC">
              <w:t> </w:t>
            </w:r>
          </w:p>
        </w:tc>
        <w:tc>
          <w:tcPr>
            <w:tcW w:w="1063" w:type="dxa"/>
            <w:shd w:val="clear" w:color="auto" w:fill="auto"/>
            <w:noWrap/>
            <w:hideMark/>
          </w:tcPr>
          <w:p w14:paraId="2B053592" w14:textId="77777777" w:rsidR="00746C94" w:rsidRPr="00591BFC" w:rsidRDefault="00746C94" w:rsidP="00E86771">
            <w:pPr>
              <w:spacing w:line="360" w:lineRule="auto"/>
            </w:pPr>
            <w:r w:rsidRPr="00591BFC">
              <w:t> </w:t>
            </w:r>
          </w:p>
        </w:tc>
      </w:tr>
      <w:tr w:rsidR="00746C94" w:rsidRPr="00591BFC" w14:paraId="3F0F9595" w14:textId="77777777" w:rsidTr="00FE3F68">
        <w:trPr>
          <w:trHeight w:val="300"/>
        </w:trPr>
        <w:tc>
          <w:tcPr>
            <w:tcW w:w="4016" w:type="dxa"/>
            <w:shd w:val="clear" w:color="auto" w:fill="auto"/>
            <w:noWrap/>
            <w:hideMark/>
          </w:tcPr>
          <w:p w14:paraId="47E7C0B0"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20D7F489" w14:textId="77777777" w:rsidR="00746C94" w:rsidRPr="00591BFC" w:rsidRDefault="00746C94" w:rsidP="00E86771">
            <w:pPr>
              <w:spacing w:line="360" w:lineRule="auto"/>
            </w:pPr>
            <w:r w:rsidRPr="00591BFC">
              <w:t> </w:t>
            </w:r>
          </w:p>
        </w:tc>
        <w:tc>
          <w:tcPr>
            <w:tcW w:w="1320" w:type="dxa"/>
            <w:shd w:val="clear" w:color="auto" w:fill="auto"/>
            <w:noWrap/>
            <w:hideMark/>
          </w:tcPr>
          <w:p w14:paraId="17CCF906" w14:textId="77777777" w:rsidR="00746C94" w:rsidRPr="00591BFC" w:rsidRDefault="00746C94" w:rsidP="00E86771">
            <w:pPr>
              <w:spacing w:line="360" w:lineRule="auto"/>
            </w:pPr>
            <w:r w:rsidRPr="00591BFC">
              <w:t> </w:t>
            </w:r>
          </w:p>
        </w:tc>
        <w:tc>
          <w:tcPr>
            <w:tcW w:w="1320" w:type="dxa"/>
            <w:shd w:val="clear" w:color="auto" w:fill="auto"/>
            <w:noWrap/>
            <w:hideMark/>
          </w:tcPr>
          <w:p w14:paraId="2D7A1912" w14:textId="77777777" w:rsidR="00746C94" w:rsidRPr="00591BFC" w:rsidRDefault="00746C94" w:rsidP="00E86771">
            <w:pPr>
              <w:spacing w:line="360" w:lineRule="auto"/>
            </w:pPr>
            <w:r w:rsidRPr="00591BFC">
              <w:t> </w:t>
            </w:r>
          </w:p>
        </w:tc>
        <w:tc>
          <w:tcPr>
            <w:tcW w:w="1063" w:type="dxa"/>
            <w:shd w:val="clear" w:color="auto" w:fill="auto"/>
            <w:noWrap/>
            <w:hideMark/>
          </w:tcPr>
          <w:p w14:paraId="4020A2BA" w14:textId="77777777" w:rsidR="00746C94" w:rsidRPr="00591BFC" w:rsidRDefault="00746C94" w:rsidP="00E86771">
            <w:pPr>
              <w:spacing w:line="360" w:lineRule="auto"/>
            </w:pPr>
            <w:r w:rsidRPr="00591BFC">
              <w:t> </w:t>
            </w:r>
          </w:p>
        </w:tc>
      </w:tr>
      <w:tr w:rsidR="00746C94" w:rsidRPr="00591BFC" w14:paraId="5F34CE25" w14:textId="77777777" w:rsidTr="00FE3F68">
        <w:trPr>
          <w:trHeight w:val="315"/>
        </w:trPr>
        <w:tc>
          <w:tcPr>
            <w:tcW w:w="9039" w:type="dxa"/>
            <w:gridSpan w:val="5"/>
            <w:shd w:val="clear" w:color="auto" w:fill="auto"/>
            <w:hideMark/>
          </w:tcPr>
          <w:p w14:paraId="53EA5111" w14:textId="77777777" w:rsidR="00746C94" w:rsidRPr="00591BFC" w:rsidRDefault="00746C94" w:rsidP="00E86771">
            <w:pPr>
              <w:spacing w:line="360" w:lineRule="auto"/>
              <w:rPr>
                <w:u w:val="single"/>
              </w:rPr>
            </w:pPr>
            <w:r w:rsidRPr="00591BFC">
              <w:rPr>
                <w:u w:val="single"/>
              </w:rPr>
              <w:t>major non-hip fracture (2 years)</w:t>
            </w:r>
          </w:p>
        </w:tc>
      </w:tr>
      <w:tr w:rsidR="00746C94" w:rsidRPr="00591BFC" w14:paraId="743E1998" w14:textId="77777777" w:rsidTr="00FE3F68">
        <w:trPr>
          <w:trHeight w:val="330"/>
        </w:trPr>
        <w:tc>
          <w:tcPr>
            <w:tcW w:w="4016" w:type="dxa"/>
            <w:shd w:val="clear" w:color="auto" w:fill="auto"/>
            <w:noWrap/>
            <w:hideMark/>
          </w:tcPr>
          <w:p w14:paraId="07D53A89"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1A334C20" w14:textId="77777777" w:rsidR="00746C94" w:rsidRPr="00591BFC" w:rsidRDefault="00746C94" w:rsidP="00E86771">
            <w:pPr>
              <w:spacing w:line="360" w:lineRule="auto"/>
            </w:pPr>
            <w:r w:rsidRPr="00591BFC">
              <w:t>2.12</w:t>
            </w:r>
          </w:p>
        </w:tc>
        <w:tc>
          <w:tcPr>
            <w:tcW w:w="1320" w:type="dxa"/>
            <w:shd w:val="clear" w:color="auto" w:fill="auto"/>
            <w:noWrap/>
            <w:hideMark/>
          </w:tcPr>
          <w:p w14:paraId="3CFC1D80" w14:textId="77777777" w:rsidR="00746C94" w:rsidRPr="00591BFC" w:rsidRDefault="00746C94" w:rsidP="00E86771">
            <w:pPr>
              <w:spacing w:line="360" w:lineRule="auto"/>
            </w:pPr>
            <w:r w:rsidRPr="00591BFC">
              <w:t>1.92</w:t>
            </w:r>
          </w:p>
        </w:tc>
        <w:tc>
          <w:tcPr>
            <w:tcW w:w="1320" w:type="dxa"/>
            <w:shd w:val="clear" w:color="auto" w:fill="auto"/>
            <w:noWrap/>
            <w:hideMark/>
          </w:tcPr>
          <w:p w14:paraId="2F0481FB" w14:textId="77777777" w:rsidR="00746C94" w:rsidRPr="00591BFC" w:rsidRDefault="00746C94" w:rsidP="00E86771">
            <w:pPr>
              <w:spacing w:line="360" w:lineRule="auto"/>
            </w:pPr>
            <w:r w:rsidRPr="00591BFC">
              <w:t>2.32</w:t>
            </w:r>
          </w:p>
        </w:tc>
        <w:tc>
          <w:tcPr>
            <w:tcW w:w="1063" w:type="dxa"/>
            <w:shd w:val="clear" w:color="auto" w:fill="auto"/>
            <w:noWrap/>
            <w:hideMark/>
          </w:tcPr>
          <w:p w14:paraId="5AFB42CA" w14:textId="77777777" w:rsidR="00746C94" w:rsidRPr="00591BFC" w:rsidRDefault="00746C94" w:rsidP="00E86771">
            <w:pPr>
              <w:spacing w:line="360" w:lineRule="auto"/>
            </w:pPr>
            <w:r w:rsidRPr="00591BFC">
              <w:t>&lt;0.001</w:t>
            </w:r>
          </w:p>
        </w:tc>
      </w:tr>
      <w:tr w:rsidR="00746C94" w:rsidRPr="00591BFC" w14:paraId="6F0766F3" w14:textId="77777777" w:rsidTr="00FE3F68">
        <w:trPr>
          <w:trHeight w:val="330"/>
        </w:trPr>
        <w:tc>
          <w:tcPr>
            <w:tcW w:w="4016" w:type="dxa"/>
            <w:shd w:val="clear" w:color="auto" w:fill="auto"/>
            <w:noWrap/>
            <w:hideMark/>
          </w:tcPr>
          <w:p w14:paraId="0D68D0BC"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091C8129" w14:textId="77777777" w:rsidR="00746C94" w:rsidRPr="00591BFC" w:rsidRDefault="00746C94" w:rsidP="00E86771">
            <w:pPr>
              <w:spacing w:line="360" w:lineRule="auto"/>
            </w:pPr>
            <w:r w:rsidRPr="00591BFC">
              <w:t> </w:t>
            </w:r>
          </w:p>
        </w:tc>
        <w:tc>
          <w:tcPr>
            <w:tcW w:w="1320" w:type="dxa"/>
            <w:shd w:val="clear" w:color="auto" w:fill="auto"/>
            <w:noWrap/>
            <w:hideMark/>
          </w:tcPr>
          <w:p w14:paraId="2593B29A" w14:textId="77777777" w:rsidR="00746C94" w:rsidRPr="00591BFC" w:rsidRDefault="00746C94" w:rsidP="00E86771">
            <w:pPr>
              <w:spacing w:line="360" w:lineRule="auto"/>
            </w:pPr>
            <w:r w:rsidRPr="00591BFC">
              <w:t> </w:t>
            </w:r>
          </w:p>
        </w:tc>
        <w:tc>
          <w:tcPr>
            <w:tcW w:w="1320" w:type="dxa"/>
            <w:shd w:val="clear" w:color="auto" w:fill="auto"/>
            <w:noWrap/>
            <w:hideMark/>
          </w:tcPr>
          <w:p w14:paraId="2E3773F8" w14:textId="77777777" w:rsidR="00746C94" w:rsidRPr="00591BFC" w:rsidRDefault="00746C94" w:rsidP="00E86771">
            <w:pPr>
              <w:spacing w:line="360" w:lineRule="auto"/>
            </w:pPr>
            <w:r w:rsidRPr="00591BFC">
              <w:t> </w:t>
            </w:r>
          </w:p>
        </w:tc>
        <w:tc>
          <w:tcPr>
            <w:tcW w:w="1063" w:type="dxa"/>
            <w:shd w:val="clear" w:color="auto" w:fill="auto"/>
            <w:noWrap/>
            <w:hideMark/>
          </w:tcPr>
          <w:p w14:paraId="2068C983" w14:textId="77777777" w:rsidR="00746C94" w:rsidRPr="00591BFC" w:rsidRDefault="00746C94" w:rsidP="00E86771">
            <w:pPr>
              <w:spacing w:line="360" w:lineRule="auto"/>
            </w:pPr>
            <w:r w:rsidRPr="00591BFC">
              <w:t> </w:t>
            </w:r>
          </w:p>
        </w:tc>
      </w:tr>
      <w:tr w:rsidR="00746C94" w:rsidRPr="00591BFC" w14:paraId="12C34D29" w14:textId="77777777" w:rsidTr="00FE3F68">
        <w:trPr>
          <w:trHeight w:val="330"/>
        </w:trPr>
        <w:tc>
          <w:tcPr>
            <w:tcW w:w="4016" w:type="dxa"/>
            <w:shd w:val="clear" w:color="auto" w:fill="auto"/>
            <w:noWrap/>
            <w:hideMark/>
          </w:tcPr>
          <w:p w14:paraId="0A05799B"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0F16F692" w14:textId="77777777" w:rsidR="00746C94" w:rsidRPr="00591BFC" w:rsidRDefault="00746C94" w:rsidP="00E86771">
            <w:pPr>
              <w:spacing w:line="360" w:lineRule="auto"/>
            </w:pPr>
            <w:r w:rsidRPr="00591BFC">
              <w:t> </w:t>
            </w:r>
          </w:p>
        </w:tc>
        <w:tc>
          <w:tcPr>
            <w:tcW w:w="1320" w:type="dxa"/>
            <w:shd w:val="clear" w:color="auto" w:fill="auto"/>
            <w:noWrap/>
            <w:hideMark/>
          </w:tcPr>
          <w:p w14:paraId="7EFDE88C" w14:textId="77777777" w:rsidR="00746C94" w:rsidRPr="00591BFC" w:rsidRDefault="00746C94" w:rsidP="00E86771">
            <w:pPr>
              <w:spacing w:line="360" w:lineRule="auto"/>
            </w:pPr>
            <w:r w:rsidRPr="00591BFC">
              <w:t> </w:t>
            </w:r>
          </w:p>
        </w:tc>
        <w:tc>
          <w:tcPr>
            <w:tcW w:w="1320" w:type="dxa"/>
            <w:shd w:val="clear" w:color="auto" w:fill="auto"/>
            <w:noWrap/>
            <w:hideMark/>
          </w:tcPr>
          <w:p w14:paraId="6DCF34D3" w14:textId="77777777" w:rsidR="00746C94" w:rsidRPr="00591BFC" w:rsidRDefault="00746C94" w:rsidP="00E86771">
            <w:pPr>
              <w:spacing w:line="360" w:lineRule="auto"/>
            </w:pPr>
            <w:r w:rsidRPr="00591BFC">
              <w:t> </w:t>
            </w:r>
          </w:p>
        </w:tc>
        <w:tc>
          <w:tcPr>
            <w:tcW w:w="1063" w:type="dxa"/>
            <w:shd w:val="clear" w:color="auto" w:fill="auto"/>
            <w:noWrap/>
            <w:hideMark/>
          </w:tcPr>
          <w:p w14:paraId="412A6722" w14:textId="77777777" w:rsidR="00746C94" w:rsidRPr="00591BFC" w:rsidRDefault="00746C94" w:rsidP="00E86771">
            <w:pPr>
              <w:spacing w:line="360" w:lineRule="auto"/>
            </w:pPr>
            <w:r w:rsidRPr="00591BFC">
              <w:t> </w:t>
            </w:r>
          </w:p>
        </w:tc>
      </w:tr>
      <w:tr w:rsidR="00746C94" w:rsidRPr="00591BFC" w14:paraId="4FBB50FA" w14:textId="77777777" w:rsidTr="00FE3F68">
        <w:trPr>
          <w:trHeight w:val="330"/>
        </w:trPr>
        <w:tc>
          <w:tcPr>
            <w:tcW w:w="4016" w:type="dxa"/>
            <w:shd w:val="clear" w:color="auto" w:fill="auto"/>
            <w:noWrap/>
            <w:hideMark/>
          </w:tcPr>
          <w:p w14:paraId="6973CE25"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1AB860BF" w14:textId="77777777" w:rsidR="00746C94" w:rsidRPr="00591BFC" w:rsidRDefault="00746C94" w:rsidP="00E86771">
            <w:pPr>
              <w:spacing w:line="360" w:lineRule="auto"/>
            </w:pPr>
            <w:r w:rsidRPr="00591BFC">
              <w:t> </w:t>
            </w:r>
          </w:p>
        </w:tc>
        <w:tc>
          <w:tcPr>
            <w:tcW w:w="1320" w:type="dxa"/>
            <w:shd w:val="clear" w:color="auto" w:fill="auto"/>
            <w:noWrap/>
            <w:hideMark/>
          </w:tcPr>
          <w:p w14:paraId="2E644A2B" w14:textId="77777777" w:rsidR="00746C94" w:rsidRPr="00591BFC" w:rsidRDefault="00746C94" w:rsidP="00E86771">
            <w:pPr>
              <w:spacing w:line="360" w:lineRule="auto"/>
            </w:pPr>
            <w:r w:rsidRPr="00591BFC">
              <w:t> </w:t>
            </w:r>
          </w:p>
        </w:tc>
        <w:tc>
          <w:tcPr>
            <w:tcW w:w="1320" w:type="dxa"/>
            <w:shd w:val="clear" w:color="auto" w:fill="auto"/>
            <w:noWrap/>
            <w:hideMark/>
          </w:tcPr>
          <w:p w14:paraId="587E11BC" w14:textId="77777777" w:rsidR="00746C94" w:rsidRPr="00591BFC" w:rsidRDefault="00746C94" w:rsidP="00E86771">
            <w:pPr>
              <w:spacing w:line="360" w:lineRule="auto"/>
            </w:pPr>
            <w:r w:rsidRPr="00591BFC">
              <w:t> </w:t>
            </w:r>
          </w:p>
        </w:tc>
        <w:tc>
          <w:tcPr>
            <w:tcW w:w="1063" w:type="dxa"/>
            <w:shd w:val="clear" w:color="auto" w:fill="auto"/>
            <w:noWrap/>
            <w:hideMark/>
          </w:tcPr>
          <w:p w14:paraId="777B4963" w14:textId="77777777" w:rsidR="00746C94" w:rsidRPr="00591BFC" w:rsidRDefault="00746C94" w:rsidP="00E86771">
            <w:pPr>
              <w:spacing w:line="360" w:lineRule="auto"/>
            </w:pPr>
            <w:r w:rsidRPr="00591BFC">
              <w:t> </w:t>
            </w:r>
          </w:p>
        </w:tc>
      </w:tr>
      <w:tr w:rsidR="00746C94" w:rsidRPr="00591BFC" w14:paraId="35E90D59" w14:textId="77777777" w:rsidTr="00FE3F68">
        <w:trPr>
          <w:trHeight w:val="330"/>
        </w:trPr>
        <w:tc>
          <w:tcPr>
            <w:tcW w:w="4016" w:type="dxa"/>
            <w:shd w:val="clear" w:color="auto" w:fill="auto"/>
            <w:noWrap/>
            <w:hideMark/>
          </w:tcPr>
          <w:p w14:paraId="601E63F4"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08ED7F61" w14:textId="77777777" w:rsidR="00746C94" w:rsidRPr="00591BFC" w:rsidRDefault="00746C94" w:rsidP="00E86771">
            <w:pPr>
              <w:spacing w:line="360" w:lineRule="auto"/>
            </w:pPr>
            <w:r w:rsidRPr="00591BFC">
              <w:t> </w:t>
            </w:r>
          </w:p>
        </w:tc>
        <w:tc>
          <w:tcPr>
            <w:tcW w:w="1320" w:type="dxa"/>
            <w:shd w:val="clear" w:color="auto" w:fill="auto"/>
            <w:noWrap/>
            <w:hideMark/>
          </w:tcPr>
          <w:p w14:paraId="1A3C69C2" w14:textId="77777777" w:rsidR="00746C94" w:rsidRPr="00591BFC" w:rsidRDefault="00746C94" w:rsidP="00E86771">
            <w:pPr>
              <w:spacing w:line="360" w:lineRule="auto"/>
            </w:pPr>
            <w:r w:rsidRPr="00591BFC">
              <w:t> </w:t>
            </w:r>
          </w:p>
        </w:tc>
        <w:tc>
          <w:tcPr>
            <w:tcW w:w="1320" w:type="dxa"/>
            <w:shd w:val="clear" w:color="auto" w:fill="auto"/>
            <w:noWrap/>
            <w:hideMark/>
          </w:tcPr>
          <w:p w14:paraId="1AB1EFD3" w14:textId="77777777" w:rsidR="00746C94" w:rsidRPr="00591BFC" w:rsidRDefault="00746C94" w:rsidP="00E86771">
            <w:pPr>
              <w:spacing w:line="360" w:lineRule="auto"/>
            </w:pPr>
            <w:r w:rsidRPr="00591BFC">
              <w:t> </w:t>
            </w:r>
          </w:p>
        </w:tc>
        <w:tc>
          <w:tcPr>
            <w:tcW w:w="1063" w:type="dxa"/>
            <w:shd w:val="clear" w:color="auto" w:fill="auto"/>
            <w:noWrap/>
            <w:hideMark/>
          </w:tcPr>
          <w:p w14:paraId="374A3BE8" w14:textId="77777777" w:rsidR="00746C94" w:rsidRPr="00591BFC" w:rsidRDefault="00746C94" w:rsidP="00E86771">
            <w:pPr>
              <w:spacing w:line="360" w:lineRule="auto"/>
            </w:pPr>
            <w:r w:rsidRPr="00591BFC">
              <w:t> </w:t>
            </w:r>
          </w:p>
        </w:tc>
      </w:tr>
      <w:tr w:rsidR="00746C94" w:rsidRPr="00591BFC" w14:paraId="4097C0BD" w14:textId="77777777" w:rsidTr="00FE3F68">
        <w:trPr>
          <w:trHeight w:val="330"/>
        </w:trPr>
        <w:tc>
          <w:tcPr>
            <w:tcW w:w="4016" w:type="dxa"/>
            <w:shd w:val="clear" w:color="auto" w:fill="auto"/>
            <w:noWrap/>
            <w:hideMark/>
          </w:tcPr>
          <w:p w14:paraId="48B1CF8C"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6873FAE2" w14:textId="77777777" w:rsidR="00746C94" w:rsidRPr="00591BFC" w:rsidRDefault="00746C94" w:rsidP="00E86771">
            <w:pPr>
              <w:spacing w:line="360" w:lineRule="auto"/>
            </w:pPr>
            <w:r w:rsidRPr="00591BFC">
              <w:t> </w:t>
            </w:r>
          </w:p>
        </w:tc>
        <w:tc>
          <w:tcPr>
            <w:tcW w:w="1320" w:type="dxa"/>
            <w:shd w:val="clear" w:color="auto" w:fill="auto"/>
            <w:noWrap/>
            <w:hideMark/>
          </w:tcPr>
          <w:p w14:paraId="446CA5D0" w14:textId="77777777" w:rsidR="00746C94" w:rsidRPr="00591BFC" w:rsidRDefault="00746C94" w:rsidP="00E86771">
            <w:pPr>
              <w:spacing w:line="360" w:lineRule="auto"/>
            </w:pPr>
            <w:r w:rsidRPr="00591BFC">
              <w:t> </w:t>
            </w:r>
          </w:p>
        </w:tc>
        <w:tc>
          <w:tcPr>
            <w:tcW w:w="1320" w:type="dxa"/>
            <w:shd w:val="clear" w:color="auto" w:fill="auto"/>
            <w:noWrap/>
            <w:hideMark/>
          </w:tcPr>
          <w:p w14:paraId="1722041E" w14:textId="77777777" w:rsidR="00746C94" w:rsidRPr="00591BFC" w:rsidRDefault="00746C94" w:rsidP="00E86771">
            <w:pPr>
              <w:spacing w:line="360" w:lineRule="auto"/>
            </w:pPr>
            <w:r w:rsidRPr="00591BFC">
              <w:t> </w:t>
            </w:r>
          </w:p>
        </w:tc>
        <w:tc>
          <w:tcPr>
            <w:tcW w:w="1063" w:type="dxa"/>
            <w:shd w:val="clear" w:color="auto" w:fill="auto"/>
            <w:noWrap/>
            <w:hideMark/>
          </w:tcPr>
          <w:p w14:paraId="0F04A76D" w14:textId="77777777" w:rsidR="00746C94" w:rsidRPr="00591BFC" w:rsidRDefault="00746C94" w:rsidP="00E86771">
            <w:pPr>
              <w:spacing w:line="360" w:lineRule="auto"/>
            </w:pPr>
            <w:r w:rsidRPr="00591BFC">
              <w:t> </w:t>
            </w:r>
          </w:p>
        </w:tc>
      </w:tr>
      <w:tr w:rsidR="00746C94" w:rsidRPr="00591BFC" w14:paraId="2F84E835" w14:textId="77777777" w:rsidTr="00FE3F68">
        <w:trPr>
          <w:trHeight w:val="330"/>
        </w:trPr>
        <w:tc>
          <w:tcPr>
            <w:tcW w:w="4016" w:type="dxa"/>
            <w:shd w:val="clear" w:color="auto" w:fill="auto"/>
            <w:noWrap/>
            <w:hideMark/>
          </w:tcPr>
          <w:p w14:paraId="18C9D8B9"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128BDE51" w14:textId="77777777" w:rsidR="00746C94" w:rsidRPr="00591BFC" w:rsidRDefault="00746C94" w:rsidP="00E86771">
            <w:pPr>
              <w:spacing w:line="360" w:lineRule="auto"/>
            </w:pPr>
            <w:r w:rsidRPr="00591BFC">
              <w:t> </w:t>
            </w:r>
          </w:p>
        </w:tc>
        <w:tc>
          <w:tcPr>
            <w:tcW w:w="1320" w:type="dxa"/>
            <w:shd w:val="clear" w:color="auto" w:fill="auto"/>
            <w:noWrap/>
            <w:hideMark/>
          </w:tcPr>
          <w:p w14:paraId="1ADC8A3E" w14:textId="77777777" w:rsidR="00746C94" w:rsidRPr="00591BFC" w:rsidRDefault="00746C94" w:rsidP="00E86771">
            <w:pPr>
              <w:spacing w:line="360" w:lineRule="auto"/>
            </w:pPr>
            <w:r w:rsidRPr="00591BFC">
              <w:t> </w:t>
            </w:r>
          </w:p>
        </w:tc>
        <w:tc>
          <w:tcPr>
            <w:tcW w:w="1320" w:type="dxa"/>
            <w:shd w:val="clear" w:color="auto" w:fill="auto"/>
            <w:noWrap/>
            <w:hideMark/>
          </w:tcPr>
          <w:p w14:paraId="19B02493" w14:textId="77777777" w:rsidR="00746C94" w:rsidRPr="00591BFC" w:rsidRDefault="00746C94" w:rsidP="00E86771">
            <w:pPr>
              <w:spacing w:line="360" w:lineRule="auto"/>
            </w:pPr>
            <w:r w:rsidRPr="00591BFC">
              <w:t> </w:t>
            </w:r>
          </w:p>
        </w:tc>
        <w:tc>
          <w:tcPr>
            <w:tcW w:w="1063" w:type="dxa"/>
            <w:shd w:val="clear" w:color="auto" w:fill="auto"/>
            <w:noWrap/>
            <w:hideMark/>
          </w:tcPr>
          <w:p w14:paraId="1577C9C9" w14:textId="77777777" w:rsidR="00746C94" w:rsidRPr="00591BFC" w:rsidRDefault="00746C94" w:rsidP="00E86771">
            <w:pPr>
              <w:spacing w:line="360" w:lineRule="auto"/>
            </w:pPr>
            <w:r w:rsidRPr="00591BFC">
              <w:t> </w:t>
            </w:r>
          </w:p>
        </w:tc>
      </w:tr>
      <w:tr w:rsidR="00746C94" w:rsidRPr="00591BFC" w14:paraId="1EF765D6" w14:textId="77777777" w:rsidTr="00FE3F68">
        <w:trPr>
          <w:trHeight w:val="300"/>
        </w:trPr>
        <w:tc>
          <w:tcPr>
            <w:tcW w:w="4016" w:type="dxa"/>
            <w:shd w:val="clear" w:color="auto" w:fill="auto"/>
            <w:noWrap/>
            <w:hideMark/>
          </w:tcPr>
          <w:p w14:paraId="18CCF7F9"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0A51C036" w14:textId="77777777" w:rsidR="00746C94" w:rsidRPr="00591BFC" w:rsidRDefault="00746C94" w:rsidP="00E86771">
            <w:pPr>
              <w:spacing w:line="360" w:lineRule="auto"/>
            </w:pPr>
            <w:r w:rsidRPr="00591BFC">
              <w:t> </w:t>
            </w:r>
          </w:p>
        </w:tc>
        <w:tc>
          <w:tcPr>
            <w:tcW w:w="1320" w:type="dxa"/>
            <w:shd w:val="clear" w:color="auto" w:fill="auto"/>
            <w:noWrap/>
            <w:hideMark/>
          </w:tcPr>
          <w:p w14:paraId="7D47864B" w14:textId="77777777" w:rsidR="00746C94" w:rsidRPr="00591BFC" w:rsidRDefault="00746C94" w:rsidP="00E86771">
            <w:pPr>
              <w:spacing w:line="360" w:lineRule="auto"/>
            </w:pPr>
            <w:r w:rsidRPr="00591BFC">
              <w:t> </w:t>
            </w:r>
          </w:p>
        </w:tc>
        <w:tc>
          <w:tcPr>
            <w:tcW w:w="1320" w:type="dxa"/>
            <w:shd w:val="clear" w:color="auto" w:fill="auto"/>
            <w:noWrap/>
            <w:hideMark/>
          </w:tcPr>
          <w:p w14:paraId="3BF7F1AB" w14:textId="77777777" w:rsidR="00746C94" w:rsidRPr="00591BFC" w:rsidRDefault="00746C94" w:rsidP="00E86771">
            <w:pPr>
              <w:spacing w:line="360" w:lineRule="auto"/>
            </w:pPr>
            <w:r w:rsidRPr="00591BFC">
              <w:t> </w:t>
            </w:r>
          </w:p>
        </w:tc>
        <w:tc>
          <w:tcPr>
            <w:tcW w:w="1063" w:type="dxa"/>
            <w:shd w:val="clear" w:color="auto" w:fill="auto"/>
            <w:noWrap/>
            <w:hideMark/>
          </w:tcPr>
          <w:p w14:paraId="31FF01DE" w14:textId="77777777" w:rsidR="00746C94" w:rsidRPr="00591BFC" w:rsidRDefault="00746C94" w:rsidP="00E86771">
            <w:pPr>
              <w:spacing w:line="360" w:lineRule="auto"/>
            </w:pPr>
            <w:r w:rsidRPr="00591BFC">
              <w:t> </w:t>
            </w:r>
          </w:p>
        </w:tc>
      </w:tr>
      <w:tr w:rsidR="005512D2" w:rsidRPr="00591BFC" w14:paraId="061E24B6" w14:textId="77777777" w:rsidTr="00FE3F68">
        <w:trPr>
          <w:trHeight w:val="300"/>
        </w:trPr>
        <w:tc>
          <w:tcPr>
            <w:tcW w:w="4016" w:type="dxa"/>
            <w:shd w:val="clear" w:color="auto" w:fill="auto"/>
            <w:noWrap/>
          </w:tcPr>
          <w:p w14:paraId="140A8176" w14:textId="77777777" w:rsidR="005512D2" w:rsidRPr="00591BFC" w:rsidRDefault="005512D2" w:rsidP="00E86771">
            <w:pPr>
              <w:spacing w:line="360" w:lineRule="auto"/>
              <w:rPr>
                <w:u w:val="single"/>
              </w:rPr>
            </w:pPr>
            <w:r w:rsidRPr="00591BFC">
              <w:rPr>
                <w:u w:val="single"/>
              </w:rPr>
              <w:t>mortality (30 days)</w:t>
            </w:r>
          </w:p>
        </w:tc>
        <w:tc>
          <w:tcPr>
            <w:tcW w:w="1320" w:type="dxa"/>
            <w:noWrap/>
          </w:tcPr>
          <w:p w14:paraId="7215409D" w14:textId="77777777" w:rsidR="005512D2" w:rsidRPr="00591BFC" w:rsidRDefault="005512D2" w:rsidP="00E86771">
            <w:pPr>
              <w:spacing w:line="360" w:lineRule="auto"/>
            </w:pPr>
          </w:p>
        </w:tc>
        <w:tc>
          <w:tcPr>
            <w:tcW w:w="1320" w:type="dxa"/>
            <w:shd w:val="clear" w:color="auto" w:fill="auto"/>
            <w:noWrap/>
          </w:tcPr>
          <w:p w14:paraId="345CC271" w14:textId="77777777" w:rsidR="005512D2" w:rsidRPr="00591BFC" w:rsidRDefault="005512D2" w:rsidP="00E86771">
            <w:pPr>
              <w:spacing w:line="360" w:lineRule="auto"/>
            </w:pPr>
          </w:p>
        </w:tc>
        <w:tc>
          <w:tcPr>
            <w:tcW w:w="1320" w:type="dxa"/>
            <w:shd w:val="clear" w:color="auto" w:fill="auto"/>
            <w:noWrap/>
          </w:tcPr>
          <w:p w14:paraId="659C492F" w14:textId="77777777" w:rsidR="005512D2" w:rsidRPr="00591BFC" w:rsidRDefault="005512D2" w:rsidP="00E86771">
            <w:pPr>
              <w:spacing w:line="360" w:lineRule="auto"/>
            </w:pPr>
          </w:p>
        </w:tc>
        <w:tc>
          <w:tcPr>
            <w:tcW w:w="1063" w:type="dxa"/>
            <w:shd w:val="clear" w:color="auto" w:fill="auto"/>
            <w:noWrap/>
          </w:tcPr>
          <w:p w14:paraId="37B06BA3" w14:textId="77777777" w:rsidR="005512D2" w:rsidRPr="00591BFC" w:rsidRDefault="005512D2" w:rsidP="00E86771">
            <w:pPr>
              <w:spacing w:line="360" w:lineRule="auto"/>
            </w:pPr>
          </w:p>
        </w:tc>
      </w:tr>
      <w:tr w:rsidR="005512D2" w:rsidRPr="00591BFC" w14:paraId="09809CD6" w14:textId="77777777" w:rsidTr="00FE3F68">
        <w:trPr>
          <w:trHeight w:val="315"/>
        </w:trPr>
        <w:tc>
          <w:tcPr>
            <w:tcW w:w="4016" w:type="dxa"/>
            <w:shd w:val="clear" w:color="auto" w:fill="auto"/>
            <w:hideMark/>
          </w:tcPr>
          <w:p w14:paraId="4D72FB16" w14:textId="77777777" w:rsidR="005512D2" w:rsidRPr="00591BFC" w:rsidRDefault="005512D2" w:rsidP="00E86771">
            <w:pPr>
              <w:spacing w:line="360" w:lineRule="auto"/>
            </w:pPr>
            <w:r w:rsidRPr="00591BFC">
              <w:t>Intercept (β</w:t>
            </w:r>
            <w:r w:rsidRPr="00591BFC">
              <w:rPr>
                <w:vertAlign w:val="subscript"/>
              </w:rPr>
              <w:t>0</w:t>
            </w:r>
            <w:r w:rsidRPr="00591BFC">
              <w:t>)</w:t>
            </w:r>
          </w:p>
        </w:tc>
        <w:tc>
          <w:tcPr>
            <w:tcW w:w="1320" w:type="dxa"/>
            <w:shd w:val="clear" w:color="auto" w:fill="auto"/>
            <w:hideMark/>
          </w:tcPr>
          <w:p w14:paraId="4F1751D5" w14:textId="77777777" w:rsidR="005512D2" w:rsidRPr="00591BFC" w:rsidRDefault="005512D2" w:rsidP="00E86771">
            <w:pPr>
              <w:spacing w:line="360" w:lineRule="auto"/>
            </w:pPr>
            <w:r w:rsidRPr="00591BFC">
              <w:t>7.30</w:t>
            </w:r>
          </w:p>
        </w:tc>
        <w:tc>
          <w:tcPr>
            <w:tcW w:w="1320" w:type="dxa"/>
            <w:shd w:val="clear" w:color="auto" w:fill="auto"/>
            <w:hideMark/>
          </w:tcPr>
          <w:p w14:paraId="4CAB4639" w14:textId="77777777" w:rsidR="005512D2" w:rsidRPr="00591BFC" w:rsidRDefault="005512D2" w:rsidP="00E86771">
            <w:pPr>
              <w:spacing w:line="360" w:lineRule="auto"/>
            </w:pPr>
            <w:r w:rsidRPr="00591BFC">
              <w:t>6.74</w:t>
            </w:r>
          </w:p>
        </w:tc>
        <w:tc>
          <w:tcPr>
            <w:tcW w:w="1320" w:type="dxa"/>
            <w:shd w:val="clear" w:color="auto" w:fill="auto"/>
            <w:hideMark/>
          </w:tcPr>
          <w:p w14:paraId="61B1DD7C" w14:textId="77777777" w:rsidR="005512D2" w:rsidRPr="00591BFC" w:rsidRDefault="005512D2" w:rsidP="00E86771">
            <w:pPr>
              <w:spacing w:line="360" w:lineRule="auto"/>
            </w:pPr>
            <w:r w:rsidRPr="00591BFC">
              <w:t>7.85</w:t>
            </w:r>
          </w:p>
        </w:tc>
        <w:tc>
          <w:tcPr>
            <w:tcW w:w="1063" w:type="dxa"/>
            <w:shd w:val="clear" w:color="auto" w:fill="auto"/>
            <w:hideMark/>
          </w:tcPr>
          <w:p w14:paraId="7F8AC3A5" w14:textId="77777777" w:rsidR="005512D2" w:rsidRPr="00591BFC" w:rsidRDefault="005512D2" w:rsidP="00E86771">
            <w:pPr>
              <w:spacing w:line="360" w:lineRule="auto"/>
            </w:pPr>
            <w:r w:rsidRPr="00591BFC">
              <w:t>&lt;0.001</w:t>
            </w:r>
          </w:p>
        </w:tc>
      </w:tr>
      <w:tr w:rsidR="005512D2" w:rsidRPr="00591BFC" w14:paraId="2ADA09C1" w14:textId="77777777" w:rsidTr="00FE3F68">
        <w:trPr>
          <w:trHeight w:val="330"/>
        </w:trPr>
        <w:tc>
          <w:tcPr>
            <w:tcW w:w="4016" w:type="dxa"/>
            <w:shd w:val="clear" w:color="auto" w:fill="auto"/>
            <w:noWrap/>
            <w:hideMark/>
          </w:tcPr>
          <w:p w14:paraId="260D7604" w14:textId="77777777" w:rsidR="005512D2" w:rsidRPr="00591BFC" w:rsidRDefault="005512D2"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6D753ABC" w14:textId="77777777" w:rsidR="005512D2" w:rsidRPr="00591BFC" w:rsidRDefault="005512D2" w:rsidP="00E86771">
            <w:pPr>
              <w:spacing w:line="360" w:lineRule="auto"/>
            </w:pPr>
            <w:r w:rsidRPr="00591BFC">
              <w:t> </w:t>
            </w:r>
          </w:p>
        </w:tc>
        <w:tc>
          <w:tcPr>
            <w:tcW w:w="1320" w:type="dxa"/>
            <w:shd w:val="clear" w:color="auto" w:fill="auto"/>
            <w:noWrap/>
            <w:hideMark/>
          </w:tcPr>
          <w:p w14:paraId="455B42D8" w14:textId="77777777" w:rsidR="005512D2" w:rsidRPr="00591BFC" w:rsidRDefault="005512D2" w:rsidP="00E86771">
            <w:pPr>
              <w:spacing w:line="360" w:lineRule="auto"/>
            </w:pPr>
            <w:r w:rsidRPr="00591BFC">
              <w:t> </w:t>
            </w:r>
          </w:p>
        </w:tc>
        <w:tc>
          <w:tcPr>
            <w:tcW w:w="1320" w:type="dxa"/>
            <w:shd w:val="clear" w:color="auto" w:fill="auto"/>
            <w:noWrap/>
            <w:hideMark/>
          </w:tcPr>
          <w:p w14:paraId="59203EBF" w14:textId="77777777" w:rsidR="005512D2" w:rsidRPr="00591BFC" w:rsidRDefault="005512D2" w:rsidP="00E86771">
            <w:pPr>
              <w:spacing w:line="360" w:lineRule="auto"/>
            </w:pPr>
            <w:r w:rsidRPr="00591BFC">
              <w:t> </w:t>
            </w:r>
          </w:p>
        </w:tc>
        <w:tc>
          <w:tcPr>
            <w:tcW w:w="1063" w:type="dxa"/>
            <w:shd w:val="clear" w:color="auto" w:fill="auto"/>
            <w:noWrap/>
            <w:hideMark/>
          </w:tcPr>
          <w:p w14:paraId="4513FCE7" w14:textId="77777777" w:rsidR="005512D2" w:rsidRPr="00591BFC" w:rsidRDefault="005512D2" w:rsidP="00E86771">
            <w:pPr>
              <w:spacing w:line="360" w:lineRule="auto"/>
            </w:pPr>
            <w:r w:rsidRPr="00591BFC">
              <w:t> </w:t>
            </w:r>
          </w:p>
        </w:tc>
      </w:tr>
      <w:tr w:rsidR="005512D2" w:rsidRPr="00591BFC" w14:paraId="007112B4" w14:textId="77777777" w:rsidTr="00FE3F68">
        <w:trPr>
          <w:trHeight w:val="330"/>
        </w:trPr>
        <w:tc>
          <w:tcPr>
            <w:tcW w:w="4016" w:type="dxa"/>
            <w:shd w:val="clear" w:color="auto" w:fill="auto"/>
            <w:noWrap/>
            <w:hideMark/>
          </w:tcPr>
          <w:p w14:paraId="09B4F0CE" w14:textId="77777777" w:rsidR="005512D2" w:rsidRPr="00591BFC" w:rsidRDefault="005512D2"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7D86D172" w14:textId="77777777" w:rsidR="005512D2" w:rsidRPr="00591BFC" w:rsidRDefault="005512D2" w:rsidP="00E86771">
            <w:pPr>
              <w:spacing w:line="360" w:lineRule="auto"/>
            </w:pPr>
            <w:r w:rsidRPr="00591BFC">
              <w:t> </w:t>
            </w:r>
          </w:p>
        </w:tc>
        <w:tc>
          <w:tcPr>
            <w:tcW w:w="1320" w:type="dxa"/>
            <w:shd w:val="clear" w:color="auto" w:fill="auto"/>
            <w:noWrap/>
            <w:hideMark/>
          </w:tcPr>
          <w:p w14:paraId="381DEE9C" w14:textId="77777777" w:rsidR="005512D2" w:rsidRPr="00591BFC" w:rsidRDefault="005512D2" w:rsidP="00E86771">
            <w:pPr>
              <w:spacing w:line="360" w:lineRule="auto"/>
            </w:pPr>
            <w:r w:rsidRPr="00591BFC">
              <w:t> </w:t>
            </w:r>
          </w:p>
        </w:tc>
        <w:tc>
          <w:tcPr>
            <w:tcW w:w="1320" w:type="dxa"/>
            <w:shd w:val="clear" w:color="auto" w:fill="auto"/>
            <w:noWrap/>
            <w:hideMark/>
          </w:tcPr>
          <w:p w14:paraId="6F57BB99" w14:textId="77777777" w:rsidR="005512D2" w:rsidRPr="00591BFC" w:rsidRDefault="005512D2" w:rsidP="00E86771">
            <w:pPr>
              <w:spacing w:line="360" w:lineRule="auto"/>
            </w:pPr>
            <w:r w:rsidRPr="00591BFC">
              <w:t> </w:t>
            </w:r>
          </w:p>
        </w:tc>
        <w:tc>
          <w:tcPr>
            <w:tcW w:w="1063" w:type="dxa"/>
            <w:shd w:val="clear" w:color="auto" w:fill="auto"/>
            <w:noWrap/>
            <w:hideMark/>
          </w:tcPr>
          <w:p w14:paraId="13C4D020" w14:textId="77777777" w:rsidR="005512D2" w:rsidRPr="00591BFC" w:rsidRDefault="005512D2" w:rsidP="00E86771">
            <w:pPr>
              <w:spacing w:line="360" w:lineRule="auto"/>
            </w:pPr>
            <w:r w:rsidRPr="00591BFC">
              <w:t> </w:t>
            </w:r>
          </w:p>
        </w:tc>
      </w:tr>
      <w:tr w:rsidR="005512D2" w:rsidRPr="00591BFC" w14:paraId="71CF1020" w14:textId="77777777" w:rsidTr="00FE3F68">
        <w:trPr>
          <w:trHeight w:val="330"/>
        </w:trPr>
        <w:tc>
          <w:tcPr>
            <w:tcW w:w="4016" w:type="dxa"/>
            <w:shd w:val="clear" w:color="auto" w:fill="auto"/>
            <w:noWrap/>
            <w:hideMark/>
          </w:tcPr>
          <w:p w14:paraId="0CE723EA" w14:textId="77777777" w:rsidR="005512D2" w:rsidRPr="00591BFC" w:rsidRDefault="005512D2"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1A59750B" w14:textId="77777777" w:rsidR="005512D2" w:rsidRPr="00591BFC" w:rsidRDefault="005512D2" w:rsidP="00E86771">
            <w:pPr>
              <w:spacing w:line="360" w:lineRule="auto"/>
            </w:pPr>
            <w:r w:rsidRPr="00591BFC">
              <w:t> </w:t>
            </w:r>
          </w:p>
        </w:tc>
        <w:tc>
          <w:tcPr>
            <w:tcW w:w="1320" w:type="dxa"/>
            <w:shd w:val="clear" w:color="auto" w:fill="auto"/>
            <w:noWrap/>
            <w:hideMark/>
          </w:tcPr>
          <w:p w14:paraId="74EBEC57" w14:textId="77777777" w:rsidR="005512D2" w:rsidRPr="00591BFC" w:rsidRDefault="005512D2" w:rsidP="00E86771">
            <w:pPr>
              <w:spacing w:line="360" w:lineRule="auto"/>
            </w:pPr>
            <w:r w:rsidRPr="00591BFC">
              <w:t> </w:t>
            </w:r>
          </w:p>
        </w:tc>
        <w:tc>
          <w:tcPr>
            <w:tcW w:w="1320" w:type="dxa"/>
            <w:shd w:val="clear" w:color="auto" w:fill="auto"/>
            <w:noWrap/>
            <w:hideMark/>
          </w:tcPr>
          <w:p w14:paraId="19D6B6CA" w14:textId="77777777" w:rsidR="005512D2" w:rsidRPr="00591BFC" w:rsidRDefault="005512D2" w:rsidP="00E86771">
            <w:pPr>
              <w:spacing w:line="360" w:lineRule="auto"/>
            </w:pPr>
            <w:r w:rsidRPr="00591BFC">
              <w:t> </w:t>
            </w:r>
          </w:p>
        </w:tc>
        <w:tc>
          <w:tcPr>
            <w:tcW w:w="1063" w:type="dxa"/>
            <w:shd w:val="clear" w:color="auto" w:fill="auto"/>
            <w:noWrap/>
            <w:hideMark/>
          </w:tcPr>
          <w:p w14:paraId="5D2F11E9" w14:textId="77777777" w:rsidR="005512D2" w:rsidRPr="00591BFC" w:rsidRDefault="005512D2" w:rsidP="00E86771">
            <w:pPr>
              <w:spacing w:line="360" w:lineRule="auto"/>
            </w:pPr>
            <w:r w:rsidRPr="00591BFC">
              <w:t> </w:t>
            </w:r>
          </w:p>
        </w:tc>
      </w:tr>
      <w:tr w:rsidR="005512D2" w:rsidRPr="00591BFC" w14:paraId="5D7133E5" w14:textId="77777777" w:rsidTr="00FE3F68">
        <w:trPr>
          <w:trHeight w:val="330"/>
        </w:trPr>
        <w:tc>
          <w:tcPr>
            <w:tcW w:w="4016" w:type="dxa"/>
            <w:shd w:val="clear" w:color="auto" w:fill="auto"/>
            <w:noWrap/>
            <w:hideMark/>
          </w:tcPr>
          <w:p w14:paraId="2FAA9ED3" w14:textId="77777777" w:rsidR="005512D2" w:rsidRPr="00591BFC" w:rsidRDefault="005512D2"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3F9BE097" w14:textId="77777777" w:rsidR="005512D2" w:rsidRPr="00591BFC" w:rsidRDefault="005512D2" w:rsidP="00E86771">
            <w:pPr>
              <w:spacing w:line="360" w:lineRule="auto"/>
            </w:pPr>
            <w:r w:rsidRPr="00591BFC">
              <w:t>-2.81</w:t>
            </w:r>
          </w:p>
        </w:tc>
        <w:tc>
          <w:tcPr>
            <w:tcW w:w="1320" w:type="dxa"/>
            <w:shd w:val="clear" w:color="auto" w:fill="auto"/>
            <w:noWrap/>
            <w:hideMark/>
          </w:tcPr>
          <w:p w14:paraId="5A03D5D3" w14:textId="77777777" w:rsidR="005512D2" w:rsidRPr="00591BFC" w:rsidRDefault="005512D2" w:rsidP="00E86771">
            <w:pPr>
              <w:spacing w:line="360" w:lineRule="auto"/>
            </w:pPr>
            <w:r w:rsidRPr="00591BFC">
              <w:t>-3.73</w:t>
            </w:r>
          </w:p>
        </w:tc>
        <w:tc>
          <w:tcPr>
            <w:tcW w:w="1320" w:type="dxa"/>
            <w:shd w:val="clear" w:color="auto" w:fill="auto"/>
            <w:noWrap/>
            <w:hideMark/>
          </w:tcPr>
          <w:p w14:paraId="602ED8BE" w14:textId="77777777" w:rsidR="005512D2" w:rsidRPr="00591BFC" w:rsidRDefault="005512D2" w:rsidP="00E86771">
            <w:pPr>
              <w:spacing w:line="360" w:lineRule="auto"/>
            </w:pPr>
            <w:r w:rsidRPr="00591BFC">
              <w:t>-1.85</w:t>
            </w:r>
          </w:p>
        </w:tc>
        <w:tc>
          <w:tcPr>
            <w:tcW w:w="1063" w:type="dxa"/>
            <w:shd w:val="clear" w:color="auto" w:fill="auto"/>
            <w:noWrap/>
            <w:hideMark/>
          </w:tcPr>
          <w:p w14:paraId="003DC9BE" w14:textId="77777777" w:rsidR="005512D2" w:rsidRPr="00591BFC" w:rsidRDefault="005512D2" w:rsidP="00E86771">
            <w:pPr>
              <w:spacing w:line="360" w:lineRule="auto"/>
            </w:pPr>
            <w:r w:rsidRPr="00591BFC">
              <w:t>&lt;0.001</w:t>
            </w:r>
          </w:p>
        </w:tc>
      </w:tr>
      <w:tr w:rsidR="005512D2" w:rsidRPr="00591BFC" w14:paraId="56D269AF" w14:textId="77777777" w:rsidTr="00FE3F68">
        <w:trPr>
          <w:trHeight w:val="330"/>
        </w:trPr>
        <w:tc>
          <w:tcPr>
            <w:tcW w:w="4016" w:type="dxa"/>
            <w:shd w:val="clear" w:color="auto" w:fill="auto"/>
            <w:noWrap/>
            <w:hideMark/>
          </w:tcPr>
          <w:p w14:paraId="5AE0C909" w14:textId="77777777" w:rsidR="005512D2" w:rsidRPr="00591BFC" w:rsidRDefault="005512D2" w:rsidP="00E86771">
            <w:pPr>
              <w:spacing w:line="360" w:lineRule="auto"/>
            </w:pPr>
            <w:r w:rsidRPr="00591BFC">
              <w:lastRenderedPageBreak/>
              <w:t>Trend change after intervention 3+4 (β</w:t>
            </w:r>
            <w:r w:rsidRPr="00591BFC">
              <w:rPr>
                <w:vertAlign w:val="subscript"/>
              </w:rPr>
              <w:t>5</w:t>
            </w:r>
            <w:r w:rsidRPr="00591BFC">
              <w:t>)</w:t>
            </w:r>
          </w:p>
        </w:tc>
        <w:tc>
          <w:tcPr>
            <w:tcW w:w="1320" w:type="dxa"/>
            <w:shd w:val="clear" w:color="auto" w:fill="auto"/>
            <w:noWrap/>
            <w:hideMark/>
          </w:tcPr>
          <w:p w14:paraId="7C8D3542" w14:textId="77777777" w:rsidR="005512D2" w:rsidRPr="00591BFC" w:rsidRDefault="005512D2" w:rsidP="00E86771">
            <w:pPr>
              <w:spacing w:line="360" w:lineRule="auto"/>
            </w:pPr>
            <w:r w:rsidRPr="00591BFC">
              <w:t> </w:t>
            </w:r>
          </w:p>
        </w:tc>
        <w:tc>
          <w:tcPr>
            <w:tcW w:w="1320" w:type="dxa"/>
            <w:shd w:val="clear" w:color="auto" w:fill="auto"/>
            <w:noWrap/>
            <w:hideMark/>
          </w:tcPr>
          <w:p w14:paraId="504120C2" w14:textId="77777777" w:rsidR="005512D2" w:rsidRPr="00591BFC" w:rsidRDefault="005512D2" w:rsidP="00E86771">
            <w:pPr>
              <w:spacing w:line="360" w:lineRule="auto"/>
            </w:pPr>
            <w:r w:rsidRPr="00591BFC">
              <w:t> </w:t>
            </w:r>
          </w:p>
        </w:tc>
        <w:tc>
          <w:tcPr>
            <w:tcW w:w="1320" w:type="dxa"/>
            <w:shd w:val="clear" w:color="auto" w:fill="auto"/>
            <w:noWrap/>
            <w:hideMark/>
          </w:tcPr>
          <w:p w14:paraId="6D928F03" w14:textId="77777777" w:rsidR="005512D2" w:rsidRPr="00591BFC" w:rsidRDefault="005512D2" w:rsidP="00E86771">
            <w:pPr>
              <w:spacing w:line="360" w:lineRule="auto"/>
            </w:pPr>
            <w:r w:rsidRPr="00591BFC">
              <w:t> </w:t>
            </w:r>
          </w:p>
        </w:tc>
        <w:tc>
          <w:tcPr>
            <w:tcW w:w="1063" w:type="dxa"/>
            <w:shd w:val="clear" w:color="auto" w:fill="auto"/>
            <w:noWrap/>
            <w:hideMark/>
          </w:tcPr>
          <w:p w14:paraId="2A854C72" w14:textId="77777777" w:rsidR="005512D2" w:rsidRPr="00591BFC" w:rsidRDefault="005512D2" w:rsidP="00E86771">
            <w:pPr>
              <w:spacing w:line="360" w:lineRule="auto"/>
            </w:pPr>
            <w:r w:rsidRPr="00591BFC">
              <w:t> </w:t>
            </w:r>
          </w:p>
        </w:tc>
      </w:tr>
      <w:tr w:rsidR="005512D2" w:rsidRPr="00591BFC" w14:paraId="77FC2C65" w14:textId="77777777" w:rsidTr="00FE3F68">
        <w:trPr>
          <w:trHeight w:val="330"/>
        </w:trPr>
        <w:tc>
          <w:tcPr>
            <w:tcW w:w="4016" w:type="dxa"/>
            <w:shd w:val="clear" w:color="auto" w:fill="auto"/>
            <w:noWrap/>
            <w:hideMark/>
          </w:tcPr>
          <w:p w14:paraId="612D4839" w14:textId="77777777" w:rsidR="005512D2" w:rsidRPr="00591BFC" w:rsidRDefault="005512D2"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213890E5" w14:textId="77777777" w:rsidR="005512D2" w:rsidRPr="00591BFC" w:rsidRDefault="005512D2" w:rsidP="00E86771">
            <w:pPr>
              <w:spacing w:line="360" w:lineRule="auto"/>
            </w:pPr>
            <w:r w:rsidRPr="00591BFC">
              <w:t> </w:t>
            </w:r>
          </w:p>
        </w:tc>
        <w:tc>
          <w:tcPr>
            <w:tcW w:w="1320" w:type="dxa"/>
            <w:shd w:val="clear" w:color="auto" w:fill="auto"/>
            <w:noWrap/>
            <w:hideMark/>
          </w:tcPr>
          <w:p w14:paraId="121B6109" w14:textId="77777777" w:rsidR="005512D2" w:rsidRPr="00591BFC" w:rsidRDefault="005512D2" w:rsidP="00E86771">
            <w:pPr>
              <w:spacing w:line="360" w:lineRule="auto"/>
            </w:pPr>
            <w:r w:rsidRPr="00591BFC">
              <w:t> </w:t>
            </w:r>
          </w:p>
        </w:tc>
        <w:tc>
          <w:tcPr>
            <w:tcW w:w="1320" w:type="dxa"/>
            <w:shd w:val="clear" w:color="auto" w:fill="auto"/>
            <w:noWrap/>
            <w:hideMark/>
          </w:tcPr>
          <w:p w14:paraId="3F664074" w14:textId="77777777" w:rsidR="005512D2" w:rsidRPr="00591BFC" w:rsidRDefault="005512D2" w:rsidP="00E86771">
            <w:pPr>
              <w:spacing w:line="360" w:lineRule="auto"/>
            </w:pPr>
            <w:r w:rsidRPr="00591BFC">
              <w:t> </w:t>
            </w:r>
          </w:p>
        </w:tc>
        <w:tc>
          <w:tcPr>
            <w:tcW w:w="1063" w:type="dxa"/>
            <w:shd w:val="clear" w:color="auto" w:fill="auto"/>
            <w:noWrap/>
            <w:hideMark/>
          </w:tcPr>
          <w:p w14:paraId="50C38618" w14:textId="77777777" w:rsidR="005512D2" w:rsidRPr="00591BFC" w:rsidRDefault="005512D2" w:rsidP="00E86771">
            <w:pPr>
              <w:spacing w:line="360" w:lineRule="auto"/>
            </w:pPr>
            <w:r w:rsidRPr="00591BFC">
              <w:t> </w:t>
            </w:r>
          </w:p>
        </w:tc>
      </w:tr>
      <w:tr w:rsidR="005512D2" w:rsidRPr="00591BFC" w14:paraId="12FFFE9E" w14:textId="77777777" w:rsidTr="00FE3F68">
        <w:trPr>
          <w:trHeight w:val="330"/>
        </w:trPr>
        <w:tc>
          <w:tcPr>
            <w:tcW w:w="4016" w:type="dxa"/>
            <w:shd w:val="clear" w:color="auto" w:fill="auto"/>
            <w:noWrap/>
            <w:hideMark/>
          </w:tcPr>
          <w:p w14:paraId="20400B31" w14:textId="77777777" w:rsidR="005512D2" w:rsidRPr="00591BFC" w:rsidRDefault="005512D2"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53FA0AE0" w14:textId="77777777" w:rsidR="005512D2" w:rsidRPr="00591BFC" w:rsidRDefault="005512D2" w:rsidP="00E86771">
            <w:pPr>
              <w:spacing w:line="360" w:lineRule="auto"/>
            </w:pPr>
            <w:r w:rsidRPr="00591BFC">
              <w:t> </w:t>
            </w:r>
          </w:p>
        </w:tc>
        <w:tc>
          <w:tcPr>
            <w:tcW w:w="1320" w:type="dxa"/>
            <w:shd w:val="clear" w:color="auto" w:fill="auto"/>
            <w:noWrap/>
            <w:hideMark/>
          </w:tcPr>
          <w:p w14:paraId="3A80166E" w14:textId="77777777" w:rsidR="005512D2" w:rsidRPr="00591BFC" w:rsidRDefault="005512D2" w:rsidP="00E86771">
            <w:pPr>
              <w:spacing w:line="360" w:lineRule="auto"/>
            </w:pPr>
            <w:r w:rsidRPr="00591BFC">
              <w:t> </w:t>
            </w:r>
          </w:p>
        </w:tc>
        <w:tc>
          <w:tcPr>
            <w:tcW w:w="1320" w:type="dxa"/>
            <w:shd w:val="clear" w:color="auto" w:fill="auto"/>
            <w:noWrap/>
            <w:hideMark/>
          </w:tcPr>
          <w:p w14:paraId="5EE958BE" w14:textId="77777777" w:rsidR="005512D2" w:rsidRPr="00591BFC" w:rsidRDefault="005512D2" w:rsidP="00E86771">
            <w:pPr>
              <w:spacing w:line="360" w:lineRule="auto"/>
            </w:pPr>
            <w:r w:rsidRPr="00591BFC">
              <w:t> </w:t>
            </w:r>
          </w:p>
        </w:tc>
        <w:tc>
          <w:tcPr>
            <w:tcW w:w="1063" w:type="dxa"/>
            <w:shd w:val="clear" w:color="auto" w:fill="auto"/>
            <w:noWrap/>
            <w:hideMark/>
          </w:tcPr>
          <w:p w14:paraId="38FE689C" w14:textId="77777777" w:rsidR="005512D2" w:rsidRPr="00591BFC" w:rsidRDefault="005512D2" w:rsidP="00E86771">
            <w:pPr>
              <w:spacing w:line="360" w:lineRule="auto"/>
            </w:pPr>
            <w:r w:rsidRPr="00591BFC">
              <w:t> </w:t>
            </w:r>
          </w:p>
        </w:tc>
      </w:tr>
      <w:tr w:rsidR="005512D2" w:rsidRPr="00591BFC" w14:paraId="7926AB70" w14:textId="77777777" w:rsidTr="00FE3F68">
        <w:trPr>
          <w:trHeight w:val="315"/>
        </w:trPr>
        <w:tc>
          <w:tcPr>
            <w:tcW w:w="4016" w:type="dxa"/>
            <w:shd w:val="clear" w:color="auto" w:fill="auto"/>
            <w:noWrap/>
            <w:hideMark/>
          </w:tcPr>
          <w:p w14:paraId="01D7B3FE" w14:textId="77777777" w:rsidR="005512D2" w:rsidRPr="00591BFC" w:rsidRDefault="005512D2" w:rsidP="00E86771">
            <w:pPr>
              <w:spacing w:line="360" w:lineRule="auto"/>
              <w:rPr>
                <w:u w:val="single"/>
              </w:rPr>
            </w:pPr>
            <w:r w:rsidRPr="00591BFC">
              <w:rPr>
                <w:u w:val="single"/>
              </w:rPr>
              <w:t>mortality (30 days): difference between cases and controls</w:t>
            </w:r>
          </w:p>
        </w:tc>
        <w:tc>
          <w:tcPr>
            <w:tcW w:w="1320" w:type="dxa"/>
            <w:noWrap/>
            <w:hideMark/>
          </w:tcPr>
          <w:p w14:paraId="4B20BA6A" w14:textId="77777777" w:rsidR="005512D2" w:rsidRPr="00591BFC" w:rsidRDefault="005512D2" w:rsidP="00E86771">
            <w:pPr>
              <w:spacing w:line="360" w:lineRule="auto"/>
            </w:pPr>
          </w:p>
        </w:tc>
        <w:tc>
          <w:tcPr>
            <w:tcW w:w="1320" w:type="dxa"/>
            <w:shd w:val="clear" w:color="auto" w:fill="auto"/>
            <w:noWrap/>
            <w:hideMark/>
          </w:tcPr>
          <w:p w14:paraId="419C559E" w14:textId="77777777" w:rsidR="005512D2" w:rsidRPr="00591BFC" w:rsidRDefault="005512D2" w:rsidP="00E86771">
            <w:pPr>
              <w:spacing w:line="360" w:lineRule="auto"/>
            </w:pPr>
          </w:p>
        </w:tc>
        <w:tc>
          <w:tcPr>
            <w:tcW w:w="1320" w:type="dxa"/>
            <w:shd w:val="clear" w:color="auto" w:fill="auto"/>
            <w:noWrap/>
            <w:hideMark/>
          </w:tcPr>
          <w:p w14:paraId="258D6877" w14:textId="77777777" w:rsidR="005512D2" w:rsidRPr="00591BFC" w:rsidRDefault="005512D2" w:rsidP="00E86771">
            <w:pPr>
              <w:spacing w:line="360" w:lineRule="auto"/>
            </w:pPr>
          </w:p>
        </w:tc>
        <w:tc>
          <w:tcPr>
            <w:tcW w:w="1063" w:type="dxa"/>
            <w:shd w:val="clear" w:color="auto" w:fill="auto"/>
            <w:noWrap/>
            <w:hideMark/>
          </w:tcPr>
          <w:p w14:paraId="3CED5D72" w14:textId="77777777" w:rsidR="005512D2" w:rsidRPr="00591BFC" w:rsidRDefault="005512D2" w:rsidP="00E86771">
            <w:pPr>
              <w:spacing w:line="360" w:lineRule="auto"/>
            </w:pPr>
          </w:p>
        </w:tc>
      </w:tr>
      <w:tr w:rsidR="005512D2" w:rsidRPr="00591BFC" w14:paraId="6B671ACB" w14:textId="77777777" w:rsidTr="00FE3F68">
        <w:trPr>
          <w:trHeight w:val="315"/>
        </w:trPr>
        <w:tc>
          <w:tcPr>
            <w:tcW w:w="4016" w:type="dxa"/>
            <w:shd w:val="clear" w:color="auto" w:fill="auto"/>
            <w:hideMark/>
          </w:tcPr>
          <w:p w14:paraId="5B8BDD66" w14:textId="77777777" w:rsidR="005512D2" w:rsidRPr="00591BFC" w:rsidRDefault="005512D2" w:rsidP="00E86771">
            <w:pPr>
              <w:spacing w:line="360" w:lineRule="auto"/>
            </w:pPr>
            <w:r w:rsidRPr="00591BFC">
              <w:t>Intercept (β</w:t>
            </w:r>
            <w:r w:rsidRPr="00591BFC">
              <w:rPr>
                <w:vertAlign w:val="subscript"/>
              </w:rPr>
              <w:t>0</w:t>
            </w:r>
            <w:r w:rsidRPr="00591BFC">
              <w:t>)</w:t>
            </w:r>
          </w:p>
        </w:tc>
        <w:tc>
          <w:tcPr>
            <w:tcW w:w="1320" w:type="dxa"/>
            <w:shd w:val="clear" w:color="auto" w:fill="auto"/>
            <w:hideMark/>
          </w:tcPr>
          <w:p w14:paraId="1FB979AF" w14:textId="77777777" w:rsidR="005512D2" w:rsidRPr="00591BFC" w:rsidRDefault="005512D2" w:rsidP="00E86771">
            <w:pPr>
              <w:spacing w:line="360" w:lineRule="auto"/>
            </w:pPr>
            <w:r w:rsidRPr="00591BFC">
              <w:t>6.41</w:t>
            </w:r>
          </w:p>
        </w:tc>
        <w:tc>
          <w:tcPr>
            <w:tcW w:w="1320" w:type="dxa"/>
            <w:shd w:val="clear" w:color="auto" w:fill="auto"/>
            <w:hideMark/>
          </w:tcPr>
          <w:p w14:paraId="297DEA12" w14:textId="77777777" w:rsidR="005512D2" w:rsidRPr="00591BFC" w:rsidRDefault="005512D2" w:rsidP="00E86771">
            <w:pPr>
              <w:spacing w:line="360" w:lineRule="auto"/>
            </w:pPr>
            <w:r w:rsidRPr="00591BFC">
              <w:t>5.8</w:t>
            </w:r>
          </w:p>
        </w:tc>
        <w:tc>
          <w:tcPr>
            <w:tcW w:w="1320" w:type="dxa"/>
            <w:shd w:val="clear" w:color="auto" w:fill="auto"/>
            <w:hideMark/>
          </w:tcPr>
          <w:p w14:paraId="59AFE461" w14:textId="77777777" w:rsidR="005512D2" w:rsidRPr="00591BFC" w:rsidRDefault="005512D2" w:rsidP="00E86771">
            <w:pPr>
              <w:spacing w:line="360" w:lineRule="auto"/>
            </w:pPr>
            <w:r w:rsidRPr="00591BFC">
              <w:t>7.01</w:t>
            </w:r>
          </w:p>
        </w:tc>
        <w:tc>
          <w:tcPr>
            <w:tcW w:w="1063" w:type="dxa"/>
            <w:shd w:val="clear" w:color="auto" w:fill="auto"/>
            <w:hideMark/>
          </w:tcPr>
          <w:p w14:paraId="4BD9538D" w14:textId="77777777" w:rsidR="005512D2" w:rsidRPr="00591BFC" w:rsidRDefault="005512D2" w:rsidP="00E86771">
            <w:pPr>
              <w:spacing w:line="360" w:lineRule="auto"/>
            </w:pPr>
            <w:r w:rsidRPr="00591BFC">
              <w:t>&lt;0.001</w:t>
            </w:r>
          </w:p>
        </w:tc>
      </w:tr>
      <w:tr w:rsidR="005512D2" w:rsidRPr="00591BFC" w14:paraId="4DF2B466" w14:textId="77777777" w:rsidTr="00FE3F68">
        <w:trPr>
          <w:trHeight w:val="330"/>
        </w:trPr>
        <w:tc>
          <w:tcPr>
            <w:tcW w:w="4016" w:type="dxa"/>
            <w:shd w:val="clear" w:color="auto" w:fill="auto"/>
            <w:noWrap/>
            <w:hideMark/>
          </w:tcPr>
          <w:p w14:paraId="6D7BBE07" w14:textId="77777777" w:rsidR="005512D2" w:rsidRPr="00591BFC" w:rsidRDefault="005512D2"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3F35FC1E" w14:textId="77777777" w:rsidR="005512D2" w:rsidRPr="00591BFC" w:rsidRDefault="005512D2" w:rsidP="00E86771">
            <w:pPr>
              <w:spacing w:line="360" w:lineRule="auto"/>
            </w:pPr>
            <w:r w:rsidRPr="00591BFC">
              <w:t> </w:t>
            </w:r>
          </w:p>
        </w:tc>
        <w:tc>
          <w:tcPr>
            <w:tcW w:w="1320" w:type="dxa"/>
            <w:shd w:val="clear" w:color="auto" w:fill="auto"/>
            <w:noWrap/>
            <w:hideMark/>
          </w:tcPr>
          <w:p w14:paraId="1515E231" w14:textId="77777777" w:rsidR="005512D2" w:rsidRPr="00591BFC" w:rsidRDefault="005512D2" w:rsidP="00E86771">
            <w:pPr>
              <w:spacing w:line="360" w:lineRule="auto"/>
            </w:pPr>
            <w:r w:rsidRPr="00591BFC">
              <w:t> </w:t>
            </w:r>
          </w:p>
        </w:tc>
        <w:tc>
          <w:tcPr>
            <w:tcW w:w="1320" w:type="dxa"/>
            <w:shd w:val="clear" w:color="auto" w:fill="auto"/>
            <w:noWrap/>
            <w:hideMark/>
          </w:tcPr>
          <w:p w14:paraId="03933CBC" w14:textId="77777777" w:rsidR="005512D2" w:rsidRPr="00591BFC" w:rsidRDefault="005512D2" w:rsidP="00E86771">
            <w:pPr>
              <w:spacing w:line="360" w:lineRule="auto"/>
            </w:pPr>
            <w:r w:rsidRPr="00591BFC">
              <w:t> </w:t>
            </w:r>
          </w:p>
        </w:tc>
        <w:tc>
          <w:tcPr>
            <w:tcW w:w="1063" w:type="dxa"/>
            <w:shd w:val="clear" w:color="auto" w:fill="auto"/>
            <w:noWrap/>
            <w:hideMark/>
          </w:tcPr>
          <w:p w14:paraId="428D9DFC" w14:textId="77777777" w:rsidR="005512D2" w:rsidRPr="00591BFC" w:rsidRDefault="005512D2" w:rsidP="00E86771">
            <w:pPr>
              <w:spacing w:line="360" w:lineRule="auto"/>
            </w:pPr>
            <w:r w:rsidRPr="00591BFC">
              <w:t> </w:t>
            </w:r>
          </w:p>
        </w:tc>
      </w:tr>
      <w:tr w:rsidR="005512D2" w:rsidRPr="00591BFC" w14:paraId="2D4D14CD" w14:textId="77777777" w:rsidTr="00FE3F68">
        <w:trPr>
          <w:trHeight w:val="330"/>
        </w:trPr>
        <w:tc>
          <w:tcPr>
            <w:tcW w:w="4016" w:type="dxa"/>
            <w:shd w:val="clear" w:color="auto" w:fill="auto"/>
            <w:noWrap/>
            <w:hideMark/>
          </w:tcPr>
          <w:p w14:paraId="72FF7D73" w14:textId="77777777" w:rsidR="005512D2" w:rsidRPr="00591BFC" w:rsidRDefault="005512D2"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4E7CA128" w14:textId="77777777" w:rsidR="005512D2" w:rsidRPr="00591BFC" w:rsidRDefault="005512D2" w:rsidP="00E86771">
            <w:pPr>
              <w:spacing w:line="360" w:lineRule="auto"/>
            </w:pPr>
            <w:r w:rsidRPr="00591BFC">
              <w:t> </w:t>
            </w:r>
          </w:p>
        </w:tc>
        <w:tc>
          <w:tcPr>
            <w:tcW w:w="1320" w:type="dxa"/>
            <w:shd w:val="clear" w:color="auto" w:fill="auto"/>
            <w:noWrap/>
            <w:hideMark/>
          </w:tcPr>
          <w:p w14:paraId="1E3F6974" w14:textId="77777777" w:rsidR="005512D2" w:rsidRPr="00591BFC" w:rsidRDefault="005512D2" w:rsidP="00E86771">
            <w:pPr>
              <w:spacing w:line="360" w:lineRule="auto"/>
            </w:pPr>
            <w:r w:rsidRPr="00591BFC">
              <w:t> </w:t>
            </w:r>
          </w:p>
        </w:tc>
        <w:tc>
          <w:tcPr>
            <w:tcW w:w="1320" w:type="dxa"/>
            <w:shd w:val="clear" w:color="auto" w:fill="auto"/>
            <w:noWrap/>
            <w:hideMark/>
          </w:tcPr>
          <w:p w14:paraId="01BD4C87" w14:textId="77777777" w:rsidR="005512D2" w:rsidRPr="00591BFC" w:rsidRDefault="005512D2" w:rsidP="00E86771">
            <w:pPr>
              <w:spacing w:line="360" w:lineRule="auto"/>
            </w:pPr>
            <w:r w:rsidRPr="00591BFC">
              <w:t> </w:t>
            </w:r>
          </w:p>
        </w:tc>
        <w:tc>
          <w:tcPr>
            <w:tcW w:w="1063" w:type="dxa"/>
            <w:shd w:val="clear" w:color="auto" w:fill="auto"/>
            <w:noWrap/>
            <w:hideMark/>
          </w:tcPr>
          <w:p w14:paraId="562D9229" w14:textId="77777777" w:rsidR="005512D2" w:rsidRPr="00591BFC" w:rsidRDefault="005512D2" w:rsidP="00E86771">
            <w:pPr>
              <w:spacing w:line="360" w:lineRule="auto"/>
            </w:pPr>
            <w:r w:rsidRPr="00591BFC">
              <w:t> </w:t>
            </w:r>
          </w:p>
        </w:tc>
      </w:tr>
      <w:tr w:rsidR="005512D2" w:rsidRPr="00591BFC" w14:paraId="2BE20106" w14:textId="77777777" w:rsidTr="00FE3F68">
        <w:trPr>
          <w:trHeight w:val="330"/>
        </w:trPr>
        <w:tc>
          <w:tcPr>
            <w:tcW w:w="4016" w:type="dxa"/>
            <w:shd w:val="clear" w:color="auto" w:fill="auto"/>
            <w:noWrap/>
            <w:hideMark/>
          </w:tcPr>
          <w:p w14:paraId="0123C828" w14:textId="77777777" w:rsidR="005512D2" w:rsidRPr="00591BFC" w:rsidRDefault="005512D2"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54C2452D" w14:textId="77777777" w:rsidR="005512D2" w:rsidRPr="00591BFC" w:rsidRDefault="005512D2" w:rsidP="00E86771">
            <w:pPr>
              <w:spacing w:line="360" w:lineRule="auto"/>
            </w:pPr>
            <w:r w:rsidRPr="00591BFC">
              <w:t> </w:t>
            </w:r>
          </w:p>
        </w:tc>
        <w:tc>
          <w:tcPr>
            <w:tcW w:w="1320" w:type="dxa"/>
            <w:shd w:val="clear" w:color="auto" w:fill="auto"/>
            <w:noWrap/>
            <w:hideMark/>
          </w:tcPr>
          <w:p w14:paraId="3BE4B45A" w14:textId="77777777" w:rsidR="005512D2" w:rsidRPr="00591BFC" w:rsidRDefault="005512D2" w:rsidP="00E86771">
            <w:pPr>
              <w:spacing w:line="360" w:lineRule="auto"/>
            </w:pPr>
            <w:r w:rsidRPr="00591BFC">
              <w:t> </w:t>
            </w:r>
          </w:p>
        </w:tc>
        <w:tc>
          <w:tcPr>
            <w:tcW w:w="1320" w:type="dxa"/>
            <w:shd w:val="clear" w:color="auto" w:fill="auto"/>
            <w:noWrap/>
            <w:hideMark/>
          </w:tcPr>
          <w:p w14:paraId="4FE7C04E" w14:textId="77777777" w:rsidR="005512D2" w:rsidRPr="00591BFC" w:rsidRDefault="005512D2" w:rsidP="00E86771">
            <w:pPr>
              <w:spacing w:line="360" w:lineRule="auto"/>
            </w:pPr>
            <w:r w:rsidRPr="00591BFC">
              <w:t> </w:t>
            </w:r>
          </w:p>
        </w:tc>
        <w:tc>
          <w:tcPr>
            <w:tcW w:w="1063" w:type="dxa"/>
            <w:shd w:val="clear" w:color="auto" w:fill="auto"/>
            <w:noWrap/>
            <w:hideMark/>
          </w:tcPr>
          <w:p w14:paraId="08C9417D" w14:textId="77777777" w:rsidR="005512D2" w:rsidRPr="00591BFC" w:rsidRDefault="005512D2" w:rsidP="00E86771">
            <w:pPr>
              <w:spacing w:line="360" w:lineRule="auto"/>
            </w:pPr>
            <w:r w:rsidRPr="00591BFC">
              <w:t> </w:t>
            </w:r>
          </w:p>
        </w:tc>
      </w:tr>
      <w:tr w:rsidR="005512D2" w:rsidRPr="00591BFC" w14:paraId="78BCCB04" w14:textId="77777777" w:rsidTr="00FE3F68">
        <w:trPr>
          <w:trHeight w:val="330"/>
        </w:trPr>
        <w:tc>
          <w:tcPr>
            <w:tcW w:w="4016" w:type="dxa"/>
            <w:shd w:val="clear" w:color="auto" w:fill="auto"/>
            <w:noWrap/>
            <w:hideMark/>
          </w:tcPr>
          <w:p w14:paraId="184E07E4" w14:textId="77777777" w:rsidR="005512D2" w:rsidRPr="00591BFC" w:rsidRDefault="005512D2"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04917EF6" w14:textId="77777777" w:rsidR="005512D2" w:rsidRPr="00591BFC" w:rsidRDefault="005512D2" w:rsidP="00E86771">
            <w:pPr>
              <w:spacing w:line="360" w:lineRule="auto"/>
            </w:pPr>
            <w:r w:rsidRPr="00591BFC">
              <w:t>-2.546</w:t>
            </w:r>
          </w:p>
        </w:tc>
        <w:tc>
          <w:tcPr>
            <w:tcW w:w="1320" w:type="dxa"/>
            <w:shd w:val="clear" w:color="auto" w:fill="auto"/>
            <w:noWrap/>
            <w:hideMark/>
          </w:tcPr>
          <w:p w14:paraId="5CC061A2" w14:textId="77777777" w:rsidR="005512D2" w:rsidRPr="00591BFC" w:rsidRDefault="005512D2" w:rsidP="00E86771">
            <w:pPr>
              <w:spacing w:line="360" w:lineRule="auto"/>
            </w:pPr>
            <w:r w:rsidRPr="00591BFC">
              <w:t>-3.55</w:t>
            </w:r>
          </w:p>
        </w:tc>
        <w:tc>
          <w:tcPr>
            <w:tcW w:w="1320" w:type="dxa"/>
            <w:shd w:val="clear" w:color="auto" w:fill="auto"/>
            <w:noWrap/>
            <w:hideMark/>
          </w:tcPr>
          <w:p w14:paraId="5B6E5B84" w14:textId="77777777" w:rsidR="005512D2" w:rsidRPr="00591BFC" w:rsidRDefault="005512D2" w:rsidP="00E86771">
            <w:pPr>
              <w:spacing w:line="360" w:lineRule="auto"/>
            </w:pPr>
            <w:r w:rsidRPr="00591BFC">
              <w:t>-1.54</w:t>
            </w:r>
          </w:p>
        </w:tc>
        <w:tc>
          <w:tcPr>
            <w:tcW w:w="1063" w:type="dxa"/>
            <w:shd w:val="clear" w:color="auto" w:fill="auto"/>
            <w:noWrap/>
            <w:hideMark/>
          </w:tcPr>
          <w:p w14:paraId="33B9C4B9" w14:textId="77777777" w:rsidR="005512D2" w:rsidRPr="00591BFC" w:rsidRDefault="005512D2" w:rsidP="00E86771">
            <w:pPr>
              <w:spacing w:line="360" w:lineRule="auto"/>
            </w:pPr>
            <w:r w:rsidRPr="00591BFC">
              <w:t>&lt;0.001</w:t>
            </w:r>
          </w:p>
        </w:tc>
      </w:tr>
      <w:tr w:rsidR="005512D2" w:rsidRPr="00591BFC" w14:paraId="5676E7FE" w14:textId="77777777" w:rsidTr="00FE3F68">
        <w:trPr>
          <w:trHeight w:val="330"/>
        </w:trPr>
        <w:tc>
          <w:tcPr>
            <w:tcW w:w="4016" w:type="dxa"/>
            <w:shd w:val="clear" w:color="auto" w:fill="auto"/>
            <w:noWrap/>
            <w:hideMark/>
          </w:tcPr>
          <w:p w14:paraId="7DC5422C" w14:textId="77777777" w:rsidR="005512D2" w:rsidRPr="00591BFC" w:rsidRDefault="005512D2"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13889D94" w14:textId="77777777" w:rsidR="005512D2" w:rsidRPr="00591BFC" w:rsidRDefault="005512D2" w:rsidP="00E86771">
            <w:pPr>
              <w:spacing w:line="360" w:lineRule="auto"/>
            </w:pPr>
            <w:r w:rsidRPr="00591BFC">
              <w:t> </w:t>
            </w:r>
          </w:p>
        </w:tc>
        <w:tc>
          <w:tcPr>
            <w:tcW w:w="1320" w:type="dxa"/>
            <w:shd w:val="clear" w:color="auto" w:fill="auto"/>
            <w:noWrap/>
            <w:hideMark/>
          </w:tcPr>
          <w:p w14:paraId="7B11F986" w14:textId="77777777" w:rsidR="005512D2" w:rsidRPr="00591BFC" w:rsidRDefault="005512D2" w:rsidP="00E86771">
            <w:pPr>
              <w:spacing w:line="360" w:lineRule="auto"/>
            </w:pPr>
            <w:r w:rsidRPr="00591BFC">
              <w:t> </w:t>
            </w:r>
          </w:p>
        </w:tc>
        <w:tc>
          <w:tcPr>
            <w:tcW w:w="1320" w:type="dxa"/>
            <w:shd w:val="clear" w:color="auto" w:fill="auto"/>
            <w:noWrap/>
            <w:hideMark/>
          </w:tcPr>
          <w:p w14:paraId="7B9E83CF" w14:textId="77777777" w:rsidR="005512D2" w:rsidRPr="00591BFC" w:rsidRDefault="005512D2" w:rsidP="00E86771">
            <w:pPr>
              <w:spacing w:line="360" w:lineRule="auto"/>
            </w:pPr>
            <w:r w:rsidRPr="00591BFC">
              <w:t> </w:t>
            </w:r>
          </w:p>
        </w:tc>
        <w:tc>
          <w:tcPr>
            <w:tcW w:w="1063" w:type="dxa"/>
            <w:shd w:val="clear" w:color="auto" w:fill="auto"/>
            <w:noWrap/>
            <w:hideMark/>
          </w:tcPr>
          <w:p w14:paraId="0B339F67" w14:textId="77777777" w:rsidR="005512D2" w:rsidRPr="00591BFC" w:rsidRDefault="005512D2" w:rsidP="00E86771">
            <w:pPr>
              <w:spacing w:line="360" w:lineRule="auto"/>
            </w:pPr>
            <w:r w:rsidRPr="00591BFC">
              <w:t> </w:t>
            </w:r>
          </w:p>
        </w:tc>
      </w:tr>
      <w:tr w:rsidR="005512D2" w:rsidRPr="00591BFC" w14:paraId="1A7A6FE2" w14:textId="77777777" w:rsidTr="00FE3F68">
        <w:trPr>
          <w:trHeight w:val="330"/>
        </w:trPr>
        <w:tc>
          <w:tcPr>
            <w:tcW w:w="4016" w:type="dxa"/>
            <w:shd w:val="clear" w:color="auto" w:fill="auto"/>
            <w:noWrap/>
            <w:hideMark/>
          </w:tcPr>
          <w:p w14:paraId="2AAED03E" w14:textId="77777777" w:rsidR="005512D2" w:rsidRPr="00591BFC" w:rsidRDefault="005512D2"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0F77B39E" w14:textId="77777777" w:rsidR="005512D2" w:rsidRPr="00591BFC" w:rsidRDefault="005512D2" w:rsidP="00E86771">
            <w:pPr>
              <w:spacing w:line="360" w:lineRule="auto"/>
            </w:pPr>
            <w:r w:rsidRPr="00591BFC">
              <w:t> </w:t>
            </w:r>
          </w:p>
        </w:tc>
        <w:tc>
          <w:tcPr>
            <w:tcW w:w="1320" w:type="dxa"/>
            <w:shd w:val="clear" w:color="auto" w:fill="auto"/>
            <w:noWrap/>
            <w:hideMark/>
          </w:tcPr>
          <w:p w14:paraId="7E3266BF" w14:textId="77777777" w:rsidR="005512D2" w:rsidRPr="00591BFC" w:rsidRDefault="005512D2" w:rsidP="00E86771">
            <w:pPr>
              <w:spacing w:line="360" w:lineRule="auto"/>
            </w:pPr>
            <w:r w:rsidRPr="00591BFC">
              <w:t> </w:t>
            </w:r>
          </w:p>
        </w:tc>
        <w:tc>
          <w:tcPr>
            <w:tcW w:w="1320" w:type="dxa"/>
            <w:shd w:val="clear" w:color="auto" w:fill="auto"/>
            <w:noWrap/>
            <w:hideMark/>
          </w:tcPr>
          <w:p w14:paraId="6E9CAFFC" w14:textId="77777777" w:rsidR="005512D2" w:rsidRPr="00591BFC" w:rsidRDefault="005512D2" w:rsidP="00E86771">
            <w:pPr>
              <w:spacing w:line="360" w:lineRule="auto"/>
            </w:pPr>
            <w:r w:rsidRPr="00591BFC">
              <w:t> </w:t>
            </w:r>
          </w:p>
        </w:tc>
        <w:tc>
          <w:tcPr>
            <w:tcW w:w="1063" w:type="dxa"/>
            <w:shd w:val="clear" w:color="auto" w:fill="auto"/>
            <w:noWrap/>
            <w:hideMark/>
          </w:tcPr>
          <w:p w14:paraId="0C184778" w14:textId="77777777" w:rsidR="005512D2" w:rsidRPr="00591BFC" w:rsidRDefault="005512D2" w:rsidP="00E86771">
            <w:pPr>
              <w:spacing w:line="360" w:lineRule="auto"/>
            </w:pPr>
            <w:r w:rsidRPr="00591BFC">
              <w:t> </w:t>
            </w:r>
          </w:p>
        </w:tc>
      </w:tr>
      <w:tr w:rsidR="005512D2" w:rsidRPr="00591BFC" w14:paraId="254B7F26" w14:textId="77777777" w:rsidTr="00FE3F68">
        <w:trPr>
          <w:trHeight w:val="330"/>
        </w:trPr>
        <w:tc>
          <w:tcPr>
            <w:tcW w:w="4016" w:type="dxa"/>
            <w:shd w:val="clear" w:color="auto" w:fill="auto"/>
            <w:noWrap/>
            <w:hideMark/>
          </w:tcPr>
          <w:p w14:paraId="6622E7CC" w14:textId="77777777" w:rsidR="005512D2" w:rsidRPr="00591BFC" w:rsidRDefault="005512D2"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64236DE0" w14:textId="77777777" w:rsidR="005512D2" w:rsidRPr="00591BFC" w:rsidRDefault="005512D2" w:rsidP="00E86771">
            <w:pPr>
              <w:spacing w:line="360" w:lineRule="auto"/>
            </w:pPr>
            <w:r w:rsidRPr="00591BFC">
              <w:t> </w:t>
            </w:r>
          </w:p>
        </w:tc>
        <w:tc>
          <w:tcPr>
            <w:tcW w:w="1320" w:type="dxa"/>
            <w:shd w:val="clear" w:color="auto" w:fill="auto"/>
            <w:noWrap/>
            <w:hideMark/>
          </w:tcPr>
          <w:p w14:paraId="3E3B1260" w14:textId="77777777" w:rsidR="005512D2" w:rsidRPr="00591BFC" w:rsidRDefault="005512D2" w:rsidP="00E86771">
            <w:pPr>
              <w:spacing w:line="360" w:lineRule="auto"/>
            </w:pPr>
            <w:r w:rsidRPr="00591BFC">
              <w:t> </w:t>
            </w:r>
          </w:p>
        </w:tc>
        <w:tc>
          <w:tcPr>
            <w:tcW w:w="1320" w:type="dxa"/>
            <w:shd w:val="clear" w:color="auto" w:fill="auto"/>
            <w:noWrap/>
            <w:hideMark/>
          </w:tcPr>
          <w:p w14:paraId="7B3CCB35" w14:textId="77777777" w:rsidR="005512D2" w:rsidRPr="00591BFC" w:rsidRDefault="005512D2" w:rsidP="00E86771">
            <w:pPr>
              <w:spacing w:line="360" w:lineRule="auto"/>
            </w:pPr>
            <w:r w:rsidRPr="00591BFC">
              <w:t> </w:t>
            </w:r>
          </w:p>
        </w:tc>
        <w:tc>
          <w:tcPr>
            <w:tcW w:w="1063" w:type="dxa"/>
            <w:shd w:val="clear" w:color="auto" w:fill="auto"/>
            <w:noWrap/>
            <w:hideMark/>
          </w:tcPr>
          <w:p w14:paraId="664CA464" w14:textId="77777777" w:rsidR="005512D2" w:rsidRPr="00591BFC" w:rsidRDefault="005512D2" w:rsidP="00E86771">
            <w:pPr>
              <w:spacing w:line="360" w:lineRule="auto"/>
            </w:pPr>
            <w:r w:rsidRPr="00591BFC">
              <w:t> </w:t>
            </w:r>
          </w:p>
        </w:tc>
      </w:tr>
      <w:tr w:rsidR="005512D2" w:rsidRPr="00591BFC" w14:paraId="217C81B2" w14:textId="77777777" w:rsidTr="00FE3F68">
        <w:trPr>
          <w:trHeight w:val="315"/>
        </w:trPr>
        <w:tc>
          <w:tcPr>
            <w:tcW w:w="4016" w:type="dxa"/>
            <w:shd w:val="clear" w:color="auto" w:fill="auto"/>
            <w:noWrap/>
            <w:hideMark/>
          </w:tcPr>
          <w:p w14:paraId="5C59A115" w14:textId="77777777" w:rsidR="005512D2" w:rsidRPr="00591BFC" w:rsidRDefault="005512D2" w:rsidP="00E86771">
            <w:pPr>
              <w:spacing w:line="360" w:lineRule="auto"/>
              <w:rPr>
                <w:u w:val="single"/>
              </w:rPr>
            </w:pPr>
            <w:r w:rsidRPr="00591BFC">
              <w:rPr>
                <w:u w:val="single"/>
              </w:rPr>
              <w:t>mortality (1 year)</w:t>
            </w:r>
          </w:p>
        </w:tc>
        <w:tc>
          <w:tcPr>
            <w:tcW w:w="1320" w:type="dxa"/>
            <w:noWrap/>
            <w:hideMark/>
          </w:tcPr>
          <w:p w14:paraId="75857905" w14:textId="77777777" w:rsidR="005512D2" w:rsidRPr="00591BFC" w:rsidRDefault="005512D2" w:rsidP="00E86771">
            <w:pPr>
              <w:spacing w:line="360" w:lineRule="auto"/>
            </w:pPr>
          </w:p>
        </w:tc>
        <w:tc>
          <w:tcPr>
            <w:tcW w:w="1320" w:type="dxa"/>
            <w:shd w:val="clear" w:color="auto" w:fill="auto"/>
            <w:noWrap/>
            <w:hideMark/>
          </w:tcPr>
          <w:p w14:paraId="1C809F38" w14:textId="77777777" w:rsidR="005512D2" w:rsidRPr="00591BFC" w:rsidRDefault="005512D2" w:rsidP="00E86771">
            <w:pPr>
              <w:spacing w:line="360" w:lineRule="auto"/>
            </w:pPr>
          </w:p>
        </w:tc>
        <w:tc>
          <w:tcPr>
            <w:tcW w:w="1320" w:type="dxa"/>
            <w:shd w:val="clear" w:color="auto" w:fill="auto"/>
            <w:noWrap/>
            <w:hideMark/>
          </w:tcPr>
          <w:p w14:paraId="0D68D820" w14:textId="77777777" w:rsidR="005512D2" w:rsidRPr="00591BFC" w:rsidRDefault="005512D2" w:rsidP="00E86771">
            <w:pPr>
              <w:spacing w:line="360" w:lineRule="auto"/>
            </w:pPr>
          </w:p>
        </w:tc>
        <w:tc>
          <w:tcPr>
            <w:tcW w:w="1063" w:type="dxa"/>
            <w:shd w:val="clear" w:color="auto" w:fill="auto"/>
            <w:noWrap/>
            <w:hideMark/>
          </w:tcPr>
          <w:p w14:paraId="0A38009F" w14:textId="77777777" w:rsidR="005512D2" w:rsidRPr="00591BFC" w:rsidRDefault="005512D2" w:rsidP="00E86771">
            <w:pPr>
              <w:spacing w:line="360" w:lineRule="auto"/>
            </w:pPr>
          </w:p>
        </w:tc>
      </w:tr>
      <w:tr w:rsidR="005512D2" w:rsidRPr="00591BFC" w14:paraId="698F41C5" w14:textId="77777777" w:rsidTr="00FE3F68">
        <w:trPr>
          <w:trHeight w:val="315"/>
        </w:trPr>
        <w:tc>
          <w:tcPr>
            <w:tcW w:w="4016" w:type="dxa"/>
            <w:shd w:val="clear" w:color="auto" w:fill="auto"/>
            <w:hideMark/>
          </w:tcPr>
          <w:p w14:paraId="40884A67" w14:textId="77777777" w:rsidR="005512D2" w:rsidRPr="00591BFC" w:rsidRDefault="005512D2" w:rsidP="00E86771">
            <w:pPr>
              <w:spacing w:line="360" w:lineRule="auto"/>
            </w:pPr>
            <w:r w:rsidRPr="00591BFC">
              <w:t>Intercept (β</w:t>
            </w:r>
            <w:r w:rsidRPr="00591BFC">
              <w:rPr>
                <w:vertAlign w:val="subscript"/>
              </w:rPr>
              <w:t>0</w:t>
            </w:r>
            <w:r w:rsidRPr="00591BFC">
              <w:t>)</w:t>
            </w:r>
          </w:p>
        </w:tc>
        <w:tc>
          <w:tcPr>
            <w:tcW w:w="1320" w:type="dxa"/>
            <w:shd w:val="clear" w:color="auto" w:fill="auto"/>
            <w:hideMark/>
          </w:tcPr>
          <w:p w14:paraId="479B28DC" w14:textId="77777777" w:rsidR="005512D2" w:rsidRPr="00591BFC" w:rsidRDefault="005512D2" w:rsidP="00E86771">
            <w:pPr>
              <w:spacing w:line="360" w:lineRule="auto"/>
            </w:pPr>
            <w:r w:rsidRPr="00591BFC">
              <w:t>23.6</w:t>
            </w:r>
          </w:p>
        </w:tc>
        <w:tc>
          <w:tcPr>
            <w:tcW w:w="1320" w:type="dxa"/>
            <w:shd w:val="clear" w:color="auto" w:fill="auto"/>
            <w:hideMark/>
          </w:tcPr>
          <w:p w14:paraId="267B58CA" w14:textId="77777777" w:rsidR="005512D2" w:rsidRPr="00591BFC" w:rsidRDefault="005512D2" w:rsidP="00E86771">
            <w:pPr>
              <w:spacing w:line="360" w:lineRule="auto"/>
            </w:pPr>
            <w:r w:rsidRPr="00591BFC">
              <w:t>22.7</w:t>
            </w:r>
          </w:p>
        </w:tc>
        <w:tc>
          <w:tcPr>
            <w:tcW w:w="1320" w:type="dxa"/>
            <w:shd w:val="clear" w:color="auto" w:fill="auto"/>
            <w:hideMark/>
          </w:tcPr>
          <w:p w14:paraId="650A0131" w14:textId="77777777" w:rsidR="005512D2" w:rsidRPr="00591BFC" w:rsidRDefault="005512D2" w:rsidP="00E86771">
            <w:pPr>
              <w:spacing w:line="360" w:lineRule="auto"/>
            </w:pPr>
            <w:r w:rsidRPr="00591BFC">
              <w:t>24.6</w:t>
            </w:r>
          </w:p>
        </w:tc>
        <w:tc>
          <w:tcPr>
            <w:tcW w:w="1063" w:type="dxa"/>
            <w:shd w:val="clear" w:color="auto" w:fill="auto"/>
            <w:hideMark/>
          </w:tcPr>
          <w:p w14:paraId="4BDC9D66" w14:textId="77777777" w:rsidR="005512D2" w:rsidRPr="00591BFC" w:rsidRDefault="005512D2" w:rsidP="00E86771">
            <w:pPr>
              <w:spacing w:line="360" w:lineRule="auto"/>
            </w:pPr>
            <w:r w:rsidRPr="00591BFC">
              <w:t>&lt;0.001</w:t>
            </w:r>
          </w:p>
        </w:tc>
      </w:tr>
      <w:tr w:rsidR="005512D2" w:rsidRPr="00591BFC" w14:paraId="7C1F6E94" w14:textId="77777777" w:rsidTr="00FE3F68">
        <w:trPr>
          <w:trHeight w:val="330"/>
        </w:trPr>
        <w:tc>
          <w:tcPr>
            <w:tcW w:w="4016" w:type="dxa"/>
            <w:shd w:val="clear" w:color="auto" w:fill="auto"/>
            <w:noWrap/>
            <w:hideMark/>
          </w:tcPr>
          <w:p w14:paraId="37DB1C1A" w14:textId="77777777" w:rsidR="005512D2" w:rsidRPr="00591BFC" w:rsidRDefault="005512D2"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6BD1DCBF" w14:textId="77777777" w:rsidR="005512D2" w:rsidRPr="00591BFC" w:rsidRDefault="005512D2" w:rsidP="00E86771">
            <w:pPr>
              <w:spacing w:line="360" w:lineRule="auto"/>
            </w:pPr>
            <w:r w:rsidRPr="00591BFC">
              <w:t> </w:t>
            </w:r>
          </w:p>
        </w:tc>
        <w:tc>
          <w:tcPr>
            <w:tcW w:w="1320" w:type="dxa"/>
            <w:shd w:val="clear" w:color="auto" w:fill="auto"/>
            <w:noWrap/>
            <w:hideMark/>
          </w:tcPr>
          <w:p w14:paraId="6D0E7A47" w14:textId="77777777" w:rsidR="005512D2" w:rsidRPr="00591BFC" w:rsidRDefault="005512D2" w:rsidP="00E86771">
            <w:pPr>
              <w:spacing w:line="360" w:lineRule="auto"/>
            </w:pPr>
            <w:r w:rsidRPr="00591BFC">
              <w:t> </w:t>
            </w:r>
          </w:p>
        </w:tc>
        <w:tc>
          <w:tcPr>
            <w:tcW w:w="1320" w:type="dxa"/>
            <w:shd w:val="clear" w:color="auto" w:fill="auto"/>
            <w:noWrap/>
            <w:hideMark/>
          </w:tcPr>
          <w:p w14:paraId="5F75EF66" w14:textId="77777777" w:rsidR="005512D2" w:rsidRPr="00591BFC" w:rsidRDefault="005512D2" w:rsidP="00E86771">
            <w:pPr>
              <w:spacing w:line="360" w:lineRule="auto"/>
            </w:pPr>
            <w:r w:rsidRPr="00591BFC">
              <w:t> </w:t>
            </w:r>
          </w:p>
        </w:tc>
        <w:tc>
          <w:tcPr>
            <w:tcW w:w="1063" w:type="dxa"/>
            <w:shd w:val="clear" w:color="auto" w:fill="auto"/>
            <w:noWrap/>
            <w:hideMark/>
          </w:tcPr>
          <w:p w14:paraId="4A6E14C4" w14:textId="77777777" w:rsidR="005512D2" w:rsidRPr="00591BFC" w:rsidRDefault="005512D2" w:rsidP="00E86771">
            <w:pPr>
              <w:spacing w:line="360" w:lineRule="auto"/>
            </w:pPr>
            <w:r w:rsidRPr="00591BFC">
              <w:t> </w:t>
            </w:r>
          </w:p>
        </w:tc>
      </w:tr>
      <w:tr w:rsidR="005512D2" w:rsidRPr="00591BFC" w14:paraId="573507C0" w14:textId="77777777" w:rsidTr="00FE3F68">
        <w:trPr>
          <w:trHeight w:val="330"/>
        </w:trPr>
        <w:tc>
          <w:tcPr>
            <w:tcW w:w="4016" w:type="dxa"/>
            <w:shd w:val="clear" w:color="auto" w:fill="auto"/>
            <w:noWrap/>
            <w:hideMark/>
          </w:tcPr>
          <w:p w14:paraId="5CE219A0" w14:textId="77777777" w:rsidR="005512D2" w:rsidRPr="00591BFC" w:rsidRDefault="005512D2"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68FE04AF" w14:textId="77777777" w:rsidR="005512D2" w:rsidRPr="00591BFC" w:rsidRDefault="005512D2" w:rsidP="00E86771">
            <w:pPr>
              <w:spacing w:line="360" w:lineRule="auto"/>
            </w:pPr>
            <w:r w:rsidRPr="00591BFC">
              <w:t> </w:t>
            </w:r>
          </w:p>
        </w:tc>
        <w:tc>
          <w:tcPr>
            <w:tcW w:w="1320" w:type="dxa"/>
            <w:shd w:val="clear" w:color="auto" w:fill="auto"/>
            <w:noWrap/>
            <w:hideMark/>
          </w:tcPr>
          <w:p w14:paraId="7406AD8D" w14:textId="77777777" w:rsidR="005512D2" w:rsidRPr="00591BFC" w:rsidRDefault="005512D2" w:rsidP="00E86771">
            <w:pPr>
              <w:spacing w:line="360" w:lineRule="auto"/>
            </w:pPr>
            <w:r w:rsidRPr="00591BFC">
              <w:t> </w:t>
            </w:r>
          </w:p>
        </w:tc>
        <w:tc>
          <w:tcPr>
            <w:tcW w:w="1320" w:type="dxa"/>
            <w:shd w:val="clear" w:color="auto" w:fill="auto"/>
            <w:noWrap/>
            <w:hideMark/>
          </w:tcPr>
          <w:p w14:paraId="3F3CDD5A" w14:textId="77777777" w:rsidR="005512D2" w:rsidRPr="00591BFC" w:rsidRDefault="005512D2" w:rsidP="00E86771">
            <w:pPr>
              <w:spacing w:line="360" w:lineRule="auto"/>
            </w:pPr>
            <w:r w:rsidRPr="00591BFC">
              <w:t> </w:t>
            </w:r>
          </w:p>
        </w:tc>
        <w:tc>
          <w:tcPr>
            <w:tcW w:w="1063" w:type="dxa"/>
            <w:shd w:val="clear" w:color="auto" w:fill="auto"/>
            <w:noWrap/>
            <w:hideMark/>
          </w:tcPr>
          <w:p w14:paraId="1D04AB86" w14:textId="77777777" w:rsidR="005512D2" w:rsidRPr="00591BFC" w:rsidRDefault="005512D2" w:rsidP="00E86771">
            <w:pPr>
              <w:spacing w:line="360" w:lineRule="auto"/>
            </w:pPr>
            <w:r w:rsidRPr="00591BFC">
              <w:t> </w:t>
            </w:r>
          </w:p>
        </w:tc>
      </w:tr>
      <w:tr w:rsidR="005512D2" w:rsidRPr="00591BFC" w14:paraId="361F083B" w14:textId="77777777" w:rsidTr="00FE3F68">
        <w:trPr>
          <w:trHeight w:val="330"/>
        </w:trPr>
        <w:tc>
          <w:tcPr>
            <w:tcW w:w="4016" w:type="dxa"/>
            <w:shd w:val="clear" w:color="auto" w:fill="auto"/>
            <w:noWrap/>
            <w:hideMark/>
          </w:tcPr>
          <w:p w14:paraId="287722F3" w14:textId="77777777" w:rsidR="005512D2" w:rsidRPr="00591BFC" w:rsidRDefault="005512D2"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7D8481B7" w14:textId="77777777" w:rsidR="005512D2" w:rsidRPr="00591BFC" w:rsidRDefault="005512D2" w:rsidP="00E86771">
            <w:pPr>
              <w:spacing w:line="360" w:lineRule="auto"/>
            </w:pPr>
            <w:r w:rsidRPr="00591BFC">
              <w:t> </w:t>
            </w:r>
          </w:p>
        </w:tc>
        <w:tc>
          <w:tcPr>
            <w:tcW w:w="1320" w:type="dxa"/>
            <w:shd w:val="clear" w:color="auto" w:fill="auto"/>
            <w:noWrap/>
            <w:hideMark/>
          </w:tcPr>
          <w:p w14:paraId="5F714795" w14:textId="77777777" w:rsidR="005512D2" w:rsidRPr="00591BFC" w:rsidRDefault="005512D2" w:rsidP="00E86771">
            <w:pPr>
              <w:spacing w:line="360" w:lineRule="auto"/>
            </w:pPr>
            <w:r w:rsidRPr="00591BFC">
              <w:t> </w:t>
            </w:r>
          </w:p>
        </w:tc>
        <w:tc>
          <w:tcPr>
            <w:tcW w:w="1320" w:type="dxa"/>
            <w:shd w:val="clear" w:color="auto" w:fill="auto"/>
            <w:noWrap/>
            <w:hideMark/>
          </w:tcPr>
          <w:p w14:paraId="17D413F2" w14:textId="77777777" w:rsidR="005512D2" w:rsidRPr="00591BFC" w:rsidRDefault="005512D2" w:rsidP="00E86771">
            <w:pPr>
              <w:spacing w:line="360" w:lineRule="auto"/>
            </w:pPr>
            <w:r w:rsidRPr="00591BFC">
              <w:t> </w:t>
            </w:r>
          </w:p>
        </w:tc>
        <w:tc>
          <w:tcPr>
            <w:tcW w:w="1063" w:type="dxa"/>
            <w:shd w:val="clear" w:color="auto" w:fill="auto"/>
            <w:noWrap/>
            <w:hideMark/>
          </w:tcPr>
          <w:p w14:paraId="3E0DE535" w14:textId="77777777" w:rsidR="005512D2" w:rsidRPr="00591BFC" w:rsidRDefault="005512D2" w:rsidP="00E86771">
            <w:pPr>
              <w:spacing w:line="360" w:lineRule="auto"/>
            </w:pPr>
            <w:r w:rsidRPr="00591BFC">
              <w:t> </w:t>
            </w:r>
          </w:p>
        </w:tc>
      </w:tr>
      <w:tr w:rsidR="005512D2" w:rsidRPr="00591BFC" w14:paraId="1D46BF9D" w14:textId="77777777" w:rsidTr="00FE3F68">
        <w:trPr>
          <w:trHeight w:val="330"/>
        </w:trPr>
        <w:tc>
          <w:tcPr>
            <w:tcW w:w="4016" w:type="dxa"/>
            <w:shd w:val="clear" w:color="auto" w:fill="auto"/>
            <w:noWrap/>
            <w:hideMark/>
          </w:tcPr>
          <w:p w14:paraId="5F8BA170" w14:textId="77777777" w:rsidR="005512D2" w:rsidRPr="00591BFC" w:rsidRDefault="005512D2"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0ABD3602" w14:textId="77777777" w:rsidR="005512D2" w:rsidRPr="00591BFC" w:rsidRDefault="005512D2" w:rsidP="00E86771">
            <w:pPr>
              <w:spacing w:line="360" w:lineRule="auto"/>
            </w:pPr>
            <w:r w:rsidRPr="00591BFC">
              <w:t> </w:t>
            </w:r>
          </w:p>
        </w:tc>
        <w:tc>
          <w:tcPr>
            <w:tcW w:w="1320" w:type="dxa"/>
            <w:shd w:val="clear" w:color="auto" w:fill="auto"/>
            <w:noWrap/>
            <w:hideMark/>
          </w:tcPr>
          <w:p w14:paraId="17CDA8EB" w14:textId="77777777" w:rsidR="005512D2" w:rsidRPr="00591BFC" w:rsidRDefault="005512D2" w:rsidP="00E86771">
            <w:pPr>
              <w:spacing w:line="360" w:lineRule="auto"/>
            </w:pPr>
            <w:r w:rsidRPr="00591BFC">
              <w:t> </w:t>
            </w:r>
          </w:p>
        </w:tc>
        <w:tc>
          <w:tcPr>
            <w:tcW w:w="1320" w:type="dxa"/>
            <w:shd w:val="clear" w:color="auto" w:fill="auto"/>
            <w:noWrap/>
            <w:hideMark/>
          </w:tcPr>
          <w:p w14:paraId="47D61012" w14:textId="77777777" w:rsidR="005512D2" w:rsidRPr="00591BFC" w:rsidRDefault="005512D2" w:rsidP="00E86771">
            <w:pPr>
              <w:spacing w:line="360" w:lineRule="auto"/>
            </w:pPr>
            <w:r w:rsidRPr="00591BFC">
              <w:t> </w:t>
            </w:r>
          </w:p>
        </w:tc>
        <w:tc>
          <w:tcPr>
            <w:tcW w:w="1063" w:type="dxa"/>
            <w:shd w:val="clear" w:color="auto" w:fill="auto"/>
            <w:noWrap/>
            <w:hideMark/>
          </w:tcPr>
          <w:p w14:paraId="7A334E10" w14:textId="77777777" w:rsidR="005512D2" w:rsidRPr="00591BFC" w:rsidRDefault="005512D2" w:rsidP="00E86771">
            <w:pPr>
              <w:spacing w:line="360" w:lineRule="auto"/>
            </w:pPr>
            <w:r w:rsidRPr="00591BFC">
              <w:t> </w:t>
            </w:r>
          </w:p>
        </w:tc>
      </w:tr>
      <w:tr w:rsidR="005512D2" w:rsidRPr="00591BFC" w14:paraId="3ADCEEF5" w14:textId="77777777" w:rsidTr="00FE3F68">
        <w:trPr>
          <w:trHeight w:val="330"/>
        </w:trPr>
        <w:tc>
          <w:tcPr>
            <w:tcW w:w="4016" w:type="dxa"/>
            <w:shd w:val="clear" w:color="auto" w:fill="auto"/>
            <w:noWrap/>
            <w:hideMark/>
          </w:tcPr>
          <w:p w14:paraId="3E31B0FE" w14:textId="77777777" w:rsidR="005512D2" w:rsidRPr="00591BFC" w:rsidRDefault="005512D2"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135FDAA4" w14:textId="77777777" w:rsidR="005512D2" w:rsidRPr="00591BFC" w:rsidRDefault="005512D2" w:rsidP="00E86771">
            <w:pPr>
              <w:spacing w:line="360" w:lineRule="auto"/>
            </w:pPr>
            <w:r w:rsidRPr="00591BFC">
              <w:t> </w:t>
            </w:r>
          </w:p>
        </w:tc>
        <w:tc>
          <w:tcPr>
            <w:tcW w:w="1320" w:type="dxa"/>
            <w:shd w:val="clear" w:color="auto" w:fill="auto"/>
            <w:noWrap/>
            <w:hideMark/>
          </w:tcPr>
          <w:p w14:paraId="5F537B4D" w14:textId="77777777" w:rsidR="005512D2" w:rsidRPr="00591BFC" w:rsidRDefault="005512D2" w:rsidP="00E86771">
            <w:pPr>
              <w:spacing w:line="360" w:lineRule="auto"/>
            </w:pPr>
            <w:r w:rsidRPr="00591BFC">
              <w:t> </w:t>
            </w:r>
          </w:p>
        </w:tc>
        <w:tc>
          <w:tcPr>
            <w:tcW w:w="1320" w:type="dxa"/>
            <w:shd w:val="clear" w:color="auto" w:fill="auto"/>
            <w:noWrap/>
            <w:hideMark/>
          </w:tcPr>
          <w:p w14:paraId="20AE1BE1" w14:textId="77777777" w:rsidR="005512D2" w:rsidRPr="00591BFC" w:rsidRDefault="005512D2" w:rsidP="00E86771">
            <w:pPr>
              <w:spacing w:line="360" w:lineRule="auto"/>
            </w:pPr>
            <w:r w:rsidRPr="00591BFC">
              <w:t> </w:t>
            </w:r>
          </w:p>
        </w:tc>
        <w:tc>
          <w:tcPr>
            <w:tcW w:w="1063" w:type="dxa"/>
            <w:shd w:val="clear" w:color="auto" w:fill="auto"/>
            <w:noWrap/>
            <w:hideMark/>
          </w:tcPr>
          <w:p w14:paraId="52705796" w14:textId="77777777" w:rsidR="005512D2" w:rsidRPr="00591BFC" w:rsidRDefault="005512D2" w:rsidP="00E86771">
            <w:pPr>
              <w:spacing w:line="360" w:lineRule="auto"/>
            </w:pPr>
            <w:r w:rsidRPr="00591BFC">
              <w:t> </w:t>
            </w:r>
          </w:p>
        </w:tc>
      </w:tr>
      <w:tr w:rsidR="005512D2" w:rsidRPr="00591BFC" w14:paraId="199CB6DA" w14:textId="77777777" w:rsidTr="00FE3F68">
        <w:trPr>
          <w:trHeight w:val="330"/>
        </w:trPr>
        <w:tc>
          <w:tcPr>
            <w:tcW w:w="4016" w:type="dxa"/>
            <w:shd w:val="clear" w:color="auto" w:fill="auto"/>
            <w:noWrap/>
            <w:hideMark/>
          </w:tcPr>
          <w:p w14:paraId="48C80232" w14:textId="77777777" w:rsidR="005512D2" w:rsidRPr="00591BFC" w:rsidRDefault="005512D2"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3C092629" w14:textId="77777777" w:rsidR="005512D2" w:rsidRPr="00591BFC" w:rsidRDefault="005512D2" w:rsidP="00E86771">
            <w:pPr>
              <w:spacing w:line="360" w:lineRule="auto"/>
            </w:pPr>
            <w:r w:rsidRPr="00591BFC">
              <w:t>-5.56</w:t>
            </w:r>
          </w:p>
        </w:tc>
        <w:tc>
          <w:tcPr>
            <w:tcW w:w="1320" w:type="dxa"/>
            <w:shd w:val="clear" w:color="auto" w:fill="auto"/>
            <w:noWrap/>
            <w:hideMark/>
          </w:tcPr>
          <w:p w14:paraId="4609BF3F" w14:textId="77777777" w:rsidR="005512D2" w:rsidRPr="00591BFC" w:rsidRDefault="005512D2" w:rsidP="00E86771">
            <w:pPr>
              <w:spacing w:line="360" w:lineRule="auto"/>
            </w:pPr>
            <w:r w:rsidRPr="00591BFC">
              <w:t>-7.59</w:t>
            </w:r>
          </w:p>
        </w:tc>
        <w:tc>
          <w:tcPr>
            <w:tcW w:w="1320" w:type="dxa"/>
            <w:shd w:val="clear" w:color="auto" w:fill="auto"/>
            <w:noWrap/>
            <w:hideMark/>
          </w:tcPr>
          <w:p w14:paraId="7EFAB13E" w14:textId="77777777" w:rsidR="005512D2" w:rsidRPr="00591BFC" w:rsidRDefault="005512D2" w:rsidP="00E86771">
            <w:pPr>
              <w:spacing w:line="360" w:lineRule="auto"/>
            </w:pPr>
            <w:r w:rsidRPr="00591BFC">
              <w:t>-3.52</w:t>
            </w:r>
          </w:p>
        </w:tc>
        <w:tc>
          <w:tcPr>
            <w:tcW w:w="1063" w:type="dxa"/>
            <w:shd w:val="clear" w:color="auto" w:fill="auto"/>
            <w:noWrap/>
            <w:hideMark/>
          </w:tcPr>
          <w:p w14:paraId="726EA429" w14:textId="77777777" w:rsidR="005512D2" w:rsidRPr="00591BFC" w:rsidRDefault="005512D2" w:rsidP="00E86771">
            <w:pPr>
              <w:spacing w:line="360" w:lineRule="auto"/>
            </w:pPr>
            <w:r w:rsidRPr="00591BFC">
              <w:t>&lt;0.001</w:t>
            </w:r>
          </w:p>
        </w:tc>
      </w:tr>
      <w:tr w:rsidR="005512D2" w:rsidRPr="00591BFC" w14:paraId="747A29F5" w14:textId="77777777" w:rsidTr="00FE3F68">
        <w:trPr>
          <w:trHeight w:val="330"/>
        </w:trPr>
        <w:tc>
          <w:tcPr>
            <w:tcW w:w="4016" w:type="dxa"/>
            <w:shd w:val="clear" w:color="auto" w:fill="auto"/>
            <w:noWrap/>
            <w:hideMark/>
          </w:tcPr>
          <w:p w14:paraId="2C1F89B6" w14:textId="77777777" w:rsidR="005512D2" w:rsidRPr="00591BFC" w:rsidRDefault="005512D2"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50F2CDA7" w14:textId="77777777" w:rsidR="005512D2" w:rsidRPr="00591BFC" w:rsidRDefault="005512D2" w:rsidP="00E86771">
            <w:pPr>
              <w:spacing w:line="360" w:lineRule="auto"/>
            </w:pPr>
            <w:r w:rsidRPr="00591BFC">
              <w:t> </w:t>
            </w:r>
          </w:p>
        </w:tc>
        <w:tc>
          <w:tcPr>
            <w:tcW w:w="1320" w:type="dxa"/>
            <w:shd w:val="clear" w:color="auto" w:fill="auto"/>
            <w:noWrap/>
            <w:hideMark/>
          </w:tcPr>
          <w:p w14:paraId="0DC864E6" w14:textId="77777777" w:rsidR="005512D2" w:rsidRPr="00591BFC" w:rsidRDefault="005512D2" w:rsidP="00E86771">
            <w:pPr>
              <w:spacing w:line="360" w:lineRule="auto"/>
            </w:pPr>
            <w:r w:rsidRPr="00591BFC">
              <w:t> </w:t>
            </w:r>
          </w:p>
        </w:tc>
        <w:tc>
          <w:tcPr>
            <w:tcW w:w="1320" w:type="dxa"/>
            <w:shd w:val="clear" w:color="auto" w:fill="auto"/>
            <w:noWrap/>
            <w:hideMark/>
          </w:tcPr>
          <w:p w14:paraId="5BD38E3D" w14:textId="77777777" w:rsidR="005512D2" w:rsidRPr="00591BFC" w:rsidRDefault="005512D2" w:rsidP="00E86771">
            <w:pPr>
              <w:spacing w:line="360" w:lineRule="auto"/>
            </w:pPr>
            <w:r w:rsidRPr="00591BFC">
              <w:t> </w:t>
            </w:r>
          </w:p>
        </w:tc>
        <w:tc>
          <w:tcPr>
            <w:tcW w:w="1063" w:type="dxa"/>
            <w:shd w:val="clear" w:color="auto" w:fill="auto"/>
            <w:noWrap/>
            <w:hideMark/>
          </w:tcPr>
          <w:p w14:paraId="5E04AD53" w14:textId="77777777" w:rsidR="005512D2" w:rsidRPr="00591BFC" w:rsidRDefault="005512D2" w:rsidP="00E86771">
            <w:pPr>
              <w:spacing w:line="360" w:lineRule="auto"/>
            </w:pPr>
            <w:r w:rsidRPr="00591BFC">
              <w:t> </w:t>
            </w:r>
          </w:p>
        </w:tc>
      </w:tr>
      <w:tr w:rsidR="005512D2" w:rsidRPr="00591BFC" w14:paraId="1B5258A8" w14:textId="77777777" w:rsidTr="00FE3F68">
        <w:trPr>
          <w:trHeight w:val="315"/>
        </w:trPr>
        <w:tc>
          <w:tcPr>
            <w:tcW w:w="4016" w:type="dxa"/>
            <w:shd w:val="clear" w:color="auto" w:fill="auto"/>
            <w:noWrap/>
            <w:hideMark/>
          </w:tcPr>
          <w:p w14:paraId="0DA88FEC" w14:textId="77777777" w:rsidR="005512D2" w:rsidRPr="00591BFC" w:rsidRDefault="005512D2" w:rsidP="00E86771">
            <w:pPr>
              <w:spacing w:line="360" w:lineRule="auto"/>
              <w:rPr>
                <w:u w:val="single"/>
              </w:rPr>
            </w:pPr>
            <w:r w:rsidRPr="00591BFC">
              <w:rPr>
                <w:u w:val="single"/>
              </w:rPr>
              <w:t xml:space="preserve">mortality (1 year): difference between </w:t>
            </w:r>
            <w:r w:rsidRPr="00591BFC">
              <w:rPr>
                <w:u w:val="single"/>
              </w:rPr>
              <w:lastRenderedPageBreak/>
              <w:t>cases and controls</w:t>
            </w:r>
          </w:p>
        </w:tc>
        <w:tc>
          <w:tcPr>
            <w:tcW w:w="1320" w:type="dxa"/>
            <w:noWrap/>
            <w:hideMark/>
          </w:tcPr>
          <w:p w14:paraId="16A60437" w14:textId="77777777" w:rsidR="005512D2" w:rsidRPr="00591BFC" w:rsidRDefault="005512D2" w:rsidP="00E86771">
            <w:pPr>
              <w:spacing w:line="360" w:lineRule="auto"/>
            </w:pPr>
          </w:p>
        </w:tc>
        <w:tc>
          <w:tcPr>
            <w:tcW w:w="1320" w:type="dxa"/>
            <w:shd w:val="clear" w:color="auto" w:fill="auto"/>
            <w:noWrap/>
            <w:hideMark/>
          </w:tcPr>
          <w:p w14:paraId="79FC5D49" w14:textId="77777777" w:rsidR="005512D2" w:rsidRPr="00591BFC" w:rsidRDefault="005512D2" w:rsidP="00E86771">
            <w:pPr>
              <w:spacing w:line="360" w:lineRule="auto"/>
            </w:pPr>
          </w:p>
        </w:tc>
        <w:tc>
          <w:tcPr>
            <w:tcW w:w="1320" w:type="dxa"/>
            <w:shd w:val="clear" w:color="auto" w:fill="auto"/>
            <w:noWrap/>
            <w:hideMark/>
          </w:tcPr>
          <w:p w14:paraId="6193B945" w14:textId="77777777" w:rsidR="005512D2" w:rsidRPr="00591BFC" w:rsidRDefault="005512D2" w:rsidP="00E86771">
            <w:pPr>
              <w:spacing w:line="360" w:lineRule="auto"/>
            </w:pPr>
          </w:p>
        </w:tc>
        <w:tc>
          <w:tcPr>
            <w:tcW w:w="1063" w:type="dxa"/>
            <w:shd w:val="clear" w:color="auto" w:fill="auto"/>
            <w:noWrap/>
            <w:hideMark/>
          </w:tcPr>
          <w:p w14:paraId="7B3780BA" w14:textId="77777777" w:rsidR="005512D2" w:rsidRPr="00591BFC" w:rsidRDefault="005512D2" w:rsidP="00E86771">
            <w:pPr>
              <w:spacing w:line="360" w:lineRule="auto"/>
            </w:pPr>
          </w:p>
        </w:tc>
      </w:tr>
      <w:tr w:rsidR="005512D2" w:rsidRPr="00591BFC" w14:paraId="2391C020" w14:textId="77777777" w:rsidTr="00FE3F68">
        <w:trPr>
          <w:trHeight w:val="315"/>
        </w:trPr>
        <w:tc>
          <w:tcPr>
            <w:tcW w:w="4016" w:type="dxa"/>
            <w:shd w:val="clear" w:color="auto" w:fill="auto"/>
            <w:hideMark/>
          </w:tcPr>
          <w:p w14:paraId="411FECE3" w14:textId="77777777" w:rsidR="005512D2" w:rsidRPr="00591BFC" w:rsidRDefault="005512D2" w:rsidP="00E86771">
            <w:pPr>
              <w:spacing w:line="360" w:lineRule="auto"/>
            </w:pPr>
            <w:r w:rsidRPr="00591BFC">
              <w:lastRenderedPageBreak/>
              <w:t>Intercept (β</w:t>
            </w:r>
            <w:r w:rsidRPr="00591BFC">
              <w:rPr>
                <w:vertAlign w:val="subscript"/>
              </w:rPr>
              <w:t>0</w:t>
            </w:r>
            <w:r w:rsidRPr="00591BFC">
              <w:t>)</w:t>
            </w:r>
          </w:p>
        </w:tc>
        <w:tc>
          <w:tcPr>
            <w:tcW w:w="1320" w:type="dxa"/>
            <w:shd w:val="clear" w:color="auto" w:fill="auto"/>
            <w:hideMark/>
          </w:tcPr>
          <w:p w14:paraId="00CFA1BA" w14:textId="77777777" w:rsidR="005512D2" w:rsidRPr="00591BFC" w:rsidRDefault="005512D2" w:rsidP="00E86771">
            <w:pPr>
              <w:spacing w:line="360" w:lineRule="auto"/>
            </w:pPr>
            <w:r w:rsidRPr="00591BFC">
              <w:t>13.44</w:t>
            </w:r>
          </w:p>
        </w:tc>
        <w:tc>
          <w:tcPr>
            <w:tcW w:w="1320" w:type="dxa"/>
            <w:shd w:val="clear" w:color="auto" w:fill="auto"/>
            <w:hideMark/>
          </w:tcPr>
          <w:p w14:paraId="387C0735" w14:textId="77777777" w:rsidR="005512D2" w:rsidRPr="00591BFC" w:rsidRDefault="005512D2" w:rsidP="00E86771">
            <w:pPr>
              <w:spacing w:line="360" w:lineRule="auto"/>
            </w:pPr>
            <w:r w:rsidRPr="00591BFC">
              <w:t>12.51</w:t>
            </w:r>
          </w:p>
        </w:tc>
        <w:tc>
          <w:tcPr>
            <w:tcW w:w="1320" w:type="dxa"/>
            <w:shd w:val="clear" w:color="auto" w:fill="auto"/>
            <w:hideMark/>
          </w:tcPr>
          <w:p w14:paraId="092D3D4C" w14:textId="77777777" w:rsidR="005512D2" w:rsidRPr="00591BFC" w:rsidRDefault="005512D2" w:rsidP="00E86771">
            <w:pPr>
              <w:spacing w:line="360" w:lineRule="auto"/>
            </w:pPr>
            <w:r w:rsidRPr="00591BFC">
              <w:t>14.4</w:t>
            </w:r>
          </w:p>
        </w:tc>
        <w:tc>
          <w:tcPr>
            <w:tcW w:w="1063" w:type="dxa"/>
            <w:shd w:val="clear" w:color="auto" w:fill="auto"/>
            <w:hideMark/>
          </w:tcPr>
          <w:p w14:paraId="27953EAA" w14:textId="77777777" w:rsidR="005512D2" w:rsidRPr="00591BFC" w:rsidRDefault="005512D2" w:rsidP="00E86771">
            <w:pPr>
              <w:spacing w:line="360" w:lineRule="auto"/>
            </w:pPr>
            <w:r w:rsidRPr="00591BFC">
              <w:t>&lt;0.001</w:t>
            </w:r>
          </w:p>
        </w:tc>
      </w:tr>
      <w:tr w:rsidR="005512D2" w:rsidRPr="00591BFC" w14:paraId="26CB63AC" w14:textId="77777777" w:rsidTr="00FE3F68">
        <w:trPr>
          <w:trHeight w:val="330"/>
        </w:trPr>
        <w:tc>
          <w:tcPr>
            <w:tcW w:w="4016" w:type="dxa"/>
            <w:shd w:val="clear" w:color="auto" w:fill="auto"/>
            <w:noWrap/>
            <w:hideMark/>
          </w:tcPr>
          <w:p w14:paraId="2984403A" w14:textId="77777777" w:rsidR="005512D2" w:rsidRPr="00591BFC" w:rsidRDefault="005512D2"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51A0B82D" w14:textId="77777777" w:rsidR="005512D2" w:rsidRPr="00591BFC" w:rsidRDefault="005512D2" w:rsidP="00E86771">
            <w:pPr>
              <w:spacing w:line="360" w:lineRule="auto"/>
            </w:pPr>
            <w:r w:rsidRPr="00591BFC">
              <w:t> </w:t>
            </w:r>
          </w:p>
        </w:tc>
        <w:tc>
          <w:tcPr>
            <w:tcW w:w="1320" w:type="dxa"/>
            <w:shd w:val="clear" w:color="auto" w:fill="auto"/>
            <w:noWrap/>
            <w:hideMark/>
          </w:tcPr>
          <w:p w14:paraId="1DC67EA6" w14:textId="77777777" w:rsidR="005512D2" w:rsidRPr="00591BFC" w:rsidRDefault="005512D2" w:rsidP="00E86771">
            <w:pPr>
              <w:spacing w:line="360" w:lineRule="auto"/>
            </w:pPr>
            <w:r w:rsidRPr="00591BFC">
              <w:t> </w:t>
            </w:r>
          </w:p>
        </w:tc>
        <w:tc>
          <w:tcPr>
            <w:tcW w:w="1320" w:type="dxa"/>
            <w:shd w:val="clear" w:color="auto" w:fill="auto"/>
            <w:noWrap/>
            <w:hideMark/>
          </w:tcPr>
          <w:p w14:paraId="62F57A26" w14:textId="77777777" w:rsidR="005512D2" w:rsidRPr="00591BFC" w:rsidRDefault="005512D2" w:rsidP="00E86771">
            <w:pPr>
              <w:spacing w:line="360" w:lineRule="auto"/>
            </w:pPr>
            <w:r w:rsidRPr="00591BFC">
              <w:t> </w:t>
            </w:r>
          </w:p>
        </w:tc>
        <w:tc>
          <w:tcPr>
            <w:tcW w:w="1063" w:type="dxa"/>
            <w:shd w:val="clear" w:color="auto" w:fill="auto"/>
            <w:noWrap/>
            <w:hideMark/>
          </w:tcPr>
          <w:p w14:paraId="7E5BE775" w14:textId="77777777" w:rsidR="005512D2" w:rsidRPr="00591BFC" w:rsidRDefault="005512D2" w:rsidP="00E86771">
            <w:pPr>
              <w:spacing w:line="360" w:lineRule="auto"/>
            </w:pPr>
            <w:r w:rsidRPr="00591BFC">
              <w:t> </w:t>
            </w:r>
          </w:p>
        </w:tc>
      </w:tr>
      <w:tr w:rsidR="005512D2" w:rsidRPr="00591BFC" w14:paraId="01CB06C7" w14:textId="77777777" w:rsidTr="00FE3F68">
        <w:trPr>
          <w:trHeight w:val="330"/>
        </w:trPr>
        <w:tc>
          <w:tcPr>
            <w:tcW w:w="4016" w:type="dxa"/>
            <w:shd w:val="clear" w:color="auto" w:fill="auto"/>
            <w:noWrap/>
            <w:hideMark/>
          </w:tcPr>
          <w:p w14:paraId="63BB942D" w14:textId="77777777" w:rsidR="005512D2" w:rsidRPr="00591BFC" w:rsidRDefault="005512D2"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2E306242" w14:textId="77777777" w:rsidR="005512D2" w:rsidRPr="00591BFC" w:rsidRDefault="005512D2" w:rsidP="00E86771">
            <w:pPr>
              <w:spacing w:line="360" w:lineRule="auto"/>
            </w:pPr>
            <w:r w:rsidRPr="00591BFC">
              <w:t> </w:t>
            </w:r>
          </w:p>
        </w:tc>
        <w:tc>
          <w:tcPr>
            <w:tcW w:w="1320" w:type="dxa"/>
            <w:shd w:val="clear" w:color="auto" w:fill="auto"/>
            <w:noWrap/>
            <w:hideMark/>
          </w:tcPr>
          <w:p w14:paraId="113644A3" w14:textId="77777777" w:rsidR="005512D2" w:rsidRPr="00591BFC" w:rsidRDefault="005512D2" w:rsidP="00E86771">
            <w:pPr>
              <w:spacing w:line="360" w:lineRule="auto"/>
            </w:pPr>
            <w:r w:rsidRPr="00591BFC">
              <w:t> </w:t>
            </w:r>
          </w:p>
        </w:tc>
        <w:tc>
          <w:tcPr>
            <w:tcW w:w="1320" w:type="dxa"/>
            <w:shd w:val="clear" w:color="auto" w:fill="auto"/>
            <w:noWrap/>
            <w:hideMark/>
          </w:tcPr>
          <w:p w14:paraId="69F3DFB4" w14:textId="77777777" w:rsidR="005512D2" w:rsidRPr="00591BFC" w:rsidRDefault="005512D2" w:rsidP="00E86771">
            <w:pPr>
              <w:spacing w:line="360" w:lineRule="auto"/>
            </w:pPr>
            <w:r w:rsidRPr="00591BFC">
              <w:t> </w:t>
            </w:r>
          </w:p>
        </w:tc>
        <w:tc>
          <w:tcPr>
            <w:tcW w:w="1063" w:type="dxa"/>
            <w:shd w:val="clear" w:color="auto" w:fill="auto"/>
            <w:noWrap/>
            <w:hideMark/>
          </w:tcPr>
          <w:p w14:paraId="4BD9E8F6" w14:textId="77777777" w:rsidR="005512D2" w:rsidRPr="00591BFC" w:rsidRDefault="005512D2" w:rsidP="00E86771">
            <w:pPr>
              <w:spacing w:line="360" w:lineRule="auto"/>
            </w:pPr>
            <w:r w:rsidRPr="00591BFC">
              <w:t> </w:t>
            </w:r>
          </w:p>
        </w:tc>
      </w:tr>
      <w:tr w:rsidR="005512D2" w:rsidRPr="00591BFC" w14:paraId="1E3E0246" w14:textId="77777777" w:rsidTr="00FE3F68">
        <w:trPr>
          <w:trHeight w:val="330"/>
        </w:trPr>
        <w:tc>
          <w:tcPr>
            <w:tcW w:w="4016" w:type="dxa"/>
            <w:shd w:val="clear" w:color="auto" w:fill="auto"/>
            <w:noWrap/>
            <w:hideMark/>
          </w:tcPr>
          <w:p w14:paraId="64CFB8DD" w14:textId="77777777" w:rsidR="005512D2" w:rsidRPr="00591BFC" w:rsidRDefault="005512D2"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0FF3D573" w14:textId="77777777" w:rsidR="005512D2" w:rsidRPr="00591BFC" w:rsidRDefault="005512D2" w:rsidP="00E86771">
            <w:pPr>
              <w:spacing w:line="360" w:lineRule="auto"/>
            </w:pPr>
            <w:r w:rsidRPr="00591BFC">
              <w:t> </w:t>
            </w:r>
          </w:p>
        </w:tc>
        <w:tc>
          <w:tcPr>
            <w:tcW w:w="1320" w:type="dxa"/>
            <w:shd w:val="clear" w:color="auto" w:fill="auto"/>
            <w:noWrap/>
            <w:hideMark/>
          </w:tcPr>
          <w:p w14:paraId="18505B1F" w14:textId="77777777" w:rsidR="005512D2" w:rsidRPr="00591BFC" w:rsidRDefault="005512D2" w:rsidP="00E86771">
            <w:pPr>
              <w:spacing w:line="360" w:lineRule="auto"/>
            </w:pPr>
            <w:r w:rsidRPr="00591BFC">
              <w:t> </w:t>
            </w:r>
          </w:p>
        </w:tc>
        <w:tc>
          <w:tcPr>
            <w:tcW w:w="1320" w:type="dxa"/>
            <w:shd w:val="clear" w:color="auto" w:fill="auto"/>
            <w:noWrap/>
            <w:hideMark/>
          </w:tcPr>
          <w:p w14:paraId="5DC46C88" w14:textId="77777777" w:rsidR="005512D2" w:rsidRPr="00591BFC" w:rsidRDefault="005512D2" w:rsidP="00E86771">
            <w:pPr>
              <w:spacing w:line="360" w:lineRule="auto"/>
            </w:pPr>
            <w:r w:rsidRPr="00591BFC">
              <w:t> </w:t>
            </w:r>
          </w:p>
        </w:tc>
        <w:tc>
          <w:tcPr>
            <w:tcW w:w="1063" w:type="dxa"/>
            <w:shd w:val="clear" w:color="auto" w:fill="auto"/>
            <w:noWrap/>
            <w:hideMark/>
          </w:tcPr>
          <w:p w14:paraId="5384870E" w14:textId="77777777" w:rsidR="005512D2" w:rsidRPr="00591BFC" w:rsidRDefault="005512D2" w:rsidP="00E86771">
            <w:pPr>
              <w:spacing w:line="360" w:lineRule="auto"/>
            </w:pPr>
            <w:r w:rsidRPr="00591BFC">
              <w:t> </w:t>
            </w:r>
          </w:p>
        </w:tc>
      </w:tr>
      <w:tr w:rsidR="005512D2" w:rsidRPr="00591BFC" w14:paraId="2905F8DA" w14:textId="77777777" w:rsidTr="00FE3F68">
        <w:trPr>
          <w:trHeight w:val="330"/>
        </w:trPr>
        <w:tc>
          <w:tcPr>
            <w:tcW w:w="4016" w:type="dxa"/>
            <w:shd w:val="clear" w:color="auto" w:fill="auto"/>
            <w:noWrap/>
            <w:hideMark/>
          </w:tcPr>
          <w:p w14:paraId="4BE9F745" w14:textId="77777777" w:rsidR="005512D2" w:rsidRPr="00591BFC" w:rsidRDefault="005512D2"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69BFE29D" w14:textId="77777777" w:rsidR="005512D2" w:rsidRPr="00591BFC" w:rsidRDefault="005512D2" w:rsidP="00E86771">
            <w:pPr>
              <w:spacing w:line="360" w:lineRule="auto"/>
            </w:pPr>
            <w:r w:rsidRPr="00591BFC">
              <w:t> </w:t>
            </w:r>
          </w:p>
        </w:tc>
        <w:tc>
          <w:tcPr>
            <w:tcW w:w="1320" w:type="dxa"/>
            <w:shd w:val="clear" w:color="auto" w:fill="auto"/>
            <w:noWrap/>
            <w:hideMark/>
          </w:tcPr>
          <w:p w14:paraId="016584FE" w14:textId="77777777" w:rsidR="005512D2" w:rsidRPr="00591BFC" w:rsidRDefault="005512D2" w:rsidP="00E86771">
            <w:pPr>
              <w:spacing w:line="360" w:lineRule="auto"/>
            </w:pPr>
            <w:r w:rsidRPr="00591BFC">
              <w:t> </w:t>
            </w:r>
          </w:p>
        </w:tc>
        <w:tc>
          <w:tcPr>
            <w:tcW w:w="1320" w:type="dxa"/>
            <w:shd w:val="clear" w:color="auto" w:fill="auto"/>
            <w:noWrap/>
            <w:hideMark/>
          </w:tcPr>
          <w:p w14:paraId="2EABC397" w14:textId="77777777" w:rsidR="005512D2" w:rsidRPr="00591BFC" w:rsidRDefault="005512D2" w:rsidP="00E86771">
            <w:pPr>
              <w:spacing w:line="360" w:lineRule="auto"/>
            </w:pPr>
            <w:r w:rsidRPr="00591BFC">
              <w:t> </w:t>
            </w:r>
          </w:p>
        </w:tc>
        <w:tc>
          <w:tcPr>
            <w:tcW w:w="1063" w:type="dxa"/>
            <w:shd w:val="clear" w:color="auto" w:fill="auto"/>
            <w:noWrap/>
            <w:hideMark/>
          </w:tcPr>
          <w:p w14:paraId="0E7B3DFE" w14:textId="77777777" w:rsidR="005512D2" w:rsidRPr="00591BFC" w:rsidRDefault="005512D2" w:rsidP="00E86771">
            <w:pPr>
              <w:spacing w:line="360" w:lineRule="auto"/>
            </w:pPr>
            <w:r w:rsidRPr="00591BFC">
              <w:t> </w:t>
            </w:r>
          </w:p>
        </w:tc>
      </w:tr>
      <w:tr w:rsidR="005512D2" w:rsidRPr="00591BFC" w14:paraId="64C0880A" w14:textId="77777777" w:rsidTr="00FE3F68">
        <w:trPr>
          <w:trHeight w:val="330"/>
        </w:trPr>
        <w:tc>
          <w:tcPr>
            <w:tcW w:w="4016" w:type="dxa"/>
            <w:shd w:val="clear" w:color="auto" w:fill="auto"/>
            <w:noWrap/>
            <w:hideMark/>
          </w:tcPr>
          <w:p w14:paraId="65288E89" w14:textId="77777777" w:rsidR="005512D2" w:rsidRPr="00591BFC" w:rsidRDefault="005512D2"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5FF0FCF7" w14:textId="77777777" w:rsidR="005512D2" w:rsidRPr="00591BFC" w:rsidRDefault="005512D2" w:rsidP="00E86771">
            <w:pPr>
              <w:spacing w:line="360" w:lineRule="auto"/>
            </w:pPr>
            <w:r w:rsidRPr="00591BFC">
              <w:t>0.98</w:t>
            </w:r>
          </w:p>
        </w:tc>
        <w:tc>
          <w:tcPr>
            <w:tcW w:w="1320" w:type="dxa"/>
            <w:shd w:val="clear" w:color="auto" w:fill="auto"/>
            <w:noWrap/>
            <w:hideMark/>
          </w:tcPr>
          <w:p w14:paraId="3B257423" w14:textId="77777777" w:rsidR="005512D2" w:rsidRPr="00591BFC" w:rsidRDefault="005512D2" w:rsidP="00E86771">
            <w:pPr>
              <w:spacing w:line="360" w:lineRule="auto"/>
            </w:pPr>
            <w:r w:rsidRPr="00591BFC">
              <w:t>0.16</w:t>
            </w:r>
          </w:p>
        </w:tc>
        <w:tc>
          <w:tcPr>
            <w:tcW w:w="1320" w:type="dxa"/>
            <w:shd w:val="clear" w:color="auto" w:fill="auto"/>
            <w:noWrap/>
            <w:hideMark/>
          </w:tcPr>
          <w:p w14:paraId="26E5257A" w14:textId="77777777" w:rsidR="005512D2" w:rsidRPr="00591BFC" w:rsidRDefault="005512D2" w:rsidP="00E86771">
            <w:pPr>
              <w:spacing w:line="360" w:lineRule="auto"/>
            </w:pPr>
            <w:r w:rsidRPr="00591BFC">
              <w:t>1.8</w:t>
            </w:r>
          </w:p>
        </w:tc>
        <w:tc>
          <w:tcPr>
            <w:tcW w:w="1063" w:type="dxa"/>
            <w:shd w:val="clear" w:color="auto" w:fill="auto"/>
            <w:noWrap/>
            <w:hideMark/>
          </w:tcPr>
          <w:p w14:paraId="3FDB8D17" w14:textId="77777777" w:rsidR="005512D2" w:rsidRPr="00591BFC" w:rsidRDefault="005512D2" w:rsidP="00E86771">
            <w:pPr>
              <w:spacing w:line="360" w:lineRule="auto"/>
            </w:pPr>
            <w:r w:rsidRPr="00591BFC">
              <w:t>0.022</w:t>
            </w:r>
          </w:p>
        </w:tc>
      </w:tr>
      <w:tr w:rsidR="005512D2" w:rsidRPr="00591BFC" w14:paraId="3EE73000" w14:textId="77777777" w:rsidTr="00FE3F68">
        <w:trPr>
          <w:trHeight w:val="330"/>
        </w:trPr>
        <w:tc>
          <w:tcPr>
            <w:tcW w:w="4016" w:type="dxa"/>
            <w:shd w:val="clear" w:color="auto" w:fill="auto"/>
            <w:noWrap/>
            <w:hideMark/>
          </w:tcPr>
          <w:p w14:paraId="492FDBEC" w14:textId="77777777" w:rsidR="005512D2" w:rsidRPr="00591BFC" w:rsidRDefault="005512D2"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4C14C2FA" w14:textId="77777777" w:rsidR="005512D2" w:rsidRPr="00591BFC" w:rsidRDefault="005512D2" w:rsidP="00E86771">
            <w:pPr>
              <w:spacing w:line="360" w:lineRule="auto"/>
            </w:pPr>
            <w:r w:rsidRPr="00591BFC">
              <w:t>-8.76</w:t>
            </w:r>
          </w:p>
        </w:tc>
        <w:tc>
          <w:tcPr>
            <w:tcW w:w="1320" w:type="dxa"/>
            <w:shd w:val="clear" w:color="auto" w:fill="auto"/>
            <w:noWrap/>
            <w:hideMark/>
          </w:tcPr>
          <w:p w14:paraId="5388CD48" w14:textId="77777777" w:rsidR="005512D2" w:rsidRPr="00591BFC" w:rsidRDefault="005512D2" w:rsidP="00E86771">
            <w:pPr>
              <w:spacing w:line="360" w:lineRule="auto"/>
            </w:pPr>
            <w:r w:rsidRPr="00591BFC">
              <w:t>-13.8</w:t>
            </w:r>
          </w:p>
        </w:tc>
        <w:tc>
          <w:tcPr>
            <w:tcW w:w="1320" w:type="dxa"/>
            <w:shd w:val="clear" w:color="auto" w:fill="auto"/>
            <w:noWrap/>
            <w:hideMark/>
          </w:tcPr>
          <w:p w14:paraId="4238228A" w14:textId="77777777" w:rsidR="005512D2" w:rsidRPr="00591BFC" w:rsidRDefault="005512D2" w:rsidP="00E86771">
            <w:pPr>
              <w:spacing w:line="360" w:lineRule="auto"/>
            </w:pPr>
            <w:r w:rsidRPr="00591BFC">
              <w:t>-3.7</w:t>
            </w:r>
          </w:p>
        </w:tc>
        <w:tc>
          <w:tcPr>
            <w:tcW w:w="1063" w:type="dxa"/>
            <w:shd w:val="clear" w:color="auto" w:fill="auto"/>
            <w:noWrap/>
            <w:hideMark/>
          </w:tcPr>
          <w:p w14:paraId="7E91EABC" w14:textId="77777777" w:rsidR="005512D2" w:rsidRPr="00591BFC" w:rsidRDefault="005512D2" w:rsidP="00E86771">
            <w:pPr>
              <w:spacing w:line="360" w:lineRule="auto"/>
            </w:pPr>
            <w:r w:rsidRPr="00591BFC">
              <w:t>0.002</w:t>
            </w:r>
          </w:p>
        </w:tc>
      </w:tr>
      <w:tr w:rsidR="005512D2" w:rsidRPr="00591BFC" w14:paraId="34B3D8BE" w14:textId="77777777" w:rsidTr="00FE3F68">
        <w:trPr>
          <w:trHeight w:val="330"/>
        </w:trPr>
        <w:tc>
          <w:tcPr>
            <w:tcW w:w="4016" w:type="dxa"/>
            <w:shd w:val="clear" w:color="auto" w:fill="auto"/>
            <w:noWrap/>
            <w:hideMark/>
          </w:tcPr>
          <w:p w14:paraId="462933A9" w14:textId="77777777" w:rsidR="005512D2" w:rsidRPr="00591BFC" w:rsidRDefault="005512D2"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35AFB50F" w14:textId="77777777" w:rsidR="005512D2" w:rsidRPr="00591BFC" w:rsidRDefault="005512D2" w:rsidP="00E86771">
            <w:pPr>
              <w:spacing w:line="360" w:lineRule="auto"/>
            </w:pPr>
            <w:r w:rsidRPr="00591BFC">
              <w:t> </w:t>
            </w:r>
          </w:p>
        </w:tc>
        <w:tc>
          <w:tcPr>
            <w:tcW w:w="1320" w:type="dxa"/>
            <w:shd w:val="clear" w:color="auto" w:fill="auto"/>
            <w:noWrap/>
            <w:hideMark/>
          </w:tcPr>
          <w:p w14:paraId="30C1D20C" w14:textId="77777777" w:rsidR="005512D2" w:rsidRPr="00591BFC" w:rsidRDefault="005512D2" w:rsidP="00E86771">
            <w:pPr>
              <w:spacing w:line="360" w:lineRule="auto"/>
            </w:pPr>
            <w:r w:rsidRPr="00591BFC">
              <w:t> </w:t>
            </w:r>
          </w:p>
        </w:tc>
        <w:tc>
          <w:tcPr>
            <w:tcW w:w="1320" w:type="dxa"/>
            <w:shd w:val="clear" w:color="auto" w:fill="auto"/>
            <w:noWrap/>
            <w:hideMark/>
          </w:tcPr>
          <w:p w14:paraId="16A3E8C9" w14:textId="77777777" w:rsidR="005512D2" w:rsidRPr="00591BFC" w:rsidRDefault="005512D2" w:rsidP="00E86771">
            <w:pPr>
              <w:spacing w:line="360" w:lineRule="auto"/>
            </w:pPr>
            <w:r w:rsidRPr="00591BFC">
              <w:t> </w:t>
            </w:r>
          </w:p>
        </w:tc>
        <w:tc>
          <w:tcPr>
            <w:tcW w:w="1063" w:type="dxa"/>
            <w:shd w:val="clear" w:color="auto" w:fill="auto"/>
            <w:noWrap/>
            <w:hideMark/>
          </w:tcPr>
          <w:p w14:paraId="29261301" w14:textId="77777777" w:rsidR="005512D2" w:rsidRPr="00591BFC" w:rsidRDefault="005512D2" w:rsidP="00E86771">
            <w:pPr>
              <w:spacing w:line="360" w:lineRule="auto"/>
            </w:pPr>
            <w:r w:rsidRPr="00591BFC">
              <w:t> </w:t>
            </w:r>
          </w:p>
        </w:tc>
      </w:tr>
      <w:tr w:rsidR="005512D2" w:rsidRPr="00591BFC" w14:paraId="40A3BE41" w14:textId="77777777" w:rsidTr="00FE3F68">
        <w:trPr>
          <w:trHeight w:val="315"/>
        </w:trPr>
        <w:tc>
          <w:tcPr>
            <w:tcW w:w="4016" w:type="dxa"/>
            <w:shd w:val="clear" w:color="auto" w:fill="auto"/>
            <w:noWrap/>
            <w:hideMark/>
          </w:tcPr>
          <w:p w14:paraId="728EC085" w14:textId="77777777" w:rsidR="005512D2" w:rsidRPr="00591BFC" w:rsidRDefault="005512D2" w:rsidP="00E86771">
            <w:pPr>
              <w:spacing w:line="360" w:lineRule="auto"/>
            </w:pPr>
            <w:r w:rsidRPr="00591BFC">
              <w:rPr>
                <w:u w:val="single"/>
              </w:rPr>
              <w:t>any incident anti-OP medication use (4 months)*</w:t>
            </w:r>
          </w:p>
        </w:tc>
        <w:tc>
          <w:tcPr>
            <w:tcW w:w="1320" w:type="dxa"/>
            <w:noWrap/>
            <w:hideMark/>
          </w:tcPr>
          <w:p w14:paraId="697CA3CD" w14:textId="77777777" w:rsidR="005512D2" w:rsidRPr="00591BFC" w:rsidRDefault="005512D2" w:rsidP="00E86771">
            <w:pPr>
              <w:spacing w:line="360" w:lineRule="auto"/>
            </w:pPr>
          </w:p>
        </w:tc>
        <w:tc>
          <w:tcPr>
            <w:tcW w:w="1320" w:type="dxa"/>
            <w:shd w:val="clear" w:color="auto" w:fill="auto"/>
            <w:noWrap/>
            <w:hideMark/>
          </w:tcPr>
          <w:p w14:paraId="6DA4E87B" w14:textId="77777777" w:rsidR="005512D2" w:rsidRPr="00591BFC" w:rsidRDefault="005512D2" w:rsidP="00E86771">
            <w:pPr>
              <w:spacing w:line="360" w:lineRule="auto"/>
            </w:pPr>
          </w:p>
        </w:tc>
        <w:tc>
          <w:tcPr>
            <w:tcW w:w="1320" w:type="dxa"/>
            <w:shd w:val="clear" w:color="auto" w:fill="auto"/>
            <w:noWrap/>
            <w:hideMark/>
          </w:tcPr>
          <w:p w14:paraId="6A779DEF" w14:textId="77777777" w:rsidR="005512D2" w:rsidRPr="00591BFC" w:rsidRDefault="005512D2" w:rsidP="00E86771">
            <w:pPr>
              <w:spacing w:line="360" w:lineRule="auto"/>
            </w:pPr>
          </w:p>
        </w:tc>
        <w:tc>
          <w:tcPr>
            <w:tcW w:w="1063" w:type="dxa"/>
            <w:shd w:val="clear" w:color="auto" w:fill="auto"/>
            <w:noWrap/>
            <w:hideMark/>
          </w:tcPr>
          <w:p w14:paraId="09F2BF5B" w14:textId="77777777" w:rsidR="005512D2" w:rsidRPr="00591BFC" w:rsidRDefault="005512D2" w:rsidP="00E86771">
            <w:pPr>
              <w:spacing w:line="360" w:lineRule="auto"/>
            </w:pPr>
          </w:p>
        </w:tc>
      </w:tr>
      <w:tr w:rsidR="005512D2" w:rsidRPr="00591BFC" w14:paraId="5CD7C05B" w14:textId="77777777" w:rsidTr="00FE3F68">
        <w:trPr>
          <w:trHeight w:val="315"/>
        </w:trPr>
        <w:tc>
          <w:tcPr>
            <w:tcW w:w="4016" w:type="dxa"/>
            <w:shd w:val="clear" w:color="auto" w:fill="auto"/>
            <w:hideMark/>
          </w:tcPr>
          <w:p w14:paraId="64C6A64B" w14:textId="77777777" w:rsidR="005512D2" w:rsidRPr="00591BFC" w:rsidRDefault="005512D2" w:rsidP="00E86771">
            <w:pPr>
              <w:spacing w:line="360" w:lineRule="auto"/>
              <w:rPr>
                <w:u w:val="single"/>
              </w:rPr>
            </w:pPr>
            <w:r w:rsidRPr="00591BFC">
              <w:t>Intercept (β</w:t>
            </w:r>
            <w:r w:rsidRPr="00591BFC">
              <w:rPr>
                <w:vertAlign w:val="subscript"/>
              </w:rPr>
              <w:t>0</w:t>
            </w:r>
            <w:r w:rsidRPr="00591BFC">
              <w:t>)</w:t>
            </w:r>
          </w:p>
        </w:tc>
        <w:tc>
          <w:tcPr>
            <w:tcW w:w="1320" w:type="dxa"/>
            <w:shd w:val="clear" w:color="auto" w:fill="auto"/>
            <w:hideMark/>
          </w:tcPr>
          <w:p w14:paraId="33E66D8E" w14:textId="77777777" w:rsidR="005512D2" w:rsidRPr="00591BFC" w:rsidRDefault="005512D2" w:rsidP="00E86771">
            <w:pPr>
              <w:spacing w:line="360" w:lineRule="auto"/>
              <w:rPr>
                <w:u w:val="single"/>
              </w:rPr>
            </w:pPr>
            <w:r w:rsidRPr="00591BFC">
              <w:t>0.57</w:t>
            </w:r>
          </w:p>
        </w:tc>
        <w:tc>
          <w:tcPr>
            <w:tcW w:w="1320" w:type="dxa"/>
            <w:shd w:val="clear" w:color="auto" w:fill="auto"/>
            <w:hideMark/>
          </w:tcPr>
          <w:p w14:paraId="2A05A00D" w14:textId="77777777" w:rsidR="005512D2" w:rsidRPr="00591BFC" w:rsidRDefault="005512D2" w:rsidP="00E86771">
            <w:pPr>
              <w:spacing w:line="360" w:lineRule="auto"/>
              <w:rPr>
                <w:u w:val="single"/>
              </w:rPr>
            </w:pPr>
            <w:r w:rsidRPr="00591BFC">
              <w:t>-2.82</w:t>
            </w:r>
          </w:p>
        </w:tc>
        <w:tc>
          <w:tcPr>
            <w:tcW w:w="1320" w:type="dxa"/>
            <w:shd w:val="clear" w:color="auto" w:fill="auto"/>
            <w:hideMark/>
          </w:tcPr>
          <w:p w14:paraId="34D9E6CB" w14:textId="77777777" w:rsidR="005512D2" w:rsidRPr="00591BFC" w:rsidRDefault="005512D2" w:rsidP="00E86771">
            <w:pPr>
              <w:spacing w:line="360" w:lineRule="auto"/>
              <w:rPr>
                <w:u w:val="single"/>
              </w:rPr>
            </w:pPr>
            <w:r w:rsidRPr="00591BFC">
              <w:t>3.96</w:t>
            </w:r>
          </w:p>
        </w:tc>
        <w:tc>
          <w:tcPr>
            <w:tcW w:w="1063" w:type="dxa"/>
            <w:shd w:val="clear" w:color="auto" w:fill="auto"/>
            <w:hideMark/>
          </w:tcPr>
          <w:p w14:paraId="2677CBF2" w14:textId="77777777" w:rsidR="005512D2" w:rsidRPr="00591BFC" w:rsidRDefault="005512D2" w:rsidP="00E86771">
            <w:pPr>
              <w:spacing w:line="360" w:lineRule="auto"/>
              <w:rPr>
                <w:u w:val="single"/>
              </w:rPr>
            </w:pPr>
            <w:r w:rsidRPr="00591BFC">
              <w:t>0.73</w:t>
            </w:r>
          </w:p>
        </w:tc>
      </w:tr>
      <w:tr w:rsidR="005512D2" w:rsidRPr="00591BFC" w14:paraId="64D0EC8D" w14:textId="77777777" w:rsidTr="00FE3F68">
        <w:trPr>
          <w:trHeight w:val="330"/>
        </w:trPr>
        <w:tc>
          <w:tcPr>
            <w:tcW w:w="4016" w:type="dxa"/>
            <w:shd w:val="clear" w:color="auto" w:fill="auto"/>
            <w:noWrap/>
            <w:hideMark/>
          </w:tcPr>
          <w:p w14:paraId="5BFB3ACC" w14:textId="77777777" w:rsidR="005512D2" w:rsidRPr="00591BFC" w:rsidRDefault="005512D2"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500B98D9" w14:textId="77777777" w:rsidR="005512D2" w:rsidRPr="00591BFC" w:rsidRDefault="005512D2" w:rsidP="00E86771">
            <w:pPr>
              <w:spacing w:line="360" w:lineRule="auto"/>
            </w:pPr>
            <w:r w:rsidRPr="00591BFC">
              <w:t>0.84</w:t>
            </w:r>
          </w:p>
        </w:tc>
        <w:tc>
          <w:tcPr>
            <w:tcW w:w="1320" w:type="dxa"/>
            <w:shd w:val="clear" w:color="auto" w:fill="auto"/>
            <w:noWrap/>
            <w:hideMark/>
          </w:tcPr>
          <w:p w14:paraId="67F39685" w14:textId="77777777" w:rsidR="005512D2" w:rsidRPr="00591BFC" w:rsidRDefault="005512D2" w:rsidP="00E86771">
            <w:pPr>
              <w:spacing w:line="360" w:lineRule="auto"/>
            </w:pPr>
            <w:r w:rsidRPr="00591BFC">
              <w:t>0.35</w:t>
            </w:r>
          </w:p>
        </w:tc>
        <w:tc>
          <w:tcPr>
            <w:tcW w:w="1320" w:type="dxa"/>
            <w:shd w:val="clear" w:color="auto" w:fill="auto"/>
            <w:noWrap/>
            <w:hideMark/>
          </w:tcPr>
          <w:p w14:paraId="06E2566B" w14:textId="77777777" w:rsidR="005512D2" w:rsidRPr="00591BFC" w:rsidRDefault="005512D2" w:rsidP="00E86771">
            <w:pPr>
              <w:spacing w:line="360" w:lineRule="auto"/>
            </w:pPr>
            <w:r w:rsidRPr="00591BFC">
              <w:t>1.34</w:t>
            </w:r>
          </w:p>
        </w:tc>
        <w:tc>
          <w:tcPr>
            <w:tcW w:w="1063" w:type="dxa"/>
            <w:shd w:val="clear" w:color="auto" w:fill="auto"/>
            <w:noWrap/>
            <w:hideMark/>
          </w:tcPr>
          <w:p w14:paraId="341A0224" w14:textId="77777777" w:rsidR="005512D2" w:rsidRPr="00591BFC" w:rsidRDefault="005512D2" w:rsidP="00E86771">
            <w:pPr>
              <w:spacing w:line="360" w:lineRule="auto"/>
            </w:pPr>
            <w:r w:rsidRPr="00591BFC">
              <w:t>0.002</w:t>
            </w:r>
          </w:p>
        </w:tc>
      </w:tr>
      <w:tr w:rsidR="005512D2" w:rsidRPr="00591BFC" w14:paraId="11EAA9E6" w14:textId="77777777" w:rsidTr="00FE3F68">
        <w:trPr>
          <w:trHeight w:val="330"/>
        </w:trPr>
        <w:tc>
          <w:tcPr>
            <w:tcW w:w="4016" w:type="dxa"/>
            <w:shd w:val="clear" w:color="auto" w:fill="auto"/>
            <w:noWrap/>
            <w:hideMark/>
          </w:tcPr>
          <w:p w14:paraId="3E0FD662" w14:textId="77777777" w:rsidR="005512D2" w:rsidRPr="00591BFC" w:rsidRDefault="005512D2"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00A03C6E" w14:textId="77777777" w:rsidR="005512D2" w:rsidRPr="00591BFC" w:rsidRDefault="005512D2" w:rsidP="00E86771">
            <w:pPr>
              <w:spacing w:line="360" w:lineRule="auto"/>
            </w:pPr>
            <w:r w:rsidRPr="00591BFC">
              <w:t>13.3</w:t>
            </w:r>
          </w:p>
        </w:tc>
        <w:tc>
          <w:tcPr>
            <w:tcW w:w="1320" w:type="dxa"/>
            <w:shd w:val="clear" w:color="auto" w:fill="auto"/>
            <w:noWrap/>
            <w:hideMark/>
          </w:tcPr>
          <w:p w14:paraId="1E3AFEBC" w14:textId="77777777" w:rsidR="005512D2" w:rsidRPr="00591BFC" w:rsidRDefault="005512D2" w:rsidP="00E86771">
            <w:pPr>
              <w:spacing w:line="360" w:lineRule="auto"/>
            </w:pPr>
            <w:r w:rsidRPr="00591BFC">
              <w:t>8.7</w:t>
            </w:r>
          </w:p>
        </w:tc>
        <w:tc>
          <w:tcPr>
            <w:tcW w:w="1320" w:type="dxa"/>
            <w:shd w:val="clear" w:color="auto" w:fill="auto"/>
            <w:noWrap/>
            <w:hideMark/>
          </w:tcPr>
          <w:p w14:paraId="584B43AB" w14:textId="77777777" w:rsidR="005512D2" w:rsidRPr="00591BFC" w:rsidRDefault="005512D2" w:rsidP="00E86771">
            <w:pPr>
              <w:spacing w:line="360" w:lineRule="auto"/>
            </w:pPr>
            <w:r w:rsidRPr="00591BFC">
              <w:t>17.8</w:t>
            </w:r>
          </w:p>
        </w:tc>
        <w:tc>
          <w:tcPr>
            <w:tcW w:w="1063" w:type="dxa"/>
            <w:shd w:val="clear" w:color="auto" w:fill="auto"/>
            <w:noWrap/>
            <w:hideMark/>
          </w:tcPr>
          <w:p w14:paraId="5A6FE680" w14:textId="77777777" w:rsidR="005512D2" w:rsidRPr="00591BFC" w:rsidRDefault="005512D2" w:rsidP="00E86771">
            <w:pPr>
              <w:spacing w:line="360" w:lineRule="auto"/>
            </w:pPr>
            <w:r w:rsidRPr="00591BFC">
              <w:t>&lt;0.001</w:t>
            </w:r>
          </w:p>
        </w:tc>
      </w:tr>
      <w:tr w:rsidR="005512D2" w:rsidRPr="00591BFC" w14:paraId="77D5EF75" w14:textId="77777777" w:rsidTr="00FE3F68">
        <w:trPr>
          <w:trHeight w:val="330"/>
        </w:trPr>
        <w:tc>
          <w:tcPr>
            <w:tcW w:w="4016" w:type="dxa"/>
            <w:shd w:val="clear" w:color="auto" w:fill="auto"/>
            <w:noWrap/>
            <w:hideMark/>
          </w:tcPr>
          <w:p w14:paraId="72849785" w14:textId="77777777" w:rsidR="005512D2" w:rsidRPr="00591BFC" w:rsidRDefault="005512D2"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63B5C7A5" w14:textId="77777777" w:rsidR="005512D2" w:rsidRPr="00591BFC" w:rsidRDefault="005512D2" w:rsidP="00E86771">
            <w:pPr>
              <w:spacing w:line="360" w:lineRule="auto"/>
            </w:pPr>
            <w:r w:rsidRPr="00591BFC">
              <w:t>0.72</w:t>
            </w:r>
          </w:p>
        </w:tc>
        <w:tc>
          <w:tcPr>
            <w:tcW w:w="1320" w:type="dxa"/>
            <w:shd w:val="clear" w:color="auto" w:fill="auto"/>
            <w:noWrap/>
            <w:hideMark/>
          </w:tcPr>
          <w:p w14:paraId="4FB8E85F" w14:textId="77777777" w:rsidR="005512D2" w:rsidRPr="00591BFC" w:rsidRDefault="005512D2" w:rsidP="00E86771">
            <w:pPr>
              <w:spacing w:line="360" w:lineRule="auto"/>
            </w:pPr>
            <w:r w:rsidRPr="00591BFC">
              <w:t>-0.01</w:t>
            </w:r>
          </w:p>
        </w:tc>
        <w:tc>
          <w:tcPr>
            <w:tcW w:w="1320" w:type="dxa"/>
            <w:shd w:val="clear" w:color="auto" w:fill="auto"/>
            <w:noWrap/>
            <w:hideMark/>
          </w:tcPr>
          <w:p w14:paraId="03B75FC7" w14:textId="77777777" w:rsidR="005512D2" w:rsidRPr="00591BFC" w:rsidRDefault="005512D2" w:rsidP="00E86771">
            <w:pPr>
              <w:spacing w:line="360" w:lineRule="auto"/>
            </w:pPr>
            <w:r w:rsidRPr="00591BFC">
              <w:t>1.44</w:t>
            </w:r>
          </w:p>
        </w:tc>
        <w:tc>
          <w:tcPr>
            <w:tcW w:w="1063" w:type="dxa"/>
            <w:shd w:val="clear" w:color="auto" w:fill="auto"/>
            <w:noWrap/>
            <w:hideMark/>
          </w:tcPr>
          <w:p w14:paraId="2CE211E9" w14:textId="77777777" w:rsidR="005512D2" w:rsidRPr="00591BFC" w:rsidRDefault="005512D2" w:rsidP="00E86771">
            <w:pPr>
              <w:spacing w:line="360" w:lineRule="auto"/>
            </w:pPr>
            <w:r w:rsidRPr="00591BFC">
              <w:t>0.051</w:t>
            </w:r>
          </w:p>
        </w:tc>
      </w:tr>
      <w:tr w:rsidR="005512D2" w:rsidRPr="00591BFC" w14:paraId="04C8F08F" w14:textId="77777777" w:rsidTr="00FE3F68">
        <w:trPr>
          <w:trHeight w:val="330"/>
        </w:trPr>
        <w:tc>
          <w:tcPr>
            <w:tcW w:w="4016" w:type="dxa"/>
            <w:shd w:val="clear" w:color="auto" w:fill="auto"/>
            <w:noWrap/>
            <w:hideMark/>
          </w:tcPr>
          <w:p w14:paraId="65505735" w14:textId="77777777" w:rsidR="005512D2" w:rsidRPr="00591BFC" w:rsidRDefault="005512D2"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562E8842" w14:textId="77777777" w:rsidR="005512D2" w:rsidRPr="00591BFC" w:rsidRDefault="005512D2" w:rsidP="00E86771">
            <w:pPr>
              <w:spacing w:line="360" w:lineRule="auto"/>
            </w:pPr>
            <w:r w:rsidRPr="00591BFC">
              <w:t> </w:t>
            </w:r>
          </w:p>
        </w:tc>
        <w:tc>
          <w:tcPr>
            <w:tcW w:w="1320" w:type="dxa"/>
            <w:shd w:val="clear" w:color="auto" w:fill="auto"/>
            <w:noWrap/>
            <w:hideMark/>
          </w:tcPr>
          <w:p w14:paraId="522E3D6B" w14:textId="77777777" w:rsidR="005512D2" w:rsidRPr="00591BFC" w:rsidRDefault="005512D2" w:rsidP="00E86771">
            <w:pPr>
              <w:spacing w:line="360" w:lineRule="auto"/>
            </w:pPr>
            <w:r w:rsidRPr="00591BFC">
              <w:t> </w:t>
            </w:r>
          </w:p>
        </w:tc>
        <w:tc>
          <w:tcPr>
            <w:tcW w:w="1320" w:type="dxa"/>
            <w:shd w:val="clear" w:color="auto" w:fill="auto"/>
            <w:noWrap/>
            <w:hideMark/>
          </w:tcPr>
          <w:p w14:paraId="52F70BDC" w14:textId="77777777" w:rsidR="005512D2" w:rsidRPr="00591BFC" w:rsidRDefault="005512D2" w:rsidP="00E86771">
            <w:pPr>
              <w:spacing w:line="360" w:lineRule="auto"/>
            </w:pPr>
            <w:r w:rsidRPr="00591BFC">
              <w:t> </w:t>
            </w:r>
          </w:p>
        </w:tc>
        <w:tc>
          <w:tcPr>
            <w:tcW w:w="1063" w:type="dxa"/>
            <w:shd w:val="clear" w:color="auto" w:fill="auto"/>
            <w:noWrap/>
            <w:hideMark/>
          </w:tcPr>
          <w:p w14:paraId="6A8ED687" w14:textId="77777777" w:rsidR="005512D2" w:rsidRPr="00591BFC" w:rsidRDefault="005512D2" w:rsidP="00E86771">
            <w:pPr>
              <w:spacing w:line="360" w:lineRule="auto"/>
            </w:pPr>
            <w:r w:rsidRPr="00591BFC">
              <w:t> </w:t>
            </w:r>
          </w:p>
        </w:tc>
      </w:tr>
      <w:tr w:rsidR="005512D2" w:rsidRPr="00591BFC" w14:paraId="5A4A7D7B" w14:textId="77777777" w:rsidTr="00FE3F68">
        <w:trPr>
          <w:trHeight w:val="330"/>
        </w:trPr>
        <w:tc>
          <w:tcPr>
            <w:tcW w:w="4016" w:type="dxa"/>
            <w:shd w:val="clear" w:color="auto" w:fill="auto"/>
            <w:noWrap/>
            <w:hideMark/>
          </w:tcPr>
          <w:p w14:paraId="2BC14690" w14:textId="77777777" w:rsidR="005512D2" w:rsidRPr="00591BFC" w:rsidRDefault="005512D2"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30BCC706" w14:textId="77777777" w:rsidR="005512D2" w:rsidRPr="00591BFC" w:rsidRDefault="005512D2" w:rsidP="00E86771">
            <w:pPr>
              <w:spacing w:line="360" w:lineRule="auto"/>
            </w:pPr>
            <w:r w:rsidRPr="00591BFC">
              <w:t> </w:t>
            </w:r>
          </w:p>
        </w:tc>
        <w:tc>
          <w:tcPr>
            <w:tcW w:w="1320" w:type="dxa"/>
            <w:shd w:val="clear" w:color="auto" w:fill="auto"/>
            <w:noWrap/>
            <w:hideMark/>
          </w:tcPr>
          <w:p w14:paraId="552BFA4F" w14:textId="77777777" w:rsidR="005512D2" w:rsidRPr="00591BFC" w:rsidRDefault="005512D2" w:rsidP="00E86771">
            <w:pPr>
              <w:spacing w:line="360" w:lineRule="auto"/>
            </w:pPr>
            <w:r w:rsidRPr="00591BFC">
              <w:t> </w:t>
            </w:r>
          </w:p>
        </w:tc>
        <w:tc>
          <w:tcPr>
            <w:tcW w:w="1320" w:type="dxa"/>
            <w:shd w:val="clear" w:color="auto" w:fill="auto"/>
            <w:noWrap/>
            <w:hideMark/>
          </w:tcPr>
          <w:p w14:paraId="132E8D55" w14:textId="77777777" w:rsidR="005512D2" w:rsidRPr="00591BFC" w:rsidRDefault="005512D2" w:rsidP="00E86771">
            <w:pPr>
              <w:spacing w:line="360" w:lineRule="auto"/>
            </w:pPr>
            <w:r w:rsidRPr="00591BFC">
              <w:t> </w:t>
            </w:r>
          </w:p>
        </w:tc>
        <w:tc>
          <w:tcPr>
            <w:tcW w:w="1063" w:type="dxa"/>
            <w:shd w:val="clear" w:color="auto" w:fill="auto"/>
            <w:noWrap/>
            <w:hideMark/>
          </w:tcPr>
          <w:p w14:paraId="7BF0A72E" w14:textId="77777777" w:rsidR="005512D2" w:rsidRPr="00591BFC" w:rsidRDefault="005512D2" w:rsidP="00E86771">
            <w:pPr>
              <w:spacing w:line="360" w:lineRule="auto"/>
            </w:pPr>
            <w:r w:rsidRPr="00591BFC">
              <w:t> </w:t>
            </w:r>
          </w:p>
        </w:tc>
      </w:tr>
      <w:tr w:rsidR="005512D2" w:rsidRPr="00591BFC" w14:paraId="5110D302" w14:textId="77777777" w:rsidTr="00FE3F68">
        <w:trPr>
          <w:trHeight w:val="330"/>
        </w:trPr>
        <w:tc>
          <w:tcPr>
            <w:tcW w:w="4016" w:type="dxa"/>
            <w:shd w:val="clear" w:color="auto" w:fill="auto"/>
            <w:noWrap/>
            <w:hideMark/>
          </w:tcPr>
          <w:p w14:paraId="76BCB591" w14:textId="77777777" w:rsidR="005512D2" w:rsidRPr="00591BFC" w:rsidRDefault="005512D2"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408E6C5E" w14:textId="77777777" w:rsidR="005512D2" w:rsidRPr="00591BFC" w:rsidRDefault="005512D2" w:rsidP="00E86771">
            <w:pPr>
              <w:spacing w:line="360" w:lineRule="auto"/>
            </w:pPr>
            <w:r w:rsidRPr="00591BFC">
              <w:t> </w:t>
            </w:r>
          </w:p>
        </w:tc>
        <w:tc>
          <w:tcPr>
            <w:tcW w:w="1320" w:type="dxa"/>
            <w:shd w:val="clear" w:color="auto" w:fill="auto"/>
            <w:noWrap/>
            <w:hideMark/>
          </w:tcPr>
          <w:p w14:paraId="32E0332F" w14:textId="77777777" w:rsidR="005512D2" w:rsidRPr="00591BFC" w:rsidRDefault="005512D2" w:rsidP="00E86771">
            <w:pPr>
              <w:spacing w:line="360" w:lineRule="auto"/>
            </w:pPr>
            <w:r w:rsidRPr="00591BFC">
              <w:t> </w:t>
            </w:r>
          </w:p>
        </w:tc>
        <w:tc>
          <w:tcPr>
            <w:tcW w:w="1320" w:type="dxa"/>
            <w:shd w:val="clear" w:color="auto" w:fill="auto"/>
            <w:noWrap/>
            <w:hideMark/>
          </w:tcPr>
          <w:p w14:paraId="5E184E2A" w14:textId="77777777" w:rsidR="005512D2" w:rsidRPr="00591BFC" w:rsidRDefault="005512D2" w:rsidP="00E86771">
            <w:pPr>
              <w:spacing w:line="360" w:lineRule="auto"/>
            </w:pPr>
            <w:r w:rsidRPr="00591BFC">
              <w:t> </w:t>
            </w:r>
          </w:p>
        </w:tc>
        <w:tc>
          <w:tcPr>
            <w:tcW w:w="1063" w:type="dxa"/>
            <w:shd w:val="clear" w:color="auto" w:fill="auto"/>
            <w:noWrap/>
            <w:hideMark/>
          </w:tcPr>
          <w:p w14:paraId="657B9505" w14:textId="77777777" w:rsidR="005512D2" w:rsidRPr="00591BFC" w:rsidRDefault="005512D2" w:rsidP="00E86771">
            <w:pPr>
              <w:spacing w:line="360" w:lineRule="auto"/>
            </w:pPr>
            <w:r w:rsidRPr="00591BFC">
              <w:t> </w:t>
            </w:r>
          </w:p>
        </w:tc>
      </w:tr>
      <w:tr w:rsidR="005512D2" w:rsidRPr="00591BFC" w14:paraId="48BDB4DA" w14:textId="77777777" w:rsidTr="00FE3F68">
        <w:trPr>
          <w:trHeight w:val="330"/>
        </w:trPr>
        <w:tc>
          <w:tcPr>
            <w:tcW w:w="4016" w:type="dxa"/>
            <w:shd w:val="clear" w:color="auto" w:fill="auto"/>
            <w:noWrap/>
            <w:hideMark/>
          </w:tcPr>
          <w:p w14:paraId="0D7BC6AD" w14:textId="77777777" w:rsidR="005512D2" w:rsidRPr="00591BFC" w:rsidRDefault="005512D2"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6081913E" w14:textId="77777777" w:rsidR="005512D2" w:rsidRPr="00591BFC" w:rsidRDefault="005512D2" w:rsidP="00E86771">
            <w:pPr>
              <w:spacing w:line="360" w:lineRule="auto"/>
            </w:pPr>
            <w:r w:rsidRPr="00591BFC">
              <w:t> </w:t>
            </w:r>
          </w:p>
        </w:tc>
        <w:tc>
          <w:tcPr>
            <w:tcW w:w="1320" w:type="dxa"/>
            <w:shd w:val="clear" w:color="auto" w:fill="auto"/>
            <w:noWrap/>
            <w:hideMark/>
          </w:tcPr>
          <w:p w14:paraId="65ADF2C7" w14:textId="77777777" w:rsidR="005512D2" w:rsidRPr="00591BFC" w:rsidRDefault="005512D2" w:rsidP="00E86771">
            <w:pPr>
              <w:spacing w:line="360" w:lineRule="auto"/>
            </w:pPr>
            <w:r w:rsidRPr="00591BFC">
              <w:t> </w:t>
            </w:r>
          </w:p>
        </w:tc>
        <w:tc>
          <w:tcPr>
            <w:tcW w:w="1320" w:type="dxa"/>
            <w:shd w:val="clear" w:color="auto" w:fill="auto"/>
            <w:noWrap/>
            <w:hideMark/>
          </w:tcPr>
          <w:p w14:paraId="5D47B4C7" w14:textId="77777777" w:rsidR="005512D2" w:rsidRPr="00591BFC" w:rsidRDefault="005512D2" w:rsidP="00E86771">
            <w:pPr>
              <w:spacing w:line="360" w:lineRule="auto"/>
            </w:pPr>
            <w:r w:rsidRPr="00591BFC">
              <w:t> </w:t>
            </w:r>
          </w:p>
        </w:tc>
        <w:tc>
          <w:tcPr>
            <w:tcW w:w="1063" w:type="dxa"/>
            <w:shd w:val="clear" w:color="auto" w:fill="auto"/>
            <w:noWrap/>
            <w:hideMark/>
          </w:tcPr>
          <w:p w14:paraId="22EF1322" w14:textId="77777777" w:rsidR="005512D2" w:rsidRPr="00591BFC" w:rsidRDefault="005512D2" w:rsidP="00E86771">
            <w:pPr>
              <w:spacing w:line="360" w:lineRule="auto"/>
            </w:pPr>
            <w:r w:rsidRPr="00591BFC">
              <w:t> </w:t>
            </w:r>
          </w:p>
        </w:tc>
      </w:tr>
      <w:tr w:rsidR="005512D2" w:rsidRPr="00591BFC" w14:paraId="3AFA031F" w14:textId="77777777" w:rsidTr="00FE3F68">
        <w:trPr>
          <w:trHeight w:val="315"/>
        </w:trPr>
        <w:tc>
          <w:tcPr>
            <w:tcW w:w="4016" w:type="dxa"/>
            <w:shd w:val="clear" w:color="auto" w:fill="auto"/>
            <w:noWrap/>
            <w:hideMark/>
          </w:tcPr>
          <w:p w14:paraId="30CFDD32" w14:textId="77777777" w:rsidR="005512D2" w:rsidRPr="00591BFC" w:rsidRDefault="005512D2" w:rsidP="00E86771">
            <w:pPr>
              <w:spacing w:line="360" w:lineRule="auto"/>
            </w:pPr>
            <w:r w:rsidRPr="00591BFC">
              <w:rPr>
                <w:u w:val="single"/>
              </w:rPr>
              <w:t>any incident anti-OP medication use (1 year)*</w:t>
            </w:r>
          </w:p>
        </w:tc>
        <w:tc>
          <w:tcPr>
            <w:tcW w:w="1320" w:type="dxa"/>
            <w:noWrap/>
            <w:hideMark/>
          </w:tcPr>
          <w:p w14:paraId="3165A460" w14:textId="77777777" w:rsidR="005512D2" w:rsidRPr="00591BFC" w:rsidRDefault="005512D2" w:rsidP="00E86771">
            <w:pPr>
              <w:spacing w:line="360" w:lineRule="auto"/>
            </w:pPr>
          </w:p>
        </w:tc>
        <w:tc>
          <w:tcPr>
            <w:tcW w:w="1320" w:type="dxa"/>
            <w:shd w:val="clear" w:color="auto" w:fill="auto"/>
            <w:noWrap/>
            <w:hideMark/>
          </w:tcPr>
          <w:p w14:paraId="235FCF38" w14:textId="77777777" w:rsidR="005512D2" w:rsidRPr="00591BFC" w:rsidRDefault="005512D2" w:rsidP="00E86771">
            <w:pPr>
              <w:spacing w:line="360" w:lineRule="auto"/>
            </w:pPr>
          </w:p>
        </w:tc>
        <w:tc>
          <w:tcPr>
            <w:tcW w:w="1320" w:type="dxa"/>
            <w:shd w:val="clear" w:color="auto" w:fill="auto"/>
            <w:noWrap/>
            <w:hideMark/>
          </w:tcPr>
          <w:p w14:paraId="2D9D50BE" w14:textId="77777777" w:rsidR="005512D2" w:rsidRPr="00591BFC" w:rsidRDefault="005512D2" w:rsidP="00E86771">
            <w:pPr>
              <w:spacing w:line="360" w:lineRule="auto"/>
            </w:pPr>
          </w:p>
        </w:tc>
        <w:tc>
          <w:tcPr>
            <w:tcW w:w="1063" w:type="dxa"/>
            <w:shd w:val="clear" w:color="auto" w:fill="auto"/>
            <w:noWrap/>
            <w:hideMark/>
          </w:tcPr>
          <w:p w14:paraId="072F41BF" w14:textId="77777777" w:rsidR="005512D2" w:rsidRPr="00591BFC" w:rsidRDefault="005512D2" w:rsidP="00E86771">
            <w:pPr>
              <w:spacing w:line="360" w:lineRule="auto"/>
            </w:pPr>
          </w:p>
        </w:tc>
      </w:tr>
      <w:tr w:rsidR="005512D2" w:rsidRPr="00591BFC" w14:paraId="4AC4EC86" w14:textId="77777777" w:rsidTr="00FE3F68">
        <w:trPr>
          <w:trHeight w:val="315"/>
        </w:trPr>
        <w:tc>
          <w:tcPr>
            <w:tcW w:w="4016" w:type="dxa"/>
            <w:shd w:val="clear" w:color="auto" w:fill="auto"/>
            <w:hideMark/>
          </w:tcPr>
          <w:p w14:paraId="245681B9" w14:textId="77777777" w:rsidR="005512D2" w:rsidRPr="00591BFC" w:rsidRDefault="005512D2" w:rsidP="00E86771">
            <w:pPr>
              <w:spacing w:line="360" w:lineRule="auto"/>
              <w:rPr>
                <w:u w:val="single"/>
              </w:rPr>
            </w:pPr>
            <w:r w:rsidRPr="00591BFC">
              <w:t>Intercept (β</w:t>
            </w:r>
            <w:r w:rsidRPr="00591BFC">
              <w:rPr>
                <w:vertAlign w:val="subscript"/>
              </w:rPr>
              <w:t>0</w:t>
            </w:r>
            <w:r w:rsidRPr="00591BFC">
              <w:t>)</w:t>
            </w:r>
          </w:p>
        </w:tc>
        <w:tc>
          <w:tcPr>
            <w:tcW w:w="1320" w:type="dxa"/>
            <w:shd w:val="clear" w:color="auto" w:fill="auto"/>
            <w:hideMark/>
          </w:tcPr>
          <w:p w14:paraId="25BB584C" w14:textId="77777777" w:rsidR="005512D2" w:rsidRPr="00591BFC" w:rsidRDefault="005512D2" w:rsidP="00E86771">
            <w:pPr>
              <w:spacing w:line="360" w:lineRule="auto"/>
              <w:rPr>
                <w:u w:val="single"/>
              </w:rPr>
            </w:pPr>
            <w:r w:rsidRPr="00591BFC">
              <w:t>2.52</w:t>
            </w:r>
          </w:p>
        </w:tc>
        <w:tc>
          <w:tcPr>
            <w:tcW w:w="1320" w:type="dxa"/>
            <w:shd w:val="clear" w:color="auto" w:fill="auto"/>
            <w:hideMark/>
          </w:tcPr>
          <w:p w14:paraId="1F371708" w14:textId="77777777" w:rsidR="005512D2" w:rsidRPr="00591BFC" w:rsidRDefault="005512D2" w:rsidP="00E86771">
            <w:pPr>
              <w:spacing w:line="360" w:lineRule="auto"/>
              <w:rPr>
                <w:u w:val="single"/>
              </w:rPr>
            </w:pPr>
            <w:r w:rsidRPr="00591BFC">
              <w:t>-0.01</w:t>
            </w:r>
          </w:p>
        </w:tc>
        <w:tc>
          <w:tcPr>
            <w:tcW w:w="1320" w:type="dxa"/>
            <w:shd w:val="clear" w:color="auto" w:fill="auto"/>
            <w:hideMark/>
          </w:tcPr>
          <w:p w14:paraId="1F7B42F5" w14:textId="77777777" w:rsidR="005512D2" w:rsidRPr="00591BFC" w:rsidRDefault="005512D2" w:rsidP="00E86771">
            <w:pPr>
              <w:spacing w:line="360" w:lineRule="auto"/>
              <w:rPr>
                <w:u w:val="single"/>
              </w:rPr>
            </w:pPr>
            <w:r w:rsidRPr="00591BFC">
              <w:t>5.05</w:t>
            </w:r>
          </w:p>
        </w:tc>
        <w:tc>
          <w:tcPr>
            <w:tcW w:w="1063" w:type="dxa"/>
            <w:shd w:val="clear" w:color="auto" w:fill="auto"/>
            <w:hideMark/>
          </w:tcPr>
          <w:p w14:paraId="56C47B8E" w14:textId="77777777" w:rsidR="005512D2" w:rsidRPr="00591BFC" w:rsidRDefault="005512D2" w:rsidP="00E86771">
            <w:pPr>
              <w:spacing w:line="360" w:lineRule="auto"/>
              <w:rPr>
                <w:u w:val="single"/>
              </w:rPr>
            </w:pPr>
            <w:r w:rsidRPr="00591BFC">
              <w:t>0.05</w:t>
            </w:r>
          </w:p>
        </w:tc>
      </w:tr>
      <w:tr w:rsidR="005512D2" w:rsidRPr="00591BFC" w14:paraId="526A6CD0" w14:textId="77777777" w:rsidTr="00FE3F68">
        <w:trPr>
          <w:trHeight w:val="330"/>
        </w:trPr>
        <w:tc>
          <w:tcPr>
            <w:tcW w:w="4016" w:type="dxa"/>
            <w:shd w:val="clear" w:color="auto" w:fill="auto"/>
            <w:noWrap/>
            <w:hideMark/>
          </w:tcPr>
          <w:p w14:paraId="7FB2A6C5" w14:textId="77777777" w:rsidR="005512D2" w:rsidRPr="00591BFC" w:rsidRDefault="005512D2"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03B4C875" w14:textId="77777777" w:rsidR="005512D2" w:rsidRPr="00591BFC" w:rsidRDefault="005512D2" w:rsidP="00E86771">
            <w:pPr>
              <w:spacing w:line="360" w:lineRule="auto"/>
            </w:pPr>
            <w:r w:rsidRPr="00591BFC">
              <w:t>1.08</w:t>
            </w:r>
          </w:p>
        </w:tc>
        <w:tc>
          <w:tcPr>
            <w:tcW w:w="1320" w:type="dxa"/>
            <w:shd w:val="clear" w:color="auto" w:fill="auto"/>
            <w:noWrap/>
            <w:hideMark/>
          </w:tcPr>
          <w:p w14:paraId="497AF1C4" w14:textId="77777777" w:rsidR="005512D2" w:rsidRPr="00591BFC" w:rsidRDefault="005512D2" w:rsidP="00E86771">
            <w:pPr>
              <w:spacing w:line="360" w:lineRule="auto"/>
            </w:pPr>
            <w:r w:rsidRPr="00591BFC">
              <w:t>0.71</w:t>
            </w:r>
          </w:p>
        </w:tc>
        <w:tc>
          <w:tcPr>
            <w:tcW w:w="1320" w:type="dxa"/>
            <w:shd w:val="clear" w:color="auto" w:fill="auto"/>
            <w:noWrap/>
            <w:hideMark/>
          </w:tcPr>
          <w:p w14:paraId="0C99CE10" w14:textId="77777777" w:rsidR="005512D2" w:rsidRPr="00591BFC" w:rsidRDefault="005512D2" w:rsidP="00E86771">
            <w:pPr>
              <w:spacing w:line="360" w:lineRule="auto"/>
            </w:pPr>
            <w:r w:rsidRPr="00591BFC">
              <w:t>1.45</w:t>
            </w:r>
          </w:p>
        </w:tc>
        <w:tc>
          <w:tcPr>
            <w:tcW w:w="1063" w:type="dxa"/>
            <w:shd w:val="clear" w:color="auto" w:fill="auto"/>
            <w:noWrap/>
            <w:hideMark/>
          </w:tcPr>
          <w:p w14:paraId="0382F7D6" w14:textId="77777777" w:rsidR="005512D2" w:rsidRPr="00591BFC" w:rsidRDefault="005512D2" w:rsidP="00E86771">
            <w:pPr>
              <w:spacing w:line="360" w:lineRule="auto"/>
            </w:pPr>
            <w:r w:rsidRPr="00591BFC">
              <w:t>&lt;0.001</w:t>
            </w:r>
          </w:p>
        </w:tc>
      </w:tr>
      <w:tr w:rsidR="005512D2" w:rsidRPr="00591BFC" w14:paraId="7780A5C8" w14:textId="77777777" w:rsidTr="00FE3F68">
        <w:trPr>
          <w:trHeight w:val="330"/>
        </w:trPr>
        <w:tc>
          <w:tcPr>
            <w:tcW w:w="4016" w:type="dxa"/>
            <w:shd w:val="clear" w:color="auto" w:fill="auto"/>
            <w:noWrap/>
            <w:hideMark/>
          </w:tcPr>
          <w:p w14:paraId="57DD3783" w14:textId="77777777" w:rsidR="005512D2" w:rsidRPr="00591BFC" w:rsidRDefault="005512D2" w:rsidP="00E86771">
            <w:pPr>
              <w:spacing w:line="360" w:lineRule="auto"/>
            </w:pPr>
            <w:r w:rsidRPr="00591BFC">
              <w:lastRenderedPageBreak/>
              <w:t>Level change after intervention 1+2 (β</w:t>
            </w:r>
            <w:r w:rsidRPr="00591BFC">
              <w:rPr>
                <w:vertAlign w:val="subscript"/>
              </w:rPr>
              <w:t>2</w:t>
            </w:r>
            <w:r w:rsidRPr="00591BFC">
              <w:t>)</w:t>
            </w:r>
          </w:p>
        </w:tc>
        <w:tc>
          <w:tcPr>
            <w:tcW w:w="1320" w:type="dxa"/>
            <w:shd w:val="clear" w:color="auto" w:fill="auto"/>
            <w:noWrap/>
            <w:hideMark/>
          </w:tcPr>
          <w:p w14:paraId="5CA76F29" w14:textId="77777777" w:rsidR="005512D2" w:rsidRPr="00591BFC" w:rsidRDefault="005512D2" w:rsidP="00E86771">
            <w:pPr>
              <w:spacing w:line="360" w:lineRule="auto"/>
            </w:pPr>
            <w:r w:rsidRPr="00591BFC">
              <w:t>14.5</w:t>
            </w:r>
          </w:p>
        </w:tc>
        <w:tc>
          <w:tcPr>
            <w:tcW w:w="1320" w:type="dxa"/>
            <w:shd w:val="clear" w:color="auto" w:fill="auto"/>
            <w:noWrap/>
            <w:hideMark/>
          </w:tcPr>
          <w:p w14:paraId="1E60582E" w14:textId="77777777" w:rsidR="005512D2" w:rsidRPr="00591BFC" w:rsidRDefault="005512D2" w:rsidP="00E86771">
            <w:pPr>
              <w:spacing w:line="360" w:lineRule="auto"/>
            </w:pPr>
            <w:r w:rsidRPr="00591BFC">
              <w:t>11.1</w:t>
            </w:r>
          </w:p>
        </w:tc>
        <w:tc>
          <w:tcPr>
            <w:tcW w:w="1320" w:type="dxa"/>
            <w:shd w:val="clear" w:color="auto" w:fill="auto"/>
            <w:noWrap/>
            <w:hideMark/>
          </w:tcPr>
          <w:p w14:paraId="71239FD8" w14:textId="77777777" w:rsidR="005512D2" w:rsidRPr="00591BFC" w:rsidRDefault="005512D2" w:rsidP="00E86771">
            <w:pPr>
              <w:spacing w:line="360" w:lineRule="auto"/>
            </w:pPr>
            <w:r w:rsidRPr="00591BFC">
              <w:t>17.8</w:t>
            </w:r>
          </w:p>
        </w:tc>
        <w:tc>
          <w:tcPr>
            <w:tcW w:w="1063" w:type="dxa"/>
            <w:shd w:val="clear" w:color="auto" w:fill="auto"/>
            <w:noWrap/>
            <w:hideMark/>
          </w:tcPr>
          <w:p w14:paraId="7EB81814" w14:textId="77777777" w:rsidR="005512D2" w:rsidRPr="00591BFC" w:rsidRDefault="005512D2" w:rsidP="00E86771">
            <w:pPr>
              <w:spacing w:line="360" w:lineRule="auto"/>
            </w:pPr>
            <w:r w:rsidRPr="00591BFC">
              <w:t>&lt;0.001</w:t>
            </w:r>
          </w:p>
        </w:tc>
      </w:tr>
      <w:tr w:rsidR="005512D2" w:rsidRPr="00591BFC" w14:paraId="35B748A9" w14:textId="77777777" w:rsidTr="00FE3F68">
        <w:trPr>
          <w:trHeight w:val="330"/>
        </w:trPr>
        <w:tc>
          <w:tcPr>
            <w:tcW w:w="4016" w:type="dxa"/>
            <w:shd w:val="clear" w:color="auto" w:fill="auto"/>
            <w:noWrap/>
            <w:hideMark/>
          </w:tcPr>
          <w:p w14:paraId="1D64E6DD" w14:textId="77777777" w:rsidR="005512D2" w:rsidRPr="00591BFC" w:rsidRDefault="005512D2"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42F973D8" w14:textId="77777777" w:rsidR="005512D2" w:rsidRPr="00591BFC" w:rsidRDefault="005512D2" w:rsidP="00E86771">
            <w:pPr>
              <w:spacing w:line="360" w:lineRule="auto"/>
            </w:pPr>
            <w:r w:rsidRPr="00591BFC">
              <w:t>0.49</w:t>
            </w:r>
          </w:p>
        </w:tc>
        <w:tc>
          <w:tcPr>
            <w:tcW w:w="1320" w:type="dxa"/>
            <w:shd w:val="clear" w:color="auto" w:fill="auto"/>
            <w:noWrap/>
            <w:hideMark/>
          </w:tcPr>
          <w:p w14:paraId="76DDEAD9" w14:textId="77777777" w:rsidR="005512D2" w:rsidRPr="00591BFC" w:rsidRDefault="005512D2" w:rsidP="00E86771">
            <w:pPr>
              <w:spacing w:line="360" w:lineRule="auto"/>
            </w:pPr>
            <w:r w:rsidRPr="00591BFC">
              <w:t>-0.05</w:t>
            </w:r>
          </w:p>
        </w:tc>
        <w:tc>
          <w:tcPr>
            <w:tcW w:w="1320" w:type="dxa"/>
            <w:shd w:val="clear" w:color="auto" w:fill="auto"/>
            <w:noWrap/>
            <w:hideMark/>
          </w:tcPr>
          <w:p w14:paraId="3A878EAD" w14:textId="77777777" w:rsidR="005512D2" w:rsidRPr="00591BFC" w:rsidRDefault="005512D2" w:rsidP="00E86771">
            <w:pPr>
              <w:spacing w:line="360" w:lineRule="auto"/>
            </w:pPr>
            <w:r w:rsidRPr="00591BFC">
              <w:t>1.03</w:t>
            </w:r>
          </w:p>
        </w:tc>
        <w:tc>
          <w:tcPr>
            <w:tcW w:w="1063" w:type="dxa"/>
            <w:shd w:val="clear" w:color="auto" w:fill="auto"/>
            <w:noWrap/>
            <w:hideMark/>
          </w:tcPr>
          <w:p w14:paraId="7D7968D2" w14:textId="77777777" w:rsidR="005512D2" w:rsidRPr="00591BFC" w:rsidRDefault="005512D2" w:rsidP="00E86771">
            <w:pPr>
              <w:spacing w:line="360" w:lineRule="auto"/>
            </w:pPr>
            <w:r w:rsidRPr="00591BFC">
              <w:t>0.073</w:t>
            </w:r>
          </w:p>
        </w:tc>
      </w:tr>
      <w:tr w:rsidR="005512D2" w:rsidRPr="00591BFC" w14:paraId="206A8563" w14:textId="77777777" w:rsidTr="00FE3F68">
        <w:trPr>
          <w:trHeight w:val="330"/>
        </w:trPr>
        <w:tc>
          <w:tcPr>
            <w:tcW w:w="4016" w:type="dxa"/>
            <w:shd w:val="clear" w:color="auto" w:fill="auto"/>
            <w:noWrap/>
            <w:hideMark/>
          </w:tcPr>
          <w:p w14:paraId="536B4559" w14:textId="77777777" w:rsidR="005512D2" w:rsidRPr="00591BFC" w:rsidRDefault="005512D2"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55504BE3" w14:textId="77777777" w:rsidR="005512D2" w:rsidRPr="00591BFC" w:rsidRDefault="005512D2" w:rsidP="00E86771">
            <w:pPr>
              <w:spacing w:line="360" w:lineRule="auto"/>
            </w:pPr>
            <w:r w:rsidRPr="00591BFC">
              <w:t> </w:t>
            </w:r>
          </w:p>
        </w:tc>
        <w:tc>
          <w:tcPr>
            <w:tcW w:w="1320" w:type="dxa"/>
            <w:shd w:val="clear" w:color="auto" w:fill="auto"/>
            <w:noWrap/>
            <w:hideMark/>
          </w:tcPr>
          <w:p w14:paraId="047C142B" w14:textId="77777777" w:rsidR="005512D2" w:rsidRPr="00591BFC" w:rsidRDefault="005512D2" w:rsidP="00E86771">
            <w:pPr>
              <w:spacing w:line="360" w:lineRule="auto"/>
            </w:pPr>
            <w:r w:rsidRPr="00591BFC">
              <w:t> </w:t>
            </w:r>
          </w:p>
        </w:tc>
        <w:tc>
          <w:tcPr>
            <w:tcW w:w="1320" w:type="dxa"/>
            <w:shd w:val="clear" w:color="auto" w:fill="auto"/>
            <w:noWrap/>
            <w:hideMark/>
          </w:tcPr>
          <w:p w14:paraId="271E5ACA" w14:textId="77777777" w:rsidR="005512D2" w:rsidRPr="00591BFC" w:rsidRDefault="005512D2" w:rsidP="00E86771">
            <w:pPr>
              <w:spacing w:line="360" w:lineRule="auto"/>
            </w:pPr>
            <w:r w:rsidRPr="00591BFC">
              <w:t> </w:t>
            </w:r>
          </w:p>
        </w:tc>
        <w:tc>
          <w:tcPr>
            <w:tcW w:w="1063" w:type="dxa"/>
            <w:shd w:val="clear" w:color="auto" w:fill="auto"/>
            <w:noWrap/>
            <w:hideMark/>
          </w:tcPr>
          <w:p w14:paraId="528DAE74" w14:textId="77777777" w:rsidR="005512D2" w:rsidRPr="00591BFC" w:rsidRDefault="005512D2" w:rsidP="00E86771">
            <w:pPr>
              <w:spacing w:line="360" w:lineRule="auto"/>
            </w:pPr>
            <w:r w:rsidRPr="00591BFC">
              <w:t> </w:t>
            </w:r>
          </w:p>
        </w:tc>
      </w:tr>
      <w:tr w:rsidR="005512D2" w:rsidRPr="00591BFC" w14:paraId="143981C4" w14:textId="77777777" w:rsidTr="00FE3F68">
        <w:trPr>
          <w:trHeight w:val="330"/>
        </w:trPr>
        <w:tc>
          <w:tcPr>
            <w:tcW w:w="4016" w:type="dxa"/>
            <w:shd w:val="clear" w:color="auto" w:fill="auto"/>
            <w:noWrap/>
            <w:hideMark/>
          </w:tcPr>
          <w:p w14:paraId="318BFA5C" w14:textId="77777777" w:rsidR="005512D2" w:rsidRPr="00591BFC" w:rsidRDefault="005512D2"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62107BA1" w14:textId="77777777" w:rsidR="005512D2" w:rsidRPr="00591BFC" w:rsidRDefault="005512D2" w:rsidP="00E86771">
            <w:pPr>
              <w:spacing w:line="360" w:lineRule="auto"/>
            </w:pPr>
            <w:r w:rsidRPr="00591BFC">
              <w:t> </w:t>
            </w:r>
          </w:p>
        </w:tc>
        <w:tc>
          <w:tcPr>
            <w:tcW w:w="1320" w:type="dxa"/>
            <w:shd w:val="clear" w:color="auto" w:fill="auto"/>
            <w:noWrap/>
            <w:hideMark/>
          </w:tcPr>
          <w:p w14:paraId="2D63B205" w14:textId="77777777" w:rsidR="005512D2" w:rsidRPr="00591BFC" w:rsidRDefault="005512D2" w:rsidP="00E86771">
            <w:pPr>
              <w:spacing w:line="360" w:lineRule="auto"/>
            </w:pPr>
            <w:r w:rsidRPr="00591BFC">
              <w:t> </w:t>
            </w:r>
          </w:p>
        </w:tc>
        <w:tc>
          <w:tcPr>
            <w:tcW w:w="1320" w:type="dxa"/>
            <w:shd w:val="clear" w:color="auto" w:fill="auto"/>
            <w:noWrap/>
            <w:hideMark/>
          </w:tcPr>
          <w:p w14:paraId="64B13E2F" w14:textId="77777777" w:rsidR="005512D2" w:rsidRPr="00591BFC" w:rsidRDefault="005512D2" w:rsidP="00E86771">
            <w:pPr>
              <w:spacing w:line="360" w:lineRule="auto"/>
            </w:pPr>
            <w:r w:rsidRPr="00591BFC">
              <w:t> </w:t>
            </w:r>
          </w:p>
        </w:tc>
        <w:tc>
          <w:tcPr>
            <w:tcW w:w="1063" w:type="dxa"/>
            <w:shd w:val="clear" w:color="auto" w:fill="auto"/>
            <w:noWrap/>
            <w:hideMark/>
          </w:tcPr>
          <w:p w14:paraId="7EAB7F24" w14:textId="77777777" w:rsidR="005512D2" w:rsidRPr="00591BFC" w:rsidRDefault="005512D2" w:rsidP="00E86771">
            <w:pPr>
              <w:spacing w:line="360" w:lineRule="auto"/>
            </w:pPr>
            <w:r w:rsidRPr="00591BFC">
              <w:t> </w:t>
            </w:r>
          </w:p>
        </w:tc>
      </w:tr>
      <w:tr w:rsidR="005512D2" w:rsidRPr="00591BFC" w14:paraId="441F2A52" w14:textId="77777777" w:rsidTr="00FE3F68">
        <w:trPr>
          <w:trHeight w:val="330"/>
        </w:trPr>
        <w:tc>
          <w:tcPr>
            <w:tcW w:w="4016" w:type="dxa"/>
            <w:shd w:val="clear" w:color="auto" w:fill="auto"/>
            <w:noWrap/>
            <w:hideMark/>
          </w:tcPr>
          <w:p w14:paraId="7D33EF13" w14:textId="77777777" w:rsidR="005512D2" w:rsidRPr="00591BFC" w:rsidRDefault="005512D2"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4C67B8EB" w14:textId="77777777" w:rsidR="005512D2" w:rsidRPr="00591BFC" w:rsidRDefault="005512D2" w:rsidP="00E86771">
            <w:pPr>
              <w:spacing w:line="360" w:lineRule="auto"/>
            </w:pPr>
            <w:r w:rsidRPr="00591BFC">
              <w:t> </w:t>
            </w:r>
          </w:p>
        </w:tc>
        <w:tc>
          <w:tcPr>
            <w:tcW w:w="1320" w:type="dxa"/>
            <w:shd w:val="clear" w:color="auto" w:fill="auto"/>
            <w:noWrap/>
            <w:hideMark/>
          </w:tcPr>
          <w:p w14:paraId="422DE384" w14:textId="77777777" w:rsidR="005512D2" w:rsidRPr="00591BFC" w:rsidRDefault="005512D2" w:rsidP="00E86771">
            <w:pPr>
              <w:spacing w:line="360" w:lineRule="auto"/>
            </w:pPr>
            <w:r w:rsidRPr="00591BFC">
              <w:t> </w:t>
            </w:r>
          </w:p>
        </w:tc>
        <w:tc>
          <w:tcPr>
            <w:tcW w:w="1320" w:type="dxa"/>
            <w:shd w:val="clear" w:color="auto" w:fill="auto"/>
            <w:noWrap/>
            <w:hideMark/>
          </w:tcPr>
          <w:p w14:paraId="757E181D" w14:textId="77777777" w:rsidR="005512D2" w:rsidRPr="00591BFC" w:rsidRDefault="005512D2" w:rsidP="00E86771">
            <w:pPr>
              <w:spacing w:line="360" w:lineRule="auto"/>
            </w:pPr>
            <w:r w:rsidRPr="00591BFC">
              <w:t> </w:t>
            </w:r>
          </w:p>
        </w:tc>
        <w:tc>
          <w:tcPr>
            <w:tcW w:w="1063" w:type="dxa"/>
            <w:shd w:val="clear" w:color="auto" w:fill="auto"/>
            <w:noWrap/>
            <w:hideMark/>
          </w:tcPr>
          <w:p w14:paraId="01701696" w14:textId="77777777" w:rsidR="005512D2" w:rsidRPr="00591BFC" w:rsidRDefault="005512D2" w:rsidP="00E86771">
            <w:pPr>
              <w:spacing w:line="360" w:lineRule="auto"/>
            </w:pPr>
            <w:r w:rsidRPr="00591BFC">
              <w:t> </w:t>
            </w:r>
          </w:p>
        </w:tc>
      </w:tr>
      <w:tr w:rsidR="005512D2" w:rsidRPr="00591BFC" w14:paraId="043A7FD3" w14:textId="77777777" w:rsidTr="00FE3F68">
        <w:trPr>
          <w:trHeight w:val="330"/>
        </w:trPr>
        <w:tc>
          <w:tcPr>
            <w:tcW w:w="4016" w:type="dxa"/>
            <w:shd w:val="clear" w:color="auto" w:fill="auto"/>
            <w:noWrap/>
            <w:hideMark/>
          </w:tcPr>
          <w:p w14:paraId="7AA75D9C" w14:textId="77777777" w:rsidR="005512D2" w:rsidRPr="00591BFC" w:rsidRDefault="005512D2"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01BF1C77" w14:textId="77777777" w:rsidR="005512D2" w:rsidRPr="00591BFC" w:rsidRDefault="005512D2" w:rsidP="00E86771">
            <w:pPr>
              <w:spacing w:line="360" w:lineRule="auto"/>
            </w:pPr>
            <w:r w:rsidRPr="00591BFC">
              <w:t> </w:t>
            </w:r>
          </w:p>
        </w:tc>
        <w:tc>
          <w:tcPr>
            <w:tcW w:w="1320" w:type="dxa"/>
            <w:shd w:val="clear" w:color="auto" w:fill="auto"/>
            <w:noWrap/>
            <w:hideMark/>
          </w:tcPr>
          <w:p w14:paraId="1BB3BF33" w14:textId="77777777" w:rsidR="005512D2" w:rsidRPr="00591BFC" w:rsidRDefault="005512D2" w:rsidP="00E86771">
            <w:pPr>
              <w:spacing w:line="360" w:lineRule="auto"/>
            </w:pPr>
            <w:r w:rsidRPr="00591BFC">
              <w:t> </w:t>
            </w:r>
          </w:p>
        </w:tc>
        <w:tc>
          <w:tcPr>
            <w:tcW w:w="1320" w:type="dxa"/>
            <w:shd w:val="clear" w:color="auto" w:fill="auto"/>
            <w:noWrap/>
            <w:hideMark/>
          </w:tcPr>
          <w:p w14:paraId="59BAC352" w14:textId="77777777" w:rsidR="005512D2" w:rsidRPr="00591BFC" w:rsidRDefault="005512D2" w:rsidP="00E86771">
            <w:pPr>
              <w:spacing w:line="360" w:lineRule="auto"/>
            </w:pPr>
            <w:r w:rsidRPr="00591BFC">
              <w:t> </w:t>
            </w:r>
          </w:p>
        </w:tc>
        <w:tc>
          <w:tcPr>
            <w:tcW w:w="1063" w:type="dxa"/>
            <w:shd w:val="clear" w:color="auto" w:fill="auto"/>
            <w:noWrap/>
            <w:hideMark/>
          </w:tcPr>
          <w:p w14:paraId="6CE40FAE" w14:textId="77777777" w:rsidR="005512D2" w:rsidRPr="00591BFC" w:rsidRDefault="005512D2" w:rsidP="00E86771">
            <w:pPr>
              <w:spacing w:line="360" w:lineRule="auto"/>
            </w:pPr>
            <w:r w:rsidRPr="00591BFC">
              <w:t> </w:t>
            </w:r>
          </w:p>
        </w:tc>
      </w:tr>
      <w:tr w:rsidR="005512D2" w:rsidRPr="00591BFC" w14:paraId="69167DE9" w14:textId="77777777" w:rsidTr="00FE3F68">
        <w:trPr>
          <w:trHeight w:val="315"/>
        </w:trPr>
        <w:tc>
          <w:tcPr>
            <w:tcW w:w="4016" w:type="dxa"/>
            <w:shd w:val="clear" w:color="auto" w:fill="auto"/>
            <w:noWrap/>
            <w:hideMark/>
          </w:tcPr>
          <w:p w14:paraId="53466DA2" w14:textId="77777777" w:rsidR="005512D2" w:rsidRPr="00591BFC" w:rsidRDefault="005512D2" w:rsidP="00E86771">
            <w:pPr>
              <w:spacing w:line="360" w:lineRule="auto"/>
            </w:pPr>
            <w:r w:rsidRPr="00591BFC">
              <w:rPr>
                <w:u w:val="single"/>
              </w:rPr>
              <w:t>bisphosphonate prevalence (2-6 months)*</w:t>
            </w:r>
          </w:p>
        </w:tc>
        <w:tc>
          <w:tcPr>
            <w:tcW w:w="1320" w:type="dxa"/>
            <w:noWrap/>
            <w:hideMark/>
          </w:tcPr>
          <w:p w14:paraId="4FE8D198" w14:textId="77777777" w:rsidR="005512D2" w:rsidRPr="00591BFC" w:rsidRDefault="005512D2" w:rsidP="00E86771">
            <w:pPr>
              <w:spacing w:line="360" w:lineRule="auto"/>
            </w:pPr>
          </w:p>
        </w:tc>
        <w:tc>
          <w:tcPr>
            <w:tcW w:w="1320" w:type="dxa"/>
            <w:shd w:val="clear" w:color="auto" w:fill="auto"/>
            <w:noWrap/>
            <w:hideMark/>
          </w:tcPr>
          <w:p w14:paraId="31BD83B8" w14:textId="77777777" w:rsidR="005512D2" w:rsidRPr="00591BFC" w:rsidRDefault="005512D2" w:rsidP="00E86771">
            <w:pPr>
              <w:spacing w:line="360" w:lineRule="auto"/>
            </w:pPr>
          </w:p>
        </w:tc>
        <w:tc>
          <w:tcPr>
            <w:tcW w:w="1320" w:type="dxa"/>
            <w:shd w:val="clear" w:color="auto" w:fill="auto"/>
            <w:noWrap/>
            <w:hideMark/>
          </w:tcPr>
          <w:p w14:paraId="4E72F8F8" w14:textId="77777777" w:rsidR="005512D2" w:rsidRPr="00591BFC" w:rsidRDefault="005512D2" w:rsidP="00E86771">
            <w:pPr>
              <w:spacing w:line="360" w:lineRule="auto"/>
            </w:pPr>
          </w:p>
        </w:tc>
        <w:tc>
          <w:tcPr>
            <w:tcW w:w="1063" w:type="dxa"/>
            <w:shd w:val="clear" w:color="auto" w:fill="auto"/>
            <w:noWrap/>
            <w:hideMark/>
          </w:tcPr>
          <w:p w14:paraId="2BC614BE" w14:textId="77777777" w:rsidR="005512D2" w:rsidRPr="00591BFC" w:rsidRDefault="005512D2" w:rsidP="00E86771">
            <w:pPr>
              <w:spacing w:line="360" w:lineRule="auto"/>
            </w:pPr>
          </w:p>
        </w:tc>
      </w:tr>
      <w:tr w:rsidR="005512D2" w:rsidRPr="00591BFC" w14:paraId="1AB7AA28" w14:textId="77777777" w:rsidTr="00FE3F68">
        <w:trPr>
          <w:trHeight w:val="315"/>
        </w:trPr>
        <w:tc>
          <w:tcPr>
            <w:tcW w:w="4016" w:type="dxa"/>
            <w:shd w:val="clear" w:color="auto" w:fill="auto"/>
            <w:hideMark/>
          </w:tcPr>
          <w:p w14:paraId="1EE93906" w14:textId="77777777" w:rsidR="005512D2" w:rsidRPr="00591BFC" w:rsidRDefault="005512D2" w:rsidP="00E86771">
            <w:pPr>
              <w:spacing w:line="360" w:lineRule="auto"/>
              <w:rPr>
                <w:u w:val="single"/>
              </w:rPr>
            </w:pPr>
            <w:r w:rsidRPr="00591BFC">
              <w:t>Intercept (β</w:t>
            </w:r>
            <w:r w:rsidRPr="00591BFC">
              <w:rPr>
                <w:vertAlign w:val="subscript"/>
              </w:rPr>
              <w:t>0</w:t>
            </w:r>
            <w:r w:rsidRPr="00591BFC">
              <w:t>)</w:t>
            </w:r>
          </w:p>
        </w:tc>
        <w:tc>
          <w:tcPr>
            <w:tcW w:w="1320" w:type="dxa"/>
            <w:shd w:val="clear" w:color="auto" w:fill="auto"/>
            <w:hideMark/>
          </w:tcPr>
          <w:p w14:paraId="743D6BCD" w14:textId="77777777" w:rsidR="005512D2" w:rsidRPr="00591BFC" w:rsidRDefault="005512D2" w:rsidP="00E86771">
            <w:pPr>
              <w:spacing w:line="360" w:lineRule="auto"/>
              <w:rPr>
                <w:u w:val="single"/>
              </w:rPr>
            </w:pPr>
            <w:r w:rsidRPr="00591BFC">
              <w:t>0.84</w:t>
            </w:r>
          </w:p>
        </w:tc>
        <w:tc>
          <w:tcPr>
            <w:tcW w:w="1320" w:type="dxa"/>
            <w:shd w:val="clear" w:color="auto" w:fill="auto"/>
            <w:hideMark/>
          </w:tcPr>
          <w:p w14:paraId="735D8264" w14:textId="77777777" w:rsidR="005512D2" w:rsidRPr="00591BFC" w:rsidRDefault="005512D2" w:rsidP="00E86771">
            <w:pPr>
              <w:spacing w:line="360" w:lineRule="auto"/>
              <w:rPr>
                <w:u w:val="single"/>
              </w:rPr>
            </w:pPr>
            <w:r w:rsidRPr="00591BFC">
              <w:t>-2.55</w:t>
            </w:r>
          </w:p>
        </w:tc>
        <w:tc>
          <w:tcPr>
            <w:tcW w:w="1320" w:type="dxa"/>
            <w:shd w:val="clear" w:color="auto" w:fill="auto"/>
            <w:hideMark/>
          </w:tcPr>
          <w:p w14:paraId="65603E52" w14:textId="77777777" w:rsidR="005512D2" w:rsidRPr="00591BFC" w:rsidRDefault="005512D2" w:rsidP="00E86771">
            <w:pPr>
              <w:spacing w:line="360" w:lineRule="auto"/>
              <w:rPr>
                <w:u w:val="single"/>
              </w:rPr>
            </w:pPr>
            <w:r w:rsidRPr="00591BFC">
              <w:t>4.22</w:t>
            </w:r>
          </w:p>
        </w:tc>
        <w:tc>
          <w:tcPr>
            <w:tcW w:w="1063" w:type="dxa"/>
            <w:shd w:val="clear" w:color="auto" w:fill="auto"/>
            <w:hideMark/>
          </w:tcPr>
          <w:p w14:paraId="3843C3B4" w14:textId="77777777" w:rsidR="005512D2" w:rsidRPr="00591BFC" w:rsidRDefault="005512D2" w:rsidP="00E86771">
            <w:pPr>
              <w:spacing w:line="360" w:lineRule="auto"/>
              <w:rPr>
                <w:u w:val="single"/>
              </w:rPr>
            </w:pPr>
            <w:r w:rsidRPr="00591BFC">
              <w:t>0.61</w:t>
            </w:r>
          </w:p>
        </w:tc>
      </w:tr>
      <w:tr w:rsidR="005512D2" w:rsidRPr="00591BFC" w14:paraId="7BA4D7D9" w14:textId="77777777" w:rsidTr="00FE3F68">
        <w:trPr>
          <w:trHeight w:val="300"/>
        </w:trPr>
        <w:tc>
          <w:tcPr>
            <w:tcW w:w="4016" w:type="dxa"/>
            <w:shd w:val="clear" w:color="auto" w:fill="auto"/>
            <w:noWrap/>
            <w:hideMark/>
          </w:tcPr>
          <w:p w14:paraId="13078B3D" w14:textId="77777777" w:rsidR="005512D2" w:rsidRPr="00591BFC" w:rsidRDefault="005512D2"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23755A4F" w14:textId="77777777" w:rsidR="005512D2" w:rsidRPr="00591BFC" w:rsidRDefault="005512D2" w:rsidP="00E86771">
            <w:pPr>
              <w:spacing w:line="360" w:lineRule="auto"/>
            </w:pPr>
            <w:r w:rsidRPr="00591BFC">
              <w:t>0.88</w:t>
            </w:r>
          </w:p>
        </w:tc>
        <w:tc>
          <w:tcPr>
            <w:tcW w:w="1320" w:type="dxa"/>
            <w:shd w:val="clear" w:color="auto" w:fill="auto"/>
            <w:noWrap/>
            <w:hideMark/>
          </w:tcPr>
          <w:p w14:paraId="6816568C" w14:textId="77777777" w:rsidR="005512D2" w:rsidRPr="00591BFC" w:rsidRDefault="005512D2" w:rsidP="00E86771">
            <w:pPr>
              <w:spacing w:line="360" w:lineRule="auto"/>
            </w:pPr>
            <w:r w:rsidRPr="00591BFC">
              <w:t>0.38</w:t>
            </w:r>
          </w:p>
        </w:tc>
        <w:tc>
          <w:tcPr>
            <w:tcW w:w="1320" w:type="dxa"/>
            <w:shd w:val="clear" w:color="auto" w:fill="auto"/>
            <w:noWrap/>
            <w:hideMark/>
          </w:tcPr>
          <w:p w14:paraId="3C032E7F" w14:textId="77777777" w:rsidR="005512D2" w:rsidRPr="00591BFC" w:rsidRDefault="005512D2" w:rsidP="00E86771">
            <w:pPr>
              <w:spacing w:line="360" w:lineRule="auto"/>
            </w:pPr>
            <w:r w:rsidRPr="00591BFC">
              <w:t>1.38</w:t>
            </w:r>
          </w:p>
        </w:tc>
        <w:tc>
          <w:tcPr>
            <w:tcW w:w="1063" w:type="dxa"/>
            <w:shd w:val="clear" w:color="auto" w:fill="auto"/>
            <w:noWrap/>
            <w:hideMark/>
          </w:tcPr>
          <w:p w14:paraId="611B9EB8" w14:textId="77777777" w:rsidR="005512D2" w:rsidRPr="00591BFC" w:rsidRDefault="005512D2" w:rsidP="00E86771">
            <w:pPr>
              <w:spacing w:line="360" w:lineRule="auto"/>
            </w:pPr>
            <w:r w:rsidRPr="00591BFC">
              <w:t>0.002</w:t>
            </w:r>
          </w:p>
        </w:tc>
      </w:tr>
      <w:tr w:rsidR="005512D2" w:rsidRPr="00591BFC" w14:paraId="37D02775" w14:textId="77777777" w:rsidTr="00FE3F68">
        <w:trPr>
          <w:trHeight w:val="330"/>
        </w:trPr>
        <w:tc>
          <w:tcPr>
            <w:tcW w:w="4016" w:type="dxa"/>
            <w:shd w:val="clear" w:color="auto" w:fill="auto"/>
            <w:noWrap/>
            <w:hideMark/>
          </w:tcPr>
          <w:p w14:paraId="7DF9AC52" w14:textId="77777777" w:rsidR="005512D2" w:rsidRPr="00591BFC" w:rsidRDefault="005512D2"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6E54B5CE" w14:textId="77777777" w:rsidR="005512D2" w:rsidRPr="00591BFC" w:rsidRDefault="005512D2" w:rsidP="00E86771">
            <w:pPr>
              <w:spacing w:line="360" w:lineRule="auto"/>
            </w:pPr>
            <w:r w:rsidRPr="00591BFC">
              <w:t>7.57</w:t>
            </w:r>
          </w:p>
        </w:tc>
        <w:tc>
          <w:tcPr>
            <w:tcW w:w="1320" w:type="dxa"/>
            <w:shd w:val="clear" w:color="auto" w:fill="auto"/>
            <w:noWrap/>
            <w:hideMark/>
          </w:tcPr>
          <w:p w14:paraId="42CF8EF4" w14:textId="77777777" w:rsidR="005512D2" w:rsidRPr="00591BFC" w:rsidRDefault="005512D2" w:rsidP="00E86771">
            <w:pPr>
              <w:spacing w:line="360" w:lineRule="auto"/>
            </w:pPr>
            <w:r w:rsidRPr="00591BFC">
              <w:t>1.54</w:t>
            </w:r>
          </w:p>
        </w:tc>
        <w:tc>
          <w:tcPr>
            <w:tcW w:w="1320" w:type="dxa"/>
            <w:shd w:val="clear" w:color="auto" w:fill="auto"/>
            <w:noWrap/>
            <w:hideMark/>
          </w:tcPr>
          <w:p w14:paraId="2FAC0EDE" w14:textId="77777777" w:rsidR="005512D2" w:rsidRPr="00591BFC" w:rsidRDefault="005512D2" w:rsidP="00E86771">
            <w:pPr>
              <w:spacing w:line="360" w:lineRule="auto"/>
            </w:pPr>
            <w:r w:rsidRPr="00591BFC">
              <w:t>13.6</w:t>
            </w:r>
          </w:p>
        </w:tc>
        <w:tc>
          <w:tcPr>
            <w:tcW w:w="1063" w:type="dxa"/>
            <w:shd w:val="clear" w:color="auto" w:fill="auto"/>
            <w:noWrap/>
            <w:hideMark/>
          </w:tcPr>
          <w:p w14:paraId="76C32786" w14:textId="77777777" w:rsidR="005512D2" w:rsidRPr="00591BFC" w:rsidRDefault="005512D2" w:rsidP="00E86771">
            <w:pPr>
              <w:spacing w:line="360" w:lineRule="auto"/>
            </w:pPr>
            <w:r w:rsidRPr="00591BFC">
              <w:t>0.017</w:t>
            </w:r>
          </w:p>
        </w:tc>
      </w:tr>
      <w:tr w:rsidR="005512D2" w:rsidRPr="00591BFC" w14:paraId="277475DF" w14:textId="77777777" w:rsidTr="00FE3F68">
        <w:trPr>
          <w:trHeight w:val="330"/>
        </w:trPr>
        <w:tc>
          <w:tcPr>
            <w:tcW w:w="4016" w:type="dxa"/>
            <w:shd w:val="clear" w:color="auto" w:fill="auto"/>
            <w:noWrap/>
            <w:hideMark/>
          </w:tcPr>
          <w:p w14:paraId="47867D02" w14:textId="77777777" w:rsidR="005512D2" w:rsidRPr="00591BFC" w:rsidRDefault="005512D2"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0D7696D6" w14:textId="77777777" w:rsidR="005512D2" w:rsidRPr="00591BFC" w:rsidRDefault="005512D2" w:rsidP="00E86771">
            <w:pPr>
              <w:spacing w:line="360" w:lineRule="auto"/>
            </w:pPr>
            <w:r w:rsidRPr="00591BFC">
              <w:t>2.1</w:t>
            </w:r>
          </w:p>
        </w:tc>
        <w:tc>
          <w:tcPr>
            <w:tcW w:w="1320" w:type="dxa"/>
            <w:shd w:val="clear" w:color="auto" w:fill="auto"/>
            <w:noWrap/>
            <w:hideMark/>
          </w:tcPr>
          <w:p w14:paraId="198552CE" w14:textId="77777777" w:rsidR="005512D2" w:rsidRPr="00591BFC" w:rsidRDefault="005512D2" w:rsidP="00E86771">
            <w:pPr>
              <w:spacing w:line="360" w:lineRule="auto"/>
            </w:pPr>
            <w:r w:rsidRPr="00591BFC">
              <w:t>0.55</w:t>
            </w:r>
          </w:p>
        </w:tc>
        <w:tc>
          <w:tcPr>
            <w:tcW w:w="1320" w:type="dxa"/>
            <w:shd w:val="clear" w:color="auto" w:fill="auto"/>
            <w:noWrap/>
            <w:hideMark/>
          </w:tcPr>
          <w:p w14:paraId="2AC6721E" w14:textId="77777777" w:rsidR="005512D2" w:rsidRPr="00591BFC" w:rsidRDefault="005512D2" w:rsidP="00E86771">
            <w:pPr>
              <w:spacing w:line="360" w:lineRule="auto"/>
            </w:pPr>
            <w:r w:rsidRPr="00591BFC">
              <w:t>3.66</w:t>
            </w:r>
          </w:p>
        </w:tc>
        <w:tc>
          <w:tcPr>
            <w:tcW w:w="1063" w:type="dxa"/>
            <w:shd w:val="clear" w:color="auto" w:fill="auto"/>
            <w:noWrap/>
            <w:hideMark/>
          </w:tcPr>
          <w:p w14:paraId="1A14B51A" w14:textId="77777777" w:rsidR="005512D2" w:rsidRPr="00591BFC" w:rsidRDefault="005512D2" w:rsidP="00E86771">
            <w:pPr>
              <w:spacing w:line="360" w:lineRule="auto"/>
            </w:pPr>
            <w:r w:rsidRPr="00591BFC">
              <w:t>0.011</w:t>
            </w:r>
          </w:p>
        </w:tc>
      </w:tr>
      <w:tr w:rsidR="005512D2" w:rsidRPr="00591BFC" w14:paraId="2C1789E8" w14:textId="77777777" w:rsidTr="00FE3F68">
        <w:trPr>
          <w:trHeight w:val="330"/>
        </w:trPr>
        <w:tc>
          <w:tcPr>
            <w:tcW w:w="4016" w:type="dxa"/>
            <w:shd w:val="clear" w:color="auto" w:fill="auto"/>
            <w:noWrap/>
            <w:hideMark/>
          </w:tcPr>
          <w:p w14:paraId="39DAB42B" w14:textId="77777777" w:rsidR="005512D2" w:rsidRPr="00591BFC" w:rsidRDefault="005512D2"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163EAC64" w14:textId="77777777" w:rsidR="005512D2" w:rsidRPr="00591BFC" w:rsidRDefault="005512D2" w:rsidP="00E86771">
            <w:pPr>
              <w:spacing w:line="360" w:lineRule="auto"/>
            </w:pPr>
            <w:r w:rsidRPr="00591BFC">
              <w:t>-9.59</w:t>
            </w:r>
          </w:p>
        </w:tc>
        <w:tc>
          <w:tcPr>
            <w:tcW w:w="1320" w:type="dxa"/>
            <w:shd w:val="clear" w:color="auto" w:fill="auto"/>
            <w:noWrap/>
            <w:hideMark/>
          </w:tcPr>
          <w:p w14:paraId="7D6838D7" w14:textId="77777777" w:rsidR="005512D2" w:rsidRPr="00591BFC" w:rsidRDefault="005512D2" w:rsidP="00E86771">
            <w:pPr>
              <w:spacing w:line="360" w:lineRule="auto"/>
            </w:pPr>
            <w:r w:rsidRPr="00591BFC">
              <w:t>-16.81</w:t>
            </w:r>
          </w:p>
        </w:tc>
        <w:tc>
          <w:tcPr>
            <w:tcW w:w="1320" w:type="dxa"/>
            <w:shd w:val="clear" w:color="auto" w:fill="auto"/>
            <w:noWrap/>
            <w:hideMark/>
          </w:tcPr>
          <w:p w14:paraId="22597902" w14:textId="77777777" w:rsidR="005512D2" w:rsidRPr="00591BFC" w:rsidRDefault="005512D2" w:rsidP="00E86771">
            <w:pPr>
              <w:spacing w:line="360" w:lineRule="auto"/>
            </w:pPr>
            <w:r w:rsidRPr="00591BFC">
              <w:t>-2.36</w:t>
            </w:r>
          </w:p>
        </w:tc>
        <w:tc>
          <w:tcPr>
            <w:tcW w:w="1063" w:type="dxa"/>
            <w:shd w:val="clear" w:color="auto" w:fill="auto"/>
            <w:noWrap/>
            <w:hideMark/>
          </w:tcPr>
          <w:p w14:paraId="5D840097" w14:textId="77777777" w:rsidR="005512D2" w:rsidRPr="00591BFC" w:rsidRDefault="005512D2" w:rsidP="00E86771">
            <w:pPr>
              <w:spacing w:line="360" w:lineRule="auto"/>
            </w:pPr>
            <w:r w:rsidRPr="00591BFC">
              <w:t>0.012</w:t>
            </w:r>
          </w:p>
        </w:tc>
      </w:tr>
      <w:tr w:rsidR="005512D2" w:rsidRPr="00591BFC" w14:paraId="3DBD02FC" w14:textId="77777777" w:rsidTr="00FE3F68">
        <w:trPr>
          <w:trHeight w:val="330"/>
        </w:trPr>
        <w:tc>
          <w:tcPr>
            <w:tcW w:w="4016" w:type="dxa"/>
            <w:shd w:val="clear" w:color="auto" w:fill="auto"/>
            <w:noWrap/>
            <w:hideMark/>
          </w:tcPr>
          <w:p w14:paraId="1E125616" w14:textId="77777777" w:rsidR="005512D2" w:rsidRPr="00591BFC" w:rsidRDefault="005512D2"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407D4470" w14:textId="77777777" w:rsidR="005512D2" w:rsidRPr="00591BFC" w:rsidRDefault="005512D2" w:rsidP="00E86771">
            <w:pPr>
              <w:spacing w:line="360" w:lineRule="auto"/>
            </w:pPr>
            <w:r w:rsidRPr="00591BFC">
              <w:t> </w:t>
            </w:r>
          </w:p>
        </w:tc>
        <w:tc>
          <w:tcPr>
            <w:tcW w:w="1320" w:type="dxa"/>
            <w:shd w:val="clear" w:color="auto" w:fill="auto"/>
            <w:noWrap/>
            <w:hideMark/>
          </w:tcPr>
          <w:p w14:paraId="20B74A3E" w14:textId="77777777" w:rsidR="005512D2" w:rsidRPr="00591BFC" w:rsidRDefault="005512D2" w:rsidP="00E86771">
            <w:pPr>
              <w:spacing w:line="360" w:lineRule="auto"/>
            </w:pPr>
            <w:r w:rsidRPr="00591BFC">
              <w:t> </w:t>
            </w:r>
          </w:p>
        </w:tc>
        <w:tc>
          <w:tcPr>
            <w:tcW w:w="1320" w:type="dxa"/>
            <w:shd w:val="clear" w:color="auto" w:fill="auto"/>
            <w:noWrap/>
            <w:hideMark/>
          </w:tcPr>
          <w:p w14:paraId="32A7DFED" w14:textId="77777777" w:rsidR="005512D2" w:rsidRPr="00591BFC" w:rsidRDefault="005512D2" w:rsidP="00E86771">
            <w:pPr>
              <w:spacing w:line="360" w:lineRule="auto"/>
            </w:pPr>
            <w:r w:rsidRPr="00591BFC">
              <w:t> </w:t>
            </w:r>
          </w:p>
        </w:tc>
        <w:tc>
          <w:tcPr>
            <w:tcW w:w="1063" w:type="dxa"/>
            <w:shd w:val="clear" w:color="auto" w:fill="auto"/>
            <w:noWrap/>
            <w:hideMark/>
          </w:tcPr>
          <w:p w14:paraId="6D4651CC" w14:textId="77777777" w:rsidR="005512D2" w:rsidRPr="00591BFC" w:rsidRDefault="005512D2" w:rsidP="00E86771">
            <w:pPr>
              <w:spacing w:line="360" w:lineRule="auto"/>
            </w:pPr>
            <w:r w:rsidRPr="00591BFC">
              <w:t> </w:t>
            </w:r>
          </w:p>
        </w:tc>
      </w:tr>
      <w:tr w:rsidR="005512D2" w:rsidRPr="00591BFC" w14:paraId="24883F86" w14:textId="77777777" w:rsidTr="00FE3F68">
        <w:trPr>
          <w:trHeight w:val="330"/>
        </w:trPr>
        <w:tc>
          <w:tcPr>
            <w:tcW w:w="4016" w:type="dxa"/>
            <w:shd w:val="clear" w:color="auto" w:fill="auto"/>
            <w:noWrap/>
            <w:hideMark/>
          </w:tcPr>
          <w:p w14:paraId="17284B66" w14:textId="77777777" w:rsidR="005512D2" w:rsidRPr="00591BFC" w:rsidRDefault="005512D2"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7FE15753" w14:textId="77777777" w:rsidR="005512D2" w:rsidRPr="00591BFC" w:rsidRDefault="005512D2" w:rsidP="00E86771">
            <w:pPr>
              <w:spacing w:line="360" w:lineRule="auto"/>
            </w:pPr>
            <w:r w:rsidRPr="00591BFC">
              <w:t> </w:t>
            </w:r>
          </w:p>
        </w:tc>
        <w:tc>
          <w:tcPr>
            <w:tcW w:w="1320" w:type="dxa"/>
            <w:shd w:val="clear" w:color="auto" w:fill="auto"/>
            <w:noWrap/>
            <w:hideMark/>
          </w:tcPr>
          <w:p w14:paraId="02E0121A" w14:textId="77777777" w:rsidR="005512D2" w:rsidRPr="00591BFC" w:rsidRDefault="005512D2" w:rsidP="00E86771">
            <w:pPr>
              <w:spacing w:line="360" w:lineRule="auto"/>
            </w:pPr>
            <w:r w:rsidRPr="00591BFC">
              <w:t> </w:t>
            </w:r>
          </w:p>
        </w:tc>
        <w:tc>
          <w:tcPr>
            <w:tcW w:w="1320" w:type="dxa"/>
            <w:shd w:val="clear" w:color="auto" w:fill="auto"/>
            <w:noWrap/>
            <w:hideMark/>
          </w:tcPr>
          <w:p w14:paraId="6923282A" w14:textId="77777777" w:rsidR="005512D2" w:rsidRPr="00591BFC" w:rsidRDefault="005512D2" w:rsidP="00E86771">
            <w:pPr>
              <w:spacing w:line="360" w:lineRule="auto"/>
            </w:pPr>
            <w:r w:rsidRPr="00591BFC">
              <w:t> </w:t>
            </w:r>
          </w:p>
        </w:tc>
        <w:tc>
          <w:tcPr>
            <w:tcW w:w="1063" w:type="dxa"/>
            <w:shd w:val="clear" w:color="auto" w:fill="auto"/>
            <w:noWrap/>
            <w:hideMark/>
          </w:tcPr>
          <w:p w14:paraId="04C8C05C" w14:textId="77777777" w:rsidR="005512D2" w:rsidRPr="00591BFC" w:rsidRDefault="005512D2" w:rsidP="00E86771">
            <w:pPr>
              <w:spacing w:line="360" w:lineRule="auto"/>
            </w:pPr>
            <w:r w:rsidRPr="00591BFC">
              <w:t> </w:t>
            </w:r>
          </w:p>
        </w:tc>
      </w:tr>
      <w:tr w:rsidR="005512D2" w:rsidRPr="00591BFC" w14:paraId="2DF0201D" w14:textId="77777777" w:rsidTr="00FE3F68">
        <w:trPr>
          <w:trHeight w:val="330"/>
        </w:trPr>
        <w:tc>
          <w:tcPr>
            <w:tcW w:w="4016" w:type="dxa"/>
            <w:shd w:val="clear" w:color="auto" w:fill="auto"/>
            <w:noWrap/>
            <w:hideMark/>
          </w:tcPr>
          <w:p w14:paraId="19F9B0B4" w14:textId="77777777" w:rsidR="005512D2" w:rsidRPr="00591BFC" w:rsidRDefault="005512D2"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1AFCA5A3" w14:textId="77777777" w:rsidR="005512D2" w:rsidRPr="00591BFC" w:rsidRDefault="005512D2" w:rsidP="00E86771">
            <w:pPr>
              <w:spacing w:line="360" w:lineRule="auto"/>
            </w:pPr>
            <w:r w:rsidRPr="00591BFC">
              <w:t>-1.74</w:t>
            </w:r>
          </w:p>
        </w:tc>
        <w:tc>
          <w:tcPr>
            <w:tcW w:w="1320" w:type="dxa"/>
            <w:shd w:val="clear" w:color="auto" w:fill="auto"/>
            <w:noWrap/>
            <w:hideMark/>
          </w:tcPr>
          <w:p w14:paraId="696B1330" w14:textId="77777777" w:rsidR="005512D2" w:rsidRPr="00591BFC" w:rsidRDefault="005512D2" w:rsidP="00E86771">
            <w:pPr>
              <w:spacing w:line="360" w:lineRule="auto"/>
            </w:pPr>
            <w:r w:rsidRPr="00591BFC">
              <w:t>-3.78</w:t>
            </w:r>
          </w:p>
        </w:tc>
        <w:tc>
          <w:tcPr>
            <w:tcW w:w="1320" w:type="dxa"/>
            <w:shd w:val="clear" w:color="auto" w:fill="auto"/>
            <w:noWrap/>
            <w:hideMark/>
          </w:tcPr>
          <w:p w14:paraId="4BCC0263" w14:textId="77777777" w:rsidR="005512D2" w:rsidRPr="00591BFC" w:rsidRDefault="005512D2" w:rsidP="00E86771">
            <w:pPr>
              <w:spacing w:line="360" w:lineRule="auto"/>
            </w:pPr>
            <w:r w:rsidRPr="00591BFC">
              <w:t>0.31</w:t>
            </w:r>
          </w:p>
        </w:tc>
        <w:tc>
          <w:tcPr>
            <w:tcW w:w="1063" w:type="dxa"/>
            <w:shd w:val="clear" w:color="auto" w:fill="auto"/>
            <w:noWrap/>
            <w:hideMark/>
          </w:tcPr>
          <w:p w14:paraId="6C8463A8" w14:textId="77777777" w:rsidR="005512D2" w:rsidRPr="00591BFC" w:rsidRDefault="005512D2" w:rsidP="00E86771">
            <w:pPr>
              <w:spacing w:line="360" w:lineRule="auto"/>
            </w:pPr>
            <w:r w:rsidRPr="00591BFC">
              <w:t>0.091</w:t>
            </w:r>
          </w:p>
        </w:tc>
      </w:tr>
      <w:tr w:rsidR="005512D2" w:rsidRPr="00591BFC" w14:paraId="7E06AA03" w14:textId="77777777" w:rsidTr="00FE3F68">
        <w:trPr>
          <w:trHeight w:val="315"/>
        </w:trPr>
        <w:tc>
          <w:tcPr>
            <w:tcW w:w="4016" w:type="dxa"/>
            <w:shd w:val="clear" w:color="auto" w:fill="auto"/>
            <w:noWrap/>
            <w:hideMark/>
          </w:tcPr>
          <w:p w14:paraId="700CCA94" w14:textId="77777777" w:rsidR="005512D2" w:rsidRPr="00591BFC" w:rsidRDefault="005512D2" w:rsidP="00E86771">
            <w:pPr>
              <w:spacing w:line="360" w:lineRule="auto"/>
            </w:pPr>
            <w:r w:rsidRPr="00591BFC">
              <w:rPr>
                <w:u w:val="single"/>
              </w:rPr>
              <w:t>bisphosphonate prevalence (10-14 months)*</w:t>
            </w:r>
          </w:p>
        </w:tc>
        <w:tc>
          <w:tcPr>
            <w:tcW w:w="1320" w:type="dxa"/>
            <w:noWrap/>
            <w:hideMark/>
          </w:tcPr>
          <w:p w14:paraId="35C48BFF" w14:textId="77777777" w:rsidR="005512D2" w:rsidRPr="00591BFC" w:rsidRDefault="005512D2" w:rsidP="00E86771">
            <w:pPr>
              <w:spacing w:line="360" w:lineRule="auto"/>
            </w:pPr>
          </w:p>
        </w:tc>
        <w:tc>
          <w:tcPr>
            <w:tcW w:w="1320" w:type="dxa"/>
            <w:shd w:val="clear" w:color="auto" w:fill="auto"/>
            <w:noWrap/>
            <w:hideMark/>
          </w:tcPr>
          <w:p w14:paraId="503B95C5" w14:textId="77777777" w:rsidR="005512D2" w:rsidRPr="00591BFC" w:rsidRDefault="005512D2" w:rsidP="00E86771">
            <w:pPr>
              <w:spacing w:line="360" w:lineRule="auto"/>
            </w:pPr>
          </w:p>
        </w:tc>
        <w:tc>
          <w:tcPr>
            <w:tcW w:w="1320" w:type="dxa"/>
            <w:shd w:val="clear" w:color="auto" w:fill="auto"/>
            <w:noWrap/>
            <w:hideMark/>
          </w:tcPr>
          <w:p w14:paraId="18ED8222" w14:textId="77777777" w:rsidR="005512D2" w:rsidRPr="00591BFC" w:rsidRDefault="005512D2" w:rsidP="00E86771">
            <w:pPr>
              <w:spacing w:line="360" w:lineRule="auto"/>
            </w:pPr>
          </w:p>
        </w:tc>
        <w:tc>
          <w:tcPr>
            <w:tcW w:w="1063" w:type="dxa"/>
            <w:shd w:val="clear" w:color="auto" w:fill="auto"/>
            <w:noWrap/>
            <w:hideMark/>
          </w:tcPr>
          <w:p w14:paraId="6AA6047A" w14:textId="77777777" w:rsidR="005512D2" w:rsidRPr="00591BFC" w:rsidRDefault="005512D2" w:rsidP="00E86771">
            <w:pPr>
              <w:spacing w:line="360" w:lineRule="auto"/>
            </w:pPr>
          </w:p>
        </w:tc>
      </w:tr>
      <w:tr w:rsidR="005512D2" w:rsidRPr="00591BFC" w14:paraId="72E1C28C" w14:textId="77777777" w:rsidTr="00FE3F68">
        <w:trPr>
          <w:trHeight w:val="315"/>
        </w:trPr>
        <w:tc>
          <w:tcPr>
            <w:tcW w:w="4016" w:type="dxa"/>
            <w:shd w:val="clear" w:color="auto" w:fill="auto"/>
            <w:hideMark/>
          </w:tcPr>
          <w:p w14:paraId="60B5324B" w14:textId="77777777" w:rsidR="005512D2" w:rsidRPr="00591BFC" w:rsidRDefault="005512D2" w:rsidP="00E86771">
            <w:pPr>
              <w:spacing w:line="360" w:lineRule="auto"/>
              <w:rPr>
                <w:u w:val="single"/>
              </w:rPr>
            </w:pPr>
            <w:r w:rsidRPr="00591BFC">
              <w:t>Intercept (β</w:t>
            </w:r>
            <w:r w:rsidRPr="00591BFC">
              <w:rPr>
                <w:vertAlign w:val="subscript"/>
              </w:rPr>
              <w:t>0</w:t>
            </w:r>
            <w:r w:rsidRPr="00591BFC">
              <w:t>)</w:t>
            </w:r>
          </w:p>
        </w:tc>
        <w:tc>
          <w:tcPr>
            <w:tcW w:w="1320" w:type="dxa"/>
            <w:shd w:val="clear" w:color="auto" w:fill="auto"/>
            <w:hideMark/>
          </w:tcPr>
          <w:p w14:paraId="2257552B" w14:textId="77777777" w:rsidR="005512D2" w:rsidRPr="00591BFC" w:rsidRDefault="005512D2" w:rsidP="00E86771">
            <w:pPr>
              <w:spacing w:line="360" w:lineRule="auto"/>
              <w:rPr>
                <w:u w:val="single"/>
              </w:rPr>
            </w:pPr>
            <w:r w:rsidRPr="00591BFC">
              <w:t>1.31</w:t>
            </w:r>
          </w:p>
        </w:tc>
        <w:tc>
          <w:tcPr>
            <w:tcW w:w="1320" w:type="dxa"/>
            <w:shd w:val="clear" w:color="auto" w:fill="auto"/>
            <w:hideMark/>
          </w:tcPr>
          <w:p w14:paraId="0B6B1802" w14:textId="77777777" w:rsidR="005512D2" w:rsidRPr="00591BFC" w:rsidRDefault="005512D2" w:rsidP="00E86771">
            <w:pPr>
              <w:spacing w:line="360" w:lineRule="auto"/>
              <w:rPr>
                <w:u w:val="single"/>
              </w:rPr>
            </w:pPr>
            <w:r w:rsidRPr="00591BFC">
              <w:t>-1</w:t>
            </w:r>
          </w:p>
        </w:tc>
        <w:tc>
          <w:tcPr>
            <w:tcW w:w="1320" w:type="dxa"/>
            <w:shd w:val="clear" w:color="auto" w:fill="auto"/>
            <w:hideMark/>
          </w:tcPr>
          <w:p w14:paraId="2684BFD9" w14:textId="77777777" w:rsidR="005512D2" w:rsidRPr="00591BFC" w:rsidRDefault="005512D2" w:rsidP="00E86771">
            <w:pPr>
              <w:spacing w:line="360" w:lineRule="auto"/>
              <w:rPr>
                <w:u w:val="single"/>
              </w:rPr>
            </w:pPr>
            <w:r w:rsidRPr="00591BFC">
              <w:t>3.61</w:t>
            </w:r>
          </w:p>
        </w:tc>
        <w:tc>
          <w:tcPr>
            <w:tcW w:w="1063" w:type="dxa"/>
            <w:shd w:val="clear" w:color="auto" w:fill="auto"/>
            <w:hideMark/>
          </w:tcPr>
          <w:p w14:paraId="4DC0A75F" w14:textId="77777777" w:rsidR="005512D2" w:rsidRPr="00591BFC" w:rsidRDefault="005512D2" w:rsidP="00E86771">
            <w:pPr>
              <w:spacing w:line="360" w:lineRule="auto"/>
              <w:rPr>
                <w:u w:val="single"/>
              </w:rPr>
            </w:pPr>
            <w:r w:rsidRPr="00591BFC">
              <w:t>0.25</w:t>
            </w:r>
          </w:p>
        </w:tc>
      </w:tr>
      <w:tr w:rsidR="005512D2" w:rsidRPr="00591BFC" w14:paraId="3B47BB3F" w14:textId="77777777" w:rsidTr="00FE3F68">
        <w:trPr>
          <w:trHeight w:val="330"/>
        </w:trPr>
        <w:tc>
          <w:tcPr>
            <w:tcW w:w="4016" w:type="dxa"/>
            <w:shd w:val="clear" w:color="auto" w:fill="auto"/>
            <w:noWrap/>
            <w:hideMark/>
          </w:tcPr>
          <w:p w14:paraId="59F1694C" w14:textId="77777777" w:rsidR="005512D2" w:rsidRPr="00591BFC" w:rsidRDefault="005512D2"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1D616CF1" w14:textId="77777777" w:rsidR="005512D2" w:rsidRPr="00591BFC" w:rsidRDefault="005512D2" w:rsidP="00E86771">
            <w:pPr>
              <w:spacing w:line="360" w:lineRule="auto"/>
            </w:pPr>
            <w:r w:rsidRPr="00591BFC">
              <w:t>0.95</w:t>
            </w:r>
          </w:p>
        </w:tc>
        <w:tc>
          <w:tcPr>
            <w:tcW w:w="1320" w:type="dxa"/>
            <w:shd w:val="clear" w:color="auto" w:fill="auto"/>
            <w:noWrap/>
            <w:hideMark/>
          </w:tcPr>
          <w:p w14:paraId="3D9D1558" w14:textId="77777777" w:rsidR="005512D2" w:rsidRPr="00591BFC" w:rsidRDefault="005512D2" w:rsidP="00E86771">
            <w:pPr>
              <w:spacing w:line="360" w:lineRule="auto"/>
            </w:pPr>
            <w:r w:rsidRPr="00591BFC">
              <w:t>0.62</w:t>
            </w:r>
          </w:p>
        </w:tc>
        <w:tc>
          <w:tcPr>
            <w:tcW w:w="1320" w:type="dxa"/>
            <w:shd w:val="clear" w:color="auto" w:fill="auto"/>
            <w:noWrap/>
            <w:hideMark/>
          </w:tcPr>
          <w:p w14:paraId="4E48A8DC" w14:textId="77777777" w:rsidR="005512D2" w:rsidRPr="00591BFC" w:rsidRDefault="005512D2" w:rsidP="00E86771">
            <w:pPr>
              <w:spacing w:line="360" w:lineRule="auto"/>
            </w:pPr>
            <w:r w:rsidRPr="00591BFC">
              <w:t>1.27</w:t>
            </w:r>
          </w:p>
        </w:tc>
        <w:tc>
          <w:tcPr>
            <w:tcW w:w="1063" w:type="dxa"/>
            <w:shd w:val="clear" w:color="auto" w:fill="auto"/>
            <w:noWrap/>
            <w:hideMark/>
          </w:tcPr>
          <w:p w14:paraId="5482DC3C" w14:textId="77777777" w:rsidR="005512D2" w:rsidRPr="00591BFC" w:rsidRDefault="005512D2" w:rsidP="00E86771">
            <w:pPr>
              <w:spacing w:line="360" w:lineRule="auto"/>
            </w:pPr>
            <w:r w:rsidRPr="00591BFC">
              <w:t>&lt;0.001</w:t>
            </w:r>
          </w:p>
        </w:tc>
      </w:tr>
      <w:tr w:rsidR="005512D2" w:rsidRPr="00591BFC" w14:paraId="73648D5D" w14:textId="77777777" w:rsidTr="00FE3F68">
        <w:trPr>
          <w:trHeight w:val="330"/>
        </w:trPr>
        <w:tc>
          <w:tcPr>
            <w:tcW w:w="4016" w:type="dxa"/>
            <w:shd w:val="clear" w:color="auto" w:fill="auto"/>
            <w:noWrap/>
            <w:hideMark/>
          </w:tcPr>
          <w:p w14:paraId="49E7245F" w14:textId="77777777" w:rsidR="005512D2" w:rsidRPr="00591BFC" w:rsidRDefault="005512D2"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436B2B1A" w14:textId="77777777" w:rsidR="005512D2" w:rsidRPr="00591BFC" w:rsidRDefault="005512D2" w:rsidP="00E86771">
            <w:pPr>
              <w:spacing w:line="360" w:lineRule="auto"/>
            </w:pPr>
            <w:r w:rsidRPr="00591BFC">
              <w:t>8.71</w:t>
            </w:r>
          </w:p>
        </w:tc>
        <w:tc>
          <w:tcPr>
            <w:tcW w:w="1320" w:type="dxa"/>
            <w:shd w:val="clear" w:color="auto" w:fill="auto"/>
            <w:noWrap/>
            <w:hideMark/>
          </w:tcPr>
          <w:p w14:paraId="01614F14" w14:textId="77777777" w:rsidR="005512D2" w:rsidRPr="00591BFC" w:rsidRDefault="005512D2" w:rsidP="00E86771">
            <w:pPr>
              <w:spacing w:line="360" w:lineRule="auto"/>
            </w:pPr>
            <w:r w:rsidRPr="00591BFC">
              <w:t>5.04</w:t>
            </w:r>
          </w:p>
        </w:tc>
        <w:tc>
          <w:tcPr>
            <w:tcW w:w="1320" w:type="dxa"/>
            <w:shd w:val="clear" w:color="auto" w:fill="auto"/>
            <w:noWrap/>
            <w:hideMark/>
          </w:tcPr>
          <w:p w14:paraId="0D236273" w14:textId="77777777" w:rsidR="005512D2" w:rsidRPr="00591BFC" w:rsidRDefault="005512D2" w:rsidP="00E86771">
            <w:pPr>
              <w:spacing w:line="360" w:lineRule="auto"/>
            </w:pPr>
            <w:r w:rsidRPr="00591BFC">
              <w:t>12.4</w:t>
            </w:r>
          </w:p>
        </w:tc>
        <w:tc>
          <w:tcPr>
            <w:tcW w:w="1063" w:type="dxa"/>
            <w:shd w:val="clear" w:color="auto" w:fill="auto"/>
            <w:noWrap/>
            <w:hideMark/>
          </w:tcPr>
          <w:p w14:paraId="21848164" w14:textId="77777777" w:rsidR="005512D2" w:rsidRPr="00591BFC" w:rsidRDefault="005512D2" w:rsidP="00E86771">
            <w:pPr>
              <w:spacing w:line="360" w:lineRule="auto"/>
            </w:pPr>
            <w:r w:rsidRPr="00591BFC">
              <w:t>&lt;0.001</w:t>
            </w:r>
          </w:p>
        </w:tc>
      </w:tr>
      <w:tr w:rsidR="005512D2" w:rsidRPr="00591BFC" w14:paraId="0210EF4E" w14:textId="77777777" w:rsidTr="00FE3F68">
        <w:trPr>
          <w:trHeight w:val="330"/>
        </w:trPr>
        <w:tc>
          <w:tcPr>
            <w:tcW w:w="4016" w:type="dxa"/>
            <w:shd w:val="clear" w:color="auto" w:fill="auto"/>
            <w:noWrap/>
            <w:hideMark/>
          </w:tcPr>
          <w:p w14:paraId="73901B89" w14:textId="77777777" w:rsidR="005512D2" w:rsidRPr="00591BFC" w:rsidRDefault="005512D2"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7A7D4AD5" w14:textId="77777777" w:rsidR="005512D2" w:rsidRPr="00591BFC" w:rsidRDefault="005512D2" w:rsidP="00E86771">
            <w:pPr>
              <w:spacing w:line="360" w:lineRule="auto"/>
            </w:pPr>
            <w:r w:rsidRPr="00591BFC">
              <w:t> </w:t>
            </w:r>
          </w:p>
        </w:tc>
        <w:tc>
          <w:tcPr>
            <w:tcW w:w="1320" w:type="dxa"/>
            <w:shd w:val="clear" w:color="auto" w:fill="auto"/>
            <w:noWrap/>
            <w:hideMark/>
          </w:tcPr>
          <w:p w14:paraId="33ACB528" w14:textId="77777777" w:rsidR="005512D2" w:rsidRPr="00591BFC" w:rsidRDefault="005512D2" w:rsidP="00E86771">
            <w:pPr>
              <w:spacing w:line="360" w:lineRule="auto"/>
            </w:pPr>
            <w:r w:rsidRPr="00591BFC">
              <w:t> </w:t>
            </w:r>
          </w:p>
        </w:tc>
        <w:tc>
          <w:tcPr>
            <w:tcW w:w="1320" w:type="dxa"/>
            <w:shd w:val="clear" w:color="auto" w:fill="auto"/>
            <w:noWrap/>
            <w:hideMark/>
          </w:tcPr>
          <w:p w14:paraId="03AE890A" w14:textId="77777777" w:rsidR="005512D2" w:rsidRPr="00591BFC" w:rsidRDefault="005512D2" w:rsidP="00E86771">
            <w:pPr>
              <w:spacing w:line="360" w:lineRule="auto"/>
            </w:pPr>
            <w:r w:rsidRPr="00591BFC">
              <w:t> </w:t>
            </w:r>
          </w:p>
        </w:tc>
        <w:tc>
          <w:tcPr>
            <w:tcW w:w="1063" w:type="dxa"/>
            <w:shd w:val="clear" w:color="auto" w:fill="auto"/>
            <w:noWrap/>
            <w:hideMark/>
          </w:tcPr>
          <w:p w14:paraId="59CBFF60" w14:textId="77777777" w:rsidR="005512D2" w:rsidRPr="00591BFC" w:rsidRDefault="005512D2" w:rsidP="00E86771">
            <w:pPr>
              <w:spacing w:line="360" w:lineRule="auto"/>
            </w:pPr>
            <w:r w:rsidRPr="00591BFC">
              <w:t> </w:t>
            </w:r>
          </w:p>
        </w:tc>
      </w:tr>
      <w:tr w:rsidR="005512D2" w:rsidRPr="00591BFC" w14:paraId="06F7498A" w14:textId="77777777" w:rsidTr="00FE3F68">
        <w:trPr>
          <w:trHeight w:val="330"/>
        </w:trPr>
        <w:tc>
          <w:tcPr>
            <w:tcW w:w="4016" w:type="dxa"/>
            <w:shd w:val="clear" w:color="auto" w:fill="auto"/>
            <w:noWrap/>
            <w:hideMark/>
          </w:tcPr>
          <w:p w14:paraId="5EB92640" w14:textId="77777777" w:rsidR="005512D2" w:rsidRPr="00591BFC" w:rsidRDefault="005512D2"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7FFD57D0" w14:textId="77777777" w:rsidR="005512D2" w:rsidRPr="00591BFC" w:rsidRDefault="005512D2" w:rsidP="00E86771">
            <w:pPr>
              <w:spacing w:line="360" w:lineRule="auto"/>
            </w:pPr>
            <w:r w:rsidRPr="00591BFC">
              <w:t>-3.79</w:t>
            </w:r>
          </w:p>
        </w:tc>
        <w:tc>
          <w:tcPr>
            <w:tcW w:w="1320" w:type="dxa"/>
            <w:shd w:val="clear" w:color="auto" w:fill="auto"/>
            <w:noWrap/>
            <w:hideMark/>
          </w:tcPr>
          <w:p w14:paraId="351ED35B" w14:textId="77777777" w:rsidR="005512D2" w:rsidRPr="00591BFC" w:rsidRDefault="005512D2" w:rsidP="00E86771">
            <w:pPr>
              <w:spacing w:line="360" w:lineRule="auto"/>
            </w:pPr>
            <w:r w:rsidRPr="00591BFC">
              <w:t>-7.4</w:t>
            </w:r>
          </w:p>
        </w:tc>
        <w:tc>
          <w:tcPr>
            <w:tcW w:w="1320" w:type="dxa"/>
            <w:shd w:val="clear" w:color="auto" w:fill="auto"/>
            <w:noWrap/>
            <w:hideMark/>
          </w:tcPr>
          <w:p w14:paraId="7A9F0938" w14:textId="77777777" w:rsidR="005512D2" w:rsidRPr="00591BFC" w:rsidRDefault="005512D2" w:rsidP="00E86771">
            <w:pPr>
              <w:spacing w:line="360" w:lineRule="auto"/>
            </w:pPr>
            <w:r w:rsidRPr="00591BFC">
              <w:t>-0.17</w:t>
            </w:r>
          </w:p>
        </w:tc>
        <w:tc>
          <w:tcPr>
            <w:tcW w:w="1063" w:type="dxa"/>
            <w:shd w:val="clear" w:color="auto" w:fill="auto"/>
            <w:noWrap/>
            <w:hideMark/>
          </w:tcPr>
          <w:p w14:paraId="4231AE44" w14:textId="77777777" w:rsidR="005512D2" w:rsidRPr="00591BFC" w:rsidRDefault="005512D2" w:rsidP="00E86771">
            <w:pPr>
              <w:spacing w:line="360" w:lineRule="auto"/>
            </w:pPr>
            <w:r w:rsidRPr="00591BFC">
              <w:t>0.041</w:t>
            </w:r>
          </w:p>
        </w:tc>
      </w:tr>
      <w:tr w:rsidR="005512D2" w:rsidRPr="00591BFC" w14:paraId="3C5A585B" w14:textId="77777777" w:rsidTr="00FE3F68">
        <w:trPr>
          <w:trHeight w:val="330"/>
        </w:trPr>
        <w:tc>
          <w:tcPr>
            <w:tcW w:w="4016" w:type="dxa"/>
            <w:shd w:val="clear" w:color="auto" w:fill="auto"/>
            <w:noWrap/>
            <w:hideMark/>
          </w:tcPr>
          <w:p w14:paraId="57CCD6A6" w14:textId="77777777" w:rsidR="005512D2" w:rsidRPr="00591BFC" w:rsidRDefault="005512D2"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68537BE3" w14:textId="77777777" w:rsidR="005512D2" w:rsidRPr="00591BFC" w:rsidRDefault="005512D2" w:rsidP="00E86771">
            <w:pPr>
              <w:spacing w:line="360" w:lineRule="auto"/>
            </w:pPr>
            <w:r w:rsidRPr="00591BFC">
              <w:t> </w:t>
            </w:r>
          </w:p>
        </w:tc>
        <w:tc>
          <w:tcPr>
            <w:tcW w:w="1320" w:type="dxa"/>
            <w:shd w:val="clear" w:color="auto" w:fill="auto"/>
            <w:noWrap/>
            <w:hideMark/>
          </w:tcPr>
          <w:p w14:paraId="65C4AEA5" w14:textId="77777777" w:rsidR="005512D2" w:rsidRPr="00591BFC" w:rsidRDefault="005512D2" w:rsidP="00E86771">
            <w:pPr>
              <w:spacing w:line="360" w:lineRule="auto"/>
            </w:pPr>
            <w:r w:rsidRPr="00591BFC">
              <w:t> </w:t>
            </w:r>
          </w:p>
        </w:tc>
        <w:tc>
          <w:tcPr>
            <w:tcW w:w="1320" w:type="dxa"/>
            <w:shd w:val="clear" w:color="auto" w:fill="auto"/>
            <w:noWrap/>
            <w:hideMark/>
          </w:tcPr>
          <w:p w14:paraId="456CE175" w14:textId="77777777" w:rsidR="005512D2" w:rsidRPr="00591BFC" w:rsidRDefault="005512D2" w:rsidP="00E86771">
            <w:pPr>
              <w:spacing w:line="360" w:lineRule="auto"/>
            </w:pPr>
            <w:r w:rsidRPr="00591BFC">
              <w:t> </w:t>
            </w:r>
          </w:p>
        </w:tc>
        <w:tc>
          <w:tcPr>
            <w:tcW w:w="1063" w:type="dxa"/>
            <w:shd w:val="clear" w:color="auto" w:fill="auto"/>
            <w:noWrap/>
            <w:hideMark/>
          </w:tcPr>
          <w:p w14:paraId="7D122675" w14:textId="77777777" w:rsidR="005512D2" w:rsidRPr="00591BFC" w:rsidRDefault="005512D2" w:rsidP="00E86771">
            <w:pPr>
              <w:spacing w:line="360" w:lineRule="auto"/>
            </w:pPr>
            <w:r w:rsidRPr="00591BFC">
              <w:t> </w:t>
            </w:r>
          </w:p>
        </w:tc>
      </w:tr>
      <w:tr w:rsidR="005512D2" w:rsidRPr="00591BFC" w14:paraId="1B50564E" w14:textId="77777777" w:rsidTr="00FE3F68">
        <w:trPr>
          <w:trHeight w:val="330"/>
        </w:trPr>
        <w:tc>
          <w:tcPr>
            <w:tcW w:w="4016" w:type="dxa"/>
            <w:shd w:val="clear" w:color="auto" w:fill="auto"/>
            <w:noWrap/>
            <w:hideMark/>
          </w:tcPr>
          <w:p w14:paraId="70FC6CA7" w14:textId="77777777" w:rsidR="005512D2" w:rsidRPr="00591BFC" w:rsidRDefault="005512D2" w:rsidP="00E86771">
            <w:pPr>
              <w:spacing w:line="360" w:lineRule="auto"/>
            </w:pPr>
            <w:r w:rsidRPr="00591BFC">
              <w:lastRenderedPageBreak/>
              <w:t>Level change after intervention 5 (β</w:t>
            </w:r>
            <w:r w:rsidRPr="00591BFC">
              <w:rPr>
                <w:vertAlign w:val="subscript"/>
              </w:rPr>
              <w:t>6</w:t>
            </w:r>
            <w:r w:rsidRPr="00591BFC">
              <w:t>)</w:t>
            </w:r>
          </w:p>
        </w:tc>
        <w:tc>
          <w:tcPr>
            <w:tcW w:w="1320" w:type="dxa"/>
            <w:shd w:val="clear" w:color="auto" w:fill="auto"/>
            <w:noWrap/>
            <w:hideMark/>
          </w:tcPr>
          <w:p w14:paraId="1EE13B74" w14:textId="77777777" w:rsidR="005512D2" w:rsidRPr="00591BFC" w:rsidRDefault="005512D2" w:rsidP="00E86771">
            <w:pPr>
              <w:spacing w:line="360" w:lineRule="auto"/>
            </w:pPr>
            <w:r w:rsidRPr="00591BFC">
              <w:t> </w:t>
            </w:r>
          </w:p>
        </w:tc>
        <w:tc>
          <w:tcPr>
            <w:tcW w:w="1320" w:type="dxa"/>
            <w:shd w:val="clear" w:color="auto" w:fill="auto"/>
            <w:noWrap/>
            <w:hideMark/>
          </w:tcPr>
          <w:p w14:paraId="41B2A37D" w14:textId="77777777" w:rsidR="005512D2" w:rsidRPr="00591BFC" w:rsidRDefault="005512D2" w:rsidP="00E86771">
            <w:pPr>
              <w:spacing w:line="360" w:lineRule="auto"/>
            </w:pPr>
            <w:r w:rsidRPr="00591BFC">
              <w:t> </w:t>
            </w:r>
          </w:p>
        </w:tc>
        <w:tc>
          <w:tcPr>
            <w:tcW w:w="1320" w:type="dxa"/>
            <w:shd w:val="clear" w:color="auto" w:fill="auto"/>
            <w:noWrap/>
            <w:hideMark/>
          </w:tcPr>
          <w:p w14:paraId="7D36BDC9" w14:textId="77777777" w:rsidR="005512D2" w:rsidRPr="00591BFC" w:rsidRDefault="005512D2" w:rsidP="00E86771">
            <w:pPr>
              <w:spacing w:line="360" w:lineRule="auto"/>
            </w:pPr>
            <w:r w:rsidRPr="00591BFC">
              <w:t> </w:t>
            </w:r>
          </w:p>
        </w:tc>
        <w:tc>
          <w:tcPr>
            <w:tcW w:w="1063" w:type="dxa"/>
            <w:shd w:val="clear" w:color="auto" w:fill="auto"/>
            <w:noWrap/>
            <w:hideMark/>
          </w:tcPr>
          <w:p w14:paraId="381BBDE2" w14:textId="77777777" w:rsidR="005512D2" w:rsidRPr="00591BFC" w:rsidRDefault="005512D2" w:rsidP="00E86771">
            <w:pPr>
              <w:spacing w:line="360" w:lineRule="auto"/>
            </w:pPr>
            <w:r w:rsidRPr="00591BFC">
              <w:t> </w:t>
            </w:r>
          </w:p>
        </w:tc>
      </w:tr>
      <w:tr w:rsidR="005512D2" w:rsidRPr="00591BFC" w14:paraId="3AB573F1" w14:textId="77777777" w:rsidTr="00FE3F68">
        <w:trPr>
          <w:trHeight w:val="330"/>
        </w:trPr>
        <w:tc>
          <w:tcPr>
            <w:tcW w:w="4016" w:type="dxa"/>
            <w:shd w:val="clear" w:color="auto" w:fill="auto"/>
            <w:noWrap/>
            <w:hideMark/>
          </w:tcPr>
          <w:p w14:paraId="740BA196" w14:textId="77777777" w:rsidR="005512D2" w:rsidRPr="00591BFC" w:rsidRDefault="005512D2"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7D42DA9E" w14:textId="77777777" w:rsidR="005512D2" w:rsidRPr="00591BFC" w:rsidRDefault="005512D2" w:rsidP="00E86771">
            <w:pPr>
              <w:spacing w:line="360" w:lineRule="auto"/>
            </w:pPr>
            <w:r w:rsidRPr="00591BFC">
              <w:t> </w:t>
            </w:r>
          </w:p>
        </w:tc>
        <w:tc>
          <w:tcPr>
            <w:tcW w:w="1320" w:type="dxa"/>
            <w:shd w:val="clear" w:color="auto" w:fill="auto"/>
            <w:noWrap/>
            <w:hideMark/>
          </w:tcPr>
          <w:p w14:paraId="08C9EB98" w14:textId="77777777" w:rsidR="005512D2" w:rsidRPr="00591BFC" w:rsidRDefault="005512D2" w:rsidP="00E86771">
            <w:pPr>
              <w:spacing w:line="360" w:lineRule="auto"/>
            </w:pPr>
            <w:r w:rsidRPr="00591BFC">
              <w:t> </w:t>
            </w:r>
          </w:p>
        </w:tc>
        <w:tc>
          <w:tcPr>
            <w:tcW w:w="1320" w:type="dxa"/>
            <w:shd w:val="clear" w:color="auto" w:fill="auto"/>
            <w:noWrap/>
            <w:hideMark/>
          </w:tcPr>
          <w:p w14:paraId="455FD400" w14:textId="77777777" w:rsidR="005512D2" w:rsidRPr="00591BFC" w:rsidRDefault="005512D2" w:rsidP="00E86771">
            <w:pPr>
              <w:spacing w:line="360" w:lineRule="auto"/>
            </w:pPr>
            <w:r w:rsidRPr="00591BFC">
              <w:t> </w:t>
            </w:r>
          </w:p>
        </w:tc>
        <w:tc>
          <w:tcPr>
            <w:tcW w:w="1063" w:type="dxa"/>
            <w:shd w:val="clear" w:color="auto" w:fill="auto"/>
            <w:noWrap/>
            <w:hideMark/>
          </w:tcPr>
          <w:p w14:paraId="0854DD2B" w14:textId="77777777" w:rsidR="005512D2" w:rsidRPr="00591BFC" w:rsidRDefault="005512D2" w:rsidP="00E86771">
            <w:pPr>
              <w:spacing w:line="360" w:lineRule="auto"/>
            </w:pPr>
            <w:r w:rsidRPr="00591BFC">
              <w:t> </w:t>
            </w:r>
          </w:p>
        </w:tc>
      </w:tr>
    </w:tbl>
    <w:p w14:paraId="5E2DBCAA" w14:textId="77777777" w:rsidR="00FE3F68" w:rsidRPr="00591BFC" w:rsidRDefault="00C5559E" w:rsidP="00E86771">
      <w:pPr>
        <w:spacing w:line="360" w:lineRule="auto"/>
      </w:pPr>
      <w:r w:rsidRPr="00591BFC">
        <w:t>* among treatment naive patients for 6-months prior to index date parsimonious models were derived using backward elimination (p&gt;=0.1) outcomes age and sex standardi</w:t>
      </w:r>
      <w:r w:rsidR="001F0197">
        <w:t>s</w:t>
      </w:r>
      <w:r w:rsidRPr="00591BFC">
        <w:t>ed (except primary and overall hip fx no.)</w:t>
      </w:r>
    </w:p>
    <w:p w14:paraId="1BABB6FA" w14:textId="77777777" w:rsidR="00746C94" w:rsidRPr="00591BFC" w:rsidRDefault="00C5559E" w:rsidP="00E86771">
      <w:pPr>
        <w:pStyle w:val="Heading2"/>
        <w:spacing w:line="360" w:lineRule="auto"/>
        <w:rPr>
          <w:rFonts w:ascii="Calibri" w:hAnsi="Calibri"/>
        </w:rPr>
      </w:pPr>
      <w:r w:rsidRPr="00591BFC">
        <w:rPr>
          <w:rFonts w:ascii="Calibri" w:hAnsi="Calibri"/>
        </w:rPr>
        <w:br w:type="page"/>
      </w:r>
      <w:bookmarkStart w:id="699" w:name="_Toc308300848"/>
      <w:bookmarkStart w:id="700" w:name="_Toc311366656"/>
      <w:r w:rsidR="00746C94" w:rsidRPr="00591BFC">
        <w:rPr>
          <w:rFonts w:ascii="Calibri" w:hAnsi="Calibri"/>
        </w:rPr>
        <w:lastRenderedPageBreak/>
        <w:t xml:space="preserve">Appendix </w:t>
      </w:r>
      <w:r w:rsidR="00866F8C">
        <w:rPr>
          <w:rFonts w:ascii="Calibri" w:hAnsi="Calibri"/>
          <w:lang w:val="en-GB"/>
        </w:rPr>
        <w:t>8</w:t>
      </w:r>
      <w:r w:rsidR="00746C94" w:rsidRPr="00591BFC">
        <w:rPr>
          <w:rFonts w:ascii="Calibri" w:hAnsi="Calibri"/>
        </w:rPr>
        <w:t xml:space="preserve"> Estimated impact of interventions using segmented linear regression (FULL) models on all primary hip fracture patients</w:t>
      </w:r>
      <w:bookmarkEnd w:id="699"/>
      <w:bookmarkEnd w:id="700"/>
    </w:p>
    <w:tbl>
      <w:tblPr>
        <w:tblW w:w="918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08"/>
        <w:gridCol w:w="1320"/>
        <w:gridCol w:w="1320"/>
        <w:gridCol w:w="1320"/>
        <w:gridCol w:w="1320"/>
      </w:tblGrid>
      <w:tr w:rsidR="00746C94" w:rsidRPr="00591BFC" w14:paraId="29091E87" w14:textId="77777777" w:rsidTr="00FE3F68">
        <w:trPr>
          <w:trHeight w:val="799"/>
        </w:trPr>
        <w:tc>
          <w:tcPr>
            <w:tcW w:w="3908" w:type="dxa"/>
            <w:shd w:val="clear" w:color="auto" w:fill="auto"/>
            <w:noWrap/>
            <w:hideMark/>
          </w:tcPr>
          <w:p w14:paraId="259759E8" w14:textId="77777777" w:rsidR="00746C94" w:rsidRPr="00591BFC" w:rsidRDefault="00746C94" w:rsidP="00E86771">
            <w:pPr>
              <w:spacing w:line="360" w:lineRule="auto"/>
            </w:pPr>
            <w:r w:rsidRPr="00591BFC">
              <w:t> </w:t>
            </w:r>
          </w:p>
        </w:tc>
        <w:tc>
          <w:tcPr>
            <w:tcW w:w="1320" w:type="dxa"/>
            <w:shd w:val="clear" w:color="auto" w:fill="auto"/>
            <w:hideMark/>
          </w:tcPr>
          <w:p w14:paraId="3A60DEE4" w14:textId="77777777" w:rsidR="00746C94" w:rsidRPr="00591BFC" w:rsidRDefault="00746C94" w:rsidP="00E86771">
            <w:pPr>
              <w:spacing w:line="360" w:lineRule="auto"/>
            </w:pPr>
            <w:r w:rsidRPr="00591BFC">
              <w:t xml:space="preserve">Coefficient                                </w:t>
            </w:r>
          </w:p>
        </w:tc>
        <w:tc>
          <w:tcPr>
            <w:tcW w:w="1320" w:type="dxa"/>
            <w:shd w:val="clear" w:color="auto" w:fill="auto"/>
            <w:hideMark/>
          </w:tcPr>
          <w:p w14:paraId="3153A0DA" w14:textId="77777777" w:rsidR="00746C94" w:rsidRPr="00591BFC" w:rsidRDefault="00746C94" w:rsidP="00E86771">
            <w:pPr>
              <w:spacing w:line="360" w:lineRule="auto"/>
            </w:pPr>
            <w:r w:rsidRPr="00591BFC">
              <w:t>lower 95% confidence interval</w:t>
            </w:r>
          </w:p>
        </w:tc>
        <w:tc>
          <w:tcPr>
            <w:tcW w:w="1320" w:type="dxa"/>
            <w:shd w:val="clear" w:color="auto" w:fill="auto"/>
            <w:hideMark/>
          </w:tcPr>
          <w:p w14:paraId="704EA4BB" w14:textId="77777777" w:rsidR="00746C94" w:rsidRPr="00591BFC" w:rsidRDefault="00746C94" w:rsidP="00E86771">
            <w:pPr>
              <w:spacing w:line="360" w:lineRule="auto"/>
            </w:pPr>
            <w:r w:rsidRPr="00591BFC">
              <w:t>upper 95% confidence interval</w:t>
            </w:r>
          </w:p>
        </w:tc>
        <w:tc>
          <w:tcPr>
            <w:tcW w:w="1320" w:type="dxa"/>
            <w:shd w:val="clear" w:color="auto" w:fill="auto"/>
            <w:noWrap/>
            <w:hideMark/>
          </w:tcPr>
          <w:p w14:paraId="14129C76" w14:textId="77777777" w:rsidR="00746C94" w:rsidRPr="00591BFC" w:rsidRDefault="00746C94" w:rsidP="00E86771">
            <w:pPr>
              <w:spacing w:line="360" w:lineRule="auto"/>
            </w:pPr>
            <w:r w:rsidRPr="00591BFC">
              <w:t>P-value</w:t>
            </w:r>
          </w:p>
        </w:tc>
      </w:tr>
      <w:tr w:rsidR="00746C94" w:rsidRPr="00591BFC" w14:paraId="3499205A" w14:textId="77777777" w:rsidTr="00FE3F68">
        <w:trPr>
          <w:trHeight w:val="300"/>
        </w:trPr>
        <w:tc>
          <w:tcPr>
            <w:tcW w:w="9188" w:type="dxa"/>
            <w:gridSpan w:val="5"/>
            <w:shd w:val="clear" w:color="auto" w:fill="auto"/>
            <w:hideMark/>
          </w:tcPr>
          <w:p w14:paraId="5DE4FBB4" w14:textId="77777777" w:rsidR="00746C94" w:rsidRPr="00591BFC" w:rsidRDefault="00746C94" w:rsidP="00E86771">
            <w:pPr>
              <w:spacing w:line="360" w:lineRule="auto"/>
              <w:rPr>
                <w:u w:val="single"/>
              </w:rPr>
            </w:pPr>
            <w:r w:rsidRPr="00591BFC">
              <w:rPr>
                <w:u w:val="single"/>
              </w:rPr>
              <w:t>primary hip fracture rate (i.e. no. per half annum)</w:t>
            </w:r>
          </w:p>
        </w:tc>
      </w:tr>
      <w:tr w:rsidR="00746C94" w:rsidRPr="00591BFC" w14:paraId="171D3E61" w14:textId="77777777" w:rsidTr="00FE3F68">
        <w:trPr>
          <w:trHeight w:val="330"/>
        </w:trPr>
        <w:tc>
          <w:tcPr>
            <w:tcW w:w="3908" w:type="dxa"/>
            <w:shd w:val="clear" w:color="auto" w:fill="auto"/>
            <w:noWrap/>
            <w:hideMark/>
          </w:tcPr>
          <w:p w14:paraId="717AEF1D"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1434243F" w14:textId="77777777" w:rsidR="00746C94" w:rsidRPr="00591BFC" w:rsidRDefault="00746C94" w:rsidP="00E86771">
            <w:pPr>
              <w:spacing w:line="360" w:lineRule="auto"/>
            </w:pPr>
            <w:r w:rsidRPr="00591BFC">
              <w:t>424.4</w:t>
            </w:r>
          </w:p>
        </w:tc>
        <w:tc>
          <w:tcPr>
            <w:tcW w:w="1320" w:type="dxa"/>
            <w:shd w:val="clear" w:color="auto" w:fill="auto"/>
            <w:noWrap/>
            <w:hideMark/>
          </w:tcPr>
          <w:p w14:paraId="2F5F5057" w14:textId="77777777" w:rsidR="00746C94" w:rsidRPr="00591BFC" w:rsidRDefault="00746C94" w:rsidP="00E86771">
            <w:pPr>
              <w:spacing w:line="360" w:lineRule="auto"/>
            </w:pPr>
            <w:r w:rsidRPr="00591BFC">
              <w:t>396.6</w:t>
            </w:r>
          </w:p>
        </w:tc>
        <w:tc>
          <w:tcPr>
            <w:tcW w:w="1320" w:type="dxa"/>
            <w:shd w:val="clear" w:color="auto" w:fill="auto"/>
            <w:noWrap/>
            <w:hideMark/>
          </w:tcPr>
          <w:p w14:paraId="7699F012" w14:textId="77777777" w:rsidR="00746C94" w:rsidRPr="00591BFC" w:rsidRDefault="00746C94" w:rsidP="00E86771">
            <w:pPr>
              <w:spacing w:line="360" w:lineRule="auto"/>
            </w:pPr>
            <w:r w:rsidRPr="00591BFC">
              <w:t>452.1</w:t>
            </w:r>
          </w:p>
        </w:tc>
        <w:tc>
          <w:tcPr>
            <w:tcW w:w="1320" w:type="dxa"/>
            <w:shd w:val="clear" w:color="auto" w:fill="auto"/>
            <w:noWrap/>
            <w:hideMark/>
          </w:tcPr>
          <w:p w14:paraId="0A9BD3E9" w14:textId="77777777" w:rsidR="00746C94" w:rsidRPr="00591BFC" w:rsidRDefault="00746C94" w:rsidP="00E86771">
            <w:pPr>
              <w:spacing w:line="360" w:lineRule="auto"/>
            </w:pPr>
            <w:r w:rsidRPr="00591BFC">
              <w:t>&lt;0.001</w:t>
            </w:r>
          </w:p>
        </w:tc>
      </w:tr>
      <w:tr w:rsidR="00746C94" w:rsidRPr="00591BFC" w14:paraId="0FD2316A" w14:textId="77777777" w:rsidTr="00FE3F68">
        <w:trPr>
          <w:trHeight w:val="330"/>
        </w:trPr>
        <w:tc>
          <w:tcPr>
            <w:tcW w:w="3908" w:type="dxa"/>
            <w:shd w:val="clear" w:color="auto" w:fill="auto"/>
            <w:noWrap/>
            <w:hideMark/>
          </w:tcPr>
          <w:p w14:paraId="57EED392"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00377B0F" w14:textId="77777777" w:rsidR="00746C94" w:rsidRPr="00591BFC" w:rsidRDefault="00746C94" w:rsidP="00E86771">
            <w:pPr>
              <w:spacing w:line="360" w:lineRule="auto"/>
            </w:pPr>
            <w:r w:rsidRPr="00591BFC">
              <w:t>0.75</w:t>
            </w:r>
          </w:p>
        </w:tc>
        <w:tc>
          <w:tcPr>
            <w:tcW w:w="1320" w:type="dxa"/>
            <w:shd w:val="clear" w:color="auto" w:fill="auto"/>
            <w:noWrap/>
            <w:hideMark/>
          </w:tcPr>
          <w:p w14:paraId="6B789AF4" w14:textId="77777777" w:rsidR="00746C94" w:rsidRPr="00591BFC" w:rsidRDefault="00746C94" w:rsidP="00E86771">
            <w:pPr>
              <w:spacing w:line="360" w:lineRule="auto"/>
            </w:pPr>
            <w:r w:rsidRPr="00591BFC">
              <w:t>-3.34</w:t>
            </w:r>
          </w:p>
        </w:tc>
        <w:tc>
          <w:tcPr>
            <w:tcW w:w="1320" w:type="dxa"/>
            <w:shd w:val="clear" w:color="auto" w:fill="auto"/>
            <w:noWrap/>
            <w:hideMark/>
          </w:tcPr>
          <w:p w14:paraId="0CDD7ECD" w14:textId="77777777" w:rsidR="00746C94" w:rsidRPr="00591BFC" w:rsidRDefault="00746C94" w:rsidP="00E86771">
            <w:pPr>
              <w:spacing w:line="360" w:lineRule="auto"/>
            </w:pPr>
            <w:r w:rsidRPr="00591BFC">
              <w:t>4.84</w:t>
            </w:r>
          </w:p>
        </w:tc>
        <w:tc>
          <w:tcPr>
            <w:tcW w:w="1320" w:type="dxa"/>
            <w:shd w:val="clear" w:color="auto" w:fill="auto"/>
            <w:noWrap/>
            <w:hideMark/>
          </w:tcPr>
          <w:p w14:paraId="28563F96" w14:textId="77777777" w:rsidR="00746C94" w:rsidRPr="00591BFC" w:rsidRDefault="00746C94" w:rsidP="00E86771">
            <w:pPr>
              <w:spacing w:line="360" w:lineRule="auto"/>
            </w:pPr>
            <w:r w:rsidRPr="00591BFC">
              <w:t>0.7</w:t>
            </w:r>
          </w:p>
        </w:tc>
      </w:tr>
      <w:tr w:rsidR="00746C94" w:rsidRPr="00591BFC" w14:paraId="04113359" w14:textId="77777777" w:rsidTr="00FE3F68">
        <w:trPr>
          <w:trHeight w:val="330"/>
        </w:trPr>
        <w:tc>
          <w:tcPr>
            <w:tcW w:w="3908" w:type="dxa"/>
            <w:shd w:val="clear" w:color="auto" w:fill="auto"/>
            <w:noWrap/>
            <w:hideMark/>
          </w:tcPr>
          <w:p w14:paraId="0DBE73C5"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5E6C1240" w14:textId="77777777" w:rsidR="00746C94" w:rsidRPr="00591BFC" w:rsidRDefault="00746C94" w:rsidP="00E86771">
            <w:pPr>
              <w:spacing w:line="360" w:lineRule="auto"/>
            </w:pPr>
            <w:r w:rsidRPr="00591BFC">
              <w:t>-3.94</w:t>
            </w:r>
          </w:p>
        </w:tc>
        <w:tc>
          <w:tcPr>
            <w:tcW w:w="1320" w:type="dxa"/>
            <w:shd w:val="clear" w:color="auto" w:fill="auto"/>
            <w:noWrap/>
            <w:hideMark/>
          </w:tcPr>
          <w:p w14:paraId="7304F83D" w14:textId="77777777" w:rsidR="00746C94" w:rsidRPr="00591BFC" w:rsidRDefault="00746C94" w:rsidP="00E86771">
            <w:pPr>
              <w:spacing w:line="360" w:lineRule="auto"/>
            </w:pPr>
            <w:r w:rsidRPr="00591BFC">
              <w:t>-56.8</w:t>
            </w:r>
          </w:p>
        </w:tc>
        <w:tc>
          <w:tcPr>
            <w:tcW w:w="1320" w:type="dxa"/>
            <w:shd w:val="clear" w:color="auto" w:fill="auto"/>
            <w:noWrap/>
            <w:hideMark/>
          </w:tcPr>
          <w:p w14:paraId="20B437F2" w14:textId="77777777" w:rsidR="00746C94" w:rsidRPr="00591BFC" w:rsidRDefault="00746C94" w:rsidP="00E86771">
            <w:pPr>
              <w:spacing w:line="360" w:lineRule="auto"/>
            </w:pPr>
            <w:r w:rsidRPr="00591BFC">
              <w:t>48.9</w:t>
            </w:r>
          </w:p>
        </w:tc>
        <w:tc>
          <w:tcPr>
            <w:tcW w:w="1320" w:type="dxa"/>
            <w:shd w:val="clear" w:color="auto" w:fill="auto"/>
            <w:noWrap/>
            <w:hideMark/>
          </w:tcPr>
          <w:p w14:paraId="3CD2F516" w14:textId="77777777" w:rsidR="00746C94" w:rsidRPr="00591BFC" w:rsidRDefault="00746C94" w:rsidP="00E86771">
            <w:pPr>
              <w:spacing w:line="360" w:lineRule="auto"/>
            </w:pPr>
            <w:r w:rsidRPr="00591BFC">
              <w:t>0.88</w:t>
            </w:r>
          </w:p>
        </w:tc>
      </w:tr>
      <w:tr w:rsidR="00746C94" w:rsidRPr="00591BFC" w14:paraId="3444FC95" w14:textId="77777777" w:rsidTr="00FE3F68">
        <w:trPr>
          <w:trHeight w:val="330"/>
        </w:trPr>
        <w:tc>
          <w:tcPr>
            <w:tcW w:w="3908" w:type="dxa"/>
            <w:shd w:val="clear" w:color="auto" w:fill="auto"/>
            <w:noWrap/>
            <w:hideMark/>
          </w:tcPr>
          <w:p w14:paraId="22EB9575"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42D15EDA" w14:textId="77777777" w:rsidR="00746C94" w:rsidRPr="00591BFC" w:rsidRDefault="00746C94" w:rsidP="00E86771">
            <w:pPr>
              <w:spacing w:line="360" w:lineRule="auto"/>
            </w:pPr>
            <w:r w:rsidRPr="00591BFC">
              <w:t>-5.65</w:t>
            </w:r>
          </w:p>
        </w:tc>
        <w:tc>
          <w:tcPr>
            <w:tcW w:w="1320" w:type="dxa"/>
            <w:shd w:val="clear" w:color="auto" w:fill="auto"/>
            <w:noWrap/>
            <w:hideMark/>
          </w:tcPr>
          <w:p w14:paraId="7530B79F" w14:textId="77777777" w:rsidR="00746C94" w:rsidRPr="00591BFC" w:rsidRDefault="00746C94" w:rsidP="00E86771">
            <w:pPr>
              <w:spacing w:line="360" w:lineRule="auto"/>
            </w:pPr>
            <w:r w:rsidRPr="00591BFC">
              <w:t>-19.8</w:t>
            </w:r>
          </w:p>
        </w:tc>
        <w:tc>
          <w:tcPr>
            <w:tcW w:w="1320" w:type="dxa"/>
            <w:shd w:val="clear" w:color="auto" w:fill="auto"/>
            <w:noWrap/>
            <w:hideMark/>
          </w:tcPr>
          <w:p w14:paraId="69013436" w14:textId="77777777" w:rsidR="00746C94" w:rsidRPr="00591BFC" w:rsidRDefault="00746C94" w:rsidP="00E86771">
            <w:pPr>
              <w:spacing w:line="360" w:lineRule="auto"/>
            </w:pPr>
            <w:r w:rsidRPr="00591BFC">
              <w:t>8.51</w:t>
            </w:r>
          </w:p>
        </w:tc>
        <w:tc>
          <w:tcPr>
            <w:tcW w:w="1320" w:type="dxa"/>
            <w:shd w:val="clear" w:color="auto" w:fill="auto"/>
            <w:noWrap/>
            <w:hideMark/>
          </w:tcPr>
          <w:p w14:paraId="6E3CF9B8" w14:textId="77777777" w:rsidR="00746C94" w:rsidRPr="00591BFC" w:rsidRDefault="00746C94" w:rsidP="00E86771">
            <w:pPr>
              <w:spacing w:line="360" w:lineRule="auto"/>
            </w:pPr>
            <w:r w:rsidRPr="00591BFC">
              <w:t>0.41</w:t>
            </w:r>
          </w:p>
        </w:tc>
      </w:tr>
      <w:tr w:rsidR="00746C94" w:rsidRPr="00591BFC" w14:paraId="1CBC3F9A" w14:textId="77777777" w:rsidTr="00FE3F68">
        <w:trPr>
          <w:trHeight w:val="330"/>
        </w:trPr>
        <w:tc>
          <w:tcPr>
            <w:tcW w:w="3908" w:type="dxa"/>
            <w:shd w:val="clear" w:color="auto" w:fill="auto"/>
            <w:noWrap/>
            <w:hideMark/>
          </w:tcPr>
          <w:p w14:paraId="559AB9F8"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2BDD30C4" w14:textId="77777777" w:rsidR="00746C94" w:rsidRPr="00591BFC" w:rsidRDefault="00746C94" w:rsidP="00E86771">
            <w:pPr>
              <w:spacing w:line="360" w:lineRule="auto"/>
            </w:pPr>
            <w:r w:rsidRPr="00591BFC">
              <w:t>-24.5</w:t>
            </w:r>
          </w:p>
        </w:tc>
        <w:tc>
          <w:tcPr>
            <w:tcW w:w="1320" w:type="dxa"/>
            <w:shd w:val="clear" w:color="auto" w:fill="auto"/>
            <w:noWrap/>
            <w:hideMark/>
          </w:tcPr>
          <w:p w14:paraId="5FA4A897" w14:textId="77777777" w:rsidR="00746C94" w:rsidRPr="00591BFC" w:rsidRDefault="00746C94" w:rsidP="00E86771">
            <w:pPr>
              <w:spacing w:line="360" w:lineRule="auto"/>
            </w:pPr>
            <w:r w:rsidRPr="00591BFC">
              <w:t>-98.4</w:t>
            </w:r>
          </w:p>
        </w:tc>
        <w:tc>
          <w:tcPr>
            <w:tcW w:w="1320" w:type="dxa"/>
            <w:shd w:val="clear" w:color="auto" w:fill="auto"/>
            <w:noWrap/>
            <w:hideMark/>
          </w:tcPr>
          <w:p w14:paraId="4AE49D72" w14:textId="77777777" w:rsidR="00746C94" w:rsidRPr="00591BFC" w:rsidRDefault="00746C94" w:rsidP="00E86771">
            <w:pPr>
              <w:spacing w:line="360" w:lineRule="auto"/>
            </w:pPr>
            <w:r w:rsidRPr="00591BFC">
              <w:t>49.4</w:t>
            </w:r>
          </w:p>
        </w:tc>
        <w:tc>
          <w:tcPr>
            <w:tcW w:w="1320" w:type="dxa"/>
            <w:shd w:val="clear" w:color="auto" w:fill="auto"/>
            <w:noWrap/>
            <w:hideMark/>
          </w:tcPr>
          <w:p w14:paraId="3F78EA2B" w14:textId="77777777" w:rsidR="00746C94" w:rsidRPr="00591BFC" w:rsidRDefault="00746C94" w:rsidP="00E86771">
            <w:pPr>
              <w:spacing w:line="360" w:lineRule="auto"/>
            </w:pPr>
            <w:r w:rsidRPr="00591BFC">
              <w:t>0.49</w:t>
            </w:r>
          </w:p>
        </w:tc>
      </w:tr>
      <w:tr w:rsidR="00746C94" w:rsidRPr="00591BFC" w14:paraId="4D75A7B2" w14:textId="77777777" w:rsidTr="00FE3F68">
        <w:trPr>
          <w:trHeight w:val="330"/>
        </w:trPr>
        <w:tc>
          <w:tcPr>
            <w:tcW w:w="3908" w:type="dxa"/>
            <w:shd w:val="clear" w:color="auto" w:fill="auto"/>
            <w:noWrap/>
            <w:hideMark/>
          </w:tcPr>
          <w:p w14:paraId="7CE0B176"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5304F6C0" w14:textId="77777777" w:rsidR="00746C94" w:rsidRPr="00591BFC" w:rsidRDefault="00746C94" w:rsidP="00E86771">
            <w:pPr>
              <w:spacing w:line="360" w:lineRule="auto"/>
            </w:pPr>
            <w:r w:rsidRPr="00591BFC">
              <w:t>6.9</w:t>
            </w:r>
          </w:p>
        </w:tc>
        <w:tc>
          <w:tcPr>
            <w:tcW w:w="1320" w:type="dxa"/>
            <w:shd w:val="clear" w:color="auto" w:fill="auto"/>
            <w:noWrap/>
            <w:hideMark/>
          </w:tcPr>
          <w:p w14:paraId="007AF966" w14:textId="77777777" w:rsidR="00746C94" w:rsidRPr="00591BFC" w:rsidRDefault="00746C94" w:rsidP="00E86771">
            <w:pPr>
              <w:spacing w:line="360" w:lineRule="auto"/>
            </w:pPr>
            <w:r w:rsidRPr="00591BFC">
              <w:t>-26.3</w:t>
            </w:r>
          </w:p>
        </w:tc>
        <w:tc>
          <w:tcPr>
            <w:tcW w:w="1320" w:type="dxa"/>
            <w:shd w:val="clear" w:color="auto" w:fill="auto"/>
            <w:noWrap/>
            <w:hideMark/>
          </w:tcPr>
          <w:p w14:paraId="08BE62C6" w14:textId="77777777" w:rsidR="00746C94" w:rsidRPr="00591BFC" w:rsidRDefault="00746C94" w:rsidP="00E86771">
            <w:pPr>
              <w:spacing w:line="360" w:lineRule="auto"/>
            </w:pPr>
            <w:r w:rsidRPr="00591BFC">
              <w:t>40.1</w:t>
            </w:r>
          </w:p>
        </w:tc>
        <w:tc>
          <w:tcPr>
            <w:tcW w:w="1320" w:type="dxa"/>
            <w:shd w:val="clear" w:color="auto" w:fill="auto"/>
            <w:noWrap/>
            <w:hideMark/>
          </w:tcPr>
          <w:p w14:paraId="0ADFF98F" w14:textId="77777777" w:rsidR="00746C94" w:rsidRPr="00591BFC" w:rsidRDefault="00746C94" w:rsidP="00E86771">
            <w:pPr>
              <w:spacing w:line="360" w:lineRule="auto"/>
            </w:pPr>
            <w:r w:rsidRPr="00591BFC">
              <w:t>0.67</w:t>
            </w:r>
          </w:p>
        </w:tc>
      </w:tr>
      <w:tr w:rsidR="00746C94" w:rsidRPr="00591BFC" w14:paraId="1EA7B82E" w14:textId="77777777" w:rsidTr="00FE3F68">
        <w:trPr>
          <w:trHeight w:val="342"/>
        </w:trPr>
        <w:tc>
          <w:tcPr>
            <w:tcW w:w="3908" w:type="dxa"/>
            <w:shd w:val="clear" w:color="auto" w:fill="auto"/>
            <w:noWrap/>
            <w:hideMark/>
          </w:tcPr>
          <w:p w14:paraId="35AF3776"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1DEF794B" w14:textId="77777777" w:rsidR="00746C94" w:rsidRPr="00591BFC" w:rsidRDefault="00746C94" w:rsidP="00E86771">
            <w:pPr>
              <w:spacing w:line="360" w:lineRule="auto"/>
            </w:pPr>
            <w:r w:rsidRPr="00591BFC">
              <w:t>-18</w:t>
            </w:r>
          </w:p>
        </w:tc>
        <w:tc>
          <w:tcPr>
            <w:tcW w:w="1320" w:type="dxa"/>
            <w:shd w:val="clear" w:color="auto" w:fill="auto"/>
            <w:noWrap/>
            <w:hideMark/>
          </w:tcPr>
          <w:p w14:paraId="070CFA68" w14:textId="77777777" w:rsidR="00746C94" w:rsidRPr="00591BFC" w:rsidRDefault="00746C94" w:rsidP="00E86771">
            <w:pPr>
              <w:spacing w:line="360" w:lineRule="auto"/>
            </w:pPr>
            <w:r w:rsidRPr="00591BFC">
              <w:t>-73.9</w:t>
            </w:r>
          </w:p>
        </w:tc>
        <w:tc>
          <w:tcPr>
            <w:tcW w:w="1320" w:type="dxa"/>
            <w:shd w:val="clear" w:color="auto" w:fill="auto"/>
            <w:noWrap/>
            <w:hideMark/>
          </w:tcPr>
          <w:p w14:paraId="17EF1830" w14:textId="77777777" w:rsidR="00746C94" w:rsidRPr="00591BFC" w:rsidRDefault="00746C94" w:rsidP="00E86771">
            <w:pPr>
              <w:spacing w:line="360" w:lineRule="auto"/>
            </w:pPr>
            <w:r w:rsidRPr="00591BFC">
              <w:t>37.9</w:t>
            </w:r>
          </w:p>
        </w:tc>
        <w:tc>
          <w:tcPr>
            <w:tcW w:w="1320" w:type="dxa"/>
            <w:shd w:val="clear" w:color="auto" w:fill="auto"/>
            <w:noWrap/>
            <w:hideMark/>
          </w:tcPr>
          <w:p w14:paraId="4A7FA9F3" w14:textId="77777777" w:rsidR="00746C94" w:rsidRPr="00591BFC" w:rsidRDefault="00746C94" w:rsidP="00E86771">
            <w:pPr>
              <w:spacing w:line="360" w:lineRule="auto"/>
            </w:pPr>
            <w:r w:rsidRPr="00591BFC">
              <w:t>0.51</w:t>
            </w:r>
          </w:p>
        </w:tc>
      </w:tr>
      <w:tr w:rsidR="00746C94" w:rsidRPr="00591BFC" w14:paraId="4B7BCB39" w14:textId="77777777" w:rsidTr="00FE3F68">
        <w:trPr>
          <w:trHeight w:val="330"/>
        </w:trPr>
        <w:tc>
          <w:tcPr>
            <w:tcW w:w="3908" w:type="dxa"/>
            <w:shd w:val="clear" w:color="auto" w:fill="auto"/>
            <w:noWrap/>
            <w:hideMark/>
          </w:tcPr>
          <w:p w14:paraId="23517B94"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07FE9F75" w14:textId="77777777" w:rsidR="00746C94" w:rsidRPr="00591BFC" w:rsidRDefault="00746C94" w:rsidP="00E86771">
            <w:pPr>
              <w:spacing w:line="360" w:lineRule="auto"/>
            </w:pPr>
            <w:r w:rsidRPr="00591BFC">
              <w:t>-9.14</w:t>
            </w:r>
          </w:p>
        </w:tc>
        <w:tc>
          <w:tcPr>
            <w:tcW w:w="1320" w:type="dxa"/>
            <w:shd w:val="clear" w:color="auto" w:fill="auto"/>
            <w:noWrap/>
            <w:hideMark/>
          </w:tcPr>
          <w:p w14:paraId="4E37F1F1" w14:textId="77777777" w:rsidR="00746C94" w:rsidRPr="00591BFC" w:rsidRDefault="00746C94" w:rsidP="00E86771">
            <w:pPr>
              <w:spacing w:line="360" w:lineRule="auto"/>
            </w:pPr>
            <w:r w:rsidRPr="00591BFC">
              <w:t>-41.2</w:t>
            </w:r>
          </w:p>
        </w:tc>
        <w:tc>
          <w:tcPr>
            <w:tcW w:w="1320" w:type="dxa"/>
            <w:shd w:val="clear" w:color="auto" w:fill="auto"/>
            <w:noWrap/>
            <w:hideMark/>
          </w:tcPr>
          <w:p w14:paraId="53498B5B" w14:textId="77777777" w:rsidR="00746C94" w:rsidRPr="00591BFC" w:rsidRDefault="00746C94" w:rsidP="00E86771">
            <w:pPr>
              <w:spacing w:line="360" w:lineRule="auto"/>
            </w:pPr>
            <w:r w:rsidRPr="00591BFC">
              <w:t>22.9</w:t>
            </w:r>
          </w:p>
        </w:tc>
        <w:tc>
          <w:tcPr>
            <w:tcW w:w="1320" w:type="dxa"/>
            <w:shd w:val="clear" w:color="auto" w:fill="auto"/>
            <w:noWrap/>
            <w:hideMark/>
          </w:tcPr>
          <w:p w14:paraId="477415F9" w14:textId="77777777" w:rsidR="00746C94" w:rsidRPr="00591BFC" w:rsidRDefault="00746C94" w:rsidP="00E86771">
            <w:pPr>
              <w:spacing w:line="360" w:lineRule="auto"/>
            </w:pPr>
            <w:r w:rsidRPr="00591BFC">
              <w:t>0.56</w:t>
            </w:r>
          </w:p>
        </w:tc>
      </w:tr>
      <w:tr w:rsidR="00746C94" w:rsidRPr="00591BFC" w14:paraId="537EE283" w14:textId="77777777" w:rsidTr="00FE3F68">
        <w:trPr>
          <w:trHeight w:val="315"/>
        </w:trPr>
        <w:tc>
          <w:tcPr>
            <w:tcW w:w="3908" w:type="dxa"/>
            <w:shd w:val="clear" w:color="auto" w:fill="auto"/>
            <w:noWrap/>
            <w:hideMark/>
          </w:tcPr>
          <w:p w14:paraId="67301469" w14:textId="77777777" w:rsidR="00746C94" w:rsidRPr="00591BFC" w:rsidRDefault="00746C94" w:rsidP="00E86771">
            <w:pPr>
              <w:spacing w:line="360" w:lineRule="auto"/>
            </w:pPr>
            <w:r w:rsidRPr="00591BFC">
              <w:t> </w:t>
            </w:r>
          </w:p>
        </w:tc>
        <w:tc>
          <w:tcPr>
            <w:tcW w:w="1320" w:type="dxa"/>
            <w:shd w:val="clear" w:color="auto" w:fill="auto"/>
            <w:hideMark/>
          </w:tcPr>
          <w:p w14:paraId="3A8BDDA8" w14:textId="77777777" w:rsidR="00746C94" w:rsidRPr="00591BFC" w:rsidRDefault="00746C94" w:rsidP="00E86771">
            <w:pPr>
              <w:spacing w:line="360" w:lineRule="auto"/>
            </w:pPr>
            <w:r w:rsidRPr="00591BFC">
              <w:t> </w:t>
            </w:r>
          </w:p>
        </w:tc>
        <w:tc>
          <w:tcPr>
            <w:tcW w:w="1320" w:type="dxa"/>
            <w:shd w:val="clear" w:color="auto" w:fill="auto"/>
            <w:hideMark/>
          </w:tcPr>
          <w:p w14:paraId="22C343E2" w14:textId="77777777" w:rsidR="00746C94" w:rsidRPr="00591BFC" w:rsidRDefault="00746C94" w:rsidP="00E86771">
            <w:pPr>
              <w:spacing w:line="360" w:lineRule="auto"/>
            </w:pPr>
            <w:r w:rsidRPr="00591BFC">
              <w:t> </w:t>
            </w:r>
          </w:p>
        </w:tc>
        <w:tc>
          <w:tcPr>
            <w:tcW w:w="1320" w:type="dxa"/>
            <w:shd w:val="clear" w:color="auto" w:fill="auto"/>
            <w:hideMark/>
          </w:tcPr>
          <w:p w14:paraId="38100460" w14:textId="77777777" w:rsidR="00746C94" w:rsidRPr="00591BFC" w:rsidRDefault="00746C94" w:rsidP="00E86771">
            <w:pPr>
              <w:spacing w:line="360" w:lineRule="auto"/>
            </w:pPr>
            <w:r w:rsidRPr="00591BFC">
              <w:t> </w:t>
            </w:r>
          </w:p>
        </w:tc>
        <w:tc>
          <w:tcPr>
            <w:tcW w:w="1320" w:type="dxa"/>
            <w:shd w:val="clear" w:color="auto" w:fill="auto"/>
            <w:noWrap/>
            <w:hideMark/>
          </w:tcPr>
          <w:p w14:paraId="5984B775" w14:textId="77777777" w:rsidR="00746C94" w:rsidRPr="00591BFC" w:rsidRDefault="00746C94" w:rsidP="00E86771">
            <w:pPr>
              <w:spacing w:line="360" w:lineRule="auto"/>
            </w:pPr>
            <w:r w:rsidRPr="00591BFC">
              <w:t> </w:t>
            </w:r>
          </w:p>
        </w:tc>
      </w:tr>
      <w:tr w:rsidR="00746C94" w:rsidRPr="00591BFC" w14:paraId="325DF07F" w14:textId="77777777" w:rsidTr="00FE3F68">
        <w:trPr>
          <w:trHeight w:val="300"/>
        </w:trPr>
        <w:tc>
          <w:tcPr>
            <w:tcW w:w="3908" w:type="dxa"/>
            <w:shd w:val="clear" w:color="auto" w:fill="auto"/>
            <w:noWrap/>
            <w:hideMark/>
          </w:tcPr>
          <w:p w14:paraId="45C4A1B8" w14:textId="77777777" w:rsidR="00746C94" w:rsidRPr="00591BFC" w:rsidRDefault="00746C94" w:rsidP="00E86771">
            <w:pPr>
              <w:spacing w:line="360" w:lineRule="auto"/>
            </w:pPr>
            <w:r w:rsidRPr="00591BFC">
              <w:t> </w:t>
            </w:r>
          </w:p>
        </w:tc>
        <w:tc>
          <w:tcPr>
            <w:tcW w:w="1320" w:type="dxa"/>
            <w:shd w:val="clear" w:color="auto" w:fill="auto"/>
            <w:hideMark/>
          </w:tcPr>
          <w:p w14:paraId="237CD96D" w14:textId="77777777" w:rsidR="00746C94" w:rsidRPr="00591BFC" w:rsidRDefault="00746C94" w:rsidP="00E86771">
            <w:pPr>
              <w:spacing w:line="360" w:lineRule="auto"/>
            </w:pPr>
            <w:r w:rsidRPr="00591BFC">
              <w:t> </w:t>
            </w:r>
          </w:p>
        </w:tc>
        <w:tc>
          <w:tcPr>
            <w:tcW w:w="1320" w:type="dxa"/>
            <w:shd w:val="clear" w:color="auto" w:fill="auto"/>
            <w:hideMark/>
          </w:tcPr>
          <w:p w14:paraId="07ADEC50" w14:textId="77777777" w:rsidR="00746C94" w:rsidRPr="00591BFC" w:rsidRDefault="00746C94" w:rsidP="00E86771">
            <w:pPr>
              <w:spacing w:line="360" w:lineRule="auto"/>
            </w:pPr>
            <w:r w:rsidRPr="00591BFC">
              <w:t> </w:t>
            </w:r>
          </w:p>
        </w:tc>
        <w:tc>
          <w:tcPr>
            <w:tcW w:w="1320" w:type="dxa"/>
            <w:shd w:val="clear" w:color="auto" w:fill="auto"/>
            <w:hideMark/>
          </w:tcPr>
          <w:p w14:paraId="364F7801" w14:textId="77777777" w:rsidR="00746C94" w:rsidRPr="00591BFC" w:rsidRDefault="00746C94" w:rsidP="00E86771">
            <w:pPr>
              <w:spacing w:line="360" w:lineRule="auto"/>
            </w:pPr>
            <w:r w:rsidRPr="00591BFC">
              <w:t> </w:t>
            </w:r>
          </w:p>
        </w:tc>
        <w:tc>
          <w:tcPr>
            <w:tcW w:w="1320" w:type="dxa"/>
            <w:shd w:val="clear" w:color="auto" w:fill="auto"/>
            <w:noWrap/>
            <w:hideMark/>
          </w:tcPr>
          <w:p w14:paraId="21BB8805" w14:textId="77777777" w:rsidR="00746C94" w:rsidRPr="00591BFC" w:rsidRDefault="00746C94" w:rsidP="00E86771">
            <w:pPr>
              <w:spacing w:line="360" w:lineRule="auto"/>
            </w:pPr>
            <w:r w:rsidRPr="00591BFC">
              <w:t> </w:t>
            </w:r>
          </w:p>
        </w:tc>
      </w:tr>
      <w:tr w:rsidR="00746C94" w:rsidRPr="00591BFC" w14:paraId="283828D2" w14:textId="77777777" w:rsidTr="00FE3F68">
        <w:trPr>
          <w:trHeight w:val="300"/>
        </w:trPr>
        <w:tc>
          <w:tcPr>
            <w:tcW w:w="9188" w:type="dxa"/>
            <w:gridSpan w:val="5"/>
            <w:shd w:val="clear" w:color="auto" w:fill="auto"/>
            <w:hideMark/>
          </w:tcPr>
          <w:p w14:paraId="58E01951" w14:textId="77777777" w:rsidR="00746C94" w:rsidRPr="00591BFC" w:rsidRDefault="00746C94" w:rsidP="00E86771">
            <w:pPr>
              <w:spacing w:line="360" w:lineRule="auto"/>
              <w:rPr>
                <w:u w:val="single"/>
              </w:rPr>
            </w:pPr>
            <w:r w:rsidRPr="00591BFC">
              <w:rPr>
                <w:u w:val="single"/>
              </w:rPr>
              <w:t>overall hip fracture rate (i.e. no. per half annum)</w:t>
            </w:r>
          </w:p>
        </w:tc>
      </w:tr>
      <w:tr w:rsidR="00746C94" w:rsidRPr="00591BFC" w14:paraId="7B246944" w14:textId="77777777" w:rsidTr="00FE3F68">
        <w:trPr>
          <w:trHeight w:val="330"/>
        </w:trPr>
        <w:tc>
          <w:tcPr>
            <w:tcW w:w="3908" w:type="dxa"/>
            <w:shd w:val="clear" w:color="auto" w:fill="auto"/>
            <w:noWrap/>
            <w:hideMark/>
          </w:tcPr>
          <w:p w14:paraId="0D82C574"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6CDD995A" w14:textId="77777777" w:rsidR="00746C94" w:rsidRPr="00591BFC" w:rsidRDefault="00746C94" w:rsidP="00E86771">
            <w:pPr>
              <w:spacing w:line="360" w:lineRule="auto"/>
            </w:pPr>
            <w:r w:rsidRPr="00591BFC">
              <w:t>433.6</w:t>
            </w:r>
          </w:p>
        </w:tc>
        <w:tc>
          <w:tcPr>
            <w:tcW w:w="1320" w:type="dxa"/>
            <w:shd w:val="clear" w:color="auto" w:fill="auto"/>
            <w:noWrap/>
            <w:hideMark/>
          </w:tcPr>
          <w:p w14:paraId="0C5103F7" w14:textId="77777777" w:rsidR="00746C94" w:rsidRPr="00591BFC" w:rsidRDefault="00746C94" w:rsidP="00E86771">
            <w:pPr>
              <w:spacing w:line="360" w:lineRule="auto"/>
            </w:pPr>
            <w:r w:rsidRPr="00591BFC">
              <w:t>403.4</w:t>
            </w:r>
          </w:p>
        </w:tc>
        <w:tc>
          <w:tcPr>
            <w:tcW w:w="1320" w:type="dxa"/>
            <w:shd w:val="clear" w:color="auto" w:fill="auto"/>
            <w:noWrap/>
            <w:hideMark/>
          </w:tcPr>
          <w:p w14:paraId="1B11CE5C" w14:textId="77777777" w:rsidR="00746C94" w:rsidRPr="00591BFC" w:rsidRDefault="00746C94" w:rsidP="00E86771">
            <w:pPr>
              <w:spacing w:line="360" w:lineRule="auto"/>
            </w:pPr>
            <w:r w:rsidRPr="00591BFC">
              <w:t>463.8</w:t>
            </w:r>
          </w:p>
        </w:tc>
        <w:tc>
          <w:tcPr>
            <w:tcW w:w="1320" w:type="dxa"/>
            <w:shd w:val="clear" w:color="auto" w:fill="auto"/>
            <w:noWrap/>
            <w:hideMark/>
          </w:tcPr>
          <w:p w14:paraId="152658AC" w14:textId="77777777" w:rsidR="00746C94" w:rsidRPr="00591BFC" w:rsidRDefault="00746C94" w:rsidP="00E86771">
            <w:pPr>
              <w:spacing w:line="360" w:lineRule="auto"/>
            </w:pPr>
            <w:r w:rsidRPr="00591BFC">
              <w:t>&lt;0.001</w:t>
            </w:r>
          </w:p>
        </w:tc>
      </w:tr>
      <w:tr w:rsidR="00746C94" w:rsidRPr="00591BFC" w14:paraId="53A2A617" w14:textId="77777777" w:rsidTr="00FE3F68">
        <w:trPr>
          <w:trHeight w:val="330"/>
        </w:trPr>
        <w:tc>
          <w:tcPr>
            <w:tcW w:w="3908" w:type="dxa"/>
            <w:shd w:val="clear" w:color="auto" w:fill="auto"/>
            <w:noWrap/>
            <w:hideMark/>
          </w:tcPr>
          <w:p w14:paraId="3EE74B0B"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4A36A9DB" w14:textId="77777777" w:rsidR="00746C94" w:rsidRPr="00591BFC" w:rsidRDefault="00746C94" w:rsidP="00E86771">
            <w:pPr>
              <w:spacing w:line="360" w:lineRule="auto"/>
            </w:pPr>
            <w:r w:rsidRPr="00591BFC">
              <w:t>1.13</w:t>
            </w:r>
          </w:p>
        </w:tc>
        <w:tc>
          <w:tcPr>
            <w:tcW w:w="1320" w:type="dxa"/>
            <w:shd w:val="clear" w:color="auto" w:fill="auto"/>
            <w:noWrap/>
            <w:hideMark/>
          </w:tcPr>
          <w:p w14:paraId="2E1F0DA0" w14:textId="77777777" w:rsidR="00746C94" w:rsidRPr="00591BFC" w:rsidRDefault="00746C94" w:rsidP="00E86771">
            <w:pPr>
              <w:spacing w:line="360" w:lineRule="auto"/>
            </w:pPr>
            <w:r w:rsidRPr="00591BFC">
              <w:t>-3.33</w:t>
            </w:r>
          </w:p>
        </w:tc>
        <w:tc>
          <w:tcPr>
            <w:tcW w:w="1320" w:type="dxa"/>
            <w:shd w:val="clear" w:color="auto" w:fill="auto"/>
            <w:noWrap/>
            <w:hideMark/>
          </w:tcPr>
          <w:p w14:paraId="785A8F82" w14:textId="77777777" w:rsidR="00746C94" w:rsidRPr="00591BFC" w:rsidRDefault="00746C94" w:rsidP="00E86771">
            <w:pPr>
              <w:spacing w:line="360" w:lineRule="auto"/>
            </w:pPr>
            <w:r w:rsidRPr="00591BFC">
              <w:t>5.58</w:t>
            </w:r>
          </w:p>
        </w:tc>
        <w:tc>
          <w:tcPr>
            <w:tcW w:w="1320" w:type="dxa"/>
            <w:shd w:val="clear" w:color="auto" w:fill="auto"/>
            <w:noWrap/>
            <w:hideMark/>
          </w:tcPr>
          <w:p w14:paraId="45406D01" w14:textId="77777777" w:rsidR="00746C94" w:rsidRPr="00591BFC" w:rsidRDefault="00746C94" w:rsidP="00E86771">
            <w:pPr>
              <w:spacing w:line="360" w:lineRule="auto"/>
            </w:pPr>
            <w:r w:rsidRPr="00591BFC">
              <w:t>0.596</w:t>
            </w:r>
          </w:p>
        </w:tc>
      </w:tr>
      <w:tr w:rsidR="00746C94" w:rsidRPr="00591BFC" w14:paraId="2D2638C3" w14:textId="77777777" w:rsidTr="00FE3F68">
        <w:trPr>
          <w:trHeight w:val="330"/>
        </w:trPr>
        <w:tc>
          <w:tcPr>
            <w:tcW w:w="3908" w:type="dxa"/>
            <w:shd w:val="clear" w:color="auto" w:fill="auto"/>
            <w:noWrap/>
            <w:hideMark/>
          </w:tcPr>
          <w:p w14:paraId="21CA9B52"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74B55FE5" w14:textId="77777777" w:rsidR="00746C94" w:rsidRPr="00591BFC" w:rsidRDefault="00746C94" w:rsidP="00E86771">
            <w:pPr>
              <w:spacing w:line="360" w:lineRule="auto"/>
            </w:pPr>
            <w:r w:rsidRPr="00591BFC">
              <w:t>-9.627</w:t>
            </w:r>
          </w:p>
        </w:tc>
        <w:tc>
          <w:tcPr>
            <w:tcW w:w="1320" w:type="dxa"/>
            <w:shd w:val="clear" w:color="auto" w:fill="auto"/>
            <w:noWrap/>
            <w:hideMark/>
          </w:tcPr>
          <w:p w14:paraId="6D2CBC7D" w14:textId="77777777" w:rsidR="00746C94" w:rsidRPr="00591BFC" w:rsidRDefault="00746C94" w:rsidP="00E86771">
            <w:pPr>
              <w:spacing w:line="360" w:lineRule="auto"/>
            </w:pPr>
            <w:r w:rsidRPr="00591BFC">
              <w:t>-67.22</w:t>
            </w:r>
          </w:p>
        </w:tc>
        <w:tc>
          <w:tcPr>
            <w:tcW w:w="1320" w:type="dxa"/>
            <w:shd w:val="clear" w:color="auto" w:fill="auto"/>
            <w:noWrap/>
            <w:hideMark/>
          </w:tcPr>
          <w:p w14:paraId="6848019E" w14:textId="77777777" w:rsidR="00746C94" w:rsidRPr="00591BFC" w:rsidRDefault="00746C94" w:rsidP="00E86771">
            <w:pPr>
              <w:spacing w:line="360" w:lineRule="auto"/>
            </w:pPr>
            <w:r w:rsidRPr="00591BFC">
              <w:t>47.97</w:t>
            </w:r>
          </w:p>
        </w:tc>
        <w:tc>
          <w:tcPr>
            <w:tcW w:w="1320" w:type="dxa"/>
            <w:shd w:val="clear" w:color="auto" w:fill="auto"/>
            <w:noWrap/>
            <w:hideMark/>
          </w:tcPr>
          <w:p w14:paraId="2D72EE21" w14:textId="77777777" w:rsidR="00746C94" w:rsidRPr="00591BFC" w:rsidRDefault="00746C94" w:rsidP="00E86771">
            <w:pPr>
              <w:spacing w:line="360" w:lineRule="auto"/>
            </w:pPr>
            <w:r w:rsidRPr="00591BFC">
              <w:t>0.725</w:t>
            </w:r>
          </w:p>
        </w:tc>
      </w:tr>
      <w:tr w:rsidR="00746C94" w:rsidRPr="00591BFC" w14:paraId="2060E343" w14:textId="77777777" w:rsidTr="00FE3F68">
        <w:trPr>
          <w:trHeight w:val="330"/>
        </w:trPr>
        <w:tc>
          <w:tcPr>
            <w:tcW w:w="3908" w:type="dxa"/>
            <w:shd w:val="clear" w:color="auto" w:fill="auto"/>
            <w:noWrap/>
            <w:hideMark/>
          </w:tcPr>
          <w:p w14:paraId="2E5C6356"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295BB38F" w14:textId="77777777" w:rsidR="00746C94" w:rsidRPr="00591BFC" w:rsidRDefault="00746C94" w:rsidP="00E86771">
            <w:pPr>
              <w:spacing w:line="360" w:lineRule="auto"/>
            </w:pPr>
            <w:r w:rsidRPr="00591BFC">
              <w:t>-5.627</w:t>
            </w:r>
          </w:p>
        </w:tc>
        <w:tc>
          <w:tcPr>
            <w:tcW w:w="1320" w:type="dxa"/>
            <w:shd w:val="clear" w:color="auto" w:fill="auto"/>
            <w:noWrap/>
            <w:hideMark/>
          </w:tcPr>
          <w:p w14:paraId="3E043C35" w14:textId="77777777" w:rsidR="00746C94" w:rsidRPr="00591BFC" w:rsidRDefault="00746C94" w:rsidP="00E86771">
            <w:pPr>
              <w:spacing w:line="360" w:lineRule="auto"/>
            </w:pPr>
            <w:r w:rsidRPr="00591BFC">
              <w:t>-21.068</w:t>
            </w:r>
          </w:p>
        </w:tc>
        <w:tc>
          <w:tcPr>
            <w:tcW w:w="1320" w:type="dxa"/>
            <w:shd w:val="clear" w:color="auto" w:fill="auto"/>
            <w:noWrap/>
            <w:hideMark/>
          </w:tcPr>
          <w:p w14:paraId="43868D21" w14:textId="77777777" w:rsidR="00746C94" w:rsidRPr="00591BFC" w:rsidRDefault="00746C94" w:rsidP="00E86771">
            <w:pPr>
              <w:spacing w:line="360" w:lineRule="auto"/>
            </w:pPr>
            <w:r w:rsidRPr="00591BFC">
              <w:t>9.81</w:t>
            </w:r>
          </w:p>
        </w:tc>
        <w:tc>
          <w:tcPr>
            <w:tcW w:w="1320" w:type="dxa"/>
            <w:shd w:val="clear" w:color="auto" w:fill="auto"/>
            <w:noWrap/>
            <w:hideMark/>
          </w:tcPr>
          <w:p w14:paraId="1BE0F698" w14:textId="77777777" w:rsidR="00746C94" w:rsidRPr="00591BFC" w:rsidRDefault="00746C94" w:rsidP="00E86771">
            <w:pPr>
              <w:spacing w:line="360" w:lineRule="auto"/>
            </w:pPr>
            <w:r w:rsidRPr="00591BFC">
              <w:t>0.447</w:t>
            </w:r>
          </w:p>
        </w:tc>
      </w:tr>
      <w:tr w:rsidR="00746C94" w:rsidRPr="00591BFC" w14:paraId="3C40A768" w14:textId="77777777" w:rsidTr="00FE3F68">
        <w:trPr>
          <w:trHeight w:val="330"/>
        </w:trPr>
        <w:tc>
          <w:tcPr>
            <w:tcW w:w="3908" w:type="dxa"/>
            <w:shd w:val="clear" w:color="auto" w:fill="auto"/>
            <w:noWrap/>
            <w:hideMark/>
          </w:tcPr>
          <w:p w14:paraId="3FFB441A"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25706D38" w14:textId="77777777" w:rsidR="00746C94" w:rsidRPr="00591BFC" w:rsidRDefault="00746C94" w:rsidP="00E86771">
            <w:pPr>
              <w:spacing w:line="360" w:lineRule="auto"/>
            </w:pPr>
            <w:r w:rsidRPr="00591BFC">
              <w:t>-28.9</w:t>
            </w:r>
          </w:p>
        </w:tc>
        <w:tc>
          <w:tcPr>
            <w:tcW w:w="1320" w:type="dxa"/>
            <w:shd w:val="clear" w:color="auto" w:fill="auto"/>
            <w:noWrap/>
            <w:hideMark/>
          </w:tcPr>
          <w:p w14:paraId="651AB3AA" w14:textId="77777777" w:rsidR="00746C94" w:rsidRPr="00591BFC" w:rsidRDefault="00746C94" w:rsidP="00E86771">
            <w:pPr>
              <w:spacing w:line="360" w:lineRule="auto"/>
            </w:pPr>
            <w:r w:rsidRPr="00591BFC">
              <w:t>-109.5</w:t>
            </w:r>
          </w:p>
        </w:tc>
        <w:tc>
          <w:tcPr>
            <w:tcW w:w="1320" w:type="dxa"/>
            <w:shd w:val="clear" w:color="auto" w:fill="auto"/>
            <w:noWrap/>
            <w:hideMark/>
          </w:tcPr>
          <w:p w14:paraId="4C6B750C" w14:textId="77777777" w:rsidR="00746C94" w:rsidRPr="00591BFC" w:rsidRDefault="00746C94" w:rsidP="00E86771">
            <w:pPr>
              <w:spacing w:line="360" w:lineRule="auto"/>
            </w:pPr>
            <w:r w:rsidRPr="00591BFC">
              <w:t>51.6</w:t>
            </w:r>
          </w:p>
        </w:tc>
        <w:tc>
          <w:tcPr>
            <w:tcW w:w="1320" w:type="dxa"/>
            <w:shd w:val="clear" w:color="auto" w:fill="auto"/>
            <w:noWrap/>
            <w:hideMark/>
          </w:tcPr>
          <w:p w14:paraId="5176239A" w14:textId="77777777" w:rsidR="00746C94" w:rsidRPr="00591BFC" w:rsidRDefault="00746C94" w:rsidP="00E86771">
            <w:pPr>
              <w:spacing w:line="360" w:lineRule="auto"/>
            </w:pPr>
            <w:r w:rsidRPr="00591BFC">
              <w:t>0.45</w:t>
            </w:r>
          </w:p>
        </w:tc>
      </w:tr>
      <w:tr w:rsidR="00746C94" w:rsidRPr="00591BFC" w14:paraId="3049B548" w14:textId="77777777" w:rsidTr="00FE3F68">
        <w:trPr>
          <w:trHeight w:val="330"/>
        </w:trPr>
        <w:tc>
          <w:tcPr>
            <w:tcW w:w="3908" w:type="dxa"/>
            <w:shd w:val="clear" w:color="auto" w:fill="auto"/>
            <w:noWrap/>
            <w:hideMark/>
          </w:tcPr>
          <w:p w14:paraId="1763202B"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50D5CDDD" w14:textId="77777777" w:rsidR="00746C94" w:rsidRPr="00591BFC" w:rsidRDefault="00746C94" w:rsidP="00E86771">
            <w:pPr>
              <w:spacing w:line="360" w:lineRule="auto"/>
            </w:pPr>
            <w:r w:rsidRPr="00591BFC">
              <w:t>6</w:t>
            </w:r>
          </w:p>
        </w:tc>
        <w:tc>
          <w:tcPr>
            <w:tcW w:w="1320" w:type="dxa"/>
            <w:shd w:val="clear" w:color="auto" w:fill="auto"/>
            <w:noWrap/>
            <w:hideMark/>
          </w:tcPr>
          <w:p w14:paraId="354772A0" w14:textId="77777777" w:rsidR="00746C94" w:rsidRPr="00591BFC" w:rsidRDefault="00746C94" w:rsidP="00E86771">
            <w:pPr>
              <w:spacing w:line="360" w:lineRule="auto"/>
            </w:pPr>
            <w:r w:rsidRPr="00591BFC">
              <w:t>-30.2</w:t>
            </w:r>
          </w:p>
        </w:tc>
        <w:tc>
          <w:tcPr>
            <w:tcW w:w="1320" w:type="dxa"/>
            <w:shd w:val="clear" w:color="auto" w:fill="auto"/>
            <w:noWrap/>
            <w:hideMark/>
          </w:tcPr>
          <w:p w14:paraId="110527B7" w14:textId="77777777" w:rsidR="00746C94" w:rsidRPr="00591BFC" w:rsidRDefault="00746C94" w:rsidP="00E86771">
            <w:pPr>
              <w:spacing w:line="360" w:lineRule="auto"/>
            </w:pPr>
            <w:r w:rsidRPr="00591BFC">
              <w:t>42.2</w:t>
            </w:r>
          </w:p>
        </w:tc>
        <w:tc>
          <w:tcPr>
            <w:tcW w:w="1320" w:type="dxa"/>
            <w:shd w:val="clear" w:color="auto" w:fill="auto"/>
            <w:noWrap/>
            <w:hideMark/>
          </w:tcPr>
          <w:p w14:paraId="0DD144D1" w14:textId="77777777" w:rsidR="00746C94" w:rsidRPr="00591BFC" w:rsidRDefault="00746C94" w:rsidP="00E86771">
            <w:pPr>
              <w:spacing w:line="360" w:lineRule="auto"/>
            </w:pPr>
            <w:r w:rsidRPr="00591BFC">
              <w:t>0.73</w:t>
            </w:r>
          </w:p>
        </w:tc>
      </w:tr>
      <w:tr w:rsidR="00746C94" w:rsidRPr="00591BFC" w14:paraId="3EB78ACF" w14:textId="77777777" w:rsidTr="00FE3F68">
        <w:trPr>
          <w:trHeight w:val="330"/>
        </w:trPr>
        <w:tc>
          <w:tcPr>
            <w:tcW w:w="3908" w:type="dxa"/>
            <w:shd w:val="clear" w:color="auto" w:fill="auto"/>
            <w:noWrap/>
            <w:hideMark/>
          </w:tcPr>
          <w:p w14:paraId="16BC5D35"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535069C2" w14:textId="77777777" w:rsidR="00746C94" w:rsidRPr="00591BFC" w:rsidRDefault="00746C94" w:rsidP="00E86771">
            <w:pPr>
              <w:spacing w:line="360" w:lineRule="auto"/>
            </w:pPr>
            <w:r w:rsidRPr="00591BFC">
              <w:t>14.83</w:t>
            </w:r>
          </w:p>
        </w:tc>
        <w:tc>
          <w:tcPr>
            <w:tcW w:w="1320" w:type="dxa"/>
            <w:shd w:val="clear" w:color="auto" w:fill="auto"/>
            <w:noWrap/>
            <w:hideMark/>
          </w:tcPr>
          <w:p w14:paraId="4EF61776" w14:textId="77777777" w:rsidR="00746C94" w:rsidRPr="00591BFC" w:rsidRDefault="00746C94" w:rsidP="00E86771">
            <w:pPr>
              <w:spacing w:line="360" w:lineRule="auto"/>
            </w:pPr>
            <w:r w:rsidRPr="00591BFC">
              <w:t>-68.36</w:t>
            </w:r>
          </w:p>
        </w:tc>
        <w:tc>
          <w:tcPr>
            <w:tcW w:w="1320" w:type="dxa"/>
            <w:shd w:val="clear" w:color="auto" w:fill="auto"/>
            <w:noWrap/>
            <w:hideMark/>
          </w:tcPr>
          <w:p w14:paraId="51EED77E" w14:textId="77777777" w:rsidR="00746C94" w:rsidRPr="00591BFC" w:rsidRDefault="00746C94" w:rsidP="00E86771">
            <w:pPr>
              <w:spacing w:line="360" w:lineRule="auto"/>
            </w:pPr>
            <w:r w:rsidRPr="00591BFC">
              <w:t>98</w:t>
            </w:r>
          </w:p>
        </w:tc>
        <w:tc>
          <w:tcPr>
            <w:tcW w:w="1320" w:type="dxa"/>
            <w:shd w:val="clear" w:color="auto" w:fill="auto"/>
            <w:noWrap/>
            <w:hideMark/>
          </w:tcPr>
          <w:p w14:paraId="52CDDD81" w14:textId="77777777" w:rsidR="00746C94" w:rsidRPr="00591BFC" w:rsidRDefault="00746C94" w:rsidP="00E86771">
            <w:pPr>
              <w:spacing w:line="360" w:lineRule="auto"/>
            </w:pPr>
            <w:r w:rsidRPr="00591BFC">
              <w:t>0.71</w:t>
            </w:r>
          </w:p>
        </w:tc>
      </w:tr>
      <w:tr w:rsidR="00746C94" w:rsidRPr="00591BFC" w14:paraId="172F604A" w14:textId="77777777" w:rsidTr="00FE3F68">
        <w:trPr>
          <w:trHeight w:val="330"/>
        </w:trPr>
        <w:tc>
          <w:tcPr>
            <w:tcW w:w="3908" w:type="dxa"/>
            <w:shd w:val="clear" w:color="auto" w:fill="auto"/>
            <w:noWrap/>
            <w:hideMark/>
          </w:tcPr>
          <w:p w14:paraId="22550516" w14:textId="77777777" w:rsidR="00746C94" w:rsidRPr="00591BFC" w:rsidRDefault="00746C94" w:rsidP="00E86771">
            <w:pPr>
              <w:spacing w:line="360" w:lineRule="auto"/>
            </w:pPr>
            <w:r w:rsidRPr="00591BFC">
              <w:lastRenderedPageBreak/>
              <w:t>Trend change after intervention 5 (β</w:t>
            </w:r>
            <w:r w:rsidRPr="00591BFC">
              <w:rPr>
                <w:vertAlign w:val="subscript"/>
              </w:rPr>
              <w:t>7</w:t>
            </w:r>
            <w:r w:rsidRPr="00591BFC">
              <w:t>)</w:t>
            </w:r>
          </w:p>
        </w:tc>
        <w:tc>
          <w:tcPr>
            <w:tcW w:w="1320" w:type="dxa"/>
            <w:shd w:val="clear" w:color="auto" w:fill="auto"/>
            <w:noWrap/>
            <w:hideMark/>
          </w:tcPr>
          <w:p w14:paraId="32B0E752" w14:textId="77777777" w:rsidR="00746C94" w:rsidRPr="00591BFC" w:rsidRDefault="00746C94" w:rsidP="00E86771">
            <w:pPr>
              <w:spacing w:line="360" w:lineRule="auto"/>
            </w:pPr>
            <w:r w:rsidRPr="00591BFC">
              <w:t>-26.5</w:t>
            </w:r>
          </w:p>
        </w:tc>
        <w:tc>
          <w:tcPr>
            <w:tcW w:w="1320" w:type="dxa"/>
            <w:shd w:val="clear" w:color="auto" w:fill="auto"/>
            <w:noWrap/>
            <w:hideMark/>
          </w:tcPr>
          <w:p w14:paraId="47A715D2" w14:textId="77777777" w:rsidR="00746C94" w:rsidRPr="00591BFC" w:rsidRDefault="00746C94" w:rsidP="00E86771">
            <w:pPr>
              <w:spacing w:line="360" w:lineRule="auto"/>
            </w:pPr>
            <w:r w:rsidRPr="00591BFC">
              <w:t>-73.2</w:t>
            </w:r>
          </w:p>
        </w:tc>
        <w:tc>
          <w:tcPr>
            <w:tcW w:w="1320" w:type="dxa"/>
            <w:shd w:val="clear" w:color="auto" w:fill="auto"/>
            <w:noWrap/>
            <w:hideMark/>
          </w:tcPr>
          <w:p w14:paraId="6FFCFBBE" w14:textId="77777777" w:rsidR="00746C94" w:rsidRPr="00591BFC" w:rsidRDefault="00746C94" w:rsidP="00E86771">
            <w:pPr>
              <w:spacing w:line="360" w:lineRule="auto"/>
            </w:pPr>
            <w:r w:rsidRPr="00591BFC">
              <w:t>20.2</w:t>
            </w:r>
          </w:p>
        </w:tc>
        <w:tc>
          <w:tcPr>
            <w:tcW w:w="1320" w:type="dxa"/>
            <w:shd w:val="clear" w:color="auto" w:fill="auto"/>
            <w:noWrap/>
            <w:hideMark/>
          </w:tcPr>
          <w:p w14:paraId="57529BC9" w14:textId="77777777" w:rsidR="00746C94" w:rsidRPr="00591BFC" w:rsidRDefault="00746C94" w:rsidP="00E86771">
            <w:pPr>
              <w:spacing w:line="360" w:lineRule="auto"/>
            </w:pPr>
            <w:r w:rsidRPr="00591BFC">
              <w:t>0.244</w:t>
            </w:r>
          </w:p>
        </w:tc>
      </w:tr>
      <w:tr w:rsidR="00746C94" w:rsidRPr="00591BFC" w14:paraId="48D03CF7" w14:textId="77777777" w:rsidTr="00FE3F68">
        <w:trPr>
          <w:trHeight w:val="315"/>
        </w:trPr>
        <w:tc>
          <w:tcPr>
            <w:tcW w:w="9188" w:type="dxa"/>
            <w:gridSpan w:val="5"/>
            <w:shd w:val="clear" w:color="auto" w:fill="auto"/>
            <w:hideMark/>
          </w:tcPr>
          <w:p w14:paraId="0F8DAA70" w14:textId="77777777" w:rsidR="00746C94" w:rsidRPr="00591BFC" w:rsidRDefault="00746C94" w:rsidP="00E86771">
            <w:pPr>
              <w:spacing w:line="360" w:lineRule="auto"/>
              <w:rPr>
                <w:u w:val="single"/>
              </w:rPr>
            </w:pPr>
            <w:r w:rsidRPr="00591BFC">
              <w:rPr>
                <w:u w:val="single"/>
              </w:rPr>
              <w:t>second hip fracture (2 years)</w:t>
            </w:r>
          </w:p>
        </w:tc>
      </w:tr>
      <w:tr w:rsidR="00746C94" w:rsidRPr="00591BFC" w14:paraId="107D8815" w14:textId="77777777" w:rsidTr="00FE3F68">
        <w:trPr>
          <w:trHeight w:val="330"/>
        </w:trPr>
        <w:tc>
          <w:tcPr>
            <w:tcW w:w="3908" w:type="dxa"/>
            <w:shd w:val="clear" w:color="auto" w:fill="auto"/>
            <w:noWrap/>
            <w:hideMark/>
          </w:tcPr>
          <w:p w14:paraId="77BFA4FF"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0E29BF9A" w14:textId="77777777" w:rsidR="00746C94" w:rsidRPr="00591BFC" w:rsidRDefault="00746C94" w:rsidP="00E86771">
            <w:pPr>
              <w:spacing w:line="360" w:lineRule="auto"/>
            </w:pPr>
            <w:r w:rsidRPr="00591BFC">
              <w:t>2.21</w:t>
            </w:r>
          </w:p>
        </w:tc>
        <w:tc>
          <w:tcPr>
            <w:tcW w:w="1320" w:type="dxa"/>
            <w:shd w:val="clear" w:color="auto" w:fill="auto"/>
            <w:noWrap/>
            <w:hideMark/>
          </w:tcPr>
          <w:p w14:paraId="72A83F40" w14:textId="77777777" w:rsidR="00746C94" w:rsidRPr="00591BFC" w:rsidRDefault="00746C94" w:rsidP="00E86771">
            <w:pPr>
              <w:spacing w:line="360" w:lineRule="auto"/>
            </w:pPr>
            <w:r w:rsidRPr="00591BFC">
              <w:t>1.1</w:t>
            </w:r>
          </w:p>
        </w:tc>
        <w:tc>
          <w:tcPr>
            <w:tcW w:w="1320" w:type="dxa"/>
            <w:shd w:val="clear" w:color="auto" w:fill="auto"/>
            <w:noWrap/>
            <w:hideMark/>
          </w:tcPr>
          <w:p w14:paraId="3B8F5EF4" w14:textId="77777777" w:rsidR="00746C94" w:rsidRPr="00591BFC" w:rsidRDefault="00746C94" w:rsidP="00E86771">
            <w:pPr>
              <w:spacing w:line="360" w:lineRule="auto"/>
            </w:pPr>
            <w:r w:rsidRPr="00591BFC">
              <w:t>3.31</w:t>
            </w:r>
          </w:p>
        </w:tc>
        <w:tc>
          <w:tcPr>
            <w:tcW w:w="1320" w:type="dxa"/>
            <w:shd w:val="clear" w:color="auto" w:fill="auto"/>
            <w:noWrap/>
            <w:hideMark/>
          </w:tcPr>
          <w:p w14:paraId="063A9547" w14:textId="77777777" w:rsidR="00746C94" w:rsidRPr="00591BFC" w:rsidRDefault="00746C94" w:rsidP="00E86771">
            <w:pPr>
              <w:spacing w:line="360" w:lineRule="auto"/>
            </w:pPr>
            <w:r w:rsidRPr="00591BFC">
              <w:t>0.001</w:t>
            </w:r>
          </w:p>
        </w:tc>
      </w:tr>
      <w:tr w:rsidR="00746C94" w:rsidRPr="00591BFC" w14:paraId="23BF3794" w14:textId="77777777" w:rsidTr="00FE3F68">
        <w:trPr>
          <w:trHeight w:val="330"/>
        </w:trPr>
        <w:tc>
          <w:tcPr>
            <w:tcW w:w="3908" w:type="dxa"/>
            <w:shd w:val="clear" w:color="auto" w:fill="auto"/>
            <w:noWrap/>
            <w:hideMark/>
          </w:tcPr>
          <w:p w14:paraId="3ADA4573"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62A732FA" w14:textId="77777777" w:rsidR="00746C94" w:rsidRPr="00591BFC" w:rsidRDefault="00746C94" w:rsidP="00E86771">
            <w:pPr>
              <w:spacing w:line="360" w:lineRule="auto"/>
            </w:pPr>
            <w:r w:rsidRPr="00591BFC">
              <w:t>0.068</w:t>
            </w:r>
          </w:p>
        </w:tc>
        <w:tc>
          <w:tcPr>
            <w:tcW w:w="1320" w:type="dxa"/>
            <w:shd w:val="clear" w:color="auto" w:fill="auto"/>
            <w:noWrap/>
            <w:hideMark/>
          </w:tcPr>
          <w:p w14:paraId="435B97BB" w14:textId="77777777" w:rsidR="00746C94" w:rsidRPr="00591BFC" w:rsidRDefault="00746C94" w:rsidP="00E86771">
            <w:pPr>
              <w:spacing w:line="360" w:lineRule="auto"/>
            </w:pPr>
            <w:r w:rsidRPr="00591BFC">
              <w:t>-0.0948</w:t>
            </w:r>
          </w:p>
        </w:tc>
        <w:tc>
          <w:tcPr>
            <w:tcW w:w="1320" w:type="dxa"/>
            <w:shd w:val="clear" w:color="auto" w:fill="auto"/>
            <w:noWrap/>
            <w:hideMark/>
          </w:tcPr>
          <w:p w14:paraId="2BD8C4E4" w14:textId="77777777" w:rsidR="00746C94" w:rsidRPr="00591BFC" w:rsidRDefault="00746C94" w:rsidP="00E86771">
            <w:pPr>
              <w:spacing w:line="360" w:lineRule="auto"/>
            </w:pPr>
            <w:r w:rsidRPr="00591BFC">
              <w:t>0.231</w:t>
            </w:r>
          </w:p>
        </w:tc>
        <w:tc>
          <w:tcPr>
            <w:tcW w:w="1320" w:type="dxa"/>
            <w:shd w:val="clear" w:color="auto" w:fill="auto"/>
            <w:noWrap/>
            <w:hideMark/>
          </w:tcPr>
          <w:p w14:paraId="36061E25" w14:textId="77777777" w:rsidR="00746C94" w:rsidRPr="00591BFC" w:rsidRDefault="00746C94" w:rsidP="00E86771">
            <w:pPr>
              <w:spacing w:line="360" w:lineRule="auto"/>
            </w:pPr>
            <w:r w:rsidRPr="00591BFC">
              <w:t>0.39</w:t>
            </w:r>
          </w:p>
        </w:tc>
      </w:tr>
      <w:tr w:rsidR="00746C94" w:rsidRPr="00591BFC" w14:paraId="275B1A10" w14:textId="77777777" w:rsidTr="00FE3F68">
        <w:trPr>
          <w:trHeight w:val="330"/>
        </w:trPr>
        <w:tc>
          <w:tcPr>
            <w:tcW w:w="3908" w:type="dxa"/>
            <w:shd w:val="clear" w:color="auto" w:fill="auto"/>
            <w:noWrap/>
            <w:hideMark/>
          </w:tcPr>
          <w:p w14:paraId="79C3DCD6"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69FC0729" w14:textId="77777777" w:rsidR="00746C94" w:rsidRPr="00591BFC" w:rsidRDefault="00746C94" w:rsidP="00E86771">
            <w:pPr>
              <w:spacing w:line="360" w:lineRule="auto"/>
            </w:pPr>
            <w:r w:rsidRPr="00591BFC">
              <w:t>-1.17</w:t>
            </w:r>
          </w:p>
        </w:tc>
        <w:tc>
          <w:tcPr>
            <w:tcW w:w="1320" w:type="dxa"/>
            <w:shd w:val="clear" w:color="auto" w:fill="auto"/>
            <w:noWrap/>
            <w:hideMark/>
          </w:tcPr>
          <w:p w14:paraId="04AB8ED5" w14:textId="77777777" w:rsidR="00746C94" w:rsidRPr="00591BFC" w:rsidRDefault="00746C94" w:rsidP="00E86771">
            <w:pPr>
              <w:spacing w:line="360" w:lineRule="auto"/>
            </w:pPr>
            <w:r w:rsidRPr="00591BFC">
              <w:t>-3.28</w:t>
            </w:r>
          </w:p>
        </w:tc>
        <w:tc>
          <w:tcPr>
            <w:tcW w:w="1320" w:type="dxa"/>
            <w:shd w:val="clear" w:color="auto" w:fill="auto"/>
            <w:noWrap/>
            <w:hideMark/>
          </w:tcPr>
          <w:p w14:paraId="44933A2D" w14:textId="77777777" w:rsidR="00746C94" w:rsidRPr="00591BFC" w:rsidRDefault="00746C94" w:rsidP="00E86771">
            <w:pPr>
              <w:spacing w:line="360" w:lineRule="auto"/>
            </w:pPr>
            <w:r w:rsidRPr="00591BFC">
              <w:t>0.931</w:t>
            </w:r>
          </w:p>
        </w:tc>
        <w:tc>
          <w:tcPr>
            <w:tcW w:w="1320" w:type="dxa"/>
            <w:shd w:val="clear" w:color="auto" w:fill="auto"/>
            <w:noWrap/>
            <w:hideMark/>
          </w:tcPr>
          <w:p w14:paraId="5F2B9E0C" w14:textId="77777777" w:rsidR="00746C94" w:rsidRPr="00591BFC" w:rsidRDefault="00746C94" w:rsidP="00E86771">
            <w:pPr>
              <w:spacing w:line="360" w:lineRule="auto"/>
            </w:pPr>
            <w:r w:rsidRPr="00591BFC">
              <w:t>0.25</w:t>
            </w:r>
          </w:p>
        </w:tc>
      </w:tr>
      <w:tr w:rsidR="00746C94" w:rsidRPr="00591BFC" w14:paraId="70B72634" w14:textId="77777777" w:rsidTr="00FE3F68">
        <w:trPr>
          <w:trHeight w:val="330"/>
        </w:trPr>
        <w:tc>
          <w:tcPr>
            <w:tcW w:w="3908" w:type="dxa"/>
            <w:shd w:val="clear" w:color="auto" w:fill="auto"/>
            <w:noWrap/>
            <w:hideMark/>
          </w:tcPr>
          <w:p w14:paraId="6D039A45"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3E424DB1" w14:textId="77777777" w:rsidR="00746C94" w:rsidRPr="00591BFC" w:rsidRDefault="00746C94" w:rsidP="00E86771">
            <w:pPr>
              <w:spacing w:line="360" w:lineRule="auto"/>
            </w:pPr>
            <w:r w:rsidRPr="00591BFC">
              <w:t>0.06</w:t>
            </w:r>
          </w:p>
        </w:tc>
        <w:tc>
          <w:tcPr>
            <w:tcW w:w="1320" w:type="dxa"/>
            <w:shd w:val="clear" w:color="auto" w:fill="auto"/>
            <w:noWrap/>
            <w:hideMark/>
          </w:tcPr>
          <w:p w14:paraId="10AB4643" w14:textId="77777777" w:rsidR="00746C94" w:rsidRPr="00591BFC" w:rsidRDefault="00746C94" w:rsidP="00E86771">
            <w:pPr>
              <w:spacing w:line="360" w:lineRule="auto"/>
            </w:pPr>
            <w:r w:rsidRPr="00591BFC">
              <w:t>-0.504</w:t>
            </w:r>
          </w:p>
        </w:tc>
        <w:tc>
          <w:tcPr>
            <w:tcW w:w="1320" w:type="dxa"/>
            <w:shd w:val="clear" w:color="auto" w:fill="auto"/>
            <w:noWrap/>
            <w:hideMark/>
          </w:tcPr>
          <w:p w14:paraId="15B32C58" w14:textId="77777777" w:rsidR="00746C94" w:rsidRPr="00591BFC" w:rsidRDefault="00746C94" w:rsidP="00E86771">
            <w:pPr>
              <w:spacing w:line="360" w:lineRule="auto"/>
            </w:pPr>
            <w:r w:rsidRPr="00591BFC">
              <w:t>0.625</w:t>
            </w:r>
          </w:p>
        </w:tc>
        <w:tc>
          <w:tcPr>
            <w:tcW w:w="1320" w:type="dxa"/>
            <w:shd w:val="clear" w:color="auto" w:fill="auto"/>
            <w:noWrap/>
            <w:hideMark/>
          </w:tcPr>
          <w:p w14:paraId="15B8E1B2" w14:textId="77777777" w:rsidR="00746C94" w:rsidRPr="00591BFC" w:rsidRDefault="00746C94" w:rsidP="00E86771">
            <w:pPr>
              <w:spacing w:line="360" w:lineRule="auto"/>
            </w:pPr>
            <w:r w:rsidRPr="00591BFC">
              <w:t>0.82</w:t>
            </w:r>
          </w:p>
        </w:tc>
      </w:tr>
      <w:tr w:rsidR="00746C94" w:rsidRPr="00591BFC" w14:paraId="7C85CAD1" w14:textId="77777777" w:rsidTr="00FE3F68">
        <w:trPr>
          <w:trHeight w:val="330"/>
        </w:trPr>
        <w:tc>
          <w:tcPr>
            <w:tcW w:w="3908" w:type="dxa"/>
            <w:shd w:val="clear" w:color="auto" w:fill="auto"/>
            <w:noWrap/>
            <w:hideMark/>
          </w:tcPr>
          <w:p w14:paraId="3D41901A"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17420EFD" w14:textId="77777777" w:rsidR="00746C94" w:rsidRPr="00591BFC" w:rsidRDefault="00746C94" w:rsidP="00E86771">
            <w:pPr>
              <w:spacing w:line="360" w:lineRule="auto"/>
            </w:pPr>
            <w:r w:rsidRPr="00591BFC">
              <w:t>-0.88</w:t>
            </w:r>
          </w:p>
        </w:tc>
        <w:tc>
          <w:tcPr>
            <w:tcW w:w="1320" w:type="dxa"/>
            <w:shd w:val="clear" w:color="auto" w:fill="auto"/>
            <w:noWrap/>
            <w:hideMark/>
          </w:tcPr>
          <w:p w14:paraId="5C45B5B5" w14:textId="77777777" w:rsidR="00746C94" w:rsidRPr="00591BFC" w:rsidRDefault="00746C94" w:rsidP="00E86771">
            <w:pPr>
              <w:spacing w:line="360" w:lineRule="auto"/>
            </w:pPr>
            <w:r w:rsidRPr="00591BFC">
              <w:t>-3.83</w:t>
            </w:r>
          </w:p>
        </w:tc>
        <w:tc>
          <w:tcPr>
            <w:tcW w:w="1320" w:type="dxa"/>
            <w:shd w:val="clear" w:color="auto" w:fill="auto"/>
            <w:noWrap/>
            <w:hideMark/>
          </w:tcPr>
          <w:p w14:paraId="7958CAA0" w14:textId="77777777" w:rsidR="00746C94" w:rsidRPr="00591BFC" w:rsidRDefault="00746C94" w:rsidP="00E86771">
            <w:pPr>
              <w:spacing w:line="360" w:lineRule="auto"/>
            </w:pPr>
            <w:r w:rsidRPr="00591BFC">
              <w:t>2.06</w:t>
            </w:r>
          </w:p>
        </w:tc>
        <w:tc>
          <w:tcPr>
            <w:tcW w:w="1320" w:type="dxa"/>
            <w:shd w:val="clear" w:color="auto" w:fill="auto"/>
            <w:noWrap/>
            <w:hideMark/>
          </w:tcPr>
          <w:p w14:paraId="5E624F37" w14:textId="77777777" w:rsidR="00746C94" w:rsidRPr="00591BFC" w:rsidRDefault="00746C94" w:rsidP="00E86771">
            <w:pPr>
              <w:spacing w:line="360" w:lineRule="auto"/>
            </w:pPr>
            <w:r w:rsidRPr="00591BFC">
              <w:t>0.53</w:t>
            </w:r>
          </w:p>
        </w:tc>
      </w:tr>
      <w:tr w:rsidR="00746C94" w:rsidRPr="00591BFC" w14:paraId="4E0A257E" w14:textId="77777777" w:rsidTr="00FE3F68">
        <w:trPr>
          <w:trHeight w:val="330"/>
        </w:trPr>
        <w:tc>
          <w:tcPr>
            <w:tcW w:w="3908" w:type="dxa"/>
            <w:shd w:val="clear" w:color="auto" w:fill="auto"/>
            <w:noWrap/>
            <w:hideMark/>
          </w:tcPr>
          <w:p w14:paraId="33C2ABF6"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4E4BD5E8" w14:textId="77777777" w:rsidR="00746C94" w:rsidRPr="00591BFC" w:rsidRDefault="00746C94" w:rsidP="00E86771">
            <w:pPr>
              <w:spacing w:line="360" w:lineRule="auto"/>
            </w:pPr>
            <w:r w:rsidRPr="00591BFC">
              <w:t>-0.337</w:t>
            </w:r>
          </w:p>
        </w:tc>
        <w:tc>
          <w:tcPr>
            <w:tcW w:w="1320" w:type="dxa"/>
            <w:shd w:val="clear" w:color="auto" w:fill="auto"/>
            <w:noWrap/>
            <w:hideMark/>
          </w:tcPr>
          <w:p w14:paraId="4E5A0171" w14:textId="77777777" w:rsidR="00746C94" w:rsidRPr="00591BFC" w:rsidRDefault="00746C94" w:rsidP="00E86771">
            <w:pPr>
              <w:spacing w:line="360" w:lineRule="auto"/>
            </w:pPr>
            <w:r w:rsidRPr="00591BFC">
              <w:t>-1.66</w:t>
            </w:r>
          </w:p>
        </w:tc>
        <w:tc>
          <w:tcPr>
            <w:tcW w:w="1320" w:type="dxa"/>
            <w:shd w:val="clear" w:color="auto" w:fill="auto"/>
            <w:noWrap/>
            <w:hideMark/>
          </w:tcPr>
          <w:p w14:paraId="6DF635EC" w14:textId="77777777" w:rsidR="00746C94" w:rsidRPr="00591BFC" w:rsidRDefault="00746C94" w:rsidP="00E86771">
            <w:pPr>
              <w:spacing w:line="360" w:lineRule="auto"/>
            </w:pPr>
            <w:r w:rsidRPr="00591BFC">
              <w:t>0.985</w:t>
            </w:r>
          </w:p>
        </w:tc>
        <w:tc>
          <w:tcPr>
            <w:tcW w:w="1320" w:type="dxa"/>
            <w:shd w:val="clear" w:color="auto" w:fill="auto"/>
            <w:noWrap/>
            <w:hideMark/>
          </w:tcPr>
          <w:p w14:paraId="197F91D4" w14:textId="77777777" w:rsidR="00746C94" w:rsidRPr="00591BFC" w:rsidRDefault="00746C94" w:rsidP="00E86771">
            <w:pPr>
              <w:spacing w:line="360" w:lineRule="auto"/>
            </w:pPr>
            <w:r w:rsidRPr="00591BFC">
              <w:t>0.59</w:t>
            </w:r>
          </w:p>
        </w:tc>
      </w:tr>
      <w:tr w:rsidR="00746C94" w:rsidRPr="00591BFC" w14:paraId="6F0961C0" w14:textId="77777777" w:rsidTr="00FE3F68">
        <w:trPr>
          <w:trHeight w:val="330"/>
        </w:trPr>
        <w:tc>
          <w:tcPr>
            <w:tcW w:w="3908" w:type="dxa"/>
            <w:shd w:val="clear" w:color="auto" w:fill="auto"/>
            <w:noWrap/>
            <w:hideMark/>
          </w:tcPr>
          <w:p w14:paraId="764D2471"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087C02CF" w14:textId="77777777" w:rsidR="00746C94" w:rsidRPr="00591BFC" w:rsidRDefault="00746C94" w:rsidP="00E86771">
            <w:pPr>
              <w:spacing w:line="360" w:lineRule="auto"/>
            </w:pPr>
            <w:r w:rsidRPr="00591BFC">
              <w:t>0.583</w:t>
            </w:r>
          </w:p>
        </w:tc>
        <w:tc>
          <w:tcPr>
            <w:tcW w:w="1320" w:type="dxa"/>
            <w:shd w:val="clear" w:color="auto" w:fill="auto"/>
            <w:noWrap/>
            <w:hideMark/>
          </w:tcPr>
          <w:p w14:paraId="18846724" w14:textId="77777777" w:rsidR="00746C94" w:rsidRPr="00591BFC" w:rsidRDefault="00746C94" w:rsidP="00E86771">
            <w:pPr>
              <w:spacing w:line="360" w:lineRule="auto"/>
            </w:pPr>
            <w:r w:rsidRPr="00591BFC">
              <w:t>-2.46</w:t>
            </w:r>
          </w:p>
        </w:tc>
        <w:tc>
          <w:tcPr>
            <w:tcW w:w="1320" w:type="dxa"/>
            <w:shd w:val="clear" w:color="auto" w:fill="auto"/>
            <w:noWrap/>
            <w:hideMark/>
          </w:tcPr>
          <w:p w14:paraId="2A757C70" w14:textId="77777777" w:rsidR="00746C94" w:rsidRPr="00591BFC" w:rsidRDefault="00746C94" w:rsidP="00E86771">
            <w:pPr>
              <w:spacing w:line="360" w:lineRule="auto"/>
            </w:pPr>
            <w:r w:rsidRPr="00591BFC">
              <w:t>3.62</w:t>
            </w:r>
          </w:p>
        </w:tc>
        <w:tc>
          <w:tcPr>
            <w:tcW w:w="1320" w:type="dxa"/>
            <w:shd w:val="clear" w:color="auto" w:fill="auto"/>
            <w:noWrap/>
            <w:hideMark/>
          </w:tcPr>
          <w:p w14:paraId="78339C8A" w14:textId="77777777" w:rsidR="00746C94" w:rsidRPr="00591BFC" w:rsidRDefault="00746C94" w:rsidP="00E86771">
            <w:pPr>
              <w:spacing w:line="360" w:lineRule="auto"/>
            </w:pPr>
            <w:r w:rsidRPr="00591BFC">
              <w:t>0.69</w:t>
            </w:r>
          </w:p>
        </w:tc>
      </w:tr>
      <w:tr w:rsidR="00746C94" w:rsidRPr="00591BFC" w14:paraId="444746FD" w14:textId="77777777" w:rsidTr="00FE3F68">
        <w:trPr>
          <w:trHeight w:val="300"/>
        </w:trPr>
        <w:tc>
          <w:tcPr>
            <w:tcW w:w="3908" w:type="dxa"/>
            <w:shd w:val="clear" w:color="auto" w:fill="auto"/>
            <w:noWrap/>
            <w:hideMark/>
          </w:tcPr>
          <w:p w14:paraId="55F7FA42"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2548AB64" w14:textId="77777777" w:rsidR="00746C94" w:rsidRPr="00591BFC" w:rsidRDefault="00746C94" w:rsidP="00E86771">
            <w:pPr>
              <w:spacing w:line="360" w:lineRule="auto"/>
            </w:pPr>
            <w:r w:rsidRPr="00591BFC">
              <w:t>0.25</w:t>
            </w:r>
          </w:p>
        </w:tc>
        <w:tc>
          <w:tcPr>
            <w:tcW w:w="1320" w:type="dxa"/>
            <w:shd w:val="clear" w:color="auto" w:fill="auto"/>
            <w:noWrap/>
            <w:hideMark/>
          </w:tcPr>
          <w:p w14:paraId="6FE3E701" w14:textId="77777777" w:rsidR="00746C94" w:rsidRPr="00591BFC" w:rsidRDefault="00746C94" w:rsidP="00E86771">
            <w:pPr>
              <w:spacing w:line="360" w:lineRule="auto"/>
            </w:pPr>
            <w:r w:rsidRPr="00591BFC">
              <w:t>-1.46</w:t>
            </w:r>
          </w:p>
        </w:tc>
        <w:tc>
          <w:tcPr>
            <w:tcW w:w="1320" w:type="dxa"/>
            <w:shd w:val="clear" w:color="auto" w:fill="auto"/>
            <w:noWrap/>
            <w:hideMark/>
          </w:tcPr>
          <w:p w14:paraId="1521FCBD" w14:textId="77777777" w:rsidR="00746C94" w:rsidRPr="00591BFC" w:rsidRDefault="00746C94" w:rsidP="00E86771">
            <w:pPr>
              <w:spacing w:line="360" w:lineRule="auto"/>
            </w:pPr>
            <w:r w:rsidRPr="00591BFC">
              <w:t>1.95</w:t>
            </w:r>
          </w:p>
        </w:tc>
        <w:tc>
          <w:tcPr>
            <w:tcW w:w="1320" w:type="dxa"/>
            <w:shd w:val="clear" w:color="auto" w:fill="auto"/>
            <w:noWrap/>
            <w:hideMark/>
          </w:tcPr>
          <w:p w14:paraId="53E99D60" w14:textId="77777777" w:rsidR="00746C94" w:rsidRPr="00591BFC" w:rsidRDefault="00746C94" w:rsidP="00E86771">
            <w:pPr>
              <w:spacing w:line="360" w:lineRule="auto"/>
            </w:pPr>
            <w:r w:rsidRPr="00591BFC">
              <w:t>0.76</w:t>
            </w:r>
          </w:p>
        </w:tc>
      </w:tr>
      <w:tr w:rsidR="00746C94" w:rsidRPr="00591BFC" w14:paraId="79786CB2" w14:textId="77777777" w:rsidTr="00FE3F68">
        <w:trPr>
          <w:trHeight w:val="315"/>
        </w:trPr>
        <w:tc>
          <w:tcPr>
            <w:tcW w:w="9188" w:type="dxa"/>
            <w:gridSpan w:val="5"/>
            <w:shd w:val="clear" w:color="auto" w:fill="auto"/>
            <w:hideMark/>
          </w:tcPr>
          <w:p w14:paraId="7D7B2CF3" w14:textId="77777777" w:rsidR="00746C94" w:rsidRPr="00591BFC" w:rsidRDefault="00746C94" w:rsidP="00E86771">
            <w:pPr>
              <w:spacing w:line="360" w:lineRule="auto"/>
              <w:rPr>
                <w:u w:val="single"/>
              </w:rPr>
            </w:pPr>
            <w:r w:rsidRPr="00591BFC">
              <w:rPr>
                <w:u w:val="single"/>
              </w:rPr>
              <w:t>major non-hip fracture (2 years)</w:t>
            </w:r>
          </w:p>
        </w:tc>
      </w:tr>
      <w:tr w:rsidR="00746C94" w:rsidRPr="00591BFC" w14:paraId="1CEA8435" w14:textId="77777777" w:rsidTr="00FE3F68">
        <w:trPr>
          <w:trHeight w:val="330"/>
        </w:trPr>
        <w:tc>
          <w:tcPr>
            <w:tcW w:w="3908" w:type="dxa"/>
            <w:shd w:val="clear" w:color="auto" w:fill="auto"/>
            <w:noWrap/>
            <w:hideMark/>
          </w:tcPr>
          <w:p w14:paraId="1BEEE3C6"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36A4E731" w14:textId="77777777" w:rsidR="00746C94" w:rsidRPr="00591BFC" w:rsidRDefault="00746C94" w:rsidP="00E86771">
            <w:pPr>
              <w:spacing w:line="360" w:lineRule="auto"/>
            </w:pPr>
            <w:r w:rsidRPr="00591BFC">
              <w:t>2.09</w:t>
            </w:r>
          </w:p>
        </w:tc>
        <w:tc>
          <w:tcPr>
            <w:tcW w:w="1320" w:type="dxa"/>
            <w:shd w:val="clear" w:color="auto" w:fill="auto"/>
            <w:noWrap/>
            <w:hideMark/>
          </w:tcPr>
          <w:p w14:paraId="6F46087B" w14:textId="77777777" w:rsidR="00746C94" w:rsidRPr="00591BFC" w:rsidRDefault="00746C94" w:rsidP="00E86771">
            <w:pPr>
              <w:spacing w:line="360" w:lineRule="auto"/>
            </w:pPr>
            <w:r w:rsidRPr="00591BFC">
              <w:t>1.41</w:t>
            </w:r>
          </w:p>
        </w:tc>
        <w:tc>
          <w:tcPr>
            <w:tcW w:w="1320" w:type="dxa"/>
            <w:shd w:val="clear" w:color="auto" w:fill="auto"/>
            <w:noWrap/>
            <w:hideMark/>
          </w:tcPr>
          <w:p w14:paraId="6CC05409" w14:textId="77777777" w:rsidR="00746C94" w:rsidRPr="00591BFC" w:rsidRDefault="00746C94" w:rsidP="00E86771">
            <w:pPr>
              <w:spacing w:line="360" w:lineRule="auto"/>
            </w:pPr>
            <w:r w:rsidRPr="00591BFC">
              <w:t>2.77</w:t>
            </w:r>
          </w:p>
        </w:tc>
        <w:tc>
          <w:tcPr>
            <w:tcW w:w="1320" w:type="dxa"/>
            <w:shd w:val="clear" w:color="auto" w:fill="auto"/>
            <w:noWrap/>
            <w:hideMark/>
          </w:tcPr>
          <w:p w14:paraId="2964D921" w14:textId="77777777" w:rsidR="00746C94" w:rsidRPr="00591BFC" w:rsidRDefault="00746C94" w:rsidP="00E86771">
            <w:pPr>
              <w:spacing w:line="360" w:lineRule="auto"/>
            </w:pPr>
            <w:r w:rsidRPr="00591BFC">
              <w:t>&lt;0.001</w:t>
            </w:r>
          </w:p>
        </w:tc>
      </w:tr>
      <w:tr w:rsidR="00746C94" w:rsidRPr="00591BFC" w14:paraId="79E29225" w14:textId="77777777" w:rsidTr="00FE3F68">
        <w:trPr>
          <w:trHeight w:val="330"/>
        </w:trPr>
        <w:tc>
          <w:tcPr>
            <w:tcW w:w="3908" w:type="dxa"/>
            <w:shd w:val="clear" w:color="auto" w:fill="auto"/>
            <w:noWrap/>
            <w:hideMark/>
          </w:tcPr>
          <w:p w14:paraId="6BDEA816"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57E35518" w14:textId="77777777" w:rsidR="00746C94" w:rsidRPr="00591BFC" w:rsidRDefault="00746C94" w:rsidP="00E86771">
            <w:pPr>
              <w:spacing w:line="360" w:lineRule="auto"/>
            </w:pPr>
            <w:r w:rsidRPr="00591BFC">
              <w:t>0.02</w:t>
            </w:r>
          </w:p>
        </w:tc>
        <w:tc>
          <w:tcPr>
            <w:tcW w:w="1320" w:type="dxa"/>
            <w:shd w:val="clear" w:color="auto" w:fill="auto"/>
            <w:noWrap/>
            <w:hideMark/>
          </w:tcPr>
          <w:p w14:paraId="4744525C" w14:textId="77777777" w:rsidR="00746C94" w:rsidRPr="00591BFC" w:rsidRDefault="00746C94" w:rsidP="00E86771">
            <w:pPr>
              <w:spacing w:line="360" w:lineRule="auto"/>
            </w:pPr>
            <w:r w:rsidRPr="00591BFC">
              <w:t>-0.08</w:t>
            </w:r>
          </w:p>
        </w:tc>
        <w:tc>
          <w:tcPr>
            <w:tcW w:w="1320" w:type="dxa"/>
            <w:shd w:val="clear" w:color="auto" w:fill="auto"/>
            <w:noWrap/>
            <w:hideMark/>
          </w:tcPr>
          <w:p w14:paraId="231868B1" w14:textId="77777777" w:rsidR="00746C94" w:rsidRPr="00591BFC" w:rsidRDefault="00746C94" w:rsidP="00E86771">
            <w:pPr>
              <w:spacing w:line="360" w:lineRule="auto"/>
            </w:pPr>
            <w:r w:rsidRPr="00591BFC">
              <w:t>0.12</w:t>
            </w:r>
          </w:p>
        </w:tc>
        <w:tc>
          <w:tcPr>
            <w:tcW w:w="1320" w:type="dxa"/>
            <w:shd w:val="clear" w:color="auto" w:fill="auto"/>
            <w:noWrap/>
            <w:hideMark/>
          </w:tcPr>
          <w:p w14:paraId="7A751CE6" w14:textId="77777777" w:rsidR="00746C94" w:rsidRPr="00591BFC" w:rsidRDefault="00746C94" w:rsidP="00E86771">
            <w:pPr>
              <w:spacing w:line="360" w:lineRule="auto"/>
            </w:pPr>
            <w:r w:rsidRPr="00591BFC">
              <w:t>0.72</w:t>
            </w:r>
          </w:p>
        </w:tc>
      </w:tr>
      <w:tr w:rsidR="00746C94" w:rsidRPr="00591BFC" w14:paraId="6E611943" w14:textId="77777777" w:rsidTr="00FE3F68">
        <w:trPr>
          <w:trHeight w:val="330"/>
        </w:trPr>
        <w:tc>
          <w:tcPr>
            <w:tcW w:w="3908" w:type="dxa"/>
            <w:shd w:val="clear" w:color="auto" w:fill="auto"/>
            <w:noWrap/>
            <w:hideMark/>
          </w:tcPr>
          <w:p w14:paraId="040D998B"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18C825F7" w14:textId="77777777" w:rsidR="00746C94" w:rsidRPr="00591BFC" w:rsidRDefault="00746C94" w:rsidP="00E86771">
            <w:pPr>
              <w:spacing w:line="360" w:lineRule="auto"/>
            </w:pPr>
            <w:r w:rsidRPr="00591BFC">
              <w:t>0.28</w:t>
            </w:r>
          </w:p>
        </w:tc>
        <w:tc>
          <w:tcPr>
            <w:tcW w:w="1320" w:type="dxa"/>
            <w:shd w:val="clear" w:color="auto" w:fill="auto"/>
            <w:noWrap/>
            <w:hideMark/>
          </w:tcPr>
          <w:p w14:paraId="51653E9C" w14:textId="77777777" w:rsidR="00746C94" w:rsidRPr="00591BFC" w:rsidRDefault="00746C94" w:rsidP="00E86771">
            <w:pPr>
              <w:spacing w:line="360" w:lineRule="auto"/>
            </w:pPr>
            <w:r w:rsidRPr="00591BFC">
              <w:t>-1.01</w:t>
            </w:r>
          </w:p>
        </w:tc>
        <w:tc>
          <w:tcPr>
            <w:tcW w:w="1320" w:type="dxa"/>
            <w:shd w:val="clear" w:color="auto" w:fill="auto"/>
            <w:noWrap/>
            <w:hideMark/>
          </w:tcPr>
          <w:p w14:paraId="341FC442" w14:textId="77777777" w:rsidR="00746C94" w:rsidRPr="00591BFC" w:rsidRDefault="00746C94" w:rsidP="00E86771">
            <w:pPr>
              <w:spacing w:line="360" w:lineRule="auto"/>
            </w:pPr>
            <w:r w:rsidRPr="00591BFC">
              <w:t>1.57</w:t>
            </w:r>
          </w:p>
        </w:tc>
        <w:tc>
          <w:tcPr>
            <w:tcW w:w="1320" w:type="dxa"/>
            <w:shd w:val="clear" w:color="auto" w:fill="auto"/>
            <w:noWrap/>
            <w:hideMark/>
          </w:tcPr>
          <w:p w14:paraId="41B8ECCC" w14:textId="77777777" w:rsidR="00746C94" w:rsidRPr="00591BFC" w:rsidRDefault="00746C94" w:rsidP="00E86771">
            <w:pPr>
              <w:spacing w:line="360" w:lineRule="auto"/>
            </w:pPr>
            <w:r w:rsidRPr="00591BFC">
              <w:t>0.65</w:t>
            </w:r>
          </w:p>
        </w:tc>
      </w:tr>
      <w:tr w:rsidR="00746C94" w:rsidRPr="00591BFC" w14:paraId="1A62EF71" w14:textId="77777777" w:rsidTr="00FE3F68">
        <w:trPr>
          <w:trHeight w:val="330"/>
        </w:trPr>
        <w:tc>
          <w:tcPr>
            <w:tcW w:w="3908" w:type="dxa"/>
            <w:shd w:val="clear" w:color="auto" w:fill="auto"/>
            <w:noWrap/>
            <w:hideMark/>
          </w:tcPr>
          <w:p w14:paraId="1E13004D"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59FF3F3F" w14:textId="77777777" w:rsidR="00746C94" w:rsidRPr="00591BFC" w:rsidRDefault="00746C94" w:rsidP="00E86771">
            <w:pPr>
              <w:spacing w:line="360" w:lineRule="auto"/>
            </w:pPr>
            <w:r w:rsidRPr="00591BFC">
              <w:t>-0.23</w:t>
            </w:r>
          </w:p>
        </w:tc>
        <w:tc>
          <w:tcPr>
            <w:tcW w:w="1320" w:type="dxa"/>
            <w:shd w:val="clear" w:color="auto" w:fill="auto"/>
            <w:noWrap/>
            <w:hideMark/>
          </w:tcPr>
          <w:p w14:paraId="302A3359" w14:textId="77777777" w:rsidR="00746C94" w:rsidRPr="00591BFC" w:rsidRDefault="00746C94" w:rsidP="00E86771">
            <w:pPr>
              <w:spacing w:line="360" w:lineRule="auto"/>
            </w:pPr>
            <w:r w:rsidRPr="00591BFC">
              <w:t>-0.58</w:t>
            </w:r>
          </w:p>
        </w:tc>
        <w:tc>
          <w:tcPr>
            <w:tcW w:w="1320" w:type="dxa"/>
            <w:shd w:val="clear" w:color="auto" w:fill="auto"/>
            <w:noWrap/>
            <w:hideMark/>
          </w:tcPr>
          <w:p w14:paraId="5E00A08B" w14:textId="77777777" w:rsidR="00746C94" w:rsidRPr="00591BFC" w:rsidRDefault="00746C94" w:rsidP="00E86771">
            <w:pPr>
              <w:spacing w:line="360" w:lineRule="auto"/>
            </w:pPr>
            <w:r w:rsidRPr="00591BFC">
              <w:t>0.11</w:t>
            </w:r>
          </w:p>
        </w:tc>
        <w:tc>
          <w:tcPr>
            <w:tcW w:w="1320" w:type="dxa"/>
            <w:shd w:val="clear" w:color="auto" w:fill="auto"/>
            <w:noWrap/>
            <w:hideMark/>
          </w:tcPr>
          <w:p w14:paraId="591BCBB6" w14:textId="77777777" w:rsidR="00746C94" w:rsidRPr="00591BFC" w:rsidRDefault="00746C94" w:rsidP="00E86771">
            <w:pPr>
              <w:spacing w:line="360" w:lineRule="auto"/>
            </w:pPr>
            <w:r w:rsidRPr="00591BFC">
              <w:t>0.17</w:t>
            </w:r>
          </w:p>
        </w:tc>
      </w:tr>
      <w:tr w:rsidR="00746C94" w:rsidRPr="00591BFC" w14:paraId="6BC0004D" w14:textId="77777777" w:rsidTr="00FE3F68">
        <w:trPr>
          <w:trHeight w:val="330"/>
        </w:trPr>
        <w:tc>
          <w:tcPr>
            <w:tcW w:w="3908" w:type="dxa"/>
            <w:shd w:val="clear" w:color="auto" w:fill="auto"/>
            <w:noWrap/>
            <w:hideMark/>
          </w:tcPr>
          <w:p w14:paraId="60889239"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725E7C2E" w14:textId="77777777" w:rsidR="00746C94" w:rsidRPr="00591BFC" w:rsidRDefault="00746C94" w:rsidP="00E86771">
            <w:pPr>
              <w:spacing w:line="360" w:lineRule="auto"/>
            </w:pPr>
            <w:r w:rsidRPr="00591BFC">
              <w:t>0.78</w:t>
            </w:r>
          </w:p>
        </w:tc>
        <w:tc>
          <w:tcPr>
            <w:tcW w:w="1320" w:type="dxa"/>
            <w:shd w:val="clear" w:color="auto" w:fill="auto"/>
            <w:noWrap/>
            <w:hideMark/>
          </w:tcPr>
          <w:p w14:paraId="2DCEEAFF" w14:textId="77777777" w:rsidR="00746C94" w:rsidRPr="00591BFC" w:rsidRDefault="00746C94" w:rsidP="00E86771">
            <w:pPr>
              <w:spacing w:line="360" w:lineRule="auto"/>
            </w:pPr>
            <w:r w:rsidRPr="00591BFC">
              <w:t>-1.03</w:t>
            </w:r>
          </w:p>
        </w:tc>
        <w:tc>
          <w:tcPr>
            <w:tcW w:w="1320" w:type="dxa"/>
            <w:shd w:val="clear" w:color="auto" w:fill="auto"/>
            <w:noWrap/>
            <w:hideMark/>
          </w:tcPr>
          <w:p w14:paraId="7619FCE5" w14:textId="77777777" w:rsidR="00746C94" w:rsidRPr="00591BFC" w:rsidRDefault="00746C94" w:rsidP="00E86771">
            <w:pPr>
              <w:spacing w:line="360" w:lineRule="auto"/>
            </w:pPr>
            <w:r w:rsidRPr="00591BFC">
              <w:t>2.59</w:t>
            </w:r>
          </w:p>
        </w:tc>
        <w:tc>
          <w:tcPr>
            <w:tcW w:w="1320" w:type="dxa"/>
            <w:shd w:val="clear" w:color="auto" w:fill="auto"/>
            <w:noWrap/>
            <w:hideMark/>
          </w:tcPr>
          <w:p w14:paraId="5E07C93D" w14:textId="77777777" w:rsidR="00746C94" w:rsidRPr="00591BFC" w:rsidRDefault="00746C94" w:rsidP="00E86771">
            <w:pPr>
              <w:spacing w:line="360" w:lineRule="auto"/>
            </w:pPr>
            <w:r w:rsidRPr="00591BFC">
              <w:t>0.37</w:t>
            </w:r>
          </w:p>
        </w:tc>
      </w:tr>
      <w:tr w:rsidR="00746C94" w:rsidRPr="00591BFC" w14:paraId="5DE9B013" w14:textId="77777777" w:rsidTr="00FE3F68">
        <w:trPr>
          <w:trHeight w:val="330"/>
        </w:trPr>
        <w:tc>
          <w:tcPr>
            <w:tcW w:w="3908" w:type="dxa"/>
            <w:shd w:val="clear" w:color="auto" w:fill="auto"/>
            <w:noWrap/>
            <w:hideMark/>
          </w:tcPr>
          <w:p w14:paraId="3FD86D54"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6CE703F5" w14:textId="77777777" w:rsidR="00746C94" w:rsidRPr="00591BFC" w:rsidRDefault="00746C94" w:rsidP="00E86771">
            <w:pPr>
              <w:spacing w:line="360" w:lineRule="auto"/>
            </w:pPr>
            <w:r w:rsidRPr="00591BFC">
              <w:t>0.08</w:t>
            </w:r>
          </w:p>
        </w:tc>
        <w:tc>
          <w:tcPr>
            <w:tcW w:w="1320" w:type="dxa"/>
            <w:shd w:val="clear" w:color="auto" w:fill="auto"/>
            <w:noWrap/>
            <w:hideMark/>
          </w:tcPr>
          <w:p w14:paraId="758FC30A" w14:textId="77777777" w:rsidR="00746C94" w:rsidRPr="00591BFC" w:rsidRDefault="00746C94" w:rsidP="00E86771">
            <w:pPr>
              <w:spacing w:line="360" w:lineRule="auto"/>
            </w:pPr>
            <w:r w:rsidRPr="00591BFC">
              <w:t>-0.74</w:t>
            </w:r>
          </w:p>
        </w:tc>
        <w:tc>
          <w:tcPr>
            <w:tcW w:w="1320" w:type="dxa"/>
            <w:shd w:val="clear" w:color="auto" w:fill="auto"/>
            <w:noWrap/>
            <w:hideMark/>
          </w:tcPr>
          <w:p w14:paraId="273A4C59" w14:textId="77777777" w:rsidR="00746C94" w:rsidRPr="00591BFC" w:rsidRDefault="00746C94" w:rsidP="00E86771">
            <w:pPr>
              <w:spacing w:line="360" w:lineRule="auto"/>
            </w:pPr>
            <w:r w:rsidRPr="00591BFC">
              <w:t>0.89</w:t>
            </w:r>
          </w:p>
        </w:tc>
        <w:tc>
          <w:tcPr>
            <w:tcW w:w="1320" w:type="dxa"/>
            <w:shd w:val="clear" w:color="auto" w:fill="auto"/>
            <w:noWrap/>
            <w:hideMark/>
          </w:tcPr>
          <w:p w14:paraId="028FB399" w14:textId="77777777" w:rsidR="00746C94" w:rsidRPr="00591BFC" w:rsidRDefault="00746C94" w:rsidP="00E86771">
            <w:pPr>
              <w:spacing w:line="360" w:lineRule="auto"/>
            </w:pPr>
            <w:r w:rsidRPr="00591BFC">
              <w:t>0.85</w:t>
            </w:r>
          </w:p>
        </w:tc>
      </w:tr>
      <w:tr w:rsidR="00746C94" w:rsidRPr="00591BFC" w14:paraId="588A3885" w14:textId="77777777" w:rsidTr="00FE3F68">
        <w:trPr>
          <w:trHeight w:val="330"/>
        </w:trPr>
        <w:tc>
          <w:tcPr>
            <w:tcW w:w="3908" w:type="dxa"/>
            <w:shd w:val="clear" w:color="auto" w:fill="auto"/>
            <w:noWrap/>
            <w:hideMark/>
          </w:tcPr>
          <w:p w14:paraId="6914AB49"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58FBECF4" w14:textId="77777777" w:rsidR="00746C94" w:rsidRPr="00591BFC" w:rsidRDefault="00746C94" w:rsidP="00E86771">
            <w:pPr>
              <w:spacing w:line="360" w:lineRule="auto"/>
            </w:pPr>
            <w:r w:rsidRPr="00591BFC">
              <w:t>0.59</w:t>
            </w:r>
          </w:p>
        </w:tc>
        <w:tc>
          <w:tcPr>
            <w:tcW w:w="1320" w:type="dxa"/>
            <w:shd w:val="clear" w:color="auto" w:fill="auto"/>
            <w:noWrap/>
            <w:hideMark/>
          </w:tcPr>
          <w:p w14:paraId="53BE39E3" w14:textId="77777777" w:rsidR="00746C94" w:rsidRPr="00591BFC" w:rsidRDefault="00746C94" w:rsidP="00E86771">
            <w:pPr>
              <w:spacing w:line="360" w:lineRule="auto"/>
            </w:pPr>
            <w:r w:rsidRPr="00591BFC">
              <w:t>-1.28</w:t>
            </w:r>
          </w:p>
        </w:tc>
        <w:tc>
          <w:tcPr>
            <w:tcW w:w="1320" w:type="dxa"/>
            <w:shd w:val="clear" w:color="auto" w:fill="auto"/>
            <w:noWrap/>
            <w:hideMark/>
          </w:tcPr>
          <w:p w14:paraId="43BF8CDC" w14:textId="77777777" w:rsidR="00746C94" w:rsidRPr="00591BFC" w:rsidRDefault="00746C94" w:rsidP="00E86771">
            <w:pPr>
              <w:spacing w:line="360" w:lineRule="auto"/>
            </w:pPr>
            <w:r w:rsidRPr="00591BFC">
              <w:t>2.46</w:t>
            </w:r>
          </w:p>
        </w:tc>
        <w:tc>
          <w:tcPr>
            <w:tcW w:w="1320" w:type="dxa"/>
            <w:shd w:val="clear" w:color="auto" w:fill="auto"/>
            <w:noWrap/>
            <w:hideMark/>
          </w:tcPr>
          <w:p w14:paraId="268BB422" w14:textId="77777777" w:rsidR="00746C94" w:rsidRPr="00591BFC" w:rsidRDefault="00746C94" w:rsidP="00E86771">
            <w:pPr>
              <w:spacing w:line="360" w:lineRule="auto"/>
            </w:pPr>
            <w:r w:rsidRPr="00591BFC">
              <w:t>0.51</w:t>
            </w:r>
          </w:p>
        </w:tc>
      </w:tr>
      <w:tr w:rsidR="00746C94" w:rsidRPr="00591BFC" w14:paraId="26B905DE" w14:textId="77777777" w:rsidTr="00FE3F68">
        <w:trPr>
          <w:trHeight w:val="300"/>
        </w:trPr>
        <w:tc>
          <w:tcPr>
            <w:tcW w:w="3908" w:type="dxa"/>
            <w:shd w:val="clear" w:color="auto" w:fill="auto"/>
            <w:noWrap/>
            <w:hideMark/>
          </w:tcPr>
          <w:p w14:paraId="49A71AAF"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2AB799A5" w14:textId="77777777" w:rsidR="00746C94" w:rsidRPr="00591BFC" w:rsidRDefault="00746C94" w:rsidP="00E86771">
            <w:pPr>
              <w:spacing w:line="360" w:lineRule="auto"/>
            </w:pPr>
            <w:r w:rsidRPr="00591BFC">
              <w:t>0.055</w:t>
            </w:r>
          </w:p>
        </w:tc>
        <w:tc>
          <w:tcPr>
            <w:tcW w:w="1320" w:type="dxa"/>
            <w:shd w:val="clear" w:color="auto" w:fill="auto"/>
            <w:noWrap/>
            <w:hideMark/>
          </w:tcPr>
          <w:p w14:paraId="608E2243" w14:textId="77777777" w:rsidR="00746C94" w:rsidRPr="00591BFC" w:rsidRDefault="00746C94" w:rsidP="00E86771">
            <w:pPr>
              <w:spacing w:line="360" w:lineRule="auto"/>
            </w:pPr>
            <w:r w:rsidRPr="00591BFC">
              <w:t>-0.99</w:t>
            </w:r>
          </w:p>
        </w:tc>
        <w:tc>
          <w:tcPr>
            <w:tcW w:w="1320" w:type="dxa"/>
            <w:shd w:val="clear" w:color="auto" w:fill="auto"/>
            <w:noWrap/>
            <w:hideMark/>
          </w:tcPr>
          <w:p w14:paraId="47C53D94" w14:textId="77777777" w:rsidR="00746C94" w:rsidRPr="00591BFC" w:rsidRDefault="00746C94" w:rsidP="00E86771">
            <w:pPr>
              <w:spacing w:line="360" w:lineRule="auto"/>
            </w:pPr>
            <w:r w:rsidRPr="00591BFC">
              <w:t>1.11</w:t>
            </w:r>
          </w:p>
        </w:tc>
        <w:tc>
          <w:tcPr>
            <w:tcW w:w="1320" w:type="dxa"/>
            <w:shd w:val="clear" w:color="auto" w:fill="auto"/>
            <w:noWrap/>
            <w:hideMark/>
          </w:tcPr>
          <w:p w14:paraId="74D83D6A" w14:textId="77777777" w:rsidR="00746C94" w:rsidRPr="00591BFC" w:rsidRDefault="00746C94" w:rsidP="00E86771">
            <w:pPr>
              <w:spacing w:line="360" w:lineRule="auto"/>
            </w:pPr>
            <w:r w:rsidRPr="00591BFC">
              <w:t>0.91</w:t>
            </w:r>
          </w:p>
        </w:tc>
      </w:tr>
      <w:tr w:rsidR="00746C94" w:rsidRPr="00591BFC" w14:paraId="0C1CB92D" w14:textId="77777777" w:rsidTr="00FE3F68">
        <w:trPr>
          <w:trHeight w:val="315"/>
        </w:trPr>
        <w:tc>
          <w:tcPr>
            <w:tcW w:w="9188" w:type="dxa"/>
            <w:gridSpan w:val="5"/>
            <w:shd w:val="clear" w:color="auto" w:fill="auto"/>
            <w:hideMark/>
          </w:tcPr>
          <w:p w14:paraId="2322E0F4" w14:textId="77777777" w:rsidR="00746C94" w:rsidRPr="00591BFC" w:rsidRDefault="00746C94" w:rsidP="00E86771">
            <w:pPr>
              <w:spacing w:line="360" w:lineRule="auto"/>
              <w:rPr>
                <w:u w:val="single"/>
              </w:rPr>
            </w:pPr>
            <w:r w:rsidRPr="00591BFC">
              <w:rPr>
                <w:u w:val="single"/>
              </w:rPr>
              <w:t>mortality (30 days)</w:t>
            </w:r>
          </w:p>
        </w:tc>
      </w:tr>
      <w:tr w:rsidR="00746C94" w:rsidRPr="00591BFC" w14:paraId="65545A93" w14:textId="77777777" w:rsidTr="00FE3F68">
        <w:trPr>
          <w:trHeight w:val="330"/>
        </w:trPr>
        <w:tc>
          <w:tcPr>
            <w:tcW w:w="3908" w:type="dxa"/>
            <w:shd w:val="clear" w:color="auto" w:fill="auto"/>
            <w:noWrap/>
            <w:hideMark/>
          </w:tcPr>
          <w:p w14:paraId="44F8A03B"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1127C9B5" w14:textId="77777777" w:rsidR="00746C94" w:rsidRPr="00591BFC" w:rsidRDefault="00746C94" w:rsidP="00E86771">
            <w:pPr>
              <w:spacing w:line="360" w:lineRule="auto"/>
            </w:pPr>
            <w:r w:rsidRPr="00591BFC">
              <w:t>7.26</w:t>
            </w:r>
          </w:p>
        </w:tc>
        <w:tc>
          <w:tcPr>
            <w:tcW w:w="1320" w:type="dxa"/>
            <w:shd w:val="clear" w:color="auto" w:fill="auto"/>
            <w:noWrap/>
            <w:hideMark/>
          </w:tcPr>
          <w:p w14:paraId="3E71E92A" w14:textId="77777777" w:rsidR="00746C94" w:rsidRPr="00591BFC" w:rsidRDefault="00746C94" w:rsidP="00E86771">
            <w:pPr>
              <w:spacing w:line="360" w:lineRule="auto"/>
            </w:pPr>
            <w:r w:rsidRPr="00591BFC">
              <w:t>5.78</w:t>
            </w:r>
          </w:p>
        </w:tc>
        <w:tc>
          <w:tcPr>
            <w:tcW w:w="1320" w:type="dxa"/>
            <w:shd w:val="clear" w:color="auto" w:fill="auto"/>
            <w:noWrap/>
            <w:hideMark/>
          </w:tcPr>
          <w:p w14:paraId="330AC3E1" w14:textId="77777777" w:rsidR="00746C94" w:rsidRPr="00591BFC" w:rsidRDefault="00746C94" w:rsidP="00E86771">
            <w:pPr>
              <w:spacing w:line="360" w:lineRule="auto"/>
            </w:pPr>
            <w:r w:rsidRPr="00591BFC">
              <w:t>8.74</w:t>
            </w:r>
          </w:p>
        </w:tc>
        <w:tc>
          <w:tcPr>
            <w:tcW w:w="1320" w:type="dxa"/>
            <w:shd w:val="clear" w:color="auto" w:fill="auto"/>
            <w:noWrap/>
            <w:hideMark/>
          </w:tcPr>
          <w:p w14:paraId="3F095D7D" w14:textId="77777777" w:rsidR="00746C94" w:rsidRPr="00591BFC" w:rsidRDefault="00746C94" w:rsidP="00E86771">
            <w:pPr>
              <w:spacing w:line="360" w:lineRule="auto"/>
            </w:pPr>
            <w:r w:rsidRPr="00591BFC">
              <w:t>&lt;0.001</w:t>
            </w:r>
          </w:p>
        </w:tc>
      </w:tr>
      <w:tr w:rsidR="00746C94" w:rsidRPr="00591BFC" w14:paraId="05EB7502" w14:textId="77777777" w:rsidTr="00FE3F68">
        <w:trPr>
          <w:trHeight w:val="330"/>
        </w:trPr>
        <w:tc>
          <w:tcPr>
            <w:tcW w:w="3908" w:type="dxa"/>
            <w:shd w:val="clear" w:color="auto" w:fill="auto"/>
            <w:noWrap/>
            <w:hideMark/>
          </w:tcPr>
          <w:p w14:paraId="7023B542"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24ED887C" w14:textId="77777777" w:rsidR="00746C94" w:rsidRPr="00591BFC" w:rsidRDefault="00746C94" w:rsidP="00E86771">
            <w:pPr>
              <w:spacing w:line="360" w:lineRule="auto"/>
            </w:pPr>
            <w:r w:rsidRPr="00591BFC">
              <w:t>0.03</w:t>
            </w:r>
          </w:p>
        </w:tc>
        <w:tc>
          <w:tcPr>
            <w:tcW w:w="1320" w:type="dxa"/>
            <w:shd w:val="clear" w:color="auto" w:fill="auto"/>
            <w:noWrap/>
            <w:hideMark/>
          </w:tcPr>
          <w:p w14:paraId="4799B8EA" w14:textId="77777777" w:rsidR="00746C94" w:rsidRPr="00591BFC" w:rsidRDefault="00746C94" w:rsidP="00E86771">
            <w:pPr>
              <w:spacing w:line="360" w:lineRule="auto"/>
            </w:pPr>
            <w:r w:rsidRPr="00591BFC">
              <w:t>-0.19</w:t>
            </w:r>
          </w:p>
        </w:tc>
        <w:tc>
          <w:tcPr>
            <w:tcW w:w="1320" w:type="dxa"/>
            <w:shd w:val="clear" w:color="auto" w:fill="auto"/>
            <w:noWrap/>
            <w:hideMark/>
          </w:tcPr>
          <w:p w14:paraId="6F57C7DD" w14:textId="77777777" w:rsidR="00746C94" w:rsidRPr="00591BFC" w:rsidRDefault="00746C94" w:rsidP="00E86771">
            <w:pPr>
              <w:spacing w:line="360" w:lineRule="auto"/>
            </w:pPr>
            <w:r w:rsidRPr="00591BFC">
              <w:t>0.25</w:t>
            </w:r>
          </w:p>
        </w:tc>
        <w:tc>
          <w:tcPr>
            <w:tcW w:w="1320" w:type="dxa"/>
            <w:shd w:val="clear" w:color="auto" w:fill="auto"/>
            <w:noWrap/>
            <w:hideMark/>
          </w:tcPr>
          <w:p w14:paraId="159B67D8" w14:textId="77777777" w:rsidR="00746C94" w:rsidRPr="00591BFC" w:rsidRDefault="00746C94" w:rsidP="00E86771">
            <w:pPr>
              <w:spacing w:line="360" w:lineRule="auto"/>
            </w:pPr>
            <w:r w:rsidRPr="00591BFC">
              <w:t>0.8</w:t>
            </w:r>
          </w:p>
        </w:tc>
      </w:tr>
      <w:tr w:rsidR="00746C94" w:rsidRPr="00591BFC" w14:paraId="60794B81" w14:textId="77777777" w:rsidTr="00FE3F68">
        <w:trPr>
          <w:trHeight w:val="330"/>
        </w:trPr>
        <w:tc>
          <w:tcPr>
            <w:tcW w:w="3908" w:type="dxa"/>
            <w:shd w:val="clear" w:color="auto" w:fill="auto"/>
            <w:noWrap/>
            <w:hideMark/>
          </w:tcPr>
          <w:p w14:paraId="34F46F4C"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205E7879" w14:textId="77777777" w:rsidR="00746C94" w:rsidRPr="00591BFC" w:rsidRDefault="00746C94" w:rsidP="00E86771">
            <w:pPr>
              <w:spacing w:line="360" w:lineRule="auto"/>
            </w:pPr>
            <w:r w:rsidRPr="00591BFC">
              <w:t>0.46</w:t>
            </w:r>
          </w:p>
        </w:tc>
        <w:tc>
          <w:tcPr>
            <w:tcW w:w="1320" w:type="dxa"/>
            <w:shd w:val="clear" w:color="auto" w:fill="auto"/>
            <w:noWrap/>
            <w:hideMark/>
          </w:tcPr>
          <w:p w14:paraId="634086D5" w14:textId="77777777" w:rsidR="00746C94" w:rsidRPr="00591BFC" w:rsidRDefault="00746C94" w:rsidP="00E86771">
            <w:pPr>
              <w:spacing w:line="360" w:lineRule="auto"/>
            </w:pPr>
            <w:r w:rsidRPr="00591BFC">
              <w:t>-2.36</w:t>
            </w:r>
          </w:p>
        </w:tc>
        <w:tc>
          <w:tcPr>
            <w:tcW w:w="1320" w:type="dxa"/>
            <w:shd w:val="clear" w:color="auto" w:fill="auto"/>
            <w:noWrap/>
            <w:hideMark/>
          </w:tcPr>
          <w:p w14:paraId="3D818128" w14:textId="77777777" w:rsidR="00746C94" w:rsidRPr="00591BFC" w:rsidRDefault="00746C94" w:rsidP="00E86771">
            <w:pPr>
              <w:spacing w:line="360" w:lineRule="auto"/>
            </w:pPr>
            <w:r w:rsidRPr="00591BFC">
              <w:t>3.28</w:t>
            </w:r>
          </w:p>
        </w:tc>
        <w:tc>
          <w:tcPr>
            <w:tcW w:w="1320" w:type="dxa"/>
            <w:shd w:val="clear" w:color="auto" w:fill="auto"/>
            <w:noWrap/>
            <w:hideMark/>
          </w:tcPr>
          <w:p w14:paraId="2C44A4F6" w14:textId="77777777" w:rsidR="00746C94" w:rsidRPr="00591BFC" w:rsidRDefault="00746C94" w:rsidP="00E86771">
            <w:pPr>
              <w:spacing w:line="360" w:lineRule="auto"/>
            </w:pPr>
            <w:r w:rsidRPr="00591BFC">
              <w:t>0.74</w:t>
            </w:r>
          </w:p>
        </w:tc>
      </w:tr>
      <w:tr w:rsidR="00746C94" w:rsidRPr="00591BFC" w14:paraId="61C9D9BA" w14:textId="77777777" w:rsidTr="00FE3F68">
        <w:trPr>
          <w:trHeight w:val="330"/>
        </w:trPr>
        <w:tc>
          <w:tcPr>
            <w:tcW w:w="3908" w:type="dxa"/>
            <w:shd w:val="clear" w:color="auto" w:fill="auto"/>
            <w:noWrap/>
            <w:hideMark/>
          </w:tcPr>
          <w:p w14:paraId="28528169" w14:textId="77777777" w:rsidR="00746C94" w:rsidRPr="00591BFC" w:rsidRDefault="00746C94" w:rsidP="00E86771">
            <w:pPr>
              <w:spacing w:line="360" w:lineRule="auto"/>
            </w:pPr>
            <w:r w:rsidRPr="00591BFC">
              <w:lastRenderedPageBreak/>
              <w:t>Trend change after intervention 1+2 (β</w:t>
            </w:r>
            <w:r w:rsidRPr="00591BFC">
              <w:rPr>
                <w:vertAlign w:val="subscript"/>
              </w:rPr>
              <w:t>3</w:t>
            </w:r>
            <w:r w:rsidRPr="00591BFC">
              <w:t>)</w:t>
            </w:r>
          </w:p>
        </w:tc>
        <w:tc>
          <w:tcPr>
            <w:tcW w:w="1320" w:type="dxa"/>
            <w:shd w:val="clear" w:color="auto" w:fill="auto"/>
            <w:noWrap/>
            <w:hideMark/>
          </w:tcPr>
          <w:p w14:paraId="003B620E" w14:textId="77777777" w:rsidR="00746C94" w:rsidRPr="00591BFC" w:rsidRDefault="00746C94" w:rsidP="00E86771">
            <w:pPr>
              <w:spacing w:line="360" w:lineRule="auto"/>
            </w:pPr>
            <w:r w:rsidRPr="00591BFC">
              <w:t>-0.37</w:t>
            </w:r>
          </w:p>
        </w:tc>
        <w:tc>
          <w:tcPr>
            <w:tcW w:w="1320" w:type="dxa"/>
            <w:shd w:val="clear" w:color="auto" w:fill="auto"/>
            <w:noWrap/>
            <w:hideMark/>
          </w:tcPr>
          <w:p w14:paraId="012D5C73" w14:textId="77777777" w:rsidR="00746C94" w:rsidRPr="00591BFC" w:rsidRDefault="00746C94" w:rsidP="00E86771">
            <w:pPr>
              <w:spacing w:line="360" w:lineRule="auto"/>
            </w:pPr>
            <w:r w:rsidRPr="00591BFC">
              <w:t>-1.13</w:t>
            </w:r>
          </w:p>
        </w:tc>
        <w:tc>
          <w:tcPr>
            <w:tcW w:w="1320" w:type="dxa"/>
            <w:shd w:val="clear" w:color="auto" w:fill="auto"/>
            <w:noWrap/>
            <w:hideMark/>
          </w:tcPr>
          <w:p w14:paraId="44406572" w14:textId="77777777" w:rsidR="00746C94" w:rsidRPr="00591BFC" w:rsidRDefault="00746C94" w:rsidP="00E86771">
            <w:pPr>
              <w:spacing w:line="360" w:lineRule="auto"/>
            </w:pPr>
            <w:r w:rsidRPr="00591BFC">
              <w:t>0.38</w:t>
            </w:r>
          </w:p>
        </w:tc>
        <w:tc>
          <w:tcPr>
            <w:tcW w:w="1320" w:type="dxa"/>
            <w:shd w:val="clear" w:color="auto" w:fill="auto"/>
            <w:noWrap/>
            <w:hideMark/>
          </w:tcPr>
          <w:p w14:paraId="75809B11" w14:textId="77777777" w:rsidR="00746C94" w:rsidRPr="00591BFC" w:rsidRDefault="00746C94" w:rsidP="00E86771">
            <w:pPr>
              <w:spacing w:line="360" w:lineRule="auto"/>
            </w:pPr>
            <w:r w:rsidRPr="00591BFC">
              <w:t>0.31</w:t>
            </w:r>
          </w:p>
        </w:tc>
      </w:tr>
      <w:tr w:rsidR="00746C94" w:rsidRPr="00591BFC" w14:paraId="34D0C3F8" w14:textId="77777777" w:rsidTr="00FE3F68">
        <w:trPr>
          <w:trHeight w:val="330"/>
        </w:trPr>
        <w:tc>
          <w:tcPr>
            <w:tcW w:w="3908" w:type="dxa"/>
            <w:shd w:val="clear" w:color="auto" w:fill="auto"/>
            <w:noWrap/>
            <w:hideMark/>
          </w:tcPr>
          <w:p w14:paraId="17B2ACD5"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3C9D2F50" w14:textId="77777777" w:rsidR="00746C94" w:rsidRPr="00591BFC" w:rsidRDefault="00746C94" w:rsidP="00E86771">
            <w:pPr>
              <w:spacing w:line="360" w:lineRule="auto"/>
            </w:pPr>
            <w:r w:rsidRPr="00591BFC">
              <w:t>-1.89</w:t>
            </w:r>
          </w:p>
        </w:tc>
        <w:tc>
          <w:tcPr>
            <w:tcW w:w="1320" w:type="dxa"/>
            <w:shd w:val="clear" w:color="auto" w:fill="auto"/>
            <w:noWrap/>
            <w:hideMark/>
          </w:tcPr>
          <w:p w14:paraId="752CD1EC" w14:textId="77777777" w:rsidR="00746C94" w:rsidRPr="00591BFC" w:rsidRDefault="00746C94" w:rsidP="00E86771">
            <w:pPr>
              <w:spacing w:line="360" w:lineRule="auto"/>
            </w:pPr>
            <w:r w:rsidRPr="00591BFC">
              <w:t>-5.86</w:t>
            </w:r>
          </w:p>
        </w:tc>
        <w:tc>
          <w:tcPr>
            <w:tcW w:w="1320" w:type="dxa"/>
            <w:shd w:val="clear" w:color="auto" w:fill="auto"/>
            <w:noWrap/>
            <w:hideMark/>
          </w:tcPr>
          <w:p w14:paraId="537E3DF9" w14:textId="77777777" w:rsidR="00746C94" w:rsidRPr="00591BFC" w:rsidRDefault="00746C94" w:rsidP="00E86771">
            <w:pPr>
              <w:spacing w:line="360" w:lineRule="auto"/>
            </w:pPr>
            <w:r w:rsidRPr="00591BFC">
              <w:t>2.05</w:t>
            </w:r>
          </w:p>
        </w:tc>
        <w:tc>
          <w:tcPr>
            <w:tcW w:w="1320" w:type="dxa"/>
            <w:shd w:val="clear" w:color="auto" w:fill="auto"/>
            <w:noWrap/>
            <w:hideMark/>
          </w:tcPr>
          <w:p w14:paraId="2D1C6162" w14:textId="77777777" w:rsidR="00746C94" w:rsidRPr="00591BFC" w:rsidRDefault="00746C94" w:rsidP="00E86771">
            <w:pPr>
              <w:spacing w:line="360" w:lineRule="auto"/>
            </w:pPr>
            <w:r w:rsidRPr="00591BFC">
              <w:t>0.33</w:t>
            </w:r>
          </w:p>
        </w:tc>
      </w:tr>
      <w:tr w:rsidR="00746C94" w:rsidRPr="00591BFC" w14:paraId="2AC0DE14" w14:textId="77777777" w:rsidTr="00FE3F68">
        <w:trPr>
          <w:trHeight w:val="330"/>
        </w:trPr>
        <w:tc>
          <w:tcPr>
            <w:tcW w:w="3908" w:type="dxa"/>
            <w:shd w:val="clear" w:color="auto" w:fill="auto"/>
            <w:noWrap/>
            <w:hideMark/>
          </w:tcPr>
          <w:p w14:paraId="47FAD2FD"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7C7D2234" w14:textId="77777777" w:rsidR="00746C94" w:rsidRPr="00591BFC" w:rsidRDefault="00746C94" w:rsidP="00E86771">
            <w:pPr>
              <w:spacing w:line="360" w:lineRule="auto"/>
            </w:pPr>
            <w:r w:rsidRPr="00591BFC">
              <w:t>0.67</w:t>
            </w:r>
          </w:p>
        </w:tc>
        <w:tc>
          <w:tcPr>
            <w:tcW w:w="1320" w:type="dxa"/>
            <w:shd w:val="clear" w:color="auto" w:fill="auto"/>
            <w:noWrap/>
            <w:hideMark/>
          </w:tcPr>
          <w:p w14:paraId="67960D1D" w14:textId="77777777" w:rsidR="00746C94" w:rsidRPr="00591BFC" w:rsidRDefault="00746C94" w:rsidP="00E86771">
            <w:pPr>
              <w:spacing w:line="360" w:lineRule="auto"/>
            </w:pPr>
            <w:r w:rsidRPr="00591BFC">
              <w:t>-1.1</w:t>
            </w:r>
          </w:p>
        </w:tc>
        <w:tc>
          <w:tcPr>
            <w:tcW w:w="1320" w:type="dxa"/>
            <w:shd w:val="clear" w:color="auto" w:fill="auto"/>
            <w:noWrap/>
            <w:hideMark/>
          </w:tcPr>
          <w:p w14:paraId="028204DB" w14:textId="77777777" w:rsidR="00746C94" w:rsidRPr="00591BFC" w:rsidRDefault="00746C94" w:rsidP="00E86771">
            <w:pPr>
              <w:spacing w:line="360" w:lineRule="auto"/>
            </w:pPr>
            <w:r w:rsidRPr="00591BFC">
              <w:t>2.44</w:t>
            </w:r>
          </w:p>
        </w:tc>
        <w:tc>
          <w:tcPr>
            <w:tcW w:w="1320" w:type="dxa"/>
            <w:shd w:val="clear" w:color="auto" w:fill="auto"/>
            <w:noWrap/>
            <w:hideMark/>
          </w:tcPr>
          <w:p w14:paraId="5100E793" w14:textId="77777777" w:rsidR="00746C94" w:rsidRPr="00591BFC" w:rsidRDefault="00746C94" w:rsidP="00E86771">
            <w:pPr>
              <w:spacing w:line="360" w:lineRule="auto"/>
            </w:pPr>
            <w:r w:rsidRPr="00591BFC">
              <w:t>0.44</w:t>
            </w:r>
          </w:p>
        </w:tc>
      </w:tr>
      <w:tr w:rsidR="00746C94" w:rsidRPr="00591BFC" w14:paraId="42BC3B57" w14:textId="77777777" w:rsidTr="00FE3F68">
        <w:trPr>
          <w:trHeight w:val="330"/>
        </w:trPr>
        <w:tc>
          <w:tcPr>
            <w:tcW w:w="3908" w:type="dxa"/>
            <w:shd w:val="clear" w:color="auto" w:fill="auto"/>
            <w:noWrap/>
            <w:hideMark/>
          </w:tcPr>
          <w:p w14:paraId="4414706B"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5F2999D4" w14:textId="77777777" w:rsidR="00746C94" w:rsidRPr="00591BFC" w:rsidRDefault="00746C94" w:rsidP="00E86771">
            <w:pPr>
              <w:spacing w:line="360" w:lineRule="auto"/>
            </w:pPr>
            <w:r w:rsidRPr="00591BFC">
              <w:t>-2.58</w:t>
            </w:r>
          </w:p>
        </w:tc>
        <w:tc>
          <w:tcPr>
            <w:tcW w:w="1320" w:type="dxa"/>
            <w:shd w:val="clear" w:color="auto" w:fill="auto"/>
            <w:noWrap/>
            <w:hideMark/>
          </w:tcPr>
          <w:p w14:paraId="59FF3580" w14:textId="77777777" w:rsidR="00746C94" w:rsidRPr="00591BFC" w:rsidRDefault="00746C94" w:rsidP="00E86771">
            <w:pPr>
              <w:spacing w:line="360" w:lineRule="auto"/>
            </w:pPr>
            <w:r w:rsidRPr="00591BFC">
              <w:t>-5.57</w:t>
            </w:r>
          </w:p>
        </w:tc>
        <w:tc>
          <w:tcPr>
            <w:tcW w:w="1320" w:type="dxa"/>
            <w:shd w:val="clear" w:color="auto" w:fill="auto"/>
            <w:noWrap/>
            <w:hideMark/>
          </w:tcPr>
          <w:p w14:paraId="2EB46763" w14:textId="77777777" w:rsidR="00746C94" w:rsidRPr="00591BFC" w:rsidRDefault="00746C94" w:rsidP="00E86771">
            <w:pPr>
              <w:spacing w:line="360" w:lineRule="auto"/>
            </w:pPr>
            <w:r w:rsidRPr="00591BFC">
              <w:t>0.4</w:t>
            </w:r>
          </w:p>
        </w:tc>
        <w:tc>
          <w:tcPr>
            <w:tcW w:w="1320" w:type="dxa"/>
            <w:shd w:val="clear" w:color="auto" w:fill="auto"/>
            <w:noWrap/>
            <w:hideMark/>
          </w:tcPr>
          <w:p w14:paraId="59EF0C6B" w14:textId="77777777" w:rsidR="00746C94" w:rsidRPr="00591BFC" w:rsidRDefault="00746C94" w:rsidP="00E86771">
            <w:pPr>
              <w:spacing w:line="360" w:lineRule="auto"/>
            </w:pPr>
            <w:r w:rsidRPr="00591BFC">
              <w:t>0.086</w:t>
            </w:r>
          </w:p>
        </w:tc>
      </w:tr>
      <w:tr w:rsidR="00746C94" w:rsidRPr="00591BFC" w14:paraId="1D114125" w14:textId="77777777" w:rsidTr="00FE3F68">
        <w:trPr>
          <w:trHeight w:val="342"/>
        </w:trPr>
        <w:tc>
          <w:tcPr>
            <w:tcW w:w="3908" w:type="dxa"/>
            <w:shd w:val="clear" w:color="auto" w:fill="auto"/>
            <w:noWrap/>
            <w:hideMark/>
          </w:tcPr>
          <w:p w14:paraId="4A3D439C"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2B578AB2" w14:textId="77777777" w:rsidR="00746C94" w:rsidRPr="00591BFC" w:rsidRDefault="00746C94" w:rsidP="00E86771">
            <w:pPr>
              <w:spacing w:line="360" w:lineRule="auto"/>
            </w:pPr>
            <w:r w:rsidRPr="00591BFC">
              <w:t>0.04</w:t>
            </w:r>
          </w:p>
        </w:tc>
        <w:tc>
          <w:tcPr>
            <w:tcW w:w="1320" w:type="dxa"/>
            <w:shd w:val="clear" w:color="auto" w:fill="auto"/>
            <w:noWrap/>
            <w:hideMark/>
          </w:tcPr>
          <w:p w14:paraId="58708C07" w14:textId="77777777" w:rsidR="00746C94" w:rsidRPr="00591BFC" w:rsidRDefault="00746C94" w:rsidP="00E86771">
            <w:pPr>
              <w:spacing w:line="360" w:lineRule="auto"/>
            </w:pPr>
            <w:r w:rsidRPr="00591BFC">
              <w:t>-1.67</w:t>
            </w:r>
          </w:p>
        </w:tc>
        <w:tc>
          <w:tcPr>
            <w:tcW w:w="1320" w:type="dxa"/>
            <w:shd w:val="clear" w:color="auto" w:fill="auto"/>
            <w:noWrap/>
            <w:hideMark/>
          </w:tcPr>
          <w:p w14:paraId="70B8DFAD" w14:textId="77777777" w:rsidR="00746C94" w:rsidRPr="00591BFC" w:rsidRDefault="00746C94" w:rsidP="00E86771">
            <w:pPr>
              <w:spacing w:line="360" w:lineRule="auto"/>
            </w:pPr>
            <w:r w:rsidRPr="00591BFC">
              <w:t>1.75</w:t>
            </w:r>
          </w:p>
        </w:tc>
        <w:tc>
          <w:tcPr>
            <w:tcW w:w="1320" w:type="dxa"/>
            <w:shd w:val="clear" w:color="auto" w:fill="auto"/>
            <w:noWrap/>
            <w:hideMark/>
          </w:tcPr>
          <w:p w14:paraId="7F69E8B4" w14:textId="77777777" w:rsidR="00746C94" w:rsidRPr="00591BFC" w:rsidRDefault="00746C94" w:rsidP="00E86771">
            <w:pPr>
              <w:spacing w:line="360" w:lineRule="auto"/>
            </w:pPr>
            <w:r w:rsidRPr="00591BFC">
              <w:t>0.96</w:t>
            </w:r>
          </w:p>
        </w:tc>
      </w:tr>
      <w:tr w:rsidR="00746C94" w:rsidRPr="00591BFC" w14:paraId="3892A9BF" w14:textId="77777777" w:rsidTr="00FE3F68">
        <w:trPr>
          <w:trHeight w:val="315"/>
        </w:trPr>
        <w:tc>
          <w:tcPr>
            <w:tcW w:w="9188" w:type="dxa"/>
            <w:gridSpan w:val="5"/>
            <w:shd w:val="clear" w:color="auto" w:fill="auto"/>
            <w:hideMark/>
          </w:tcPr>
          <w:p w14:paraId="39FCF6BE" w14:textId="77777777" w:rsidR="00746C94" w:rsidRPr="00591BFC" w:rsidRDefault="00746C94" w:rsidP="00E86771">
            <w:pPr>
              <w:spacing w:line="360" w:lineRule="auto"/>
              <w:rPr>
                <w:u w:val="single"/>
              </w:rPr>
            </w:pPr>
            <w:r w:rsidRPr="00591BFC">
              <w:rPr>
                <w:u w:val="single"/>
              </w:rPr>
              <w:t>mortality (30 days): difference between cases and controls</w:t>
            </w:r>
          </w:p>
        </w:tc>
      </w:tr>
      <w:tr w:rsidR="00746C94" w:rsidRPr="00591BFC" w14:paraId="3A95EF4D" w14:textId="77777777" w:rsidTr="00FE3F68">
        <w:trPr>
          <w:trHeight w:val="330"/>
        </w:trPr>
        <w:tc>
          <w:tcPr>
            <w:tcW w:w="3908" w:type="dxa"/>
            <w:shd w:val="clear" w:color="auto" w:fill="auto"/>
            <w:noWrap/>
            <w:hideMark/>
          </w:tcPr>
          <w:p w14:paraId="6D86CC3E"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675647C7" w14:textId="77777777" w:rsidR="00746C94" w:rsidRPr="00591BFC" w:rsidRDefault="00746C94" w:rsidP="00E86771">
            <w:pPr>
              <w:spacing w:line="360" w:lineRule="auto"/>
            </w:pPr>
            <w:r w:rsidRPr="00591BFC">
              <w:t>6.17</w:t>
            </w:r>
          </w:p>
        </w:tc>
        <w:tc>
          <w:tcPr>
            <w:tcW w:w="1320" w:type="dxa"/>
            <w:shd w:val="clear" w:color="auto" w:fill="auto"/>
            <w:noWrap/>
            <w:hideMark/>
          </w:tcPr>
          <w:p w14:paraId="740C94CD" w14:textId="77777777" w:rsidR="00746C94" w:rsidRPr="00591BFC" w:rsidRDefault="00746C94" w:rsidP="00E86771">
            <w:pPr>
              <w:spacing w:line="360" w:lineRule="auto"/>
            </w:pPr>
            <w:r w:rsidRPr="00591BFC">
              <w:t>4.49</w:t>
            </w:r>
          </w:p>
        </w:tc>
        <w:tc>
          <w:tcPr>
            <w:tcW w:w="1320" w:type="dxa"/>
            <w:shd w:val="clear" w:color="auto" w:fill="auto"/>
            <w:noWrap/>
            <w:hideMark/>
          </w:tcPr>
          <w:p w14:paraId="21B571D0" w14:textId="77777777" w:rsidR="00746C94" w:rsidRPr="00591BFC" w:rsidRDefault="00746C94" w:rsidP="00E86771">
            <w:pPr>
              <w:spacing w:line="360" w:lineRule="auto"/>
            </w:pPr>
            <w:r w:rsidRPr="00591BFC">
              <w:t>7.85</w:t>
            </w:r>
          </w:p>
        </w:tc>
        <w:tc>
          <w:tcPr>
            <w:tcW w:w="1320" w:type="dxa"/>
            <w:shd w:val="clear" w:color="auto" w:fill="auto"/>
            <w:noWrap/>
            <w:hideMark/>
          </w:tcPr>
          <w:p w14:paraId="48DBFD6C" w14:textId="77777777" w:rsidR="00746C94" w:rsidRPr="00591BFC" w:rsidRDefault="00746C94" w:rsidP="00E86771">
            <w:pPr>
              <w:spacing w:line="360" w:lineRule="auto"/>
            </w:pPr>
            <w:r w:rsidRPr="00591BFC">
              <w:t>&lt;0.001</w:t>
            </w:r>
          </w:p>
        </w:tc>
      </w:tr>
      <w:tr w:rsidR="00746C94" w:rsidRPr="00591BFC" w14:paraId="57065663" w14:textId="77777777" w:rsidTr="00FE3F68">
        <w:trPr>
          <w:trHeight w:val="330"/>
        </w:trPr>
        <w:tc>
          <w:tcPr>
            <w:tcW w:w="3908" w:type="dxa"/>
            <w:shd w:val="clear" w:color="auto" w:fill="auto"/>
            <w:noWrap/>
            <w:hideMark/>
          </w:tcPr>
          <w:p w14:paraId="250A395C"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144756D7" w14:textId="77777777" w:rsidR="00746C94" w:rsidRPr="00591BFC" w:rsidRDefault="00746C94" w:rsidP="00E86771">
            <w:pPr>
              <w:spacing w:line="360" w:lineRule="auto"/>
            </w:pPr>
            <w:r w:rsidRPr="00591BFC">
              <w:t>0.05</w:t>
            </w:r>
          </w:p>
        </w:tc>
        <w:tc>
          <w:tcPr>
            <w:tcW w:w="1320" w:type="dxa"/>
            <w:shd w:val="clear" w:color="auto" w:fill="auto"/>
            <w:noWrap/>
            <w:hideMark/>
          </w:tcPr>
          <w:p w14:paraId="0FDB3679" w14:textId="77777777" w:rsidR="00746C94" w:rsidRPr="00591BFC" w:rsidRDefault="00746C94" w:rsidP="00E86771">
            <w:pPr>
              <w:spacing w:line="360" w:lineRule="auto"/>
            </w:pPr>
            <w:r w:rsidRPr="00591BFC">
              <w:t>-0.2</w:t>
            </w:r>
          </w:p>
        </w:tc>
        <w:tc>
          <w:tcPr>
            <w:tcW w:w="1320" w:type="dxa"/>
            <w:shd w:val="clear" w:color="auto" w:fill="auto"/>
            <w:noWrap/>
            <w:hideMark/>
          </w:tcPr>
          <w:p w14:paraId="67C5748E" w14:textId="77777777" w:rsidR="00746C94" w:rsidRPr="00591BFC" w:rsidRDefault="00746C94" w:rsidP="00E86771">
            <w:pPr>
              <w:spacing w:line="360" w:lineRule="auto"/>
            </w:pPr>
            <w:r w:rsidRPr="00591BFC">
              <w:t>0.29</w:t>
            </w:r>
          </w:p>
        </w:tc>
        <w:tc>
          <w:tcPr>
            <w:tcW w:w="1320" w:type="dxa"/>
            <w:shd w:val="clear" w:color="auto" w:fill="auto"/>
            <w:noWrap/>
            <w:hideMark/>
          </w:tcPr>
          <w:p w14:paraId="1D15590F" w14:textId="77777777" w:rsidR="00746C94" w:rsidRPr="00591BFC" w:rsidRDefault="00746C94" w:rsidP="00E86771">
            <w:pPr>
              <w:spacing w:line="360" w:lineRule="auto"/>
            </w:pPr>
            <w:r w:rsidRPr="00591BFC">
              <w:t>0.69</w:t>
            </w:r>
          </w:p>
        </w:tc>
      </w:tr>
      <w:tr w:rsidR="00746C94" w:rsidRPr="00591BFC" w14:paraId="4AA67C33" w14:textId="77777777" w:rsidTr="00FE3F68">
        <w:trPr>
          <w:trHeight w:val="330"/>
        </w:trPr>
        <w:tc>
          <w:tcPr>
            <w:tcW w:w="3908" w:type="dxa"/>
            <w:shd w:val="clear" w:color="auto" w:fill="auto"/>
            <w:noWrap/>
            <w:hideMark/>
          </w:tcPr>
          <w:p w14:paraId="292CE7D0"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3AC5D3DB" w14:textId="77777777" w:rsidR="00746C94" w:rsidRPr="00591BFC" w:rsidRDefault="00746C94" w:rsidP="00E86771">
            <w:pPr>
              <w:spacing w:line="360" w:lineRule="auto"/>
            </w:pPr>
            <w:r w:rsidRPr="00591BFC">
              <w:t>0.38</w:t>
            </w:r>
          </w:p>
        </w:tc>
        <w:tc>
          <w:tcPr>
            <w:tcW w:w="1320" w:type="dxa"/>
            <w:shd w:val="clear" w:color="auto" w:fill="auto"/>
            <w:noWrap/>
            <w:hideMark/>
          </w:tcPr>
          <w:p w14:paraId="525D425D" w14:textId="77777777" w:rsidR="00746C94" w:rsidRPr="00591BFC" w:rsidRDefault="00746C94" w:rsidP="00E86771">
            <w:pPr>
              <w:spacing w:line="360" w:lineRule="auto"/>
            </w:pPr>
            <w:r w:rsidRPr="00591BFC">
              <w:t>-2.81</w:t>
            </w:r>
          </w:p>
        </w:tc>
        <w:tc>
          <w:tcPr>
            <w:tcW w:w="1320" w:type="dxa"/>
            <w:shd w:val="clear" w:color="auto" w:fill="auto"/>
            <w:noWrap/>
            <w:hideMark/>
          </w:tcPr>
          <w:p w14:paraId="5EC7C067" w14:textId="77777777" w:rsidR="00746C94" w:rsidRPr="00591BFC" w:rsidRDefault="00746C94" w:rsidP="00E86771">
            <w:pPr>
              <w:spacing w:line="360" w:lineRule="auto"/>
            </w:pPr>
            <w:r w:rsidRPr="00591BFC">
              <w:t>3.58</w:t>
            </w:r>
          </w:p>
        </w:tc>
        <w:tc>
          <w:tcPr>
            <w:tcW w:w="1320" w:type="dxa"/>
            <w:shd w:val="clear" w:color="auto" w:fill="auto"/>
            <w:noWrap/>
            <w:hideMark/>
          </w:tcPr>
          <w:p w14:paraId="302D085C" w14:textId="77777777" w:rsidR="00746C94" w:rsidRPr="00591BFC" w:rsidRDefault="00746C94" w:rsidP="00E86771">
            <w:pPr>
              <w:spacing w:line="360" w:lineRule="auto"/>
            </w:pPr>
            <w:r w:rsidRPr="00591BFC">
              <w:t>0.8</w:t>
            </w:r>
          </w:p>
        </w:tc>
      </w:tr>
      <w:tr w:rsidR="00746C94" w:rsidRPr="00591BFC" w14:paraId="61C132BE" w14:textId="77777777" w:rsidTr="00FE3F68">
        <w:trPr>
          <w:trHeight w:val="330"/>
        </w:trPr>
        <w:tc>
          <w:tcPr>
            <w:tcW w:w="3908" w:type="dxa"/>
            <w:shd w:val="clear" w:color="auto" w:fill="auto"/>
            <w:noWrap/>
            <w:hideMark/>
          </w:tcPr>
          <w:p w14:paraId="6FF79501"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081C3776" w14:textId="77777777" w:rsidR="00746C94" w:rsidRPr="00591BFC" w:rsidRDefault="00746C94" w:rsidP="00E86771">
            <w:pPr>
              <w:spacing w:line="360" w:lineRule="auto"/>
            </w:pPr>
            <w:r w:rsidRPr="00591BFC">
              <w:t>-0.33</w:t>
            </w:r>
          </w:p>
        </w:tc>
        <w:tc>
          <w:tcPr>
            <w:tcW w:w="1320" w:type="dxa"/>
            <w:shd w:val="clear" w:color="auto" w:fill="auto"/>
            <w:noWrap/>
            <w:hideMark/>
          </w:tcPr>
          <w:p w14:paraId="3D885327" w14:textId="77777777" w:rsidR="00746C94" w:rsidRPr="00591BFC" w:rsidRDefault="00746C94" w:rsidP="00E86771">
            <w:pPr>
              <w:spacing w:line="360" w:lineRule="auto"/>
            </w:pPr>
            <w:r w:rsidRPr="00591BFC">
              <w:t>-1.18</w:t>
            </w:r>
          </w:p>
        </w:tc>
        <w:tc>
          <w:tcPr>
            <w:tcW w:w="1320" w:type="dxa"/>
            <w:shd w:val="clear" w:color="auto" w:fill="auto"/>
            <w:noWrap/>
            <w:hideMark/>
          </w:tcPr>
          <w:p w14:paraId="31EADC3B" w14:textId="77777777" w:rsidR="00746C94" w:rsidRPr="00591BFC" w:rsidRDefault="00746C94" w:rsidP="00E86771">
            <w:pPr>
              <w:spacing w:line="360" w:lineRule="auto"/>
            </w:pPr>
            <w:r w:rsidRPr="00591BFC">
              <w:t>0.52</w:t>
            </w:r>
          </w:p>
        </w:tc>
        <w:tc>
          <w:tcPr>
            <w:tcW w:w="1320" w:type="dxa"/>
            <w:shd w:val="clear" w:color="auto" w:fill="auto"/>
            <w:noWrap/>
            <w:hideMark/>
          </w:tcPr>
          <w:p w14:paraId="1A0F8DD7" w14:textId="77777777" w:rsidR="00746C94" w:rsidRPr="00591BFC" w:rsidRDefault="00746C94" w:rsidP="00E86771">
            <w:pPr>
              <w:spacing w:line="360" w:lineRule="auto"/>
            </w:pPr>
            <w:r w:rsidRPr="00591BFC">
              <w:t>0.43</w:t>
            </w:r>
          </w:p>
        </w:tc>
      </w:tr>
      <w:tr w:rsidR="00746C94" w:rsidRPr="00591BFC" w14:paraId="412387FD" w14:textId="77777777" w:rsidTr="00FE3F68">
        <w:trPr>
          <w:trHeight w:val="330"/>
        </w:trPr>
        <w:tc>
          <w:tcPr>
            <w:tcW w:w="3908" w:type="dxa"/>
            <w:shd w:val="clear" w:color="auto" w:fill="auto"/>
            <w:noWrap/>
            <w:hideMark/>
          </w:tcPr>
          <w:p w14:paraId="4BC4815C"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4CA37432" w14:textId="77777777" w:rsidR="00746C94" w:rsidRPr="00591BFC" w:rsidRDefault="00746C94" w:rsidP="00E86771">
            <w:pPr>
              <w:spacing w:line="360" w:lineRule="auto"/>
            </w:pPr>
            <w:r w:rsidRPr="00591BFC">
              <w:t>-2.51</w:t>
            </w:r>
          </w:p>
        </w:tc>
        <w:tc>
          <w:tcPr>
            <w:tcW w:w="1320" w:type="dxa"/>
            <w:shd w:val="clear" w:color="auto" w:fill="auto"/>
            <w:noWrap/>
            <w:hideMark/>
          </w:tcPr>
          <w:p w14:paraId="35AD90D6" w14:textId="77777777" w:rsidR="00746C94" w:rsidRPr="00591BFC" w:rsidRDefault="00746C94" w:rsidP="00E86771">
            <w:pPr>
              <w:spacing w:line="360" w:lineRule="auto"/>
            </w:pPr>
            <w:r w:rsidRPr="00591BFC">
              <w:t>-6.97</w:t>
            </w:r>
          </w:p>
        </w:tc>
        <w:tc>
          <w:tcPr>
            <w:tcW w:w="1320" w:type="dxa"/>
            <w:shd w:val="clear" w:color="auto" w:fill="auto"/>
            <w:noWrap/>
            <w:hideMark/>
          </w:tcPr>
          <w:p w14:paraId="5E9A2015" w14:textId="77777777" w:rsidR="00746C94" w:rsidRPr="00591BFC" w:rsidRDefault="00746C94" w:rsidP="00E86771">
            <w:pPr>
              <w:spacing w:line="360" w:lineRule="auto"/>
            </w:pPr>
            <w:r w:rsidRPr="00591BFC">
              <w:t>1.96</w:t>
            </w:r>
          </w:p>
        </w:tc>
        <w:tc>
          <w:tcPr>
            <w:tcW w:w="1320" w:type="dxa"/>
            <w:shd w:val="clear" w:color="auto" w:fill="auto"/>
            <w:noWrap/>
            <w:hideMark/>
          </w:tcPr>
          <w:p w14:paraId="59CDA443" w14:textId="77777777" w:rsidR="00746C94" w:rsidRPr="00591BFC" w:rsidRDefault="00746C94" w:rsidP="00E86771">
            <w:pPr>
              <w:spacing w:line="360" w:lineRule="auto"/>
            </w:pPr>
            <w:r w:rsidRPr="00591BFC">
              <w:t>0.25</w:t>
            </w:r>
          </w:p>
        </w:tc>
      </w:tr>
      <w:tr w:rsidR="00746C94" w:rsidRPr="00591BFC" w14:paraId="63EF8567" w14:textId="77777777" w:rsidTr="00FE3F68">
        <w:trPr>
          <w:trHeight w:val="330"/>
        </w:trPr>
        <w:tc>
          <w:tcPr>
            <w:tcW w:w="3908" w:type="dxa"/>
            <w:shd w:val="clear" w:color="auto" w:fill="auto"/>
            <w:noWrap/>
            <w:hideMark/>
          </w:tcPr>
          <w:p w14:paraId="0B24D319"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1EC325EC" w14:textId="77777777" w:rsidR="00746C94" w:rsidRPr="00591BFC" w:rsidRDefault="00746C94" w:rsidP="00E86771">
            <w:pPr>
              <w:spacing w:line="360" w:lineRule="auto"/>
            </w:pPr>
            <w:r w:rsidRPr="00591BFC">
              <w:t>0.82</w:t>
            </w:r>
          </w:p>
        </w:tc>
        <w:tc>
          <w:tcPr>
            <w:tcW w:w="1320" w:type="dxa"/>
            <w:shd w:val="clear" w:color="auto" w:fill="auto"/>
            <w:noWrap/>
            <w:hideMark/>
          </w:tcPr>
          <w:p w14:paraId="3F929F48" w14:textId="77777777" w:rsidR="00746C94" w:rsidRPr="00591BFC" w:rsidRDefault="00746C94" w:rsidP="00E86771">
            <w:pPr>
              <w:spacing w:line="360" w:lineRule="auto"/>
            </w:pPr>
            <w:r w:rsidRPr="00591BFC">
              <w:t>-1.19</w:t>
            </w:r>
          </w:p>
        </w:tc>
        <w:tc>
          <w:tcPr>
            <w:tcW w:w="1320" w:type="dxa"/>
            <w:shd w:val="clear" w:color="auto" w:fill="auto"/>
            <w:noWrap/>
            <w:hideMark/>
          </w:tcPr>
          <w:p w14:paraId="76F5711C" w14:textId="77777777" w:rsidR="00746C94" w:rsidRPr="00591BFC" w:rsidRDefault="00746C94" w:rsidP="00E86771">
            <w:pPr>
              <w:spacing w:line="360" w:lineRule="auto"/>
            </w:pPr>
            <w:r w:rsidRPr="00591BFC">
              <w:t>2.83</w:t>
            </w:r>
          </w:p>
        </w:tc>
        <w:tc>
          <w:tcPr>
            <w:tcW w:w="1320" w:type="dxa"/>
            <w:shd w:val="clear" w:color="auto" w:fill="auto"/>
            <w:noWrap/>
            <w:hideMark/>
          </w:tcPr>
          <w:p w14:paraId="410124DA" w14:textId="77777777" w:rsidR="00746C94" w:rsidRPr="00591BFC" w:rsidRDefault="00746C94" w:rsidP="00E86771">
            <w:pPr>
              <w:spacing w:line="360" w:lineRule="auto"/>
            </w:pPr>
            <w:r w:rsidRPr="00591BFC">
              <w:t>0.4</w:t>
            </w:r>
          </w:p>
        </w:tc>
      </w:tr>
      <w:tr w:rsidR="00746C94" w:rsidRPr="00591BFC" w14:paraId="544CF1DC" w14:textId="77777777" w:rsidTr="00FE3F68">
        <w:trPr>
          <w:trHeight w:val="330"/>
        </w:trPr>
        <w:tc>
          <w:tcPr>
            <w:tcW w:w="3908" w:type="dxa"/>
            <w:shd w:val="clear" w:color="auto" w:fill="auto"/>
            <w:noWrap/>
            <w:hideMark/>
          </w:tcPr>
          <w:p w14:paraId="76DDA1D2"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2F95FA96" w14:textId="77777777" w:rsidR="00746C94" w:rsidRPr="00591BFC" w:rsidRDefault="00746C94" w:rsidP="00E86771">
            <w:pPr>
              <w:spacing w:line="360" w:lineRule="auto"/>
            </w:pPr>
            <w:r w:rsidRPr="00591BFC">
              <w:t>-2.69</w:t>
            </w:r>
          </w:p>
        </w:tc>
        <w:tc>
          <w:tcPr>
            <w:tcW w:w="1320" w:type="dxa"/>
            <w:shd w:val="clear" w:color="auto" w:fill="auto"/>
            <w:noWrap/>
            <w:hideMark/>
          </w:tcPr>
          <w:p w14:paraId="27BB2BBA" w14:textId="77777777" w:rsidR="00746C94" w:rsidRPr="00591BFC" w:rsidRDefault="00746C94" w:rsidP="00E86771">
            <w:pPr>
              <w:spacing w:line="360" w:lineRule="auto"/>
            </w:pPr>
            <w:r w:rsidRPr="00591BFC">
              <w:t>-6.07</w:t>
            </w:r>
          </w:p>
        </w:tc>
        <w:tc>
          <w:tcPr>
            <w:tcW w:w="1320" w:type="dxa"/>
            <w:shd w:val="clear" w:color="auto" w:fill="auto"/>
            <w:noWrap/>
            <w:hideMark/>
          </w:tcPr>
          <w:p w14:paraId="5289533D" w14:textId="77777777" w:rsidR="00746C94" w:rsidRPr="00591BFC" w:rsidRDefault="00746C94" w:rsidP="00E86771">
            <w:pPr>
              <w:spacing w:line="360" w:lineRule="auto"/>
            </w:pPr>
            <w:r w:rsidRPr="00591BFC">
              <w:t>0.68</w:t>
            </w:r>
          </w:p>
        </w:tc>
        <w:tc>
          <w:tcPr>
            <w:tcW w:w="1320" w:type="dxa"/>
            <w:shd w:val="clear" w:color="auto" w:fill="auto"/>
            <w:noWrap/>
            <w:hideMark/>
          </w:tcPr>
          <w:p w14:paraId="794B2EBD" w14:textId="77777777" w:rsidR="00746C94" w:rsidRPr="00591BFC" w:rsidRDefault="00746C94" w:rsidP="00E86771">
            <w:pPr>
              <w:spacing w:line="360" w:lineRule="auto"/>
            </w:pPr>
            <w:r w:rsidRPr="00591BFC">
              <w:t>0.11</w:t>
            </w:r>
          </w:p>
        </w:tc>
      </w:tr>
      <w:tr w:rsidR="00746C94" w:rsidRPr="00591BFC" w14:paraId="1B7B0669" w14:textId="77777777" w:rsidTr="00FE3F68">
        <w:trPr>
          <w:trHeight w:val="529"/>
        </w:trPr>
        <w:tc>
          <w:tcPr>
            <w:tcW w:w="3908" w:type="dxa"/>
            <w:shd w:val="clear" w:color="auto" w:fill="auto"/>
            <w:noWrap/>
            <w:hideMark/>
          </w:tcPr>
          <w:p w14:paraId="26E75FA9"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154DAEF6" w14:textId="77777777" w:rsidR="00746C94" w:rsidRPr="00591BFC" w:rsidRDefault="00746C94" w:rsidP="00E86771">
            <w:pPr>
              <w:spacing w:line="360" w:lineRule="auto"/>
            </w:pPr>
            <w:r w:rsidRPr="00591BFC">
              <w:t>-0.15</w:t>
            </w:r>
          </w:p>
        </w:tc>
        <w:tc>
          <w:tcPr>
            <w:tcW w:w="1320" w:type="dxa"/>
            <w:shd w:val="clear" w:color="auto" w:fill="auto"/>
            <w:noWrap/>
            <w:hideMark/>
          </w:tcPr>
          <w:p w14:paraId="603DE1AA" w14:textId="77777777" w:rsidR="00746C94" w:rsidRPr="00591BFC" w:rsidRDefault="00746C94" w:rsidP="00E86771">
            <w:pPr>
              <w:spacing w:line="360" w:lineRule="auto"/>
            </w:pPr>
            <w:r w:rsidRPr="00591BFC">
              <w:t>-2.09</w:t>
            </w:r>
          </w:p>
        </w:tc>
        <w:tc>
          <w:tcPr>
            <w:tcW w:w="1320" w:type="dxa"/>
            <w:shd w:val="clear" w:color="auto" w:fill="auto"/>
            <w:noWrap/>
            <w:hideMark/>
          </w:tcPr>
          <w:p w14:paraId="41072FD8" w14:textId="77777777" w:rsidR="00746C94" w:rsidRPr="00591BFC" w:rsidRDefault="00746C94" w:rsidP="00E86771">
            <w:pPr>
              <w:spacing w:line="360" w:lineRule="auto"/>
            </w:pPr>
            <w:r w:rsidRPr="00591BFC">
              <w:t>1.78</w:t>
            </w:r>
          </w:p>
        </w:tc>
        <w:tc>
          <w:tcPr>
            <w:tcW w:w="1320" w:type="dxa"/>
            <w:shd w:val="clear" w:color="auto" w:fill="auto"/>
            <w:noWrap/>
            <w:hideMark/>
          </w:tcPr>
          <w:p w14:paraId="4BC33953" w14:textId="77777777" w:rsidR="00746C94" w:rsidRPr="00591BFC" w:rsidRDefault="00746C94" w:rsidP="00E86771">
            <w:pPr>
              <w:spacing w:line="360" w:lineRule="auto"/>
            </w:pPr>
            <w:r w:rsidRPr="00591BFC">
              <w:t>0.87</w:t>
            </w:r>
          </w:p>
        </w:tc>
      </w:tr>
      <w:tr w:rsidR="00746C94" w:rsidRPr="00591BFC" w14:paraId="12653B7B" w14:textId="77777777" w:rsidTr="00FE3F68">
        <w:trPr>
          <w:trHeight w:val="315"/>
        </w:trPr>
        <w:tc>
          <w:tcPr>
            <w:tcW w:w="9188" w:type="dxa"/>
            <w:gridSpan w:val="5"/>
            <w:shd w:val="clear" w:color="auto" w:fill="auto"/>
            <w:hideMark/>
          </w:tcPr>
          <w:p w14:paraId="59B1BB24" w14:textId="77777777" w:rsidR="00746C94" w:rsidRPr="00591BFC" w:rsidRDefault="00746C94" w:rsidP="00E86771">
            <w:pPr>
              <w:spacing w:line="360" w:lineRule="auto"/>
              <w:rPr>
                <w:u w:val="single"/>
              </w:rPr>
            </w:pPr>
            <w:r w:rsidRPr="00591BFC">
              <w:rPr>
                <w:u w:val="single"/>
              </w:rPr>
              <w:t>mortality (1 year)</w:t>
            </w:r>
          </w:p>
        </w:tc>
      </w:tr>
      <w:tr w:rsidR="00746C94" w:rsidRPr="00591BFC" w14:paraId="51C65027" w14:textId="77777777" w:rsidTr="00FE3F68">
        <w:trPr>
          <w:trHeight w:val="330"/>
        </w:trPr>
        <w:tc>
          <w:tcPr>
            <w:tcW w:w="3908" w:type="dxa"/>
            <w:shd w:val="clear" w:color="auto" w:fill="auto"/>
            <w:noWrap/>
            <w:hideMark/>
          </w:tcPr>
          <w:p w14:paraId="50A7AAA2"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4B49F798" w14:textId="77777777" w:rsidR="00746C94" w:rsidRPr="00591BFC" w:rsidRDefault="00746C94" w:rsidP="00E86771">
            <w:pPr>
              <w:spacing w:line="360" w:lineRule="auto"/>
            </w:pPr>
            <w:r w:rsidRPr="00591BFC">
              <w:t>24.7</w:t>
            </w:r>
          </w:p>
        </w:tc>
        <w:tc>
          <w:tcPr>
            <w:tcW w:w="1320" w:type="dxa"/>
            <w:shd w:val="clear" w:color="auto" w:fill="auto"/>
            <w:noWrap/>
            <w:hideMark/>
          </w:tcPr>
          <w:p w14:paraId="6FAC6DE3" w14:textId="77777777" w:rsidR="00746C94" w:rsidRPr="00591BFC" w:rsidRDefault="00746C94" w:rsidP="00E86771">
            <w:pPr>
              <w:spacing w:line="360" w:lineRule="auto"/>
            </w:pPr>
            <w:r w:rsidRPr="00591BFC">
              <w:t>21.8</w:t>
            </w:r>
          </w:p>
        </w:tc>
        <w:tc>
          <w:tcPr>
            <w:tcW w:w="1320" w:type="dxa"/>
            <w:shd w:val="clear" w:color="auto" w:fill="auto"/>
            <w:noWrap/>
            <w:hideMark/>
          </w:tcPr>
          <w:p w14:paraId="45009E57" w14:textId="77777777" w:rsidR="00746C94" w:rsidRPr="00591BFC" w:rsidRDefault="00746C94" w:rsidP="00E86771">
            <w:pPr>
              <w:spacing w:line="360" w:lineRule="auto"/>
            </w:pPr>
            <w:r w:rsidRPr="00591BFC">
              <w:t>27.5</w:t>
            </w:r>
          </w:p>
        </w:tc>
        <w:tc>
          <w:tcPr>
            <w:tcW w:w="1320" w:type="dxa"/>
            <w:shd w:val="clear" w:color="auto" w:fill="auto"/>
            <w:noWrap/>
            <w:hideMark/>
          </w:tcPr>
          <w:p w14:paraId="43C759A1" w14:textId="77777777" w:rsidR="00746C94" w:rsidRPr="00591BFC" w:rsidRDefault="00746C94" w:rsidP="00E86771">
            <w:pPr>
              <w:spacing w:line="360" w:lineRule="auto"/>
            </w:pPr>
            <w:r w:rsidRPr="00591BFC">
              <w:t>&lt;0.001</w:t>
            </w:r>
          </w:p>
        </w:tc>
      </w:tr>
      <w:tr w:rsidR="00746C94" w:rsidRPr="00591BFC" w14:paraId="392D4926" w14:textId="77777777" w:rsidTr="00FE3F68">
        <w:trPr>
          <w:trHeight w:val="330"/>
        </w:trPr>
        <w:tc>
          <w:tcPr>
            <w:tcW w:w="3908" w:type="dxa"/>
            <w:shd w:val="clear" w:color="auto" w:fill="auto"/>
            <w:noWrap/>
            <w:hideMark/>
          </w:tcPr>
          <w:p w14:paraId="3FFDB9C4"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03CC66A1" w14:textId="77777777" w:rsidR="00746C94" w:rsidRPr="00591BFC" w:rsidRDefault="00746C94" w:rsidP="00E86771">
            <w:pPr>
              <w:spacing w:line="360" w:lineRule="auto"/>
            </w:pPr>
            <w:r w:rsidRPr="00591BFC">
              <w:t>-0.1</w:t>
            </w:r>
          </w:p>
        </w:tc>
        <w:tc>
          <w:tcPr>
            <w:tcW w:w="1320" w:type="dxa"/>
            <w:shd w:val="clear" w:color="auto" w:fill="auto"/>
            <w:noWrap/>
            <w:hideMark/>
          </w:tcPr>
          <w:p w14:paraId="5389DA78" w14:textId="77777777" w:rsidR="00746C94" w:rsidRPr="00591BFC" w:rsidRDefault="00746C94" w:rsidP="00E86771">
            <w:pPr>
              <w:spacing w:line="360" w:lineRule="auto"/>
            </w:pPr>
            <w:r w:rsidRPr="00591BFC">
              <w:t>-0.53</w:t>
            </w:r>
          </w:p>
        </w:tc>
        <w:tc>
          <w:tcPr>
            <w:tcW w:w="1320" w:type="dxa"/>
            <w:shd w:val="clear" w:color="auto" w:fill="auto"/>
            <w:noWrap/>
            <w:hideMark/>
          </w:tcPr>
          <w:p w14:paraId="6A8F1F55" w14:textId="77777777" w:rsidR="00746C94" w:rsidRPr="00591BFC" w:rsidRDefault="00746C94" w:rsidP="00E86771">
            <w:pPr>
              <w:spacing w:line="360" w:lineRule="auto"/>
            </w:pPr>
            <w:r w:rsidRPr="00591BFC">
              <w:t>0.32</w:t>
            </w:r>
          </w:p>
        </w:tc>
        <w:tc>
          <w:tcPr>
            <w:tcW w:w="1320" w:type="dxa"/>
            <w:shd w:val="clear" w:color="auto" w:fill="auto"/>
            <w:noWrap/>
            <w:hideMark/>
          </w:tcPr>
          <w:p w14:paraId="0FB1F5BF" w14:textId="77777777" w:rsidR="00746C94" w:rsidRPr="00591BFC" w:rsidRDefault="00746C94" w:rsidP="00E86771">
            <w:pPr>
              <w:spacing w:line="360" w:lineRule="auto"/>
            </w:pPr>
            <w:r w:rsidRPr="00591BFC">
              <w:t>0.61</w:t>
            </w:r>
          </w:p>
        </w:tc>
      </w:tr>
      <w:tr w:rsidR="00746C94" w:rsidRPr="00591BFC" w14:paraId="70E3E82B" w14:textId="77777777" w:rsidTr="00FE3F68">
        <w:trPr>
          <w:trHeight w:val="330"/>
        </w:trPr>
        <w:tc>
          <w:tcPr>
            <w:tcW w:w="3908" w:type="dxa"/>
            <w:shd w:val="clear" w:color="auto" w:fill="auto"/>
            <w:noWrap/>
            <w:hideMark/>
          </w:tcPr>
          <w:p w14:paraId="195C0974"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7AE36806" w14:textId="77777777" w:rsidR="00746C94" w:rsidRPr="00591BFC" w:rsidRDefault="00746C94" w:rsidP="00E86771">
            <w:pPr>
              <w:spacing w:line="360" w:lineRule="auto"/>
            </w:pPr>
            <w:r w:rsidRPr="00591BFC">
              <w:t>-0.52</w:t>
            </w:r>
          </w:p>
        </w:tc>
        <w:tc>
          <w:tcPr>
            <w:tcW w:w="1320" w:type="dxa"/>
            <w:shd w:val="clear" w:color="auto" w:fill="auto"/>
            <w:noWrap/>
            <w:hideMark/>
          </w:tcPr>
          <w:p w14:paraId="011AB9ED" w14:textId="77777777" w:rsidR="00746C94" w:rsidRPr="00591BFC" w:rsidRDefault="00746C94" w:rsidP="00E86771">
            <w:pPr>
              <w:spacing w:line="360" w:lineRule="auto"/>
            </w:pPr>
            <w:r w:rsidRPr="00591BFC">
              <w:t>-5.98</w:t>
            </w:r>
          </w:p>
        </w:tc>
        <w:tc>
          <w:tcPr>
            <w:tcW w:w="1320" w:type="dxa"/>
            <w:shd w:val="clear" w:color="auto" w:fill="auto"/>
            <w:noWrap/>
            <w:hideMark/>
          </w:tcPr>
          <w:p w14:paraId="795B636E" w14:textId="77777777" w:rsidR="00746C94" w:rsidRPr="00591BFC" w:rsidRDefault="00746C94" w:rsidP="00E86771">
            <w:pPr>
              <w:spacing w:line="360" w:lineRule="auto"/>
            </w:pPr>
            <w:r w:rsidRPr="00591BFC">
              <w:t>4.95</w:t>
            </w:r>
          </w:p>
        </w:tc>
        <w:tc>
          <w:tcPr>
            <w:tcW w:w="1320" w:type="dxa"/>
            <w:shd w:val="clear" w:color="auto" w:fill="auto"/>
            <w:noWrap/>
            <w:hideMark/>
          </w:tcPr>
          <w:p w14:paraId="420264DA" w14:textId="77777777" w:rsidR="00746C94" w:rsidRPr="00591BFC" w:rsidRDefault="00746C94" w:rsidP="00E86771">
            <w:pPr>
              <w:spacing w:line="360" w:lineRule="auto"/>
            </w:pPr>
            <w:r w:rsidRPr="00591BFC">
              <w:t>0.84</w:t>
            </w:r>
          </w:p>
        </w:tc>
      </w:tr>
      <w:tr w:rsidR="00746C94" w:rsidRPr="00591BFC" w14:paraId="61C93944" w14:textId="77777777" w:rsidTr="00FE3F68">
        <w:trPr>
          <w:trHeight w:val="330"/>
        </w:trPr>
        <w:tc>
          <w:tcPr>
            <w:tcW w:w="3908" w:type="dxa"/>
            <w:shd w:val="clear" w:color="auto" w:fill="auto"/>
            <w:noWrap/>
            <w:hideMark/>
          </w:tcPr>
          <w:p w14:paraId="724EA5D1"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4E3C27DB" w14:textId="77777777" w:rsidR="00746C94" w:rsidRPr="00591BFC" w:rsidRDefault="00746C94" w:rsidP="00E86771">
            <w:pPr>
              <w:spacing w:line="360" w:lineRule="auto"/>
            </w:pPr>
            <w:r w:rsidRPr="00591BFC">
              <w:t>0.28</w:t>
            </w:r>
          </w:p>
        </w:tc>
        <w:tc>
          <w:tcPr>
            <w:tcW w:w="1320" w:type="dxa"/>
            <w:shd w:val="clear" w:color="auto" w:fill="auto"/>
            <w:noWrap/>
            <w:hideMark/>
          </w:tcPr>
          <w:p w14:paraId="74D1C9CF" w14:textId="77777777" w:rsidR="00746C94" w:rsidRPr="00591BFC" w:rsidRDefault="00746C94" w:rsidP="00E86771">
            <w:pPr>
              <w:spacing w:line="360" w:lineRule="auto"/>
            </w:pPr>
            <w:r w:rsidRPr="00591BFC">
              <w:t>-1.19</w:t>
            </w:r>
          </w:p>
        </w:tc>
        <w:tc>
          <w:tcPr>
            <w:tcW w:w="1320" w:type="dxa"/>
            <w:shd w:val="clear" w:color="auto" w:fill="auto"/>
            <w:noWrap/>
            <w:hideMark/>
          </w:tcPr>
          <w:p w14:paraId="2F37EE74" w14:textId="77777777" w:rsidR="00746C94" w:rsidRPr="00591BFC" w:rsidRDefault="00746C94" w:rsidP="00E86771">
            <w:pPr>
              <w:spacing w:line="360" w:lineRule="auto"/>
            </w:pPr>
            <w:r w:rsidRPr="00591BFC">
              <w:t>1.74</w:t>
            </w:r>
          </w:p>
        </w:tc>
        <w:tc>
          <w:tcPr>
            <w:tcW w:w="1320" w:type="dxa"/>
            <w:shd w:val="clear" w:color="auto" w:fill="auto"/>
            <w:noWrap/>
            <w:hideMark/>
          </w:tcPr>
          <w:p w14:paraId="0FC3B37B" w14:textId="77777777" w:rsidR="00746C94" w:rsidRPr="00591BFC" w:rsidRDefault="00746C94" w:rsidP="00E86771">
            <w:pPr>
              <w:spacing w:line="360" w:lineRule="auto"/>
            </w:pPr>
            <w:r w:rsidRPr="00591BFC">
              <w:t>0.69</w:t>
            </w:r>
          </w:p>
        </w:tc>
      </w:tr>
      <w:tr w:rsidR="00746C94" w:rsidRPr="00591BFC" w14:paraId="16A3BE76" w14:textId="77777777" w:rsidTr="00FE3F68">
        <w:trPr>
          <w:trHeight w:val="330"/>
        </w:trPr>
        <w:tc>
          <w:tcPr>
            <w:tcW w:w="3908" w:type="dxa"/>
            <w:shd w:val="clear" w:color="auto" w:fill="auto"/>
            <w:noWrap/>
            <w:hideMark/>
          </w:tcPr>
          <w:p w14:paraId="7FA6DFC2"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3FE3118F" w14:textId="77777777" w:rsidR="00746C94" w:rsidRPr="00591BFC" w:rsidRDefault="00746C94" w:rsidP="00E86771">
            <w:pPr>
              <w:spacing w:line="360" w:lineRule="auto"/>
            </w:pPr>
            <w:r w:rsidRPr="00591BFC">
              <w:t>-4.6</w:t>
            </w:r>
          </w:p>
        </w:tc>
        <w:tc>
          <w:tcPr>
            <w:tcW w:w="1320" w:type="dxa"/>
            <w:shd w:val="clear" w:color="auto" w:fill="auto"/>
            <w:noWrap/>
            <w:hideMark/>
          </w:tcPr>
          <w:p w14:paraId="05256D00" w14:textId="77777777" w:rsidR="00746C94" w:rsidRPr="00591BFC" w:rsidRDefault="00746C94" w:rsidP="00E86771">
            <w:pPr>
              <w:spacing w:line="360" w:lineRule="auto"/>
            </w:pPr>
            <w:r w:rsidRPr="00591BFC">
              <w:t>-12.2</w:t>
            </w:r>
          </w:p>
        </w:tc>
        <w:tc>
          <w:tcPr>
            <w:tcW w:w="1320" w:type="dxa"/>
            <w:shd w:val="clear" w:color="auto" w:fill="auto"/>
            <w:noWrap/>
            <w:hideMark/>
          </w:tcPr>
          <w:p w14:paraId="07D34882" w14:textId="77777777" w:rsidR="00746C94" w:rsidRPr="00591BFC" w:rsidRDefault="00746C94" w:rsidP="00E86771">
            <w:pPr>
              <w:spacing w:line="360" w:lineRule="auto"/>
            </w:pPr>
            <w:r w:rsidRPr="00591BFC">
              <w:t>3.04</w:t>
            </w:r>
          </w:p>
        </w:tc>
        <w:tc>
          <w:tcPr>
            <w:tcW w:w="1320" w:type="dxa"/>
            <w:shd w:val="clear" w:color="auto" w:fill="auto"/>
            <w:noWrap/>
            <w:hideMark/>
          </w:tcPr>
          <w:p w14:paraId="4F915CD9" w14:textId="77777777" w:rsidR="00746C94" w:rsidRPr="00591BFC" w:rsidRDefault="00746C94" w:rsidP="00E86771">
            <w:pPr>
              <w:spacing w:line="360" w:lineRule="auto"/>
            </w:pPr>
            <w:r w:rsidRPr="00591BFC">
              <w:t>0.22</w:t>
            </w:r>
          </w:p>
        </w:tc>
      </w:tr>
      <w:tr w:rsidR="00746C94" w:rsidRPr="00591BFC" w14:paraId="73A339DD" w14:textId="77777777" w:rsidTr="00FE3F68">
        <w:trPr>
          <w:trHeight w:val="330"/>
        </w:trPr>
        <w:tc>
          <w:tcPr>
            <w:tcW w:w="3908" w:type="dxa"/>
            <w:shd w:val="clear" w:color="auto" w:fill="auto"/>
            <w:noWrap/>
            <w:hideMark/>
          </w:tcPr>
          <w:p w14:paraId="22CE6F3D"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648E3DBE" w14:textId="77777777" w:rsidR="00746C94" w:rsidRPr="00591BFC" w:rsidRDefault="00746C94" w:rsidP="00E86771">
            <w:pPr>
              <w:spacing w:line="360" w:lineRule="auto"/>
            </w:pPr>
            <w:r w:rsidRPr="00591BFC">
              <w:t>1.56</w:t>
            </w:r>
          </w:p>
        </w:tc>
        <w:tc>
          <w:tcPr>
            <w:tcW w:w="1320" w:type="dxa"/>
            <w:shd w:val="clear" w:color="auto" w:fill="auto"/>
            <w:noWrap/>
            <w:hideMark/>
          </w:tcPr>
          <w:p w14:paraId="3FE37FE9" w14:textId="77777777" w:rsidR="00746C94" w:rsidRPr="00591BFC" w:rsidRDefault="00746C94" w:rsidP="00E86771">
            <w:pPr>
              <w:spacing w:line="360" w:lineRule="auto"/>
            </w:pPr>
            <w:r w:rsidRPr="00591BFC">
              <w:t>-1.87</w:t>
            </w:r>
          </w:p>
        </w:tc>
        <w:tc>
          <w:tcPr>
            <w:tcW w:w="1320" w:type="dxa"/>
            <w:shd w:val="clear" w:color="auto" w:fill="auto"/>
            <w:noWrap/>
            <w:hideMark/>
          </w:tcPr>
          <w:p w14:paraId="15AED7FA" w14:textId="77777777" w:rsidR="00746C94" w:rsidRPr="00591BFC" w:rsidRDefault="00746C94" w:rsidP="00E86771">
            <w:pPr>
              <w:spacing w:line="360" w:lineRule="auto"/>
            </w:pPr>
            <w:r w:rsidRPr="00591BFC">
              <w:t>5</w:t>
            </w:r>
          </w:p>
        </w:tc>
        <w:tc>
          <w:tcPr>
            <w:tcW w:w="1320" w:type="dxa"/>
            <w:shd w:val="clear" w:color="auto" w:fill="auto"/>
            <w:noWrap/>
            <w:hideMark/>
          </w:tcPr>
          <w:p w14:paraId="6FA04C7D" w14:textId="77777777" w:rsidR="00746C94" w:rsidRPr="00591BFC" w:rsidRDefault="00746C94" w:rsidP="00E86771">
            <w:pPr>
              <w:spacing w:line="360" w:lineRule="auto"/>
            </w:pPr>
            <w:r w:rsidRPr="00591BFC">
              <w:t>0.35</w:t>
            </w:r>
          </w:p>
        </w:tc>
      </w:tr>
      <w:tr w:rsidR="00746C94" w:rsidRPr="00591BFC" w14:paraId="06C68672" w14:textId="77777777" w:rsidTr="00FE3F68">
        <w:trPr>
          <w:trHeight w:val="330"/>
        </w:trPr>
        <w:tc>
          <w:tcPr>
            <w:tcW w:w="3908" w:type="dxa"/>
            <w:shd w:val="clear" w:color="auto" w:fill="auto"/>
            <w:noWrap/>
            <w:hideMark/>
          </w:tcPr>
          <w:p w14:paraId="57EFC733"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24B9C95E" w14:textId="77777777" w:rsidR="00746C94" w:rsidRPr="00591BFC" w:rsidRDefault="00746C94" w:rsidP="00E86771">
            <w:pPr>
              <w:spacing w:line="360" w:lineRule="auto"/>
            </w:pPr>
            <w:r w:rsidRPr="00591BFC">
              <w:t>-6.05</w:t>
            </w:r>
          </w:p>
        </w:tc>
        <w:tc>
          <w:tcPr>
            <w:tcW w:w="1320" w:type="dxa"/>
            <w:shd w:val="clear" w:color="auto" w:fill="auto"/>
            <w:noWrap/>
            <w:hideMark/>
          </w:tcPr>
          <w:p w14:paraId="066EECD3" w14:textId="77777777" w:rsidR="00746C94" w:rsidRPr="00591BFC" w:rsidRDefault="00746C94" w:rsidP="00E86771">
            <w:pPr>
              <w:spacing w:line="360" w:lineRule="auto"/>
            </w:pPr>
            <w:r w:rsidRPr="00591BFC">
              <w:t>-12.2</w:t>
            </w:r>
          </w:p>
        </w:tc>
        <w:tc>
          <w:tcPr>
            <w:tcW w:w="1320" w:type="dxa"/>
            <w:shd w:val="clear" w:color="auto" w:fill="auto"/>
            <w:noWrap/>
            <w:hideMark/>
          </w:tcPr>
          <w:p w14:paraId="68800DAD" w14:textId="77777777" w:rsidR="00746C94" w:rsidRPr="00591BFC" w:rsidRDefault="00746C94" w:rsidP="00E86771">
            <w:pPr>
              <w:spacing w:line="360" w:lineRule="auto"/>
            </w:pPr>
            <w:r w:rsidRPr="00591BFC">
              <w:t>0.11</w:t>
            </w:r>
          </w:p>
        </w:tc>
        <w:tc>
          <w:tcPr>
            <w:tcW w:w="1320" w:type="dxa"/>
            <w:shd w:val="clear" w:color="auto" w:fill="auto"/>
            <w:noWrap/>
            <w:hideMark/>
          </w:tcPr>
          <w:p w14:paraId="13999A70" w14:textId="77777777" w:rsidR="00746C94" w:rsidRPr="00591BFC" w:rsidRDefault="00746C94" w:rsidP="00E86771">
            <w:pPr>
              <w:spacing w:line="360" w:lineRule="auto"/>
            </w:pPr>
            <w:r w:rsidRPr="00591BFC">
              <w:t>0.054</w:t>
            </w:r>
          </w:p>
        </w:tc>
      </w:tr>
      <w:tr w:rsidR="00746C94" w:rsidRPr="00591BFC" w14:paraId="08CDFC44" w14:textId="77777777" w:rsidTr="00FE3F68">
        <w:trPr>
          <w:trHeight w:val="330"/>
        </w:trPr>
        <w:tc>
          <w:tcPr>
            <w:tcW w:w="3908" w:type="dxa"/>
            <w:shd w:val="clear" w:color="auto" w:fill="auto"/>
            <w:noWrap/>
            <w:hideMark/>
          </w:tcPr>
          <w:p w14:paraId="09206908"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3B6A126D" w14:textId="77777777" w:rsidR="00746C94" w:rsidRPr="00591BFC" w:rsidRDefault="00746C94" w:rsidP="00E86771">
            <w:pPr>
              <w:spacing w:line="360" w:lineRule="auto"/>
            </w:pPr>
            <w:r w:rsidRPr="00591BFC">
              <w:t>-1.75</w:t>
            </w:r>
          </w:p>
        </w:tc>
        <w:tc>
          <w:tcPr>
            <w:tcW w:w="1320" w:type="dxa"/>
            <w:shd w:val="clear" w:color="auto" w:fill="auto"/>
            <w:noWrap/>
            <w:hideMark/>
          </w:tcPr>
          <w:p w14:paraId="6F51B41D" w14:textId="77777777" w:rsidR="00746C94" w:rsidRPr="00591BFC" w:rsidRDefault="00746C94" w:rsidP="00E86771">
            <w:pPr>
              <w:spacing w:line="360" w:lineRule="auto"/>
            </w:pPr>
            <w:r w:rsidRPr="00591BFC">
              <w:t>-5.18</w:t>
            </w:r>
          </w:p>
        </w:tc>
        <w:tc>
          <w:tcPr>
            <w:tcW w:w="1320" w:type="dxa"/>
            <w:shd w:val="clear" w:color="auto" w:fill="auto"/>
            <w:noWrap/>
            <w:hideMark/>
          </w:tcPr>
          <w:p w14:paraId="2C77B88B" w14:textId="77777777" w:rsidR="00746C94" w:rsidRPr="00591BFC" w:rsidRDefault="00746C94" w:rsidP="00E86771">
            <w:pPr>
              <w:spacing w:line="360" w:lineRule="auto"/>
            </w:pPr>
            <w:r w:rsidRPr="00591BFC">
              <w:t>1.68</w:t>
            </w:r>
          </w:p>
        </w:tc>
        <w:tc>
          <w:tcPr>
            <w:tcW w:w="1320" w:type="dxa"/>
            <w:shd w:val="clear" w:color="auto" w:fill="auto"/>
            <w:noWrap/>
            <w:hideMark/>
          </w:tcPr>
          <w:p w14:paraId="07EF77A7" w14:textId="77777777" w:rsidR="00746C94" w:rsidRPr="00591BFC" w:rsidRDefault="00746C94" w:rsidP="00E86771">
            <w:pPr>
              <w:spacing w:line="360" w:lineRule="auto"/>
            </w:pPr>
            <w:r w:rsidRPr="00591BFC">
              <w:t>0.3</w:t>
            </w:r>
          </w:p>
        </w:tc>
      </w:tr>
      <w:tr w:rsidR="00746C94" w:rsidRPr="00591BFC" w14:paraId="5942A389" w14:textId="77777777" w:rsidTr="00FE3F68">
        <w:trPr>
          <w:trHeight w:val="315"/>
        </w:trPr>
        <w:tc>
          <w:tcPr>
            <w:tcW w:w="9188" w:type="dxa"/>
            <w:gridSpan w:val="5"/>
            <w:shd w:val="clear" w:color="auto" w:fill="auto"/>
            <w:hideMark/>
          </w:tcPr>
          <w:p w14:paraId="615371D3" w14:textId="77777777" w:rsidR="00746C94" w:rsidRPr="00591BFC" w:rsidRDefault="00746C94" w:rsidP="00E86771">
            <w:pPr>
              <w:spacing w:line="360" w:lineRule="auto"/>
              <w:rPr>
                <w:u w:val="single"/>
              </w:rPr>
            </w:pPr>
            <w:r w:rsidRPr="00591BFC">
              <w:rPr>
                <w:u w:val="single"/>
              </w:rPr>
              <w:lastRenderedPageBreak/>
              <w:t>mortality (1 year): difference between cases and controls</w:t>
            </w:r>
          </w:p>
        </w:tc>
      </w:tr>
      <w:tr w:rsidR="00746C94" w:rsidRPr="00591BFC" w14:paraId="04580FE6" w14:textId="77777777" w:rsidTr="00FE3F68">
        <w:trPr>
          <w:trHeight w:val="330"/>
        </w:trPr>
        <w:tc>
          <w:tcPr>
            <w:tcW w:w="3908" w:type="dxa"/>
            <w:shd w:val="clear" w:color="auto" w:fill="auto"/>
            <w:noWrap/>
            <w:hideMark/>
          </w:tcPr>
          <w:p w14:paraId="6C88B095"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52EB40F5" w14:textId="77777777" w:rsidR="00746C94" w:rsidRPr="00591BFC" w:rsidRDefault="00746C94" w:rsidP="00E86771">
            <w:pPr>
              <w:spacing w:line="360" w:lineRule="auto"/>
            </w:pPr>
            <w:r w:rsidRPr="00591BFC">
              <w:t>13</w:t>
            </w:r>
          </w:p>
        </w:tc>
        <w:tc>
          <w:tcPr>
            <w:tcW w:w="1320" w:type="dxa"/>
            <w:shd w:val="clear" w:color="auto" w:fill="auto"/>
            <w:noWrap/>
            <w:hideMark/>
          </w:tcPr>
          <w:p w14:paraId="2627E886" w14:textId="77777777" w:rsidR="00746C94" w:rsidRPr="00591BFC" w:rsidRDefault="00746C94" w:rsidP="00E86771">
            <w:pPr>
              <w:spacing w:line="360" w:lineRule="auto"/>
            </w:pPr>
            <w:r w:rsidRPr="00591BFC">
              <w:t>10.1</w:t>
            </w:r>
          </w:p>
        </w:tc>
        <w:tc>
          <w:tcPr>
            <w:tcW w:w="1320" w:type="dxa"/>
            <w:shd w:val="clear" w:color="auto" w:fill="auto"/>
            <w:noWrap/>
            <w:hideMark/>
          </w:tcPr>
          <w:p w14:paraId="64101746" w14:textId="77777777" w:rsidR="00746C94" w:rsidRPr="00591BFC" w:rsidRDefault="00746C94" w:rsidP="00E86771">
            <w:pPr>
              <w:spacing w:line="360" w:lineRule="auto"/>
            </w:pPr>
            <w:r w:rsidRPr="00591BFC">
              <w:t>15.8</w:t>
            </w:r>
          </w:p>
        </w:tc>
        <w:tc>
          <w:tcPr>
            <w:tcW w:w="1320" w:type="dxa"/>
            <w:shd w:val="clear" w:color="auto" w:fill="auto"/>
            <w:noWrap/>
            <w:hideMark/>
          </w:tcPr>
          <w:p w14:paraId="5859B3EA" w14:textId="77777777" w:rsidR="00746C94" w:rsidRPr="00591BFC" w:rsidRDefault="00746C94" w:rsidP="00E86771">
            <w:pPr>
              <w:spacing w:line="360" w:lineRule="auto"/>
            </w:pPr>
            <w:r w:rsidRPr="00591BFC">
              <w:t>&lt;0.001</w:t>
            </w:r>
          </w:p>
        </w:tc>
      </w:tr>
      <w:tr w:rsidR="00746C94" w:rsidRPr="00591BFC" w14:paraId="6A27F472" w14:textId="77777777" w:rsidTr="00FE3F68">
        <w:trPr>
          <w:trHeight w:val="330"/>
        </w:trPr>
        <w:tc>
          <w:tcPr>
            <w:tcW w:w="3908" w:type="dxa"/>
            <w:shd w:val="clear" w:color="auto" w:fill="auto"/>
            <w:noWrap/>
            <w:hideMark/>
          </w:tcPr>
          <w:p w14:paraId="41668FA5"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16A18369" w14:textId="77777777" w:rsidR="00746C94" w:rsidRPr="00591BFC" w:rsidRDefault="00746C94" w:rsidP="00E86771">
            <w:pPr>
              <w:spacing w:line="360" w:lineRule="auto"/>
            </w:pPr>
            <w:r w:rsidRPr="00591BFC">
              <w:t>0.1</w:t>
            </w:r>
          </w:p>
        </w:tc>
        <w:tc>
          <w:tcPr>
            <w:tcW w:w="1320" w:type="dxa"/>
            <w:shd w:val="clear" w:color="auto" w:fill="auto"/>
            <w:noWrap/>
            <w:hideMark/>
          </w:tcPr>
          <w:p w14:paraId="4D3B1E26" w14:textId="77777777" w:rsidR="00746C94" w:rsidRPr="00591BFC" w:rsidRDefault="00746C94" w:rsidP="00E86771">
            <w:pPr>
              <w:spacing w:line="360" w:lineRule="auto"/>
            </w:pPr>
            <w:r w:rsidRPr="00591BFC">
              <w:t>-0.32</w:t>
            </w:r>
          </w:p>
        </w:tc>
        <w:tc>
          <w:tcPr>
            <w:tcW w:w="1320" w:type="dxa"/>
            <w:shd w:val="clear" w:color="auto" w:fill="auto"/>
            <w:noWrap/>
            <w:hideMark/>
          </w:tcPr>
          <w:p w14:paraId="70006AD3" w14:textId="77777777" w:rsidR="00746C94" w:rsidRPr="00591BFC" w:rsidRDefault="00746C94" w:rsidP="00E86771">
            <w:pPr>
              <w:spacing w:line="360" w:lineRule="auto"/>
            </w:pPr>
            <w:r w:rsidRPr="00591BFC">
              <w:t>0.52</w:t>
            </w:r>
          </w:p>
        </w:tc>
        <w:tc>
          <w:tcPr>
            <w:tcW w:w="1320" w:type="dxa"/>
            <w:shd w:val="clear" w:color="auto" w:fill="auto"/>
            <w:noWrap/>
            <w:hideMark/>
          </w:tcPr>
          <w:p w14:paraId="5B0F0461" w14:textId="77777777" w:rsidR="00746C94" w:rsidRPr="00591BFC" w:rsidRDefault="00746C94" w:rsidP="00E86771">
            <w:pPr>
              <w:spacing w:line="360" w:lineRule="auto"/>
            </w:pPr>
            <w:r w:rsidRPr="00591BFC">
              <w:t>0.62</w:t>
            </w:r>
          </w:p>
        </w:tc>
      </w:tr>
      <w:tr w:rsidR="00746C94" w:rsidRPr="00591BFC" w14:paraId="0DA185C0" w14:textId="77777777" w:rsidTr="00FE3F68">
        <w:trPr>
          <w:trHeight w:val="330"/>
        </w:trPr>
        <w:tc>
          <w:tcPr>
            <w:tcW w:w="3908" w:type="dxa"/>
            <w:shd w:val="clear" w:color="auto" w:fill="auto"/>
            <w:noWrap/>
            <w:hideMark/>
          </w:tcPr>
          <w:p w14:paraId="19D9B93F"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50A454B7" w14:textId="77777777" w:rsidR="00746C94" w:rsidRPr="00591BFC" w:rsidRDefault="00746C94" w:rsidP="00E86771">
            <w:pPr>
              <w:spacing w:line="360" w:lineRule="auto"/>
            </w:pPr>
            <w:r w:rsidRPr="00591BFC">
              <w:t>-0.7</w:t>
            </w:r>
          </w:p>
        </w:tc>
        <w:tc>
          <w:tcPr>
            <w:tcW w:w="1320" w:type="dxa"/>
            <w:shd w:val="clear" w:color="auto" w:fill="auto"/>
            <w:noWrap/>
            <w:hideMark/>
          </w:tcPr>
          <w:p w14:paraId="4B52DE7A" w14:textId="77777777" w:rsidR="00746C94" w:rsidRPr="00591BFC" w:rsidRDefault="00746C94" w:rsidP="00E86771">
            <w:pPr>
              <w:spacing w:line="360" w:lineRule="auto"/>
            </w:pPr>
            <w:r w:rsidRPr="00591BFC">
              <w:t>-6.12</w:t>
            </w:r>
          </w:p>
        </w:tc>
        <w:tc>
          <w:tcPr>
            <w:tcW w:w="1320" w:type="dxa"/>
            <w:shd w:val="clear" w:color="auto" w:fill="auto"/>
            <w:noWrap/>
            <w:hideMark/>
          </w:tcPr>
          <w:p w14:paraId="452DBAAC" w14:textId="77777777" w:rsidR="00746C94" w:rsidRPr="00591BFC" w:rsidRDefault="00746C94" w:rsidP="00E86771">
            <w:pPr>
              <w:spacing w:line="360" w:lineRule="auto"/>
            </w:pPr>
            <w:r w:rsidRPr="00591BFC">
              <w:t>4.73</w:t>
            </w:r>
          </w:p>
        </w:tc>
        <w:tc>
          <w:tcPr>
            <w:tcW w:w="1320" w:type="dxa"/>
            <w:shd w:val="clear" w:color="auto" w:fill="auto"/>
            <w:noWrap/>
            <w:hideMark/>
          </w:tcPr>
          <w:p w14:paraId="065F35D9" w14:textId="77777777" w:rsidR="00746C94" w:rsidRPr="00591BFC" w:rsidRDefault="00746C94" w:rsidP="00E86771">
            <w:pPr>
              <w:spacing w:line="360" w:lineRule="auto"/>
            </w:pPr>
            <w:r w:rsidRPr="00591BFC">
              <w:t>0.79</w:t>
            </w:r>
          </w:p>
        </w:tc>
      </w:tr>
      <w:tr w:rsidR="00746C94" w:rsidRPr="00591BFC" w14:paraId="7CA7AA99" w14:textId="77777777" w:rsidTr="00FE3F68">
        <w:trPr>
          <w:trHeight w:val="330"/>
        </w:trPr>
        <w:tc>
          <w:tcPr>
            <w:tcW w:w="3908" w:type="dxa"/>
            <w:shd w:val="clear" w:color="auto" w:fill="auto"/>
            <w:noWrap/>
            <w:hideMark/>
          </w:tcPr>
          <w:p w14:paraId="0894C7E8"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4EC5C8C0" w14:textId="77777777" w:rsidR="00746C94" w:rsidRPr="00591BFC" w:rsidRDefault="00746C94" w:rsidP="00E86771">
            <w:pPr>
              <w:spacing w:line="360" w:lineRule="auto"/>
            </w:pPr>
            <w:r w:rsidRPr="00591BFC">
              <w:t>-0.17</w:t>
            </w:r>
          </w:p>
        </w:tc>
        <w:tc>
          <w:tcPr>
            <w:tcW w:w="1320" w:type="dxa"/>
            <w:shd w:val="clear" w:color="auto" w:fill="auto"/>
            <w:noWrap/>
            <w:hideMark/>
          </w:tcPr>
          <w:p w14:paraId="14B353CE" w14:textId="77777777" w:rsidR="00746C94" w:rsidRPr="00591BFC" w:rsidRDefault="00746C94" w:rsidP="00E86771">
            <w:pPr>
              <w:spacing w:line="360" w:lineRule="auto"/>
            </w:pPr>
            <w:r w:rsidRPr="00591BFC">
              <w:t>-1.62</w:t>
            </w:r>
          </w:p>
        </w:tc>
        <w:tc>
          <w:tcPr>
            <w:tcW w:w="1320" w:type="dxa"/>
            <w:shd w:val="clear" w:color="auto" w:fill="auto"/>
            <w:noWrap/>
            <w:hideMark/>
          </w:tcPr>
          <w:p w14:paraId="3EA2C873" w14:textId="77777777" w:rsidR="00746C94" w:rsidRPr="00591BFC" w:rsidRDefault="00746C94" w:rsidP="00E86771">
            <w:pPr>
              <w:spacing w:line="360" w:lineRule="auto"/>
            </w:pPr>
            <w:r w:rsidRPr="00591BFC">
              <w:t>1.29</w:t>
            </w:r>
          </w:p>
        </w:tc>
        <w:tc>
          <w:tcPr>
            <w:tcW w:w="1320" w:type="dxa"/>
            <w:shd w:val="clear" w:color="auto" w:fill="auto"/>
            <w:noWrap/>
            <w:hideMark/>
          </w:tcPr>
          <w:p w14:paraId="05F0A99D" w14:textId="77777777" w:rsidR="00746C94" w:rsidRPr="00591BFC" w:rsidRDefault="00746C94" w:rsidP="00E86771">
            <w:pPr>
              <w:spacing w:line="360" w:lineRule="auto"/>
            </w:pPr>
            <w:r w:rsidRPr="00591BFC">
              <w:t>0.81</w:t>
            </w:r>
          </w:p>
        </w:tc>
      </w:tr>
      <w:tr w:rsidR="00746C94" w:rsidRPr="00591BFC" w14:paraId="021BD1A5" w14:textId="77777777" w:rsidTr="00FE3F68">
        <w:trPr>
          <w:trHeight w:val="330"/>
        </w:trPr>
        <w:tc>
          <w:tcPr>
            <w:tcW w:w="3908" w:type="dxa"/>
            <w:shd w:val="clear" w:color="auto" w:fill="auto"/>
            <w:noWrap/>
            <w:hideMark/>
          </w:tcPr>
          <w:p w14:paraId="4748A31F"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48A6B9B2" w14:textId="77777777" w:rsidR="00746C94" w:rsidRPr="00591BFC" w:rsidRDefault="00746C94" w:rsidP="00E86771">
            <w:pPr>
              <w:spacing w:line="360" w:lineRule="auto"/>
            </w:pPr>
            <w:r w:rsidRPr="00591BFC">
              <w:t>-2</w:t>
            </w:r>
          </w:p>
        </w:tc>
        <w:tc>
          <w:tcPr>
            <w:tcW w:w="1320" w:type="dxa"/>
            <w:shd w:val="clear" w:color="auto" w:fill="auto"/>
            <w:noWrap/>
            <w:hideMark/>
          </w:tcPr>
          <w:p w14:paraId="3F2ECEE9" w14:textId="77777777" w:rsidR="00746C94" w:rsidRPr="00591BFC" w:rsidRDefault="00746C94" w:rsidP="00E86771">
            <w:pPr>
              <w:spacing w:line="360" w:lineRule="auto"/>
            </w:pPr>
            <w:r w:rsidRPr="00591BFC">
              <w:t>-9.59</w:t>
            </w:r>
          </w:p>
        </w:tc>
        <w:tc>
          <w:tcPr>
            <w:tcW w:w="1320" w:type="dxa"/>
            <w:shd w:val="clear" w:color="auto" w:fill="auto"/>
            <w:noWrap/>
            <w:hideMark/>
          </w:tcPr>
          <w:p w14:paraId="01C4940B" w14:textId="77777777" w:rsidR="00746C94" w:rsidRPr="00591BFC" w:rsidRDefault="00746C94" w:rsidP="00E86771">
            <w:pPr>
              <w:spacing w:line="360" w:lineRule="auto"/>
            </w:pPr>
            <w:r w:rsidRPr="00591BFC">
              <w:t>5.6</w:t>
            </w:r>
          </w:p>
        </w:tc>
        <w:tc>
          <w:tcPr>
            <w:tcW w:w="1320" w:type="dxa"/>
            <w:shd w:val="clear" w:color="auto" w:fill="auto"/>
            <w:noWrap/>
            <w:hideMark/>
          </w:tcPr>
          <w:p w14:paraId="6D7023D7" w14:textId="77777777" w:rsidR="00746C94" w:rsidRPr="00591BFC" w:rsidRDefault="00746C94" w:rsidP="00E86771">
            <w:pPr>
              <w:spacing w:line="360" w:lineRule="auto"/>
            </w:pPr>
            <w:r w:rsidRPr="00591BFC">
              <w:t>0.59</w:t>
            </w:r>
          </w:p>
        </w:tc>
      </w:tr>
      <w:tr w:rsidR="00746C94" w:rsidRPr="00591BFC" w14:paraId="37923A08" w14:textId="77777777" w:rsidTr="00FE3F68">
        <w:trPr>
          <w:trHeight w:val="330"/>
        </w:trPr>
        <w:tc>
          <w:tcPr>
            <w:tcW w:w="3908" w:type="dxa"/>
            <w:shd w:val="clear" w:color="auto" w:fill="auto"/>
            <w:noWrap/>
            <w:hideMark/>
          </w:tcPr>
          <w:p w14:paraId="00464597"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22E87080" w14:textId="77777777" w:rsidR="00746C94" w:rsidRPr="00591BFC" w:rsidRDefault="00746C94" w:rsidP="00E86771">
            <w:pPr>
              <w:spacing w:line="360" w:lineRule="auto"/>
            </w:pPr>
            <w:r w:rsidRPr="00591BFC">
              <w:t>1.97</w:t>
            </w:r>
          </w:p>
        </w:tc>
        <w:tc>
          <w:tcPr>
            <w:tcW w:w="1320" w:type="dxa"/>
            <w:shd w:val="clear" w:color="auto" w:fill="auto"/>
            <w:noWrap/>
            <w:hideMark/>
          </w:tcPr>
          <w:p w14:paraId="4A30A347" w14:textId="77777777" w:rsidR="00746C94" w:rsidRPr="00591BFC" w:rsidRDefault="00746C94" w:rsidP="00E86771">
            <w:pPr>
              <w:spacing w:line="360" w:lineRule="auto"/>
            </w:pPr>
            <w:r w:rsidRPr="00591BFC">
              <w:t>-1.45</w:t>
            </w:r>
          </w:p>
        </w:tc>
        <w:tc>
          <w:tcPr>
            <w:tcW w:w="1320" w:type="dxa"/>
            <w:shd w:val="clear" w:color="auto" w:fill="auto"/>
            <w:noWrap/>
            <w:hideMark/>
          </w:tcPr>
          <w:p w14:paraId="46F4C0FF" w14:textId="77777777" w:rsidR="00746C94" w:rsidRPr="00591BFC" w:rsidRDefault="00746C94" w:rsidP="00E86771">
            <w:pPr>
              <w:spacing w:line="360" w:lineRule="auto"/>
            </w:pPr>
            <w:r w:rsidRPr="00591BFC">
              <w:t>5.38</w:t>
            </w:r>
          </w:p>
        </w:tc>
        <w:tc>
          <w:tcPr>
            <w:tcW w:w="1320" w:type="dxa"/>
            <w:shd w:val="clear" w:color="auto" w:fill="auto"/>
            <w:noWrap/>
            <w:hideMark/>
          </w:tcPr>
          <w:p w14:paraId="369CC72F" w14:textId="77777777" w:rsidR="00746C94" w:rsidRPr="00591BFC" w:rsidRDefault="00746C94" w:rsidP="00E86771">
            <w:pPr>
              <w:spacing w:line="360" w:lineRule="auto"/>
            </w:pPr>
            <w:r w:rsidRPr="00591BFC">
              <w:t>0.24</w:t>
            </w:r>
          </w:p>
        </w:tc>
      </w:tr>
      <w:tr w:rsidR="00746C94" w:rsidRPr="00591BFC" w14:paraId="248B2AF3" w14:textId="77777777" w:rsidTr="00FE3F68">
        <w:trPr>
          <w:trHeight w:val="330"/>
        </w:trPr>
        <w:tc>
          <w:tcPr>
            <w:tcW w:w="3908" w:type="dxa"/>
            <w:shd w:val="clear" w:color="auto" w:fill="auto"/>
            <w:noWrap/>
            <w:hideMark/>
          </w:tcPr>
          <w:p w14:paraId="7FC90438"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5DB3C4D7" w14:textId="77777777" w:rsidR="00746C94" w:rsidRPr="00591BFC" w:rsidRDefault="00746C94" w:rsidP="00E86771">
            <w:pPr>
              <w:spacing w:line="360" w:lineRule="auto"/>
            </w:pPr>
            <w:r w:rsidRPr="00591BFC">
              <w:t>-9.32</w:t>
            </w:r>
          </w:p>
        </w:tc>
        <w:tc>
          <w:tcPr>
            <w:tcW w:w="1320" w:type="dxa"/>
            <w:shd w:val="clear" w:color="auto" w:fill="auto"/>
            <w:noWrap/>
            <w:hideMark/>
          </w:tcPr>
          <w:p w14:paraId="5493468B" w14:textId="77777777" w:rsidR="00746C94" w:rsidRPr="00591BFC" w:rsidRDefault="00746C94" w:rsidP="00E86771">
            <w:pPr>
              <w:spacing w:line="360" w:lineRule="auto"/>
            </w:pPr>
            <w:r w:rsidRPr="00591BFC">
              <w:t>-15.5</w:t>
            </w:r>
          </w:p>
        </w:tc>
        <w:tc>
          <w:tcPr>
            <w:tcW w:w="1320" w:type="dxa"/>
            <w:shd w:val="clear" w:color="auto" w:fill="auto"/>
            <w:noWrap/>
            <w:hideMark/>
          </w:tcPr>
          <w:p w14:paraId="3106258D" w14:textId="77777777" w:rsidR="00746C94" w:rsidRPr="00591BFC" w:rsidRDefault="00746C94" w:rsidP="00E86771">
            <w:pPr>
              <w:spacing w:line="360" w:lineRule="auto"/>
            </w:pPr>
            <w:r w:rsidRPr="00591BFC">
              <w:t>-3.21</w:t>
            </w:r>
          </w:p>
        </w:tc>
        <w:tc>
          <w:tcPr>
            <w:tcW w:w="1320" w:type="dxa"/>
            <w:shd w:val="clear" w:color="auto" w:fill="auto"/>
            <w:noWrap/>
            <w:hideMark/>
          </w:tcPr>
          <w:p w14:paraId="53DB7102" w14:textId="77777777" w:rsidR="00746C94" w:rsidRPr="00591BFC" w:rsidRDefault="00746C94" w:rsidP="00E86771">
            <w:pPr>
              <w:spacing w:line="360" w:lineRule="auto"/>
            </w:pPr>
            <w:r w:rsidRPr="00591BFC">
              <w:t>0.005</w:t>
            </w:r>
          </w:p>
        </w:tc>
      </w:tr>
      <w:tr w:rsidR="00746C94" w:rsidRPr="00591BFC" w14:paraId="63538FA4" w14:textId="77777777" w:rsidTr="00FE3F68">
        <w:trPr>
          <w:trHeight w:val="330"/>
        </w:trPr>
        <w:tc>
          <w:tcPr>
            <w:tcW w:w="3908" w:type="dxa"/>
            <w:shd w:val="clear" w:color="auto" w:fill="auto"/>
            <w:noWrap/>
            <w:hideMark/>
          </w:tcPr>
          <w:p w14:paraId="09FB8239"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10BF854C" w14:textId="77777777" w:rsidR="00746C94" w:rsidRPr="00591BFC" w:rsidRDefault="00746C94" w:rsidP="00E86771">
            <w:pPr>
              <w:spacing w:line="360" w:lineRule="auto"/>
            </w:pPr>
            <w:r w:rsidRPr="00591BFC">
              <w:t>-0.95</w:t>
            </w:r>
          </w:p>
        </w:tc>
        <w:tc>
          <w:tcPr>
            <w:tcW w:w="1320" w:type="dxa"/>
            <w:shd w:val="clear" w:color="auto" w:fill="auto"/>
            <w:noWrap/>
            <w:hideMark/>
          </w:tcPr>
          <w:p w14:paraId="1E697E1E" w14:textId="77777777" w:rsidR="00746C94" w:rsidRPr="00591BFC" w:rsidRDefault="00746C94" w:rsidP="00E86771">
            <w:pPr>
              <w:spacing w:line="360" w:lineRule="auto"/>
            </w:pPr>
            <w:r w:rsidRPr="00591BFC">
              <w:t>-4.36</w:t>
            </w:r>
          </w:p>
        </w:tc>
        <w:tc>
          <w:tcPr>
            <w:tcW w:w="1320" w:type="dxa"/>
            <w:shd w:val="clear" w:color="auto" w:fill="auto"/>
            <w:noWrap/>
            <w:hideMark/>
          </w:tcPr>
          <w:p w14:paraId="5017FFA4" w14:textId="77777777" w:rsidR="00746C94" w:rsidRPr="00591BFC" w:rsidRDefault="00746C94" w:rsidP="00E86771">
            <w:pPr>
              <w:spacing w:line="360" w:lineRule="auto"/>
            </w:pPr>
            <w:r w:rsidRPr="00591BFC">
              <w:t>2.46</w:t>
            </w:r>
          </w:p>
        </w:tc>
        <w:tc>
          <w:tcPr>
            <w:tcW w:w="1320" w:type="dxa"/>
            <w:shd w:val="clear" w:color="auto" w:fill="auto"/>
            <w:noWrap/>
            <w:hideMark/>
          </w:tcPr>
          <w:p w14:paraId="43B72001" w14:textId="77777777" w:rsidR="00746C94" w:rsidRPr="00591BFC" w:rsidRDefault="00746C94" w:rsidP="00E86771">
            <w:pPr>
              <w:spacing w:line="360" w:lineRule="auto"/>
            </w:pPr>
            <w:r w:rsidRPr="00591BFC">
              <w:t>0.56</w:t>
            </w:r>
          </w:p>
        </w:tc>
      </w:tr>
      <w:tr w:rsidR="00746C94" w:rsidRPr="00591BFC" w14:paraId="67C64FDD" w14:textId="77777777" w:rsidTr="00FE3F68">
        <w:trPr>
          <w:trHeight w:val="315"/>
        </w:trPr>
        <w:tc>
          <w:tcPr>
            <w:tcW w:w="9188" w:type="dxa"/>
            <w:gridSpan w:val="5"/>
            <w:shd w:val="clear" w:color="auto" w:fill="auto"/>
            <w:hideMark/>
          </w:tcPr>
          <w:p w14:paraId="17BA7925" w14:textId="77777777" w:rsidR="00746C94" w:rsidRPr="00591BFC" w:rsidRDefault="00746C94" w:rsidP="00E86771">
            <w:pPr>
              <w:spacing w:line="360" w:lineRule="auto"/>
              <w:rPr>
                <w:u w:val="single"/>
              </w:rPr>
            </w:pPr>
            <w:r w:rsidRPr="00591BFC">
              <w:rPr>
                <w:u w:val="single"/>
              </w:rPr>
              <w:t>any incident anti-OP medication use (4 months)*</w:t>
            </w:r>
          </w:p>
        </w:tc>
      </w:tr>
      <w:tr w:rsidR="00746C94" w:rsidRPr="00591BFC" w14:paraId="6AB003CE" w14:textId="77777777" w:rsidTr="00FE3F68">
        <w:trPr>
          <w:trHeight w:val="330"/>
        </w:trPr>
        <w:tc>
          <w:tcPr>
            <w:tcW w:w="3908" w:type="dxa"/>
            <w:shd w:val="clear" w:color="auto" w:fill="auto"/>
            <w:noWrap/>
            <w:hideMark/>
          </w:tcPr>
          <w:p w14:paraId="3DF2BFCE"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24B5189B" w14:textId="77777777" w:rsidR="00746C94" w:rsidRPr="00591BFC" w:rsidRDefault="00746C94" w:rsidP="00E86771">
            <w:pPr>
              <w:spacing w:line="360" w:lineRule="auto"/>
            </w:pPr>
            <w:r w:rsidRPr="00591BFC">
              <w:t>0.47</w:t>
            </w:r>
          </w:p>
        </w:tc>
        <w:tc>
          <w:tcPr>
            <w:tcW w:w="1320" w:type="dxa"/>
            <w:shd w:val="clear" w:color="auto" w:fill="auto"/>
            <w:noWrap/>
            <w:hideMark/>
          </w:tcPr>
          <w:p w14:paraId="527DB2D2" w14:textId="77777777" w:rsidR="00746C94" w:rsidRPr="00591BFC" w:rsidRDefault="00746C94" w:rsidP="00E86771">
            <w:pPr>
              <w:spacing w:line="360" w:lineRule="auto"/>
            </w:pPr>
            <w:r w:rsidRPr="00591BFC">
              <w:t>-2.92</w:t>
            </w:r>
          </w:p>
        </w:tc>
        <w:tc>
          <w:tcPr>
            <w:tcW w:w="1320" w:type="dxa"/>
            <w:shd w:val="clear" w:color="auto" w:fill="auto"/>
            <w:noWrap/>
            <w:hideMark/>
          </w:tcPr>
          <w:p w14:paraId="3B420B30" w14:textId="77777777" w:rsidR="00746C94" w:rsidRPr="00591BFC" w:rsidRDefault="00746C94" w:rsidP="00E86771">
            <w:pPr>
              <w:spacing w:line="360" w:lineRule="auto"/>
            </w:pPr>
            <w:r w:rsidRPr="00591BFC">
              <w:t>3.87</w:t>
            </w:r>
          </w:p>
        </w:tc>
        <w:tc>
          <w:tcPr>
            <w:tcW w:w="1320" w:type="dxa"/>
            <w:shd w:val="clear" w:color="auto" w:fill="auto"/>
            <w:noWrap/>
            <w:hideMark/>
          </w:tcPr>
          <w:p w14:paraId="6FB415AA" w14:textId="77777777" w:rsidR="00746C94" w:rsidRPr="00591BFC" w:rsidRDefault="00746C94" w:rsidP="00E86771">
            <w:pPr>
              <w:spacing w:line="360" w:lineRule="auto"/>
            </w:pPr>
            <w:r w:rsidRPr="00591BFC">
              <w:t>0.77</w:t>
            </w:r>
          </w:p>
        </w:tc>
      </w:tr>
      <w:tr w:rsidR="00746C94" w:rsidRPr="00591BFC" w14:paraId="2C5B2AA7" w14:textId="77777777" w:rsidTr="00FE3F68">
        <w:trPr>
          <w:trHeight w:val="330"/>
        </w:trPr>
        <w:tc>
          <w:tcPr>
            <w:tcW w:w="3908" w:type="dxa"/>
            <w:shd w:val="clear" w:color="auto" w:fill="auto"/>
            <w:noWrap/>
            <w:hideMark/>
          </w:tcPr>
          <w:p w14:paraId="7D8EE926"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6E93458C" w14:textId="77777777" w:rsidR="00746C94" w:rsidRPr="00591BFC" w:rsidRDefault="00746C94" w:rsidP="00E86771">
            <w:pPr>
              <w:spacing w:line="360" w:lineRule="auto"/>
            </w:pPr>
            <w:r w:rsidRPr="00591BFC">
              <w:t>0.86</w:t>
            </w:r>
          </w:p>
        </w:tc>
        <w:tc>
          <w:tcPr>
            <w:tcW w:w="1320" w:type="dxa"/>
            <w:shd w:val="clear" w:color="auto" w:fill="auto"/>
            <w:noWrap/>
            <w:hideMark/>
          </w:tcPr>
          <w:p w14:paraId="22DFF7AF" w14:textId="77777777" w:rsidR="00746C94" w:rsidRPr="00591BFC" w:rsidRDefault="00746C94" w:rsidP="00E86771">
            <w:pPr>
              <w:spacing w:line="360" w:lineRule="auto"/>
            </w:pPr>
            <w:r w:rsidRPr="00591BFC">
              <w:t>0.36</w:t>
            </w:r>
          </w:p>
        </w:tc>
        <w:tc>
          <w:tcPr>
            <w:tcW w:w="1320" w:type="dxa"/>
            <w:shd w:val="clear" w:color="auto" w:fill="auto"/>
            <w:noWrap/>
            <w:hideMark/>
          </w:tcPr>
          <w:p w14:paraId="052DB6BD" w14:textId="77777777" w:rsidR="00746C94" w:rsidRPr="00591BFC" w:rsidRDefault="00746C94" w:rsidP="00E86771">
            <w:pPr>
              <w:spacing w:line="360" w:lineRule="auto"/>
            </w:pPr>
            <w:r w:rsidRPr="00591BFC">
              <w:t>1.36</w:t>
            </w:r>
          </w:p>
        </w:tc>
        <w:tc>
          <w:tcPr>
            <w:tcW w:w="1320" w:type="dxa"/>
            <w:shd w:val="clear" w:color="auto" w:fill="auto"/>
            <w:noWrap/>
            <w:hideMark/>
          </w:tcPr>
          <w:p w14:paraId="45C8330C" w14:textId="77777777" w:rsidR="00746C94" w:rsidRPr="00591BFC" w:rsidRDefault="00746C94" w:rsidP="00E86771">
            <w:pPr>
              <w:spacing w:line="360" w:lineRule="auto"/>
            </w:pPr>
            <w:r w:rsidRPr="00591BFC">
              <w:t>0.006</w:t>
            </w:r>
          </w:p>
        </w:tc>
      </w:tr>
      <w:tr w:rsidR="00746C94" w:rsidRPr="00591BFC" w14:paraId="5C315CF9" w14:textId="77777777" w:rsidTr="00FE3F68">
        <w:trPr>
          <w:trHeight w:val="330"/>
        </w:trPr>
        <w:tc>
          <w:tcPr>
            <w:tcW w:w="3908" w:type="dxa"/>
            <w:shd w:val="clear" w:color="auto" w:fill="auto"/>
            <w:noWrap/>
            <w:hideMark/>
          </w:tcPr>
          <w:p w14:paraId="40801399"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0C7CA0A3" w14:textId="77777777" w:rsidR="00746C94" w:rsidRPr="00591BFC" w:rsidRDefault="00746C94" w:rsidP="00E86771">
            <w:pPr>
              <w:spacing w:line="360" w:lineRule="auto"/>
            </w:pPr>
            <w:r w:rsidRPr="00591BFC">
              <w:t>9.54</w:t>
            </w:r>
          </w:p>
        </w:tc>
        <w:tc>
          <w:tcPr>
            <w:tcW w:w="1320" w:type="dxa"/>
            <w:shd w:val="clear" w:color="auto" w:fill="auto"/>
            <w:noWrap/>
            <w:hideMark/>
          </w:tcPr>
          <w:p w14:paraId="242B4EB4" w14:textId="77777777" w:rsidR="00746C94" w:rsidRPr="00591BFC" w:rsidRDefault="00746C94" w:rsidP="00E86771">
            <w:pPr>
              <w:spacing w:line="360" w:lineRule="auto"/>
            </w:pPr>
            <w:r w:rsidRPr="00591BFC">
              <w:t>3.08</w:t>
            </w:r>
          </w:p>
        </w:tc>
        <w:tc>
          <w:tcPr>
            <w:tcW w:w="1320" w:type="dxa"/>
            <w:shd w:val="clear" w:color="auto" w:fill="auto"/>
            <w:noWrap/>
            <w:hideMark/>
          </w:tcPr>
          <w:p w14:paraId="2C771FCA" w14:textId="77777777" w:rsidR="00746C94" w:rsidRPr="00591BFC" w:rsidRDefault="00746C94" w:rsidP="00E86771">
            <w:pPr>
              <w:spacing w:line="360" w:lineRule="auto"/>
            </w:pPr>
            <w:r w:rsidRPr="00591BFC">
              <w:t>16</w:t>
            </w:r>
          </w:p>
        </w:tc>
        <w:tc>
          <w:tcPr>
            <w:tcW w:w="1320" w:type="dxa"/>
            <w:shd w:val="clear" w:color="auto" w:fill="auto"/>
            <w:noWrap/>
            <w:hideMark/>
          </w:tcPr>
          <w:p w14:paraId="710B5E66" w14:textId="77777777" w:rsidR="00746C94" w:rsidRPr="00591BFC" w:rsidRDefault="00746C94" w:rsidP="00E86771">
            <w:pPr>
              <w:spacing w:line="360" w:lineRule="auto"/>
            </w:pPr>
            <w:r w:rsidRPr="00591BFC">
              <w:t>0.006</w:t>
            </w:r>
          </w:p>
        </w:tc>
      </w:tr>
      <w:tr w:rsidR="00746C94" w:rsidRPr="00591BFC" w14:paraId="3B8E4351" w14:textId="77777777" w:rsidTr="00FE3F68">
        <w:trPr>
          <w:trHeight w:val="330"/>
        </w:trPr>
        <w:tc>
          <w:tcPr>
            <w:tcW w:w="3908" w:type="dxa"/>
            <w:shd w:val="clear" w:color="auto" w:fill="auto"/>
            <w:noWrap/>
            <w:hideMark/>
          </w:tcPr>
          <w:p w14:paraId="6CC8A847"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68EC943E" w14:textId="77777777" w:rsidR="00746C94" w:rsidRPr="00591BFC" w:rsidRDefault="00746C94" w:rsidP="00E86771">
            <w:pPr>
              <w:spacing w:line="360" w:lineRule="auto"/>
            </w:pPr>
            <w:r w:rsidRPr="00591BFC">
              <w:t>1.97</w:t>
            </w:r>
          </w:p>
        </w:tc>
        <w:tc>
          <w:tcPr>
            <w:tcW w:w="1320" w:type="dxa"/>
            <w:shd w:val="clear" w:color="auto" w:fill="auto"/>
            <w:noWrap/>
            <w:hideMark/>
          </w:tcPr>
          <w:p w14:paraId="56FFF074" w14:textId="77777777" w:rsidR="00746C94" w:rsidRPr="00591BFC" w:rsidRDefault="00746C94" w:rsidP="00E86771">
            <w:pPr>
              <w:spacing w:line="360" w:lineRule="auto"/>
            </w:pPr>
            <w:r w:rsidRPr="00591BFC">
              <w:t>0.24</w:t>
            </w:r>
          </w:p>
        </w:tc>
        <w:tc>
          <w:tcPr>
            <w:tcW w:w="1320" w:type="dxa"/>
            <w:shd w:val="clear" w:color="auto" w:fill="auto"/>
            <w:noWrap/>
            <w:hideMark/>
          </w:tcPr>
          <w:p w14:paraId="33B87B7E" w14:textId="77777777" w:rsidR="00746C94" w:rsidRPr="00591BFC" w:rsidRDefault="00746C94" w:rsidP="00E86771">
            <w:pPr>
              <w:spacing w:line="360" w:lineRule="auto"/>
            </w:pPr>
            <w:r w:rsidRPr="00591BFC">
              <w:t>3.7</w:t>
            </w:r>
          </w:p>
        </w:tc>
        <w:tc>
          <w:tcPr>
            <w:tcW w:w="1320" w:type="dxa"/>
            <w:shd w:val="clear" w:color="auto" w:fill="auto"/>
            <w:noWrap/>
            <w:hideMark/>
          </w:tcPr>
          <w:p w14:paraId="47665316" w14:textId="77777777" w:rsidR="00746C94" w:rsidRPr="00591BFC" w:rsidRDefault="00746C94" w:rsidP="00E86771">
            <w:pPr>
              <w:spacing w:line="360" w:lineRule="auto"/>
            </w:pPr>
            <w:r w:rsidRPr="00591BFC">
              <w:t>0.028</w:t>
            </w:r>
          </w:p>
        </w:tc>
      </w:tr>
      <w:tr w:rsidR="00746C94" w:rsidRPr="00591BFC" w14:paraId="20C9AF53" w14:textId="77777777" w:rsidTr="00FE3F68">
        <w:trPr>
          <w:trHeight w:val="330"/>
        </w:trPr>
        <w:tc>
          <w:tcPr>
            <w:tcW w:w="3908" w:type="dxa"/>
            <w:shd w:val="clear" w:color="auto" w:fill="auto"/>
            <w:noWrap/>
            <w:hideMark/>
          </w:tcPr>
          <w:p w14:paraId="5BB94979"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6E4498FF" w14:textId="77777777" w:rsidR="00746C94" w:rsidRPr="00591BFC" w:rsidRDefault="00746C94" w:rsidP="00E86771">
            <w:pPr>
              <w:spacing w:line="360" w:lineRule="auto"/>
            </w:pPr>
            <w:r w:rsidRPr="00591BFC">
              <w:t>-2.26</w:t>
            </w:r>
          </w:p>
        </w:tc>
        <w:tc>
          <w:tcPr>
            <w:tcW w:w="1320" w:type="dxa"/>
            <w:shd w:val="clear" w:color="auto" w:fill="auto"/>
            <w:noWrap/>
            <w:hideMark/>
          </w:tcPr>
          <w:p w14:paraId="58AE5A02" w14:textId="77777777" w:rsidR="00746C94" w:rsidRPr="00591BFC" w:rsidRDefault="00746C94" w:rsidP="00E86771">
            <w:pPr>
              <w:spacing w:line="360" w:lineRule="auto"/>
            </w:pPr>
            <w:r w:rsidRPr="00591BFC">
              <w:t>-11.3</w:t>
            </w:r>
          </w:p>
        </w:tc>
        <w:tc>
          <w:tcPr>
            <w:tcW w:w="1320" w:type="dxa"/>
            <w:shd w:val="clear" w:color="auto" w:fill="auto"/>
            <w:noWrap/>
            <w:hideMark/>
          </w:tcPr>
          <w:p w14:paraId="33BFE3CE" w14:textId="77777777" w:rsidR="00746C94" w:rsidRPr="00591BFC" w:rsidRDefault="00746C94" w:rsidP="00E86771">
            <w:pPr>
              <w:spacing w:line="360" w:lineRule="auto"/>
            </w:pPr>
            <w:r w:rsidRPr="00591BFC">
              <w:t>6.78</w:t>
            </w:r>
          </w:p>
        </w:tc>
        <w:tc>
          <w:tcPr>
            <w:tcW w:w="1320" w:type="dxa"/>
            <w:shd w:val="clear" w:color="auto" w:fill="auto"/>
            <w:noWrap/>
            <w:hideMark/>
          </w:tcPr>
          <w:p w14:paraId="639330F2" w14:textId="77777777" w:rsidR="00746C94" w:rsidRPr="00591BFC" w:rsidRDefault="00746C94" w:rsidP="00E86771">
            <w:pPr>
              <w:spacing w:line="360" w:lineRule="auto"/>
            </w:pPr>
            <w:r w:rsidRPr="00591BFC">
              <w:t>0.6</w:t>
            </w:r>
          </w:p>
        </w:tc>
      </w:tr>
      <w:tr w:rsidR="00746C94" w:rsidRPr="00591BFC" w14:paraId="7B90457D" w14:textId="77777777" w:rsidTr="00FE3F68">
        <w:trPr>
          <w:trHeight w:val="330"/>
        </w:trPr>
        <w:tc>
          <w:tcPr>
            <w:tcW w:w="3908" w:type="dxa"/>
            <w:shd w:val="clear" w:color="auto" w:fill="auto"/>
            <w:noWrap/>
            <w:hideMark/>
          </w:tcPr>
          <w:p w14:paraId="7457BCD8"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64F4A56D" w14:textId="77777777" w:rsidR="00746C94" w:rsidRPr="00591BFC" w:rsidRDefault="00746C94" w:rsidP="00E86771">
            <w:pPr>
              <w:spacing w:line="360" w:lineRule="auto"/>
            </w:pPr>
            <w:r w:rsidRPr="00591BFC">
              <w:t>-1.81</w:t>
            </w:r>
          </w:p>
        </w:tc>
        <w:tc>
          <w:tcPr>
            <w:tcW w:w="1320" w:type="dxa"/>
            <w:shd w:val="clear" w:color="auto" w:fill="auto"/>
            <w:noWrap/>
            <w:hideMark/>
          </w:tcPr>
          <w:p w14:paraId="187B2349" w14:textId="77777777" w:rsidR="00746C94" w:rsidRPr="00591BFC" w:rsidRDefault="00746C94" w:rsidP="00E86771">
            <w:pPr>
              <w:spacing w:line="360" w:lineRule="auto"/>
            </w:pPr>
            <w:r w:rsidRPr="00591BFC">
              <w:t>-5.88</w:t>
            </w:r>
          </w:p>
        </w:tc>
        <w:tc>
          <w:tcPr>
            <w:tcW w:w="1320" w:type="dxa"/>
            <w:shd w:val="clear" w:color="auto" w:fill="auto"/>
            <w:noWrap/>
            <w:hideMark/>
          </w:tcPr>
          <w:p w14:paraId="47057572" w14:textId="77777777" w:rsidR="00746C94" w:rsidRPr="00591BFC" w:rsidRDefault="00746C94" w:rsidP="00E86771">
            <w:pPr>
              <w:spacing w:line="360" w:lineRule="auto"/>
            </w:pPr>
            <w:r w:rsidRPr="00591BFC">
              <w:t>2.25</w:t>
            </w:r>
          </w:p>
        </w:tc>
        <w:tc>
          <w:tcPr>
            <w:tcW w:w="1320" w:type="dxa"/>
            <w:shd w:val="clear" w:color="auto" w:fill="auto"/>
            <w:noWrap/>
            <w:hideMark/>
          </w:tcPr>
          <w:p w14:paraId="37776CA8" w14:textId="77777777" w:rsidR="00746C94" w:rsidRPr="00591BFC" w:rsidRDefault="00746C94" w:rsidP="00E86771">
            <w:pPr>
              <w:spacing w:line="360" w:lineRule="auto"/>
            </w:pPr>
            <w:r w:rsidRPr="00591BFC">
              <w:t>0.36</w:t>
            </w:r>
          </w:p>
        </w:tc>
      </w:tr>
      <w:tr w:rsidR="00746C94" w:rsidRPr="00591BFC" w14:paraId="3F93BCAB" w14:textId="77777777" w:rsidTr="00FE3F68">
        <w:trPr>
          <w:trHeight w:val="330"/>
        </w:trPr>
        <w:tc>
          <w:tcPr>
            <w:tcW w:w="3908" w:type="dxa"/>
            <w:shd w:val="clear" w:color="auto" w:fill="auto"/>
            <w:noWrap/>
            <w:hideMark/>
          </w:tcPr>
          <w:p w14:paraId="68C6D228"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2E792B37" w14:textId="77777777" w:rsidR="00746C94" w:rsidRPr="00591BFC" w:rsidRDefault="00746C94" w:rsidP="00E86771">
            <w:pPr>
              <w:spacing w:line="360" w:lineRule="auto"/>
            </w:pPr>
            <w:r w:rsidRPr="00591BFC">
              <w:t>4.8</w:t>
            </w:r>
          </w:p>
        </w:tc>
        <w:tc>
          <w:tcPr>
            <w:tcW w:w="1320" w:type="dxa"/>
            <w:shd w:val="clear" w:color="auto" w:fill="auto"/>
            <w:noWrap/>
            <w:hideMark/>
          </w:tcPr>
          <w:p w14:paraId="797B98EC" w14:textId="77777777" w:rsidR="00746C94" w:rsidRPr="00591BFC" w:rsidRDefault="00746C94" w:rsidP="00E86771">
            <w:pPr>
              <w:spacing w:line="360" w:lineRule="auto"/>
            </w:pPr>
            <w:r w:rsidRPr="00591BFC">
              <w:t>-2.5</w:t>
            </w:r>
          </w:p>
        </w:tc>
        <w:tc>
          <w:tcPr>
            <w:tcW w:w="1320" w:type="dxa"/>
            <w:shd w:val="clear" w:color="auto" w:fill="auto"/>
            <w:noWrap/>
            <w:hideMark/>
          </w:tcPr>
          <w:p w14:paraId="15A67B91" w14:textId="77777777" w:rsidR="00746C94" w:rsidRPr="00591BFC" w:rsidRDefault="00746C94" w:rsidP="00E86771">
            <w:pPr>
              <w:spacing w:line="360" w:lineRule="auto"/>
            </w:pPr>
            <w:r w:rsidRPr="00591BFC">
              <w:t>12.1</w:t>
            </w:r>
          </w:p>
        </w:tc>
        <w:tc>
          <w:tcPr>
            <w:tcW w:w="1320" w:type="dxa"/>
            <w:shd w:val="clear" w:color="auto" w:fill="auto"/>
            <w:noWrap/>
            <w:hideMark/>
          </w:tcPr>
          <w:p w14:paraId="2EDF1775" w14:textId="77777777" w:rsidR="00746C94" w:rsidRPr="00591BFC" w:rsidRDefault="00746C94" w:rsidP="00E86771">
            <w:pPr>
              <w:spacing w:line="360" w:lineRule="auto"/>
            </w:pPr>
            <w:r w:rsidRPr="00591BFC">
              <w:t>0.18</w:t>
            </w:r>
          </w:p>
        </w:tc>
      </w:tr>
      <w:tr w:rsidR="00746C94" w:rsidRPr="00591BFC" w14:paraId="045BAE58" w14:textId="77777777" w:rsidTr="00FE3F68">
        <w:trPr>
          <w:trHeight w:val="300"/>
        </w:trPr>
        <w:tc>
          <w:tcPr>
            <w:tcW w:w="3908" w:type="dxa"/>
            <w:shd w:val="clear" w:color="auto" w:fill="auto"/>
            <w:noWrap/>
            <w:hideMark/>
          </w:tcPr>
          <w:p w14:paraId="21B9CBCF"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6FCC75F3" w14:textId="77777777" w:rsidR="00746C94" w:rsidRPr="00591BFC" w:rsidRDefault="00746C94" w:rsidP="00E86771">
            <w:pPr>
              <w:spacing w:line="360" w:lineRule="auto"/>
            </w:pPr>
            <w:r w:rsidRPr="00591BFC">
              <w:t>-0.61</w:t>
            </w:r>
          </w:p>
        </w:tc>
        <w:tc>
          <w:tcPr>
            <w:tcW w:w="1320" w:type="dxa"/>
            <w:shd w:val="clear" w:color="auto" w:fill="auto"/>
            <w:noWrap/>
            <w:hideMark/>
          </w:tcPr>
          <w:p w14:paraId="11D5DC7F" w14:textId="77777777" w:rsidR="00746C94" w:rsidRPr="00591BFC" w:rsidRDefault="00746C94" w:rsidP="00E86771">
            <w:pPr>
              <w:spacing w:line="360" w:lineRule="auto"/>
            </w:pPr>
            <w:r w:rsidRPr="00591BFC">
              <w:t>-4.67</w:t>
            </w:r>
          </w:p>
        </w:tc>
        <w:tc>
          <w:tcPr>
            <w:tcW w:w="1320" w:type="dxa"/>
            <w:shd w:val="clear" w:color="auto" w:fill="auto"/>
            <w:noWrap/>
            <w:hideMark/>
          </w:tcPr>
          <w:p w14:paraId="5478B94B" w14:textId="77777777" w:rsidR="00746C94" w:rsidRPr="00591BFC" w:rsidRDefault="00746C94" w:rsidP="00E86771">
            <w:pPr>
              <w:spacing w:line="360" w:lineRule="auto"/>
            </w:pPr>
            <w:r w:rsidRPr="00591BFC">
              <w:t>3.45</w:t>
            </w:r>
          </w:p>
        </w:tc>
        <w:tc>
          <w:tcPr>
            <w:tcW w:w="1320" w:type="dxa"/>
            <w:shd w:val="clear" w:color="auto" w:fill="auto"/>
            <w:noWrap/>
            <w:hideMark/>
          </w:tcPr>
          <w:p w14:paraId="36696530" w14:textId="77777777" w:rsidR="00746C94" w:rsidRPr="00591BFC" w:rsidRDefault="00746C94" w:rsidP="00E86771">
            <w:pPr>
              <w:spacing w:line="360" w:lineRule="auto"/>
            </w:pPr>
            <w:r w:rsidRPr="00591BFC">
              <w:t>0.75</w:t>
            </w:r>
          </w:p>
        </w:tc>
      </w:tr>
      <w:tr w:rsidR="00746C94" w:rsidRPr="00591BFC" w14:paraId="38ABDBF5" w14:textId="77777777" w:rsidTr="00FE3F68">
        <w:trPr>
          <w:trHeight w:val="315"/>
        </w:trPr>
        <w:tc>
          <w:tcPr>
            <w:tcW w:w="9188" w:type="dxa"/>
            <w:gridSpan w:val="5"/>
            <w:shd w:val="clear" w:color="auto" w:fill="auto"/>
            <w:hideMark/>
          </w:tcPr>
          <w:p w14:paraId="4C3C1985" w14:textId="77777777" w:rsidR="00746C94" w:rsidRPr="00591BFC" w:rsidRDefault="00746C94" w:rsidP="00E86771">
            <w:pPr>
              <w:spacing w:line="360" w:lineRule="auto"/>
              <w:rPr>
                <w:u w:val="single"/>
              </w:rPr>
            </w:pPr>
            <w:r w:rsidRPr="00591BFC">
              <w:rPr>
                <w:u w:val="single"/>
              </w:rPr>
              <w:t>any incident anti-OP medication use (1 year)*</w:t>
            </w:r>
          </w:p>
        </w:tc>
      </w:tr>
      <w:tr w:rsidR="00746C94" w:rsidRPr="00591BFC" w14:paraId="6CC81EAE" w14:textId="77777777" w:rsidTr="00FE3F68">
        <w:trPr>
          <w:trHeight w:val="330"/>
        </w:trPr>
        <w:tc>
          <w:tcPr>
            <w:tcW w:w="3908" w:type="dxa"/>
            <w:shd w:val="clear" w:color="auto" w:fill="auto"/>
            <w:noWrap/>
            <w:hideMark/>
          </w:tcPr>
          <w:p w14:paraId="34221B46"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1B7D1B08" w14:textId="77777777" w:rsidR="00746C94" w:rsidRPr="00591BFC" w:rsidRDefault="00746C94" w:rsidP="00E86771">
            <w:pPr>
              <w:spacing w:line="360" w:lineRule="auto"/>
            </w:pPr>
            <w:r w:rsidRPr="00591BFC">
              <w:t>2.5</w:t>
            </w:r>
          </w:p>
        </w:tc>
        <w:tc>
          <w:tcPr>
            <w:tcW w:w="1320" w:type="dxa"/>
            <w:shd w:val="clear" w:color="auto" w:fill="auto"/>
            <w:noWrap/>
            <w:hideMark/>
          </w:tcPr>
          <w:p w14:paraId="2982CA24" w14:textId="77777777" w:rsidR="00746C94" w:rsidRPr="00591BFC" w:rsidRDefault="00746C94" w:rsidP="00E86771">
            <w:pPr>
              <w:spacing w:line="360" w:lineRule="auto"/>
            </w:pPr>
            <w:r w:rsidRPr="00591BFC">
              <w:t>-0.16</w:t>
            </w:r>
          </w:p>
        </w:tc>
        <w:tc>
          <w:tcPr>
            <w:tcW w:w="1320" w:type="dxa"/>
            <w:shd w:val="clear" w:color="auto" w:fill="auto"/>
            <w:noWrap/>
            <w:hideMark/>
          </w:tcPr>
          <w:p w14:paraId="19917E74" w14:textId="77777777" w:rsidR="00746C94" w:rsidRPr="00591BFC" w:rsidRDefault="00746C94" w:rsidP="00E86771">
            <w:pPr>
              <w:spacing w:line="360" w:lineRule="auto"/>
            </w:pPr>
            <w:r w:rsidRPr="00591BFC">
              <w:t>5.17</w:t>
            </w:r>
          </w:p>
        </w:tc>
        <w:tc>
          <w:tcPr>
            <w:tcW w:w="1320" w:type="dxa"/>
            <w:shd w:val="clear" w:color="auto" w:fill="auto"/>
            <w:noWrap/>
            <w:hideMark/>
          </w:tcPr>
          <w:p w14:paraId="7DACE488" w14:textId="77777777" w:rsidR="00746C94" w:rsidRPr="00591BFC" w:rsidRDefault="00746C94" w:rsidP="00E86771">
            <w:pPr>
              <w:spacing w:line="360" w:lineRule="auto"/>
            </w:pPr>
            <w:r w:rsidRPr="00591BFC">
              <w:t>0.064</w:t>
            </w:r>
          </w:p>
        </w:tc>
      </w:tr>
      <w:tr w:rsidR="00746C94" w:rsidRPr="00591BFC" w14:paraId="51346F7E" w14:textId="77777777" w:rsidTr="00FE3F68">
        <w:trPr>
          <w:trHeight w:val="330"/>
        </w:trPr>
        <w:tc>
          <w:tcPr>
            <w:tcW w:w="3908" w:type="dxa"/>
            <w:shd w:val="clear" w:color="auto" w:fill="auto"/>
            <w:noWrap/>
            <w:hideMark/>
          </w:tcPr>
          <w:p w14:paraId="544DDAFE"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49D71DC3" w14:textId="77777777" w:rsidR="00746C94" w:rsidRPr="00591BFC" w:rsidRDefault="00746C94" w:rsidP="00E86771">
            <w:pPr>
              <w:spacing w:line="360" w:lineRule="auto"/>
            </w:pPr>
            <w:r w:rsidRPr="00591BFC">
              <w:t>1.09</w:t>
            </w:r>
          </w:p>
        </w:tc>
        <w:tc>
          <w:tcPr>
            <w:tcW w:w="1320" w:type="dxa"/>
            <w:shd w:val="clear" w:color="auto" w:fill="auto"/>
            <w:noWrap/>
            <w:hideMark/>
          </w:tcPr>
          <w:p w14:paraId="5C9D935C" w14:textId="77777777" w:rsidR="00746C94" w:rsidRPr="00591BFC" w:rsidRDefault="00746C94" w:rsidP="00E86771">
            <w:pPr>
              <w:spacing w:line="360" w:lineRule="auto"/>
            </w:pPr>
            <w:r w:rsidRPr="00591BFC">
              <w:t>0.69</w:t>
            </w:r>
          </w:p>
        </w:tc>
        <w:tc>
          <w:tcPr>
            <w:tcW w:w="1320" w:type="dxa"/>
            <w:shd w:val="clear" w:color="auto" w:fill="auto"/>
            <w:noWrap/>
            <w:hideMark/>
          </w:tcPr>
          <w:p w14:paraId="242B223D" w14:textId="77777777" w:rsidR="00746C94" w:rsidRPr="00591BFC" w:rsidRDefault="00746C94" w:rsidP="00E86771">
            <w:pPr>
              <w:spacing w:line="360" w:lineRule="auto"/>
            </w:pPr>
            <w:r w:rsidRPr="00591BFC">
              <w:t>1.48</w:t>
            </w:r>
          </w:p>
        </w:tc>
        <w:tc>
          <w:tcPr>
            <w:tcW w:w="1320" w:type="dxa"/>
            <w:shd w:val="clear" w:color="auto" w:fill="auto"/>
            <w:noWrap/>
            <w:hideMark/>
          </w:tcPr>
          <w:p w14:paraId="25CD54A1" w14:textId="77777777" w:rsidR="00746C94" w:rsidRPr="00591BFC" w:rsidRDefault="00746C94" w:rsidP="00E86771">
            <w:pPr>
              <w:spacing w:line="360" w:lineRule="auto"/>
            </w:pPr>
            <w:r w:rsidRPr="00591BFC">
              <w:t>&lt;0.001</w:t>
            </w:r>
          </w:p>
        </w:tc>
      </w:tr>
      <w:tr w:rsidR="00746C94" w:rsidRPr="00591BFC" w14:paraId="7CBEB384" w14:textId="77777777" w:rsidTr="00FE3F68">
        <w:trPr>
          <w:trHeight w:val="330"/>
        </w:trPr>
        <w:tc>
          <w:tcPr>
            <w:tcW w:w="3908" w:type="dxa"/>
            <w:shd w:val="clear" w:color="auto" w:fill="auto"/>
            <w:noWrap/>
            <w:hideMark/>
          </w:tcPr>
          <w:p w14:paraId="63A607CB"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7385DA79" w14:textId="77777777" w:rsidR="00746C94" w:rsidRPr="00591BFC" w:rsidRDefault="00746C94" w:rsidP="00E86771">
            <w:pPr>
              <w:spacing w:line="360" w:lineRule="auto"/>
            </w:pPr>
            <w:r w:rsidRPr="00591BFC">
              <w:t>11.6</w:t>
            </w:r>
          </w:p>
        </w:tc>
        <w:tc>
          <w:tcPr>
            <w:tcW w:w="1320" w:type="dxa"/>
            <w:shd w:val="clear" w:color="auto" w:fill="auto"/>
            <w:noWrap/>
            <w:hideMark/>
          </w:tcPr>
          <w:p w14:paraId="711B4B17" w14:textId="77777777" w:rsidR="00746C94" w:rsidRPr="00591BFC" w:rsidRDefault="00746C94" w:rsidP="00E86771">
            <w:pPr>
              <w:spacing w:line="360" w:lineRule="auto"/>
            </w:pPr>
            <w:r w:rsidRPr="00591BFC">
              <w:t>6.55</w:t>
            </w:r>
          </w:p>
        </w:tc>
        <w:tc>
          <w:tcPr>
            <w:tcW w:w="1320" w:type="dxa"/>
            <w:shd w:val="clear" w:color="auto" w:fill="auto"/>
            <w:noWrap/>
            <w:hideMark/>
          </w:tcPr>
          <w:p w14:paraId="3F1CAA5D" w14:textId="77777777" w:rsidR="00746C94" w:rsidRPr="00591BFC" w:rsidRDefault="00746C94" w:rsidP="00E86771">
            <w:pPr>
              <w:spacing w:line="360" w:lineRule="auto"/>
            </w:pPr>
            <w:r w:rsidRPr="00591BFC">
              <w:t>16.7</w:t>
            </w:r>
          </w:p>
        </w:tc>
        <w:tc>
          <w:tcPr>
            <w:tcW w:w="1320" w:type="dxa"/>
            <w:shd w:val="clear" w:color="auto" w:fill="auto"/>
            <w:noWrap/>
            <w:hideMark/>
          </w:tcPr>
          <w:p w14:paraId="49C0991C" w14:textId="77777777" w:rsidR="00746C94" w:rsidRPr="00591BFC" w:rsidRDefault="00746C94" w:rsidP="00E86771">
            <w:pPr>
              <w:spacing w:line="360" w:lineRule="auto"/>
            </w:pPr>
            <w:r w:rsidRPr="00591BFC">
              <w:t>&lt;0.001</w:t>
            </w:r>
          </w:p>
        </w:tc>
      </w:tr>
      <w:tr w:rsidR="00746C94" w:rsidRPr="00591BFC" w14:paraId="0F786F10" w14:textId="77777777" w:rsidTr="00FE3F68">
        <w:trPr>
          <w:trHeight w:val="330"/>
        </w:trPr>
        <w:tc>
          <w:tcPr>
            <w:tcW w:w="3908" w:type="dxa"/>
            <w:shd w:val="clear" w:color="auto" w:fill="auto"/>
            <w:noWrap/>
            <w:hideMark/>
          </w:tcPr>
          <w:p w14:paraId="3AF9C1D2"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1A8D5A4D" w14:textId="77777777" w:rsidR="00746C94" w:rsidRPr="00591BFC" w:rsidRDefault="00746C94" w:rsidP="00E86771">
            <w:pPr>
              <w:spacing w:line="360" w:lineRule="auto"/>
            </w:pPr>
            <w:r w:rsidRPr="00591BFC">
              <w:t>1.44</w:t>
            </w:r>
          </w:p>
        </w:tc>
        <w:tc>
          <w:tcPr>
            <w:tcW w:w="1320" w:type="dxa"/>
            <w:shd w:val="clear" w:color="auto" w:fill="auto"/>
            <w:noWrap/>
            <w:hideMark/>
          </w:tcPr>
          <w:p w14:paraId="3BCDFA9D" w14:textId="77777777" w:rsidR="00746C94" w:rsidRPr="00591BFC" w:rsidRDefault="00746C94" w:rsidP="00E86771">
            <w:pPr>
              <w:spacing w:line="360" w:lineRule="auto"/>
            </w:pPr>
            <w:r w:rsidRPr="00591BFC">
              <w:t>0.08</w:t>
            </w:r>
          </w:p>
        </w:tc>
        <w:tc>
          <w:tcPr>
            <w:tcW w:w="1320" w:type="dxa"/>
            <w:shd w:val="clear" w:color="auto" w:fill="auto"/>
            <w:noWrap/>
            <w:hideMark/>
          </w:tcPr>
          <w:p w14:paraId="68142D2D" w14:textId="77777777" w:rsidR="00746C94" w:rsidRPr="00591BFC" w:rsidRDefault="00746C94" w:rsidP="00E86771">
            <w:pPr>
              <w:spacing w:line="360" w:lineRule="auto"/>
            </w:pPr>
            <w:r w:rsidRPr="00591BFC">
              <w:t>2.8</w:t>
            </w:r>
          </w:p>
        </w:tc>
        <w:tc>
          <w:tcPr>
            <w:tcW w:w="1320" w:type="dxa"/>
            <w:shd w:val="clear" w:color="auto" w:fill="auto"/>
            <w:noWrap/>
            <w:hideMark/>
          </w:tcPr>
          <w:p w14:paraId="691616E0" w14:textId="77777777" w:rsidR="00746C94" w:rsidRPr="00591BFC" w:rsidRDefault="00746C94" w:rsidP="00E86771">
            <w:pPr>
              <w:spacing w:line="360" w:lineRule="auto"/>
            </w:pPr>
            <w:r w:rsidRPr="00591BFC">
              <w:t>0.04</w:t>
            </w:r>
          </w:p>
        </w:tc>
      </w:tr>
      <w:tr w:rsidR="00746C94" w:rsidRPr="00591BFC" w14:paraId="01F7A1AC" w14:textId="77777777" w:rsidTr="00FE3F68">
        <w:trPr>
          <w:trHeight w:val="330"/>
        </w:trPr>
        <w:tc>
          <w:tcPr>
            <w:tcW w:w="3908" w:type="dxa"/>
            <w:shd w:val="clear" w:color="auto" w:fill="auto"/>
            <w:noWrap/>
            <w:hideMark/>
          </w:tcPr>
          <w:p w14:paraId="1A496A91" w14:textId="77777777" w:rsidR="00746C94" w:rsidRPr="00591BFC" w:rsidRDefault="00746C94" w:rsidP="00E86771">
            <w:pPr>
              <w:spacing w:line="360" w:lineRule="auto"/>
            </w:pPr>
            <w:r w:rsidRPr="00591BFC">
              <w:lastRenderedPageBreak/>
              <w:t>Level change after intervention 3+4 (β</w:t>
            </w:r>
            <w:r w:rsidRPr="00591BFC">
              <w:rPr>
                <w:vertAlign w:val="subscript"/>
              </w:rPr>
              <w:t>4</w:t>
            </w:r>
            <w:r w:rsidRPr="00591BFC">
              <w:t>)</w:t>
            </w:r>
          </w:p>
        </w:tc>
        <w:tc>
          <w:tcPr>
            <w:tcW w:w="1320" w:type="dxa"/>
            <w:shd w:val="clear" w:color="auto" w:fill="auto"/>
            <w:noWrap/>
            <w:hideMark/>
          </w:tcPr>
          <w:p w14:paraId="0D8A0788" w14:textId="77777777" w:rsidR="00746C94" w:rsidRPr="00591BFC" w:rsidRDefault="00746C94" w:rsidP="00E86771">
            <w:pPr>
              <w:spacing w:line="360" w:lineRule="auto"/>
            </w:pPr>
            <w:r w:rsidRPr="00591BFC">
              <w:t>-0.57</w:t>
            </w:r>
          </w:p>
        </w:tc>
        <w:tc>
          <w:tcPr>
            <w:tcW w:w="1320" w:type="dxa"/>
            <w:shd w:val="clear" w:color="auto" w:fill="auto"/>
            <w:noWrap/>
            <w:hideMark/>
          </w:tcPr>
          <w:p w14:paraId="034FB17F" w14:textId="77777777" w:rsidR="00746C94" w:rsidRPr="00591BFC" w:rsidRDefault="00746C94" w:rsidP="00E86771">
            <w:pPr>
              <w:spacing w:line="360" w:lineRule="auto"/>
            </w:pPr>
            <w:r w:rsidRPr="00591BFC">
              <w:t>-7.68</w:t>
            </w:r>
          </w:p>
        </w:tc>
        <w:tc>
          <w:tcPr>
            <w:tcW w:w="1320" w:type="dxa"/>
            <w:shd w:val="clear" w:color="auto" w:fill="auto"/>
            <w:noWrap/>
            <w:hideMark/>
          </w:tcPr>
          <w:p w14:paraId="2358F462" w14:textId="77777777" w:rsidR="00746C94" w:rsidRPr="00591BFC" w:rsidRDefault="00746C94" w:rsidP="00E86771">
            <w:pPr>
              <w:spacing w:line="360" w:lineRule="auto"/>
            </w:pPr>
            <w:r w:rsidRPr="00591BFC">
              <w:t>6.53</w:t>
            </w:r>
          </w:p>
        </w:tc>
        <w:tc>
          <w:tcPr>
            <w:tcW w:w="1320" w:type="dxa"/>
            <w:shd w:val="clear" w:color="auto" w:fill="auto"/>
            <w:noWrap/>
            <w:hideMark/>
          </w:tcPr>
          <w:p w14:paraId="26A423A1" w14:textId="77777777" w:rsidR="00746C94" w:rsidRPr="00591BFC" w:rsidRDefault="00746C94" w:rsidP="00E86771">
            <w:pPr>
              <w:spacing w:line="360" w:lineRule="auto"/>
            </w:pPr>
            <w:r w:rsidRPr="00591BFC">
              <w:t>0.87</w:t>
            </w:r>
          </w:p>
        </w:tc>
      </w:tr>
      <w:tr w:rsidR="00746C94" w:rsidRPr="00591BFC" w14:paraId="264EE76B" w14:textId="77777777" w:rsidTr="00FE3F68">
        <w:trPr>
          <w:trHeight w:val="330"/>
        </w:trPr>
        <w:tc>
          <w:tcPr>
            <w:tcW w:w="3908" w:type="dxa"/>
            <w:shd w:val="clear" w:color="auto" w:fill="auto"/>
            <w:noWrap/>
            <w:hideMark/>
          </w:tcPr>
          <w:p w14:paraId="1401F038"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296958AF" w14:textId="77777777" w:rsidR="00746C94" w:rsidRPr="00591BFC" w:rsidRDefault="00746C94" w:rsidP="00E86771">
            <w:pPr>
              <w:spacing w:line="360" w:lineRule="auto"/>
            </w:pPr>
            <w:r w:rsidRPr="00591BFC">
              <w:t>-1.52</w:t>
            </w:r>
          </w:p>
        </w:tc>
        <w:tc>
          <w:tcPr>
            <w:tcW w:w="1320" w:type="dxa"/>
            <w:shd w:val="clear" w:color="auto" w:fill="auto"/>
            <w:noWrap/>
            <w:hideMark/>
          </w:tcPr>
          <w:p w14:paraId="497BEEDE" w14:textId="77777777" w:rsidR="00746C94" w:rsidRPr="00591BFC" w:rsidRDefault="00746C94" w:rsidP="00E86771">
            <w:pPr>
              <w:spacing w:line="360" w:lineRule="auto"/>
            </w:pPr>
            <w:r w:rsidRPr="00591BFC">
              <w:t>-4.71</w:t>
            </w:r>
          </w:p>
        </w:tc>
        <w:tc>
          <w:tcPr>
            <w:tcW w:w="1320" w:type="dxa"/>
            <w:shd w:val="clear" w:color="auto" w:fill="auto"/>
            <w:noWrap/>
            <w:hideMark/>
          </w:tcPr>
          <w:p w14:paraId="32878474" w14:textId="77777777" w:rsidR="00746C94" w:rsidRPr="00591BFC" w:rsidRDefault="00746C94" w:rsidP="00E86771">
            <w:pPr>
              <w:spacing w:line="360" w:lineRule="auto"/>
            </w:pPr>
            <w:r w:rsidRPr="00591BFC">
              <w:t>1.67</w:t>
            </w:r>
          </w:p>
        </w:tc>
        <w:tc>
          <w:tcPr>
            <w:tcW w:w="1320" w:type="dxa"/>
            <w:shd w:val="clear" w:color="auto" w:fill="auto"/>
            <w:noWrap/>
            <w:hideMark/>
          </w:tcPr>
          <w:p w14:paraId="13F12CC3" w14:textId="77777777" w:rsidR="00746C94" w:rsidRPr="00591BFC" w:rsidRDefault="00746C94" w:rsidP="00E86771">
            <w:pPr>
              <w:spacing w:line="360" w:lineRule="auto"/>
            </w:pPr>
            <w:r w:rsidRPr="00591BFC">
              <w:t>0.33</w:t>
            </w:r>
          </w:p>
        </w:tc>
      </w:tr>
      <w:tr w:rsidR="00746C94" w:rsidRPr="00591BFC" w14:paraId="7F65864C" w14:textId="77777777" w:rsidTr="00FE3F68">
        <w:trPr>
          <w:trHeight w:val="330"/>
        </w:trPr>
        <w:tc>
          <w:tcPr>
            <w:tcW w:w="3908" w:type="dxa"/>
            <w:shd w:val="clear" w:color="auto" w:fill="auto"/>
            <w:noWrap/>
            <w:hideMark/>
          </w:tcPr>
          <w:p w14:paraId="3C10BEA6"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696ECAC8" w14:textId="77777777" w:rsidR="00746C94" w:rsidRPr="00591BFC" w:rsidRDefault="00746C94" w:rsidP="00E86771">
            <w:pPr>
              <w:spacing w:line="360" w:lineRule="auto"/>
            </w:pPr>
            <w:r w:rsidRPr="00591BFC">
              <w:t>1.31</w:t>
            </w:r>
          </w:p>
        </w:tc>
        <w:tc>
          <w:tcPr>
            <w:tcW w:w="1320" w:type="dxa"/>
            <w:shd w:val="clear" w:color="auto" w:fill="auto"/>
            <w:noWrap/>
            <w:hideMark/>
          </w:tcPr>
          <w:p w14:paraId="5A664ABF" w14:textId="77777777" w:rsidR="00746C94" w:rsidRPr="00591BFC" w:rsidRDefault="00746C94" w:rsidP="00E86771">
            <w:pPr>
              <w:spacing w:line="360" w:lineRule="auto"/>
            </w:pPr>
            <w:r w:rsidRPr="00591BFC">
              <w:t>-4.42</w:t>
            </w:r>
          </w:p>
        </w:tc>
        <w:tc>
          <w:tcPr>
            <w:tcW w:w="1320" w:type="dxa"/>
            <w:shd w:val="clear" w:color="auto" w:fill="auto"/>
            <w:noWrap/>
            <w:hideMark/>
          </w:tcPr>
          <w:p w14:paraId="214E7767" w14:textId="77777777" w:rsidR="00746C94" w:rsidRPr="00591BFC" w:rsidRDefault="00746C94" w:rsidP="00E86771">
            <w:pPr>
              <w:spacing w:line="360" w:lineRule="auto"/>
            </w:pPr>
            <w:r w:rsidRPr="00591BFC">
              <w:t>7.03</w:t>
            </w:r>
          </w:p>
        </w:tc>
        <w:tc>
          <w:tcPr>
            <w:tcW w:w="1320" w:type="dxa"/>
            <w:shd w:val="clear" w:color="auto" w:fill="auto"/>
            <w:noWrap/>
            <w:hideMark/>
          </w:tcPr>
          <w:p w14:paraId="5A47611D" w14:textId="77777777" w:rsidR="00746C94" w:rsidRPr="00591BFC" w:rsidRDefault="00746C94" w:rsidP="00E86771">
            <w:pPr>
              <w:spacing w:line="360" w:lineRule="auto"/>
            </w:pPr>
            <w:r w:rsidRPr="00591BFC">
              <w:t>0.64</w:t>
            </w:r>
          </w:p>
        </w:tc>
      </w:tr>
      <w:tr w:rsidR="00746C94" w:rsidRPr="00591BFC" w14:paraId="0632E82A" w14:textId="77777777" w:rsidTr="00FE3F68">
        <w:trPr>
          <w:trHeight w:val="330"/>
        </w:trPr>
        <w:tc>
          <w:tcPr>
            <w:tcW w:w="3908" w:type="dxa"/>
            <w:shd w:val="clear" w:color="auto" w:fill="auto"/>
            <w:noWrap/>
            <w:hideMark/>
          </w:tcPr>
          <w:p w14:paraId="74DE1FF8"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087D71CC" w14:textId="77777777" w:rsidR="00746C94" w:rsidRPr="00591BFC" w:rsidRDefault="00746C94" w:rsidP="00E86771">
            <w:pPr>
              <w:spacing w:line="360" w:lineRule="auto"/>
            </w:pPr>
            <w:r w:rsidRPr="00591BFC">
              <w:t>0.18</w:t>
            </w:r>
          </w:p>
        </w:tc>
        <w:tc>
          <w:tcPr>
            <w:tcW w:w="1320" w:type="dxa"/>
            <w:shd w:val="clear" w:color="auto" w:fill="auto"/>
            <w:noWrap/>
            <w:hideMark/>
          </w:tcPr>
          <w:p w14:paraId="4F834699" w14:textId="77777777" w:rsidR="00746C94" w:rsidRPr="00591BFC" w:rsidRDefault="00746C94" w:rsidP="00E86771">
            <w:pPr>
              <w:spacing w:line="360" w:lineRule="auto"/>
            </w:pPr>
            <w:r w:rsidRPr="00591BFC">
              <w:t>-3</w:t>
            </w:r>
          </w:p>
        </w:tc>
        <w:tc>
          <w:tcPr>
            <w:tcW w:w="1320" w:type="dxa"/>
            <w:shd w:val="clear" w:color="auto" w:fill="auto"/>
            <w:noWrap/>
            <w:hideMark/>
          </w:tcPr>
          <w:p w14:paraId="7A382ADA" w14:textId="77777777" w:rsidR="00746C94" w:rsidRPr="00591BFC" w:rsidRDefault="00746C94" w:rsidP="00E86771">
            <w:pPr>
              <w:spacing w:line="360" w:lineRule="auto"/>
            </w:pPr>
            <w:r w:rsidRPr="00591BFC">
              <w:t>3.37</w:t>
            </w:r>
          </w:p>
        </w:tc>
        <w:tc>
          <w:tcPr>
            <w:tcW w:w="1320" w:type="dxa"/>
            <w:shd w:val="clear" w:color="auto" w:fill="auto"/>
            <w:noWrap/>
            <w:hideMark/>
          </w:tcPr>
          <w:p w14:paraId="57D0F424" w14:textId="77777777" w:rsidR="00746C94" w:rsidRPr="00591BFC" w:rsidRDefault="00746C94" w:rsidP="00E86771">
            <w:pPr>
              <w:spacing w:line="360" w:lineRule="auto"/>
            </w:pPr>
            <w:r w:rsidRPr="00591BFC">
              <w:t>0.91</w:t>
            </w:r>
          </w:p>
        </w:tc>
      </w:tr>
      <w:tr w:rsidR="00746C94" w:rsidRPr="00591BFC" w14:paraId="6EEDAC01" w14:textId="77777777" w:rsidTr="00FE3F68">
        <w:trPr>
          <w:trHeight w:val="315"/>
        </w:trPr>
        <w:tc>
          <w:tcPr>
            <w:tcW w:w="3908" w:type="dxa"/>
            <w:shd w:val="clear" w:color="auto" w:fill="auto"/>
            <w:noWrap/>
            <w:hideMark/>
          </w:tcPr>
          <w:p w14:paraId="6A0159FD" w14:textId="77777777" w:rsidR="00746C94" w:rsidRPr="00591BFC" w:rsidRDefault="00746C94" w:rsidP="00E86771">
            <w:pPr>
              <w:spacing w:line="360" w:lineRule="auto"/>
            </w:pPr>
            <w:r w:rsidRPr="00591BFC">
              <w:t> </w:t>
            </w:r>
          </w:p>
        </w:tc>
        <w:tc>
          <w:tcPr>
            <w:tcW w:w="1320" w:type="dxa"/>
            <w:shd w:val="clear" w:color="auto" w:fill="auto"/>
            <w:noWrap/>
            <w:hideMark/>
          </w:tcPr>
          <w:p w14:paraId="50E62ABB" w14:textId="77777777" w:rsidR="00746C94" w:rsidRPr="00591BFC" w:rsidRDefault="00746C94" w:rsidP="00E86771">
            <w:pPr>
              <w:spacing w:line="360" w:lineRule="auto"/>
            </w:pPr>
            <w:r w:rsidRPr="00591BFC">
              <w:t> </w:t>
            </w:r>
          </w:p>
        </w:tc>
        <w:tc>
          <w:tcPr>
            <w:tcW w:w="1320" w:type="dxa"/>
            <w:shd w:val="clear" w:color="auto" w:fill="auto"/>
            <w:noWrap/>
            <w:hideMark/>
          </w:tcPr>
          <w:p w14:paraId="29023063" w14:textId="77777777" w:rsidR="00746C94" w:rsidRPr="00591BFC" w:rsidRDefault="00746C94" w:rsidP="00E86771">
            <w:pPr>
              <w:spacing w:line="360" w:lineRule="auto"/>
            </w:pPr>
            <w:r w:rsidRPr="00591BFC">
              <w:t> </w:t>
            </w:r>
          </w:p>
        </w:tc>
        <w:tc>
          <w:tcPr>
            <w:tcW w:w="1320" w:type="dxa"/>
            <w:shd w:val="clear" w:color="auto" w:fill="auto"/>
            <w:noWrap/>
            <w:hideMark/>
          </w:tcPr>
          <w:p w14:paraId="54070162" w14:textId="77777777" w:rsidR="00746C94" w:rsidRPr="00591BFC" w:rsidRDefault="00746C94" w:rsidP="00E86771">
            <w:pPr>
              <w:spacing w:line="360" w:lineRule="auto"/>
            </w:pPr>
            <w:r w:rsidRPr="00591BFC">
              <w:t> </w:t>
            </w:r>
          </w:p>
        </w:tc>
        <w:tc>
          <w:tcPr>
            <w:tcW w:w="1320" w:type="dxa"/>
            <w:shd w:val="clear" w:color="auto" w:fill="auto"/>
            <w:noWrap/>
            <w:hideMark/>
          </w:tcPr>
          <w:p w14:paraId="2BCCE804" w14:textId="77777777" w:rsidR="00746C94" w:rsidRPr="00591BFC" w:rsidRDefault="00746C94" w:rsidP="00E86771">
            <w:pPr>
              <w:spacing w:line="360" w:lineRule="auto"/>
            </w:pPr>
            <w:r w:rsidRPr="00591BFC">
              <w:t> </w:t>
            </w:r>
          </w:p>
        </w:tc>
      </w:tr>
      <w:tr w:rsidR="00746C94" w:rsidRPr="00591BFC" w14:paraId="459B9837" w14:textId="77777777" w:rsidTr="00FE3F68">
        <w:trPr>
          <w:trHeight w:val="300"/>
        </w:trPr>
        <w:tc>
          <w:tcPr>
            <w:tcW w:w="9188" w:type="dxa"/>
            <w:gridSpan w:val="5"/>
            <w:shd w:val="clear" w:color="auto" w:fill="auto"/>
            <w:hideMark/>
          </w:tcPr>
          <w:p w14:paraId="2EEC984D" w14:textId="77777777" w:rsidR="00746C94" w:rsidRPr="00591BFC" w:rsidRDefault="00746C94" w:rsidP="00E86771">
            <w:pPr>
              <w:spacing w:line="360" w:lineRule="auto"/>
              <w:rPr>
                <w:u w:val="single"/>
              </w:rPr>
            </w:pPr>
            <w:r w:rsidRPr="00591BFC">
              <w:rPr>
                <w:u w:val="single"/>
              </w:rPr>
              <w:t>bisphosphonate prevalence (2-6 months)*</w:t>
            </w:r>
          </w:p>
        </w:tc>
      </w:tr>
      <w:tr w:rsidR="00746C94" w:rsidRPr="00591BFC" w14:paraId="0C8900A6" w14:textId="77777777" w:rsidTr="00FE3F68">
        <w:trPr>
          <w:trHeight w:val="300"/>
        </w:trPr>
        <w:tc>
          <w:tcPr>
            <w:tcW w:w="3908" w:type="dxa"/>
            <w:shd w:val="clear" w:color="auto" w:fill="auto"/>
            <w:noWrap/>
            <w:hideMark/>
          </w:tcPr>
          <w:p w14:paraId="7D2B5270"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02069870" w14:textId="77777777" w:rsidR="00746C94" w:rsidRPr="00591BFC" w:rsidRDefault="00746C94" w:rsidP="00E86771">
            <w:pPr>
              <w:spacing w:line="360" w:lineRule="auto"/>
            </w:pPr>
            <w:r w:rsidRPr="00591BFC">
              <w:t>0.84</w:t>
            </w:r>
          </w:p>
        </w:tc>
        <w:tc>
          <w:tcPr>
            <w:tcW w:w="1320" w:type="dxa"/>
            <w:shd w:val="clear" w:color="auto" w:fill="auto"/>
            <w:noWrap/>
            <w:hideMark/>
          </w:tcPr>
          <w:p w14:paraId="5212BD01" w14:textId="77777777" w:rsidR="00746C94" w:rsidRPr="00591BFC" w:rsidRDefault="00746C94" w:rsidP="00E86771">
            <w:pPr>
              <w:spacing w:line="360" w:lineRule="auto"/>
            </w:pPr>
            <w:r w:rsidRPr="00591BFC">
              <w:t>-2.69</w:t>
            </w:r>
          </w:p>
        </w:tc>
        <w:tc>
          <w:tcPr>
            <w:tcW w:w="1320" w:type="dxa"/>
            <w:shd w:val="clear" w:color="auto" w:fill="auto"/>
            <w:noWrap/>
            <w:hideMark/>
          </w:tcPr>
          <w:p w14:paraId="33E9B1AC" w14:textId="77777777" w:rsidR="00746C94" w:rsidRPr="00591BFC" w:rsidRDefault="00746C94" w:rsidP="00E86771">
            <w:pPr>
              <w:spacing w:line="360" w:lineRule="auto"/>
            </w:pPr>
            <w:r w:rsidRPr="00591BFC">
              <w:t>4.36</w:t>
            </w:r>
          </w:p>
        </w:tc>
        <w:tc>
          <w:tcPr>
            <w:tcW w:w="1320" w:type="dxa"/>
            <w:shd w:val="clear" w:color="auto" w:fill="auto"/>
            <w:noWrap/>
            <w:hideMark/>
          </w:tcPr>
          <w:p w14:paraId="2751E9F4" w14:textId="77777777" w:rsidR="00746C94" w:rsidRPr="00591BFC" w:rsidRDefault="00746C94" w:rsidP="00E86771">
            <w:pPr>
              <w:spacing w:line="360" w:lineRule="auto"/>
            </w:pPr>
            <w:r w:rsidRPr="00591BFC">
              <w:t>0.62</w:t>
            </w:r>
          </w:p>
        </w:tc>
      </w:tr>
      <w:tr w:rsidR="00746C94" w:rsidRPr="00591BFC" w14:paraId="21F02CE1" w14:textId="77777777" w:rsidTr="00FE3F68">
        <w:trPr>
          <w:trHeight w:val="330"/>
        </w:trPr>
        <w:tc>
          <w:tcPr>
            <w:tcW w:w="3908" w:type="dxa"/>
            <w:shd w:val="clear" w:color="auto" w:fill="auto"/>
            <w:noWrap/>
            <w:hideMark/>
          </w:tcPr>
          <w:p w14:paraId="7EEA8CF5"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072E9D1A" w14:textId="77777777" w:rsidR="00746C94" w:rsidRPr="00591BFC" w:rsidRDefault="00746C94" w:rsidP="00E86771">
            <w:pPr>
              <w:spacing w:line="360" w:lineRule="auto"/>
            </w:pPr>
            <w:r w:rsidRPr="00591BFC">
              <w:t>0.88</w:t>
            </w:r>
          </w:p>
        </w:tc>
        <w:tc>
          <w:tcPr>
            <w:tcW w:w="1320" w:type="dxa"/>
            <w:shd w:val="clear" w:color="auto" w:fill="auto"/>
            <w:noWrap/>
            <w:hideMark/>
          </w:tcPr>
          <w:p w14:paraId="224D98EF" w14:textId="77777777" w:rsidR="00746C94" w:rsidRPr="00591BFC" w:rsidRDefault="00746C94" w:rsidP="00E86771">
            <w:pPr>
              <w:spacing w:line="360" w:lineRule="auto"/>
            </w:pPr>
            <w:r w:rsidRPr="00591BFC">
              <w:t>0.36</w:t>
            </w:r>
          </w:p>
        </w:tc>
        <w:tc>
          <w:tcPr>
            <w:tcW w:w="1320" w:type="dxa"/>
            <w:shd w:val="clear" w:color="auto" w:fill="auto"/>
            <w:noWrap/>
            <w:hideMark/>
          </w:tcPr>
          <w:p w14:paraId="15F0BBEE" w14:textId="77777777" w:rsidR="00746C94" w:rsidRPr="00591BFC" w:rsidRDefault="00746C94" w:rsidP="00E86771">
            <w:pPr>
              <w:spacing w:line="360" w:lineRule="auto"/>
            </w:pPr>
            <w:r w:rsidRPr="00591BFC">
              <w:t>1.4</w:t>
            </w:r>
          </w:p>
        </w:tc>
        <w:tc>
          <w:tcPr>
            <w:tcW w:w="1320" w:type="dxa"/>
            <w:shd w:val="clear" w:color="auto" w:fill="auto"/>
            <w:noWrap/>
            <w:hideMark/>
          </w:tcPr>
          <w:p w14:paraId="4F66484A" w14:textId="77777777" w:rsidR="00746C94" w:rsidRPr="00591BFC" w:rsidRDefault="00746C94" w:rsidP="00E86771">
            <w:pPr>
              <w:spacing w:line="360" w:lineRule="auto"/>
            </w:pPr>
            <w:r w:rsidRPr="00591BFC">
              <w:t>0.003</w:t>
            </w:r>
          </w:p>
        </w:tc>
      </w:tr>
      <w:tr w:rsidR="00746C94" w:rsidRPr="00591BFC" w14:paraId="2946ABDD" w14:textId="77777777" w:rsidTr="00FE3F68">
        <w:trPr>
          <w:trHeight w:val="330"/>
        </w:trPr>
        <w:tc>
          <w:tcPr>
            <w:tcW w:w="3908" w:type="dxa"/>
            <w:shd w:val="clear" w:color="auto" w:fill="auto"/>
            <w:noWrap/>
            <w:hideMark/>
          </w:tcPr>
          <w:p w14:paraId="15F68018"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2C9CCFB8" w14:textId="77777777" w:rsidR="00746C94" w:rsidRPr="00591BFC" w:rsidRDefault="00746C94" w:rsidP="00E86771">
            <w:pPr>
              <w:spacing w:line="360" w:lineRule="auto"/>
            </w:pPr>
            <w:r w:rsidRPr="00591BFC">
              <w:t>8.61</w:t>
            </w:r>
          </w:p>
        </w:tc>
        <w:tc>
          <w:tcPr>
            <w:tcW w:w="1320" w:type="dxa"/>
            <w:shd w:val="clear" w:color="auto" w:fill="auto"/>
            <w:noWrap/>
            <w:hideMark/>
          </w:tcPr>
          <w:p w14:paraId="16D985C3" w14:textId="77777777" w:rsidR="00746C94" w:rsidRPr="00591BFC" w:rsidRDefault="00746C94" w:rsidP="00E86771">
            <w:pPr>
              <w:spacing w:line="360" w:lineRule="auto"/>
            </w:pPr>
            <w:r w:rsidRPr="00591BFC">
              <w:t>1.9</w:t>
            </w:r>
          </w:p>
        </w:tc>
        <w:tc>
          <w:tcPr>
            <w:tcW w:w="1320" w:type="dxa"/>
            <w:shd w:val="clear" w:color="auto" w:fill="auto"/>
            <w:noWrap/>
            <w:hideMark/>
          </w:tcPr>
          <w:p w14:paraId="31ED3AFE" w14:textId="77777777" w:rsidR="00746C94" w:rsidRPr="00591BFC" w:rsidRDefault="00746C94" w:rsidP="00E86771">
            <w:pPr>
              <w:spacing w:line="360" w:lineRule="auto"/>
            </w:pPr>
            <w:r w:rsidRPr="00591BFC">
              <w:t>15.3</w:t>
            </w:r>
          </w:p>
        </w:tc>
        <w:tc>
          <w:tcPr>
            <w:tcW w:w="1320" w:type="dxa"/>
            <w:shd w:val="clear" w:color="auto" w:fill="auto"/>
            <w:noWrap/>
            <w:hideMark/>
          </w:tcPr>
          <w:p w14:paraId="74FD021B" w14:textId="77777777" w:rsidR="00746C94" w:rsidRPr="00591BFC" w:rsidRDefault="00746C94" w:rsidP="00E86771">
            <w:pPr>
              <w:spacing w:line="360" w:lineRule="auto"/>
            </w:pPr>
            <w:r w:rsidRPr="00591BFC">
              <w:t>0.015</w:t>
            </w:r>
          </w:p>
        </w:tc>
      </w:tr>
      <w:tr w:rsidR="00746C94" w:rsidRPr="00591BFC" w14:paraId="2BF6C857" w14:textId="77777777" w:rsidTr="00FE3F68">
        <w:trPr>
          <w:trHeight w:val="330"/>
        </w:trPr>
        <w:tc>
          <w:tcPr>
            <w:tcW w:w="3908" w:type="dxa"/>
            <w:shd w:val="clear" w:color="auto" w:fill="auto"/>
            <w:noWrap/>
            <w:hideMark/>
          </w:tcPr>
          <w:p w14:paraId="173C000D"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73DAA020" w14:textId="77777777" w:rsidR="00746C94" w:rsidRPr="00591BFC" w:rsidRDefault="00746C94" w:rsidP="00E86771">
            <w:pPr>
              <w:spacing w:line="360" w:lineRule="auto"/>
            </w:pPr>
            <w:r w:rsidRPr="00591BFC">
              <w:t>1.76</w:t>
            </w:r>
          </w:p>
        </w:tc>
        <w:tc>
          <w:tcPr>
            <w:tcW w:w="1320" w:type="dxa"/>
            <w:shd w:val="clear" w:color="auto" w:fill="auto"/>
            <w:noWrap/>
            <w:hideMark/>
          </w:tcPr>
          <w:p w14:paraId="253DEEAD" w14:textId="77777777" w:rsidR="00746C94" w:rsidRPr="00591BFC" w:rsidRDefault="00746C94" w:rsidP="00E86771">
            <w:pPr>
              <w:spacing w:line="360" w:lineRule="auto"/>
            </w:pPr>
            <w:r w:rsidRPr="00591BFC">
              <w:t>-0.04</w:t>
            </w:r>
          </w:p>
        </w:tc>
        <w:tc>
          <w:tcPr>
            <w:tcW w:w="1320" w:type="dxa"/>
            <w:shd w:val="clear" w:color="auto" w:fill="auto"/>
            <w:noWrap/>
            <w:hideMark/>
          </w:tcPr>
          <w:p w14:paraId="53FA30D9" w14:textId="77777777" w:rsidR="00746C94" w:rsidRPr="00591BFC" w:rsidRDefault="00746C94" w:rsidP="00E86771">
            <w:pPr>
              <w:spacing w:line="360" w:lineRule="auto"/>
            </w:pPr>
            <w:r w:rsidRPr="00591BFC">
              <w:t>3.56</w:t>
            </w:r>
          </w:p>
        </w:tc>
        <w:tc>
          <w:tcPr>
            <w:tcW w:w="1320" w:type="dxa"/>
            <w:shd w:val="clear" w:color="auto" w:fill="auto"/>
            <w:noWrap/>
            <w:hideMark/>
          </w:tcPr>
          <w:p w14:paraId="4030D20B" w14:textId="77777777" w:rsidR="00746C94" w:rsidRPr="00591BFC" w:rsidRDefault="00746C94" w:rsidP="00E86771">
            <w:pPr>
              <w:spacing w:line="360" w:lineRule="auto"/>
            </w:pPr>
            <w:r w:rsidRPr="00591BFC">
              <w:t>0.055</w:t>
            </w:r>
          </w:p>
        </w:tc>
      </w:tr>
      <w:tr w:rsidR="00746C94" w:rsidRPr="00591BFC" w14:paraId="41799B0E" w14:textId="77777777" w:rsidTr="00FE3F68">
        <w:trPr>
          <w:trHeight w:val="330"/>
        </w:trPr>
        <w:tc>
          <w:tcPr>
            <w:tcW w:w="3908" w:type="dxa"/>
            <w:shd w:val="clear" w:color="auto" w:fill="auto"/>
            <w:noWrap/>
            <w:hideMark/>
          </w:tcPr>
          <w:p w14:paraId="35706B00"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34C5BE16" w14:textId="77777777" w:rsidR="00746C94" w:rsidRPr="00591BFC" w:rsidRDefault="00746C94" w:rsidP="00E86771">
            <w:pPr>
              <w:spacing w:line="360" w:lineRule="auto"/>
            </w:pPr>
            <w:r w:rsidRPr="00591BFC">
              <w:t>-12.1</w:t>
            </w:r>
          </w:p>
        </w:tc>
        <w:tc>
          <w:tcPr>
            <w:tcW w:w="1320" w:type="dxa"/>
            <w:shd w:val="clear" w:color="auto" w:fill="auto"/>
            <w:noWrap/>
            <w:hideMark/>
          </w:tcPr>
          <w:p w14:paraId="211A18BA" w14:textId="77777777" w:rsidR="00746C94" w:rsidRPr="00591BFC" w:rsidRDefault="00746C94" w:rsidP="00E86771">
            <w:pPr>
              <w:spacing w:line="360" w:lineRule="auto"/>
            </w:pPr>
            <w:r w:rsidRPr="00591BFC">
              <w:t>-21.5</w:t>
            </w:r>
          </w:p>
        </w:tc>
        <w:tc>
          <w:tcPr>
            <w:tcW w:w="1320" w:type="dxa"/>
            <w:shd w:val="clear" w:color="auto" w:fill="auto"/>
            <w:noWrap/>
            <w:hideMark/>
          </w:tcPr>
          <w:p w14:paraId="01335D08" w14:textId="77777777" w:rsidR="00746C94" w:rsidRPr="00591BFC" w:rsidRDefault="00746C94" w:rsidP="00E86771">
            <w:pPr>
              <w:spacing w:line="360" w:lineRule="auto"/>
            </w:pPr>
            <w:r w:rsidRPr="00591BFC">
              <w:t>-2.75</w:t>
            </w:r>
          </w:p>
        </w:tc>
        <w:tc>
          <w:tcPr>
            <w:tcW w:w="1320" w:type="dxa"/>
            <w:shd w:val="clear" w:color="auto" w:fill="auto"/>
            <w:noWrap/>
            <w:hideMark/>
          </w:tcPr>
          <w:p w14:paraId="2A84BDFF" w14:textId="77777777" w:rsidR="00746C94" w:rsidRPr="00591BFC" w:rsidRDefault="00746C94" w:rsidP="00E86771">
            <w:pPr>
              <w:spacing w:line="360" w:lineRule="auto"/>
            </w:pPr>
            <w:r w:rsidRPr="00591BFC">
              <w:t>0.015</w:t>
            </w:r>
          </w:p>
        </w:tc>
      </w:tr>
      <w:tr w:rsidR="00746C94" w:rsidRPr="00591BFC" w14:paraId="33C24334" w14:textId="77777777" w:rsidTr="00FE3F68">
        <w:trPr>
          <w:trHeight w:val="330"/>
        </w:trPr>
        <w:tc>
          <w:tcPr>
            <w:tcW w:w="3908" w:type="dxa"/>
            <w:shd w:val="clear" w:color="auto" w:fill="auto"/>
            <w:noWrap/>
            <w:hideMark/>
          </w:tcPr>
          <w:p w14:paraId="713E4EFF"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7E698C29" w14:textId="77777777" w:rsidR="00746C94" w:rsidRPr="00591BFC" w:rsidRDefault="00746C94" w:rsidP="00E86771">
            <w:pPr>
              <w:spacing w:line="360" w:lineRule="auto"/>
            </w:pPr>
            <w:r w:rsidRPr="00591BFC">
              <w:t>1.91</w:t>
            </w:r>
          </w:p>
        </w:tc>
        <w:tc>
          <w:tcPr>
            <w:tcW w:w="1320" w:type="dxa"/>
            <w:shd w:val="clear" w:color="auto" w:fill="auto"/>
            <w:noWrap/>
            <w:hideMark/>
          </w:tcPr>
          <w:p w14:paraId="32330718" w14:textId="77777777" w:rsidR="00746C94" w:rsidRPr="00591BFC" w:rsidRDefault="00746C94" w:rsidP="00E86771">
            <w:pPr>
              <w:spacing w:line="360" w:lineRule="auto"/>
            </w:pPr>
            <w:r w:rsidRPr="00591BFC">
              <w:t>-2.31</w:t>
            </w:r>
          </w:p>
        </w:tc>
        <w:tc>
          <w:tcPr>
            <w:tcW w:w="1320" w:type="dxa"/>
            <w:shd w:val="clear" w:color="auto" w:fill="auto"/>
            <w:noWrap/>
            <w:hideMark/>
          </w:tcPr>
          <w:p w14:paraId="6AA3E37B" w14:textId="77777777" w:rsidR="00746C94" w:rsidRPr="00591BFC" w:rsidRDefault="00746C94" w:rsidP="00E86771">
            <w:pPr>
              <w:spacing w:line="360" w:lineRule="auto"/>
            </w:pPr>
            <w:r w:rsidRPr="00591BFC">
              <w:t>6.13</w:t>
            </w:r>
          </w:p>
        </w:tc>
        <w:tc>
          <w:tcPr>
            <w:tcW w:w="1320" w:type="dxa"/>
            <w:shd w:val="clear" w:color="auto" w:fill="auto"/>
            <w:noWrap/>
            <w:hideMark/>
          </w:tcPr>
          <w:p w14:paraId="2C5AD5A1" w14:textId="77777777" w:rsidR="00746C94" w:rsidRPr="00591BFC" w:rsidRDefault="00746C94" w:rsidP="00E86771">
            <w:pPr>
              <w:spacing w:line="360" w:lineRule="auto"/>
            </w:pPr>
            <w:r w:rsidRPr="00591BFC">
              <w:t>0.35</w:t>
            </w:r>
          </w:p>
        </w:tc>
      </w:tr>
      <w:tr w:rsidR="00746C94" w:rsidRPr="00591BFC" w14:paraId="368C81B7" w14:textId="77777777" w:rsidTr="00FE3F68">
        <w:trPr>
          <w:trHeight w:val="330"/>
        </w:trPr>
        <w:tc>
          <w:tcPr>
            <w:tcW w:w="3908" w:type="dxa"/>
            <w:shd w:val="clear" w:color="auto" w:fill="auto"/>
            <w:noWrap/>
            <w:hideMark/>
          </w:tcPr>
          <w:p w14:paraId="3E98E0D5"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09F61509" w14:textId="77777777" w:rsidR="00746C94" w:rsidRPr="00591BFC" w:rsidRDefault="00746C94" w:rsidP="00E86771">
            <w:pPr>
              <w:spacing w:line="360" w:lineRule="auto"/>
            </w:pPr>
            <w:r w:rsidRPr="00591BFC">
              <w:t>-1.1</w:t>
            </w:r>
          </w:p>
        </w:tc>
        <w:tc>
          <w:tcPr>
            <w:tcW w:w="1320" w:type="dxa"/>
            <w:shd w:val="clear" w:color="auto" w:fill="auto"/>
            <w:noWrap/>
            <w:hideMark/>
          </w:tcPr>
          <w:p w14:paraId="4091C2F3" w14:textId="77777777" w:rsidR="00746C94" w:rsidRPr="00591BFC" w:rsidRDefault="00746C94" w:rsidP="00E86771">
            <w:pPr>
              <w:spacing w:line="360" w:lineRule="auto"/>
            </w:pPr>
            <w:r w:rsidRPr="00591BFC">
              <w:t>-8.68</w:t>
            </w:r>
          </w:p>
        </w:tc>
        <w:tc>
          <w:tcPr>
            <w:tcW w:w="1320" w:type="dxa"/>
            <w:shd w:val="clear" w:color="auto" w:fill="auto"/>
            <w:noWrap/>
            <w:hideMark/>
          </w:tcPr>
          <w:p w14:paraId="32F0C576" w14:textId="77777777" w:rsidR="00746C94" w:rsidRPr="00591BFC" w:rsidRDefault="00746C94" w:rsidP="00E86771">
            <w:pPr>
              <w:spacing w:line="360" w:lineRule="auto"/>
            </w:pPr>
            <w:r w:rsidRPr="00591BFC">
              <w:t>6.46</w:t>
            </w:r>
          </w:p>
        </w:tc>
        <w:tc>
          <w:tcPr>
            <w:tcW w:w="1320" w:type="dxa"/>
            <w:shd w:val="clear" w:color="auto" w:fill="auto"/>
            <w:noWrap/>
            <w:hideMark/>
          </w:tcPr>
          <w:p w14:paraId="59D409E5" w14:textId="77777777" w:rsidR="00746C94" w:rsidRPr="00591BFC" w:rsidRDefault="00746C94" w:rsidP="00E86771">
            <w:pPr>
              <w:spacing w:line="360" w:lineRule="auto"/>
            </w:pPr>
            <w:r w:rsidRPr="00591BFC">
              <w:t>0.76</w:t>
            </w:r>
          </w:p>
        </w:tc>
      </w:tr>
      <w:tr w:rsidR="00746C94" w:rsidRPr="00591BFC" w14:paraId="25D99D7B" w14:textId="77777777" w:rsidTr="00FE3F68">
        <w:trPr>
          <w:trHeight w:val="330"/>
        </w:trPr>
        <w:tc>
          <w:tcPr>
            <w:tcW w:w="3908" w:type="dxa"/>
            <w:shd w:val="clear" w:color="auto" w:fill="auto"/>
            <w:noWrap/>
            <w:hideMark/>
          </w:tcPr>
          <w:p w14:paraId="4759160F"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3FB0095A" w14:textId="77777777" w:rsidR="00746C94" w:rsidRPr="00591BFC" w:rsidRDefault="00746C94" w:rsidP="00E86771">
            <w:pPr>
              <w:spacing w:line="360" w:lineRule="auto"/>
            </w:pPr>
            <w:r w:rsidRPr="00591BFC">
              <w:t>-3.4</w:t>
            </w:r>
          </w:p>
        </w:tc>
        <w:tc>
          <w:tcPr>
            <w:tcW w:w="1320" w:type="dxa"/>
            <w:shd w:val="clear" w:color="auto" w:fill="auto"/>
            <w:noWrap/>
            <w:hideMark/>
          </w:tcPr>
          <w:p w14:paraId="5F639B9C" w14:textId="77777777" w:rsidR="00746C94" w:rsidRPr="00591BFC" w:rsidRDefault="00746C94" w:rsidP="00E86771">
            <w:pPr>
              <w:spacing w:line="360" w:lineRule="auto"/>
            </w:pPr>
            <w:r w:rsidRPr="00591BFC">
              <w:t>-7.62</w:t>
            </w:r>
          </w:p>
        </w:tc>
        <w:tc>
          <w:tcPr>
            <w:tcW w:w="1320" w:type="dxa"/>
            <w:shd w:val="clear" w:color="auto" w:fill="auto"/>
            <w:noWrap/>
            <w:hideMark/>
          </w:tcPr>
          <w:p w14:paraId="0B558851" w14:textId="77777777" w:rsidR="00746C94" w:rsidRPr="00591BFC" w:rsidRDefault="00746C94" w:rsidP="00E86771">
            <w:pPr>
              <w:spacing w:line="360" w:lineRule="auto"/>
            </w:pPr>
            <w:r w:rsidRPr="00591BFC">
              <w:t>0.82</w:t>
            </w:r>
          </w:p>
        </w:tc>
        <w:tc>
          <w:tcPr>
            <w:tcW w:w="1320" w:type="dxa"/>
            <w:shd w:val="clear" w:color="auto" w:fill="auto"/>
            <w:noWrap/>
            <w:hideMark/>
          </w:tcPr>
          <w:p w14:paraId="6B5B3A54" w14:textId="77777777" w:rsidR="00746C94" w:rsidRPr="00591BFC" w:rsidRDefault="00746C94" w:rsidP="00E86771">
            <w:pPr>
              <w:spacing w:line="360" w:lineRule="auto"/>
            </w:pPr>
            <w:r w:rsidRPr="00591BFC">
              <w:t>0.11</w:t>
            </w:r>
          </w:p>
        </w:tc>
      </w:tr>
      <w:tr w:rsidR="00746C94" w:rsidRPr="00591BFC" w14:paraId="1B52B19E" w14:textId="77777777" w:rsidTr="00FE3F68">
        <w:trPr>
          <w:trHeight w:val="315"/>
        </w:trPr>
        <w:tc>
          <w:tcPr>
            <w:tcW w:w="9188" w:type="dxa"/>
            <w:gridSpan w:val="5"/>
            <w:shd w:val="clear" w:color="auto" w:fill="auto"/>
            <w:hideMark/>
          </w:tcPr>
          <w:p w14:paraId="287B3FFE" w14:textId="77777777" w:rsidR="00746C94" w:rsidRPr="00591BFC" w:rsidRDefault="00746C94" w:rsidP="00E86771">
            <w:pPr>
              <w:spacing w:line="360" w:lineRule="auto"/>
              <w:rPr>
                <w:u w:val="single"/>
              </w:rPr>
            </w:pPr>
            <w:r w:rsidRPr="00591BFC">
              <w:rPr>
                <w:u w:val="single"/>
              </w:rPr>
              <w:t>bisphosphonate prevalence (10-14 months)*</w:t>
            </w:r>
          </w:p>
        </w:tc>
      </w:tr>
      <w:tr w:rsidR="00746C94" w:rsidRPr="00591BFC" w14:paraId="45289148" w14:textId="77777777" w:rsidTr="00FE3F68">
        <w:trPr>
          <w:trHeight w:val="330"/>
        </w:trPr>
        <w:tc>
          <w:tcPr>
            <w:tcW w:w="3908" w:type="dxa"/>
            <w:shd w:val="clear" w:color="auto" w:fill="auto"/>
            <w:noWrap/>
            <w:hideMark/>
          </w:tcPr>
          <w:p w14:paraId="4E74B2AB"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6DF733C4" w14:textId="77777777" w:rsidR="00746C94" w:rsidRPr="00591BFC" w:rsidRDefault="00746C94" w:rsidP="00E86771">
            <w:pPr>
              <w:spacing w:line="360" w:lineRule="auto"/>
            </w:pPr>
            <w:r w:rsidRPr="00591BFC">
              <w:t>1.65</w:t>
            </w:r>
          </w:p>
        </w:tc>
        <w:tc>
          <w:tcPr>
            <w:tcW w:w="1320" w:type="dxa"/>
            <w:shd w:val="clear" w:color="auto" w:fill="auto"/>
            <w:noWrap/>
            <w:hideMark/>
          </w:tcPr>
          <w:p w14:paraId="3F89EAC0" w14:textId="77777777" w:rsidR="00746C94" w:rsidRPr="00591BFC" w:rsidRDefault="00746C94" w:rsidP="00E86771">
            <w:pPr>
              <w:spacing w:line="360" w:lineRule="auto"/>
            </w:pPr>
            <w:r w:rsidRPr="00591BFC">
              <w:t>-1.13</w:t>
            </w:r>
          </w:p>
        </w:tc>
        <w:tc>
          <w:tcPr>
            <w:tcW w:w="1320" w:type="dxa"/>
            <w:shd w:val="clear" w:color="auto" w:fill="auto"/>
            <w:noWrap/>
            <w:hideMark/>
          </w:tcPr>
          <w:p w14:paraId="28FFAE07" w14:textId="77777777" w:rsidR="00746C94" w:rsidRPr="00591BFC" w:rsidRDefault="00746C94" w:rsidP="00E86771">
            <w:pPr>
              <w:spacing w:line="360" w:lineRule="auto"/>
            </w:pPr>
            <w:r w:rsidRPr="00591BFC">
              <w:t>4.43</w:t>
            </w:r>
          </w:p>
        </w:tc>
        <w:tc>
          <w:tcPr>
            <w:tcW w:w="1320" w:type="dxa"/>
            <w:shd w:val="clear" w:color="auto" w:fill="auto"/>
            <w:noWrap/>
            <w:hideMark/>
          </w:tcPr>
          <w:p w14:paraId="73C41A0E" w14:textId="77777777" w:rsidR="00746C94" w:rsidRPr="00591BFC" w:rsidRDefault="00746C94" w:rsidP="00E86771">
            <w:pPr>
              <w:spacing w:line="360" w:lineRule="auto"/>
            </w:pPr>
            <w:r w:rsidRPr="00591BFC">
              <w:t>0.23</w:t>
            </w:r>
          </w:p>
        </w:tc>
      </w:tr>
      <w:tr w:rsidR="00746C94" w:rsidRPr="00591BFC" w14:paraId="724911CF" w14:textId="77777777" w:rsidTr="00FE3F68">
        <w:trPr>
          <w:trHeight w:val="330"/>
        </w:trPr>
        <w:tc>
          <w:tcPr>
            <w:tcW w:w="3908" w:type="dxa"/>
            <w:shd w:val="clear" w:color="auto" w:fill="auto"/>
            <w:noWrap/>
            <w:hideMark/>
          </w:tcPr>
          <w:p w14:paraId="405A5D49"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65B98319" w14:textId="77777777" w:rsidR="00746C94" w:rsidRPr="00591BFC" w:rsidRDefault="00746C94" w:rsidP="00E86771">
            <w:pPr>
              <w:spacing w:line="360" w:lineRule="auto"/>
            </w:pPr>
            <w:r w:rsidRPr="00591BFC">
              <w:t>0.89</w:t>
            </w:r>
          </w:p>
        </w:tc>
        <w:tc>
          <w:tcPr>
            <w:tcW w:w="1320" w:type="dxa"/>
            <w:shd w:val="clear" w:color="auto" w:fill="auto"/>
            <w:noWrap/>
            <w:hideMark/>
          </w:tcPr>
          <w:p w14:paraId="18E73E29" w14:textId="77777777" w:rsidR="00746C94" w:rsidRPr="00591BFC" w:rsidRDefault="00746C94" w:rsidP="00E86771">
            <w:pPr>
              <w:spacing w:line="360" w:lineRule="auto"/>
            </w:pPr>
            <w:r w:rsidRPr="00591BFC">
              <w:t>0.48</w:t>
            </w:r>
          </w:p>
        </w:tc>
        <w:tc>
          <w:tcPr>
            <w:tcW w:w="1320" w:type="dxa"/>
            <w:shd w:val="clear" w:color="auto" w:fill="auto"/>
            <w:noWrap/>
            <w:hideMark/>
          </w:tcPr>
          <w:p w14:paraId="7A4869D5" w14:textId="77777777" w:rsidR="00746C94" w:rsidRPr="00591BFC" w:rsidRDefault="00746C94" w:rsidP="00E86771">
            <w:pPr>
              <w:spacing w:line="360" w:lineRule="auto"/>
            </w:pPr>
            <w:r w:rsidRPr="00591BFC">
              <w:t>1.3</w:t>
            </w:r>
          </w:p>
        </w:tc>
        <w:tc>
          <w:tcPr>
            <w:tcW w:w="1320" w:type="dxa"/>
            <w:shd w:val="clear" w:color="auto" w:fill="auto"/>
            <w:noWrap/>
            <w:hideMark/>
          </w:tcPr>
          <w:p w14:paraId="47110066" w14:textId="77777777" w:rsidR="00746C94" w:rsidRPr="00591BFC" w:rsidRDefault="00746C94" w:rsidP="00E86771">
            <w:pPr>
              <w:spacing w:line="360" w:lineRule="auto"/>
            </w:pPr>
            <w:r w:rsidRPr="00591BFC">
              <w:t>&lt;0.001</w:t>
            </w:r>
          </w:p>
        </w:tc>
      </w:tr>
      <w:tr w:rsidR="00746C94" w:rsidRPr="00591BFC" w14:paraId="505D5C55" w14:textId="77777777" w:rsidTr="00FE3F68">
        <w:trPr>
          <w:trHeight w:val="330"/>
        </w:trPr>
        <w:tc>
          <w:tcPr>
            <w:tcW w:w="3908" w:type="dxa"/>
            <w:shd w:val="clear" w:color="auto" w:fill="auto"/>
            <w:noWrap/>
            <w:hideMark/>
          </w:tcPr>
          <w:p w14:paraId="783D1A59"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5B28B4C0" w14:textId="77777777" w:rsidR="00746C94" w:rsidRPr="00591BFC" w:rsidRDefault="00746C94" w:rsidP="00E86771">
            <w:pPr>
              <w:spacing w:line="360" w:lineRule="auto"/>
            </w:pPr>
            <w:r w:rsidRPr="00591BFC">
              <w:t>9.28</w:t>
            </w:r>
          </w:p>
        </w:tc>
        <w:tc>
          <w:tcPr>
            <w:tcW w:w="1320" w:type="dxa"/>
            <w:shd w:val="clear" w:color="auto" w:fill="auto"/>
            <w:noWrap/>
            <w:hideMark/>
          </w:tcPr>
          <w:p w14:paraId="43AB23A9" w14:textId="77777777" w:rsidR="00746C94" w:rsidRPr="00591BFC" w:rsidRDefault="00746C94" w:rsidP="00E86771">
            <w:pPr>
              <w:spacing w:line="360" w:lineRule="auto"/>
            </w:pPr>
            <w:r w:rsidRPr="00591BFC">
              <w:t>3.98</w:t>
            </w:r>
          </w:p>
        </w:tc>
        <w:tc>
          <w:tcPr>
            <w:tcW w:w="1320" w:type="dxa"/>
            <w:shd w:val="clear" w:color="auto" w:fill="auto"/>
            <w:noWrap/>
            <w:hideMark/>
          </w:tcPr>
          <w:p w14:paraId="1783D22E" w14:textId="77777777" w:rsidR="00746C94" w:rsidRPr="00591BFC" w:rsidRDefault="00746C94" w:rsidP="00E86771">
            <w:pPr>
              <w:spacing w:line="360" w:lineRule="auto"/>
            </w:pPr>
            <w:r w:rsidRPr="00591BFC">
              <w:t>14.6</w:t>
            </w:r>
          </w:p>
        </w:tc>
        <w:tc>
          <w:tcPr>
            <w:tcW w:w="1320" w:type="dxa"/>
            <w:shd w:val="clear" w:color="auto" w:fill="auto"/>
            <w:noWrap/>
            <w:hideMark/>
          </w:tcPr>
          <w:p w14:paraId="3722E2A3" w14:textId="77777777" w:rsidR="00746C94" w:rsidRPr="00591BFC" w:rsidRDefault="00746C94" w:rsidP="00E86771">
            <w:pPr>
              <w:spacing w:line="360" w:lineRule="auto"/>
            </w:pPr>
            <w:r w:rsidRPr="00591BFC">
              <w:t>0.002</w:t>
            </w:r>
          </w:p>
        </w:tc>
      </w:tr>
      <w:tr w:rsidR="00746C94" w:rsidRPr="00591BFC" w14:paraId="1C3E02C6" w14:textId="77777777" w:rsidTr="00FE3F68">
        <w:trPr>
          <w:trHeight w:val="330"/>
        </w:trPr>
        <w:tc>
          <w:tcPr>
            <w:tcW w:w="3908" w:type="dxa"/>
            <w:shd w:val="clear" w:color="auto" w:fill="auto"/>
            <w:noWrap/>
            <w:hideMark/>
          </w:tcPr>
          <w:p w14:paraId="28AC0FE8"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6BEB07C0" w14:textId="77777777" w:rsidR="00746C94" w:rsidRPr="00591BFC" w:rsidRDefault="00746C94" w:rsidP="00E86771">
            <w:pPr>
              <w:spacing w:line="360" w:lineRule="auto"/>
            </w:pPr>
            <w:r w:rsidRPr="00591BFC">
              <w:t>-0.02</w:t>
            </w:r>
          </w:p>
        </w:tc>
        <w:tc>
          <w:tcPr>
            <w:tcW w:w="1320" w:type="dxa"/>
            <w:shd w:val="clear" w:color="auto" w:fill="auto"/>
            <w:noWrap/>
            <w:hideMark/>
          </w:tcPr>
          <w:p w14:paraId="3295541A" w14:textId="77777777" w:rsidR="00746C94" w:rsidRPr="00591BFC" w:rsidRDefault="00746C94" w:rsidP="00E86771">
            <w:pPr>
              <w:spacing w:line="360" w:lineRule="auto"/>
            </w:pPr>
            <w:r w:rsidRPr="00591BFC">
              <w:t>-1.44</w:t>
            </w:r>
          </w:p>
        </w:tc>
        <w:tc>
          <w:tcPr>
            <w:tcW w:w="1320" w:type="dxa"/>
            <w:shd w:val="clear" w:color="auto" w:fill="auto"/>
            <w:noWrap/>
            <w:hideMark/>
          </w:tcPr>
          <w:p w14:paraId="25C82CF5" w14:textId="77777777" w:rsidR="00746C94" w:rsidRPr="00591BFC" w:rsidRDefault="00746C94" w:rsidP="00E86771">
            <w:pPr>
              <w:spacing w:line="360" w:lineRule="auto"/>
            </w:pPr>
            <w:r w:rsidRPr="00591BFC">
              <w:t>1.4</w:t>
            </w:r>
          </w:p>
        </w:tc>
        <w:tc>
          <w:tcPr>
            <w:tcW w:w="1320" w:type="dxa"/>
            <w:shd w:val="clear" w:color="auto" w:fill="auto"/>
            <w:noWrap/>
            <w:hideMark/>
          </w:tcPr>
          <w:p w14:paraId="0B717FBC" w14:textId="77777777" w:rsidR="00746C94" w:rsidRPr="00591BFC" w:rsidRDefault="00746C94" w:rsidP="00E86771">
            <w:pPr>
              <w:spacing w:line="360" w:lineRule="auto"/>
            </w:pPr>
            <w:r w:rsidRPr="00591BFC">
              <w:t>0.98</w:t>
            </w:r>
          </w:p>
        </w:tc>
      </w:tr>
      <w:tr w:rsidR="00746C94" w:rsidRPr="00591BFC" w14:paraId="09002DBC" w14:textId="77777777" w:rsidTr="00FE3F68">
        <w:trPr>
          <w:trHeight w:val="330"/>
        </w:trPr>
        <w:tc>
          <w:tcPr>
            <w:tcW w:w="3908" w:type="dxa"/>
            <w:shd w:val="clear" w:color="auto" w:fill="auto"/>
            <w:noWrap/>
            <w:hideMark/>
          </w:tcPr>
          <w:p w14:paraId="11FD379B"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3A4AE856" w14:textId="77777777" w:rsidR="00746C94" w:rsidRPr="00591BFC" w:rsidRDefault="00746C94" w:rsidP="00E86771">
            <w:pPr>
              <w:spacing w:line="360" w:lineRule="auto"/>
            </w:pPr>
            <w:r w:rsidRPr="00591BFC">
              <w:t>-8.18</w:t>
            </w:r>
          </w:p>
        </w:tc>
        <w:tc>
          <w:tcPr>
            <w:tcW w:w="1320" w:type="dxa"/>
            <w:shd w:val="clear" w:color="auto" w:fill="auto"/>
            <w:noWrap/>
            <w:hideMark/>
          </w:tcPr>
          <w:p w14:paraId="66BFF977" w14:textId="77777777" w:rsidR="00746C94" w:rsidRPr="00591BFC" w:rsidRDefault="00746C94" w:rsidP="00E86771">
            <w:pPr>
              <w:spacing w:line="360" w:lineRule="auto"/>
            </w:pPr>
            <w:r w:rsidRPr="00591BFC">
              <w:t>-15.6</w:t>
            </w:r>
          </w:p>
        </w:tc>
        <w:tc>
          <w:tcPr>
            <w:tcW w:w="1320" w:type="dxa"/>
            <w:shd w:val="clear" w:color="auto" w:fill="auto"/>
            <w:noWrap/>
            <w:hideMark/>
          </w:tcPr>
          <w:p w14:paraId="6DD23C58" w14:textId="77777777" w:rsidR="00746C94" w:rsidRPr="00591BFC" w:rsidRDefault="00746C94" w:rsidP="00E86771">
            <w:pPr>
              <w:spacing w:line="360" w:lineRule="auto"/>
            </w:pPr>
            <w:r w:rsidRPr="00591BFC">
              <w:t>-0.77</w:t>
            </w:r>
          </w:p>
        </w:tc>
        <w:tc>
          <w:tcPr>
            <w:tcW w:w="1320" w:type="dxa"/>
            <w:shd w:val="clear" w:color="auto" w:fill="auto"/>
            <w:noWrap/>
            <w:hideMark/>
          </w:tcPr>
          <w:p w14:paraId="3561EE4F" w14:textId="77777777" w:rsidR="00746C94" w:rsidRPr="00591BFC" w:rsidRDefault="00746C94" w:rsidP="00E86771">
            <w:pPr>
              <w:spacing w:line="360" w:lineRule="auto"/>
            </w:pPr>
            <w:r w:rsidRPr="00591BFC">
              <w:t>0.033</w:t>
            </w:r>
          </w:p>
        </w:tc>
      </w:tr>
      <w:tr w:rsidR="00746C94" w:rsidRPr="00591BFC" w14:paraId="51A0FA8D" w14:textId="77777777" w:rsidTr="00FE3F68">
        <w:trPr>
          <w:trHeight w:val="330"/>
        </w:trPr>
        <w:tc>
          <w:tcPr>
            <w:tcW w:w="3908" w:type="dxa"/>
            <w:shd w:val="clear" w:color="auto" w:fill="auto"/>
            <w:noWrap/>
            <w:hideMark/>
          </w:tcPr>
          <w:p w14:paraId="66E74163"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50C466BA" w14:textId="77777777" w:rsidR="00746C94" w:rsidRPr="00591BFC" w:rsidRDefault="00746C94" w:rsidP="00E86771">
            <w:pPr>
              <w:spacing w:line="360" w:lineRule="auto"/>
            </w:pPr>
            <w:r w:rsidRPr="00591BFC">
              <w:t>2.11</w:t>
            </w:r>
          </w:p>
        </w:tc>
        <w:tc>
          <w:tcPr>
            <w:tcW w:w="1320" w:type="dxa"/>
            <w:shd w:val="clear" w:color="auto" w:fill="auto"/>
            <w:noWrap/>
            <w:hideMark/>
          </w:tcPr>
          <w:p w14:paraId="19A5DFC4" w14:textId="77777777" w:rsidR="00746C94" w:rsidRPr="00591BFC" w:rsidRDefault="00746C94" w:rsidP="00E86771">
            <w:pPr>
              <w:spacing w:line="360" w:lineRule="auto"/>
            </w:pPr>
            <w:r w:rsidRPr="00591BFC">
              <w:t>-1.22</w:t>
            </w:r>
          </w:p>
        </w:tc>
        <w:tc>
          <w:tcPr>
            <w:tcW w:w="1320" w:type="dxa"/>
            <w:shd w:val="clear" w:color="auto" w:fill="auto"/>
            <w:noWrap/>
            <w:hideMark/>
          </w:tcPr>
          <w:p w14:paraId="0B860ECA" w14:textId="77777777" w:rsidR="00746C94" w:rsidRPr="00591BFC" w:rsidRDefault="00746C94" w:rsidP="00E86771">
            <w:pPr>
              <w:spacing w:line="360" w:lineRule="auto"/>
            </w:pPr>
            <w:r w:rsidRPr="00591BFC">
              <w:t>5.44</w:t>
            </w:r>
          </w:p>
        </w:tc>
        <w:tc>
          <w:tcPr>
            <w:tcW w:w="1320" w:type="dxa"/>
            <w:shd w:val="clear" w:color="auto" w:fill="auto"/>
            <w:noWrap/>
            <w:hideMark/>
          </w:tcPr>
          <w:p w14:paraId="30F211C8" w14:textId="77777777" w:rsidR="00746C94" w:rsidRPr="00591BFC" w:rsidRDefault="00746C94" w:rsidP="00E86771">
            <w:pPr>
              <w:spacing w:line="360" w:lineRule="auto"/>
            </w:pPr>
            <w:r w:rsidRPr="00591BFC">
              <w:t>0.2</w:t>
            </w:r>
          </w:p>
        </w:tc>
      </w:tr>
      <w:tr w:rsidR="00746C94" w:rsidRPr="00591BFC" w14:paraId="06517564" w14:textId="77777777" w:rsidTr="00FE3F68">
        <w:trPr>
          <w:trHeight w:val="330"/>
        </w:trPr>
        <w:tc>
          <w:tcPr>
            <w:tcW w:w="3908" w:type="dxa"/>
            <w:shd w:val="clear" w:color="auto" w:fill="auto"/>
            <w:noWrap/>
            <w:hideMark/>
          </w:tcPr>
          <w:p w14:paraId="27B8C559"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76779DCD" w14:textId="77777777" w:rsidR="00746C94" w:rsidRPr="00591BFC" w:rsidRDefault="00746C94" w:rsidP="00E86771">
            <w:pPr>
              <w:spacing w:line="360" w:lineRule="auto"/>
            </w:pPr>
            <w:r w:rsidRPr="00591BFC">
              <w:t>0.19</w:t>
            </w:r>
          </w:p>
        </w:tc>
        <w:tc>
          <w:tcPr>
            <w:tcW w:w="1320" w:type="dxa"/>
            <w:shd w:val="clear" w:color="auto" w:fill="auto"/>
            <w:noWrap/>
            <w:hideMark/>
          </w:tcPr>
          <w:p w14:paraId="65EDC3B2" w14:textId="77777777" w:rsidR="00746C94" w:rsidRPr="00591BFC" w:rsidRDefault="00746C94" w:rsidP="00E86771">
            <w:pPr>
              <w:spacing w:line="360" w:lineRule="auto"/>
            </w:pPr>
            <w:r w:rsidRPr="00591BFC">
              <w:t>-5.79</w:t>
            </w:r>
          </w:p>
        </w:tc>
        <w:tc>
          <w:tcPr>
            <w:tcW w:w="1320" w:type="dxa"/>
            <w:shd w:val="clear" w:color="auto" w:fill="auto"/>
            <w:noWrap/>
            <w:hideMark/>
          </w:tcPr>
          <w:p w14:paraId="6D79782D" w14:textId="77777777" w:rsidR="00746C94" w:rsidRPr="00591BFC" w:rsidRDefault="00746C94" w:rsidP="00E86771">
            <w:pPr>
              <w:spacing w:line="360" w:lineRule="auto"/>
            </w:pPr>
            <w:r w:rsidRPr="00591BFC">
              <w:t>6.17</w:t>
            </w:r>
          </w:p>
        </w:tc>
        <w:tc>
          <w:tcPr>
            <w:tcW w:w="1320" w:type="dxa"/>
            <w:shd w:val="clear" w:color="auto" w:fill="auto"/>
            <w:noWrap/>
            <w:hideMark/>
          </w:tcPr>
          <w:p w14:paraId="6804417E" w14:textId="77777777" w:rsidR="00746C94" w:rsidRPr="00591BFC" w:rsidRDefault="00746C94" w:rsidP="00E86771">
            <w:pPr>
              <w:spacing w:line="360" w:lineRule="auto"/>
            </w:pPr>
            <w:r w:rsidRPr="00591BFC">
              <w:t>0.95</w:t>
            </w:r>
          </w:p>
        </w:tc>
      </w:tr>
      <w:tr w:rsidR="00746C94" w:rsidRPr="00591BFC" w14:paraId="180834FC" w14:textId="77777777" w:rsidTr="00FE3F68">
        <w:trPr>
          <w:trHeight w:val="330"/>
        </w:trPr>
        <w:tc>
          <w:tcPr>
            <w:tcW w:w="3908" w:type="dxa"/>
            <w:shd w:val="clear" w:color="auto" w:fill="auto"/>
            <w:noWrap/>
            <w:hideMark/>
          </w:tcPr>
          <w:p w14:paraId="7E111F0B"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71E0DF28" w14:textId="77777777" w:rsidR="00746C94" w:rsidRPr="00591BFC" w:rsidRDefault="00746C94" w:rsidP="00E86771">
            <w:pPr>
              <w:spacing w:line="360" w:lineRule="auto"/>
            </w:pPr>
            <w:r w:rsidRPr="00591BFC">
              <w:t>-2.46</w:t>
            </w:r>
          </w:p>
        </w:tc>
        <w:tc>
          <w:tcPr>
            <w:tcW w:w="1320" w:type="dxa"/>
            <w:shd w:val="clear" w:color="auto" w:fill="auto"/>
            <w:noWrap/>
            <w:hideMark/>
          </w:tcPr>
          <w:p w14:paraId="5ADDEC9A" w14:textId="77777777" w:rsidR="00746C94" w:rsidRPr="00591BFC" w:rsidRDefault="00746C94" w:rsidP="00E86771">
            <w:pPr>
              <w:spacing w:line="360" w:lineRule="auto"/>
            </w:pPr>
            <w:r w:rsidRPr="00591BFC">
              <w:t>-5.79</w:t>
            </w:r>
          </w:p>
        </w:tc>
        <w:tc>
          <w:tcPr>
            <w:tcW w:w="1320" w:type="dxa"/>
            <w:shd w:val="clear" w:color="auto" w:fill="auto"/>
            <w:noWrap/>
            <w:hideMark/>
          </w:tcPr>
          <w:p w14:paraId="0ECABF84" w14:textId="77777777" w:rsidR="00746C94" w:rsidRPr="00591BFC" w:rsidRDefault="00746C94" w:rsidP="00E86771">
            <w:pPr>
              <w:spacing w:line="360" w:lineRule="auto"/>
            </w:pPr>
            <w:r w:rsidRPr="00591BFC">
              <w:t>0.87</w:t>
            </w:r>
          </w:p>
        </w:tc>
        <w:tc>
          <w:tcPr>
            <w:tcW w:w="1320" w:type="dxa"/>
            <w:shd w:val="clear" w:color="auto" w:fill="auto"/>
            <w:noWrap/>
            <w:hideMark/>
          </w:tcPr>
          <w:p w14:paraId="1321F031" w14:textId="77777777" w:rsidR="00746C94" w:rsidRPr="00591BFC" w:rsidRDefault="00746C94" w:rsidP="00E86771">
            <w:pPr>
              <w:spacing w:line="360" w:lineRule="auto"/>
            </w:pPr>
            <w:r w:rsidRPr="00591BFC">
              <w:t>0.14</w:t>
            </w:r>
          </w:p>
        </w:tc>
      </w:tr>
    </w:tbl>
    <w:p w14:paraId="0DE56F55" w14:textId="77777777" w:rsidR="00746C94" w:rsidRPr="00591BFC" w:rsidRDefault="00746C94" w:rsidP="00E86771">
      <w:pPr>
        <w:spacing w:line="360" w:lineRule="auto"/>
      </w:pPr>
    </w:p>
    <w:p w14:paraId="35ECC3CE" w14:textId="77777777" w:rsidR="0079486A" w:rsidRDefault="00C5559E" w:rsidP="00E86771">
      <w:pPr>
        <w:spacing w:line="360" w:lineRule="auto"/>
        <w:sectPr w:rsidR="0079486A" w:rsidSect="00DB4F65">
          <w:pgSz w:w="11900" w:h="16840"/>
          <w:pgMar w:top="1440" w:right="1440" w:bottom="1440" w:left="1440" w:header="708" w:footer="708" w:gutter="0"/>
          <w:cols w:space="708"/>
          <w:docGrid w:linePitch="360"/>
        </w:sectPr>
      </w:pPr>
      <w:r w:rsidRPr="00591BFC">
        <w:t>* among treatment naive patients for 6-months prior to index date parsimonious models were derived using backward elimination (p&gt;=0.1) outcomes age and sex standardi</w:t>
      </w:r>
      <w:r w:rsidR="001F0197">
        <w:t>s</w:t>
      </w:r>
      <w:r w:rsidRPr="00591BFC">
        <w:t>ed (except primary and overall hip fx no.)</w:t>
      </w:r>
      <w:r w:rsidR="0079486A">
        <w:br/>
      </w:r>
    </w:p>
    <w:p w14:paraId="57208AF4" w14:textId="77777777" w:rsidR="0079486A" w:rsidRDefault="0079486A" w:rsidP="00E86771">
      <w:pPr>
        <w:pStyle w:val="Heading2"/>
        <w:spacing w:line="360" w:lineRule="auto"/>
        <w:sectPr w:rsidR="0079486A" w:rsidSect="00DB4F65">
          <w:type w:val="continuous"/>
          <w:pgSz w:w="11900" w:h="16840"/>
          <w:pgMar w:top="1440" w:right="1440" w:bottom="1440" w:left="1440" w:header="708" w:footer="708" w:gutter="0"/>
          <w:cols w:space="708"/>
          <w:docGrid w:linePitch="360"/>
        </w:sectPr>
      </w:pPr>
    </w:p>
    <w:p w14:paraId="167F99AB" w14:textId="77777777" w:rsidR="00746C94" w:rsidRPr="00591BFC" w:rsidRDefault="00746C94" w:rsidP="00E86771">
      <w:pPr>
        <w:pStyle w:val="Heading2"/>
        <w:spacing w:line="360" w:lineRule="auto"/>
      </w:pPr>
      <w:r w:rsidRPr="00591BFC">
        <w:lastRenderedPageBreak/>
        <w:br w:type="page"/>
      </w:r>
      <w:bookmarkStart w:id="701" w:name="_Toc308300849"/>
      <w:bookmarkStart w:id="702" w:name="_Toc311366657"/>
      <w:r w:rsidRPr="00591BFC">
        <w:lastRenderedPageBreak/>
        <w:t xml:space="preserve">Appendix </w:t>
      </w:r>
      <w:r w:rsidR="00866F8C">
        <w:rPr>
          <w:lang w:val="en-GB"/>
        </w:rPr>
        <w:t>9</w:t>
      </w:r>
      <w:r w:rsidRPr="00591BFC">
        <w:t xml:space="preserve"> Estimated impact of interventions using segmented linear regression (PARSIMONIOUS) models on all primary hip fracture patients, stratified by gender</w:t>
      </w:r>
      <w:bookmarkEnd w:id="701"/>
      <w:bookmarkEnd w:id="702"/>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80"/>
        <w:gridCol w:w="1320"/>
        <w:gridCol w:w="1320"/>
        <w:gridCol w:w="1320"/>
        <w:gridCol w:w="1320"/>
      </w:tblGrid>
      <w:tr w:rsidR="00746C94" w:rsidRPr="00591BFC" w14:paraId="1E96CB72" w14:textId="77777777" w:rsidTr="005661FC">
        <w:trPr>
          <w:trHeight w:val="900"/>
        </w:trPr>
        <w:tc>
          <w:tcPr>
            <w:tcW w:w="3780" w:type="dxa"/>
            <w:shd w:val="clear" w:color="auto" w:fill="auto"/>
            <w:noWrap/>
            <w:hideMark/>
          </w:tcPr>
          <w:p w14:paraId="38370598" w14:textId="77777777" w:rsidR="00746C94" w:rsidRPr="00591BFC" w:rsidRDefault="00746C94" w:rsidP="00E86771">
            <w:pPr>
              <w:spacing w:line="360" w:lineRule="auto"/>
            </w:pPr>
            <w:r w:rsidRPr="00591BFC">
              <w:t> </w:t>
            </w:r>
          </w:p>
        </w:tc>
        <w:tc>
          <w:tcPr>
            <w:tcW w:w="1320" w:type="dxa"/>
            <w:shd w:val="clear" w:color="auto" w:fill="auto"/>
            <w:hideMark/>
          </w:tcPr>
          <w:p w14:paraId="31DE7535" w14:textId="77777777" w:rsidR="00746C94" w:rsidRPr="00591BFC" w:rsidRDefault="00746C94" w:rsidP="00E86771">
            <w:pPr>
              <w:spacing w:line="360" w:lineRule="auto"/>
            </w:pPr>
            <w:r w:rsidRPr="00591BFC">
              <w:t xml:space="preserve">Coefficient                                </w:t>
            </w:r>
          </w:p>
        </w:tc>
        <w:tc>
          <w:tcPr>
            <w:tcW w:w="1320" w:type="dxa"/>
            <w:shd w:val="clear" w:color="auto" w:fill="auto"/>
            <w:hideMark/>
          </w:tcPr>
          <w:p w14:paraId="3E4335B1" w14:textId="77777777" w:rsidR="00746C94" w:rsidRPr="00591BFC" w:rsidRDefault="00746C94" w:rsidP="00E86771">
            <w:pPr>
              <w:spacing w:line="360" w:lineRule="auto"/>
            </w:pPr>
            <w:r w:rsidRPr="00591BFC">
              <w:t>lower 95% confidence interval</w:t>
            </w:r>
          </w:p>
        </w:tc>
        <w:tc>
          <w:tcPr>
            <w:tcW w:w="1320" w:type="dxa"/>
            <w:shd w:val="clear" w:color="auto" w:fill="auto"/>
            <w:hideMark/>
          </w:tcPr>
          <w:p w14:paraId="336F8D0F" w14:textId="77777777" w:rsidR="00746C94" w:rsidRPr="00591BFC" w:rsidRDefault="00746C94" w:rsidP="00E86771">
            <w:pPr>
              <w:spacing w:line="360" w:lineRule="auto"/>
            </w:pPr>
            <w:r w:rsidRPr="00591BFC">
              <w:t>upper 95% confidence interval</w:t>
            </w:r>
          </w:p>
        </w:tc>
        <w:tc>
          <w:tcPr>
            <w:tcW w:w="1320" w:type="dxa"/>
            <w:shd w:val="clear" w:color="auto" w:fill="auto"/>
            <w:noWrap/>
            <w:hideMark/>
          </w:tcPr>
          <w:p w14:paraId="59835668" w14:textId="77777777" w:rsidR="00746C94" w:rsidRPr="00591BFC" w:rsidRDefault="00746C94" w:rsidP="00E86771">
            <w:pPr>
              <w:spacing w:line="360" w:lineRule="auto"/>
            </w:pPr>
            <w:r w:rsidRPr="00591BFC">
              <w:t>P-value</w:t>
            </w:r>
          </w:p>
        </w:tc>
      </w:tr>
      <w:tr w:rsidR="00746C94" w:rsidRPr="00591BFC" w14:paraId="2E6AE233" w14:textId="77777777" w:rsidTr="005661FC">
        <w:trPr>
          <w:trHeight w:val="315"/>
        </w:trPr>
        <w:tc>
          <w:tcPr>
            <w:tcW w:w="9060" w:type="dxa"/>
            <w:gridSpan w:val="5"/>
            <w:shd w:val="clear" w:color="auto" w:fill="auto"/>
            <w:noWrap/>
            <w:hideMark/>
          </w:tcPr>
          <w:p w14:paraId="1A078AF7" w14:textId="77777777" w:rsidR="00746C94" w:rsidRPr="00591BFC" w:rsidRDefault="00746C94" w:rsidP="00E86771">
            <w:pPr>
              <w:spacing w:line="360" w:lineRule="auto"/>
              <w:rPr>
                <w:b/>
                <w:bCs/>
                <w:u w:val="single"/>
              </w:rPr>
            </w:pPr>
            <w:r w:rsidRPr="00591BFC">
              <w:rPr>
                <w:b/>
                <w:bCs/>
                <w:u w:val="single"/>
              </w:rPr>
              <w:t>MALES</w:t>
            </w:r>
          </w:p>
        </w:tc>
      </w:tr>
      <w:tr w:rsidR="00746C94" w:rsidRPr="00591BFC" w14:paraId="72A1DB5D" w14:textId="77777777" w:rsidTr="005661FC">
        <w:trPr>
          <w:trHeight w:val="300"/>
        </w:trPr>
        <w:tc>
          <w:tcPr>
            <w:tcW w:w="9060" w:type="dxa"/>
            <w:gridSpan w:val="5"/>
            <w:shd w:val="clear" w:color="auto" w:fill="auto"/>
            <w:hideMark/>
          </w:tcPr>
          <w:p w14:paraId="55748868" w14:textId="77777777" w:rsidR="00746C94" w:rsidRPr="00591BFC" w:rsidRDefault="00746C94" w:rsidP="00E86771">
            <w:pPr>
              <w:spacing w:line="360" w:lineRule="auto"/>
              <w:rPr>
                <w:u w:val="single"/>
              </w:rPr>
            </w:pPr>
            <w:r w:rsidRPr="00591BFC">
              <w:rPr>
                <w:u w:val="single"/>
              </w:rPr>
              <w:t>any incident anti-OP medication use (1 year)*</w:t>
            </w:r>
          </w:p>
        </w:tc>
      </w:tr>
      <w:tr w:rsidR="00746C94" w:rsidRPr="00591BFC" w14:paraId="207ACE7F" w14:textId="77777777" w:rsidTr="005661FC">
        <w:trPr>
          <w:trHeight w:val="330"/>
        </w:trPr>
        <w:tc>
          <w:tcPr>
            <w:tcW w:w="3780" w:type="dxa"/>
            <w:shd w:val="clear" w:color="auto" w:fill="auto"/>
            <w:noWrap/>
            <w:hideMark/>
          </w:tcPr>
          <w:p w14:paraId="466979F8"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5778EA3F" w14:textId="77777777" w:rsidR="00746C94" w:rsidRPr="00591BFC" w:rsidRDefault="00746C94" w:rsidP="00E86771">
            <w:pPr>
              <w:spacing w:line="360" w:lineRule="auto"/>
            </w:pPr>
            <w:r w:rsidRPr="00591BFC">
              <w:t>0.57</w:t>
            </w:r>
          </w:p>
        </w:tc>
        <w:tc>
          <w:tcPr>
            <w:tcW w:w="1320" w:type="dxa"/>
            <w:shd w:val="clear" w:color="auto" w:fill="auto"/>
            <w:noWrap/>
            <w:hideMark/>
          </w:tcPr>
          <w:p w14:paraId="54BF53D8" w14:textId="77777777" w:rsidR="00746C94" w:rsidRPr="00591BFC" w:rsidRDefault="00746C94" w:rsidP="00E86771">
            <w:pPr>
              <w:spacing w:line="360" w:lineRule="auto"/>
            </w:pPr>
            <w:r w:rsidRPr="00591BFC">
              <w:t>-3.34</w:t>
            </w:r>
          </w:p>
        </w:tc>
        <w:tc>
          <w:tcPr>
            <w:tcW w:w="1320" w:type="dxa"/>
            <w:shd w:val="clear" w:color="auto" w:fill="auto"/>
            <w:noWrap/>
            <w:hideMark/>
          </w:tcPr>
          <w:p w14:paraId="4B0060F5" w14:textId="77777777" w:rsidR="00746C94" w:rsidRPr="00591BFC" w:rsidRDefault="00746C94" w:rsidP="00E86771">
            <w:pPr>
              <w:spacing w:line="360" w:lineRule="auto"/>
            </w:pPr>
            <w:r w:rsidRPr="00591BFC">
              <w:t>4.49</w:t>
            </w:r>
          </w:p>
        </w:tc>
        <w:tc>
          <w:tcPr>
            <w:tcW w:w="1320" w:type="dxa"/>
            <w:shd w:val="clear" w:color="auto" w:fill="auto"/>
            <w:noWrap/>
            <w:hideMark/>
          </w:tcPr>
          <w:p w14:paraId="68946886" w14:textId="77777777" w:rsidR="00746C94" w:rsidRPr="00591BFC" w:rsidRDefault="00746C94" w:rsidP="00E86771">
            <w:pPr>
              <w:spacing w:line="360" w:lineRule="auto"/>
            </w:pPr>
            <w:r w:rsidRPr="00591BFC">
              <w:t>0.76</w:t>
            </w:r>
          </w:p>
        </w:tc>
      </w:tr>
      <w:tr w:rsidR="00746C94" w:rsidRPr="00591BFC" w14:paraId="35241CA9" w14:textId="77777777" w:rsidTr="005661FC">
        <w:trPr>
          <w:trHeight w:val="330"/>
        </w:trPr>
        <w:tc>
          <w:tcPr>
            <w:tcW w:w="3780" w:type="dxa"/>
            <w:shd w:val="clear" w:color="auto" w:fill="auto"/>
            <w:noWrap/>
            <w:hideMark/>
          </w:tcPr>
          <w:p w14:paraId="2250B49B"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0D2D6951" w14:textId="77777777" w:rsidR="00746C94" w:rsidRPr="00591BFC" w:rsidRDefault="00746C94" w:rsidP="00E86771">
            <w:pPr>
              <w:spacing w:line="360" w:lineRule="auto"/>
            </w:pPr>
            <w:r w:rsidRPr="00591BFC">
              <w:t>0.67</w:t>
            </w:r>
          </w:p>
        </w:tc>
        <w:tc>
          <w:tcPr>
            <w:tcW w:w="1320" w:type="dxa"/>
            <w:shd w:val="clear" w:color="auto" w:fill="auto"/>
            <w:noWrap/>
            <w:hideMark/>
          </w:tcPr>
          <w:p w14:paraId="222DF516" w14:textId="77777777" w:rsidR="00746C94" w:rsidRPr="00591BFC" w:rsidRDefault="00746C94" w:rsidP="00E86771">
            <w:pPr>
              <w:spacing w:line="360" w:lineRule="auto"/>
            </w:pPr>
            <w:r w:rsidRPr="00591BFC">
              <w:t>0.09</w:t>
            </w:r>
          </w:p>
        </w:tc>
        <w:tc>
          <w:tcPr>
            <w:tcW w:w="1320" w:type="dxa"/>
            <w:shd w:val="clear" w:color="auto" w:fill="auto"/>
            <w:noWrap/>
            <w:hideMark/>
          </w:tcPr>
          <w:p w14:paraId="58200A5B" w14:textId="77777777" w:rsidR="00746C94" w:rsidRPr="00591BFC" w:rsidRDefault="00746C94" w:rsidP="00E86771">
            <w:pPr>
              <w:spacing w:line="360" w:lineRule="auto"/>
            </w:pPr>
            <w:r w:rsidRPr="00591BFC">
              <w:t>1.24</w:t>
            </w:r>
          </w:p>
        </w:tc>
        <w:tc>
          <w:tcPr>
            <w:tcW w:w="1320" w:type="dxa"/>
            <w:shd w:val="clear" w:color="auto" w:fill="auto"/>
            <w:noWrap/>
            <w:hideMark/>
          </w:tcPr>
          <w:p w14:paraId="603A3C31" w14:textId="77777777" w:rsidR="00746C94" w:rsidRPr="00591BFC" w:rsidRDefault="00746C94" w:rsidP="00E86771">
            <w:pPr>
              <w:spacing w:line="360" w:lineRule="auto"/>
            </w:pPr>
            <w:r w:rsidRPr="00591BFC">
              <w:t>0.026</w:t>
            </w:r>
          </w:p>
        </w:tc>
      </w:tr>
      <w:tr w:rsidR="00746C94" w:rsidRPr="00591BFC" w14:paraId="1C2ECD35" w14:textId="77777777" w:rsidTr="005661FC">
        <w:trPr>
          <w:trHeight w:val="330"/>
        </w:trPr>
        <w:tc>
          <w:tcPr>
            <w:tcW w:w="3780" w:type="dxa"/>
            <w:shd w:val="clear" w:color="auto" w:fill="auto"/>
            <w:noWrap/>
            <w:hideMark/>
          </w:tcPr>
          <w:p w14:paraId="456C58B6"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6894055F" w14:textId="77777777" w:rsidR="00746C94" w:rsidRPr="00591BFC" w:rsidRDefault="00746C94" w:rsidP="00E86771">
            <w:pPr>
              <w:spacing w:line="360" w:lineRule="auto"/>
            </w:pPr>
            <w:r w:rsidRPr="00591BFC">
              <w:t>9.07</w:t>
            </w:r>
          </w:p>
        </w:tc>
        <w:tc>
          <w:tcPr>
            <w:tcW w:w="1320" w:type="dxa"/>
            <w:shd w:val="clear" w:color="auto" w:fill="auto"/>
            <w:noWrap/>
            <w:hideMark/>
          </w:tcPr>
          <w:p w14:paraId="119F03C0" w14:textId="77777777" w:rsidR="00746C94" w:rsidRPr="00591BFC" w:rsidRDefault="00746C94" w:rsidP="00E86771">
            <w:pPr>
              <w:spacing w:line="360" w:lineRule="auto"/>
            </w:pPr>
            <w:r w:rsidRPr="00591BFC">
              <w:t>3.68</w:t>
            </w:r>
          </w:p>
        </w:tc>
        <w:tc>
          <w:tcPr>
            <w:tcW w:w="1320" w:type="dxa"/>
            <w:shd w:val="clear" w:color="auto" w:fill="auto"/>
            <w:noWrap/>
            <w:hideMark/>
          </w:tcPr>
          <w:p w14:paraId="1C5FA85B" w14:textId="77777777" w:rsidR="00746C94" w:rsidRPr="00591BFC" w:rsidRDefault="00746C94" w:rsidP="00E86771">
            <w:pPr>
              <w:spacing w:line="360" w:lineRule="auto"/>
            </w:pPr>
            <w:r w:rsidRPr="00591BFC">
              <w:t>14.5</w:t>
            </w:r>
          </w:p>
        </w:tc>
        <w:tc>
          <w:tcPr>
            <w:tcW w:w="1320" w:type="dxa"/>
            <w:shd w:val="clear" w:color="auto" w:fill="auto"/>
            <w:noWrap/>
            <w:hideMark/>
          </w:tcPr>
          <w:p w14:paraId="1CCA691A" w14:textId="77777777" w:rsidR="00746C94" w:rsidRPr="00591BFC" w:rsidRDefault="00746C94" w:rsidP="00E86771">
            <w:pPr>
              <w:spacing w:line="360" w:lineRule="auto"/>
            </w:pPr>
            <w:r w:rsidRPr="00591BFC">
              <w:t>0.002</w:t>
            </w:r>
          </w:p>
        </w:tc>
      </w:tr>
      <w:tr w:rsidR="00746C94" w:rsidRPr="00591BFC" w14:paraId="36D873CD" w14:textId="77777777" w:rsidTr="005661FC">
        <w:trPr>
          <w:trHeight w:val="330"/>
        </w:trPr>
        <w:tc>
          <w:tcPr>
            <w:tcW w:w="3780" w:type="dxa"/>
            <w:shd w:val="clear" w:color="auto" w:fill="auto"/>
            <w:noWrap/>
            <w:hideMark/>
          </w:tcPr>
          <w:p w14:paraId="4A833E06"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27EF48DE" w14:textId="77777777" w:rsidR="00746C94" w:rsidRPr="00591BFC" w:rsidRDefault="00746C94" w:rsidP="00E86771">
            <w:pPr>
              <w:spacing w:line="360" w:lineRule="auto"/>
            </w:pPr>
            <w:r w:rsidRPr="00591BFC">
              <w:t>1.51</w:t>
            </w:r>
          </w:p>
        </w:tc>
        <w:tc>
          <w:tcPr>
            <w:tcW w:w="1320" w:type="dxa"/>
            <w:shd w:val="clear" w:color="auto" w:fill="auto"/>
            <w:noWrap/>
            <w:hideMark/>
          </w:tcPr>
          <w:p w14:paraId="21CB3A93" w14:textId="77777777" w:rsidR="00746C94" w:rsidRPr="00591BFC" w:rsidRDefault="00746C94" w:rsidP="00E86771">
            <w:pPr>
              <w:spacing w:line="360" w:lineRule="auto"/>
            </w:pPr>
            <w:r w:rsidRPr="00591BFC">
              <w:t>0.49</w:t>
            </w:r>
          </w:p>
        </w:tc>
        <w:tc>
          <w:tcPr>
            <w:tcW w:w="1320" w:type="dxa"/>
            <w:shd w:val="clear" w:color="auto" w:fill="auto"/>
            <w:noWrap/>
            <w:hideMark/>
          </w:tcPr>
          <w:p w14:paraId="0C92EFA6" w14:textId="77777777" w:rsidR="00746C94" w:rsidRPr="00591BFC" w:rsidRDefault="00746C94" w:rsidP="00E86771">
            <w:pPr>
              <w:spacing w:line="360" w:lineRule="auto"/>
            </w:pPr>
            <w:r w:rsidRPr="00591BFC">
              <w:t>2.53</w:t>
            </w:r>
          </w:p>
        </w:tc>
        <w:tc>
          <w:tcPr>
            <w:tcW w:w="1320" w:type="dxa"/>
            <w:shd w:val="clear" w:color="auto" w:fill="auto"/>
            <w:noWrap/>
            <w:hideMark/>
          </w:tcPr>
          <w:p w14:paraId="7C006966" w14:textId="77777777" w:rsidR="00746C94" w:rsidRPr="00591BFC" w:rsidRDefault="00746C94" w:rsidP="00E86771">
            <w:pPr>
              <w:spacing w:line="360" w:lineRule="auto"/>
            </w:pPr>
            <w:r w:rsidRPr="00591BFC">
              <w:t>0.006</w:t>
            </w:r>
          </w:p>
        </w:tc>
      </w:tr>
      <w:tr w:rsidR="00746C94" w:rsidRPr="00591BFC" w14:paraId="1D3B3B08" w14:textId="77777777" w:rsidTr="005661FC">
        <w:trPr>
          <w:trHeight w:val="330"/>
        </w:trPr>
        <w:tc>
          <w:tcPr>
            <w:tcW w:w="3780" w:type="dxa"/>
            <w:shd w:val="clear" w:color="auto" w:fill="auto"/>
            <w:noWrap/>
            <w:hideMark/>
          </w:tcPr>
          <w:p w14:paraId="28DF6228"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1CC5547A" w14:textId="77777777" w:rsidR="00746C94" w:rsidRPr="00591BFC" w:rsidRDefault="00746C94" w:rsidP="00E86771">
            <w:pPr>
              <w:spacing w:line="360" w:lineRule="auto"/>
            </w:pPr>
            <w:r w:rsidRPr="00591BFC">
              <w:t>-7.52</w:t>
            </w:r>
          </w:p>
        </w:tc>
        <w:tc>
          <w:tcPr>
            <w:tcW w:w="1320" w:type="dxa"/>
            <w:shd w:val="clear" w:color="auto" w:fill="auto"/>
            <w:noWrap/>
            <w:hideMark/>
          </w:tcPr>
          <w:p w14:paraId="59468BC9" w14:textId="77777777" w:rsidR="00746C94" w:rsidRPr="00591BFC" w:rsidRDefault="00746C94" w:rsidP="00E86771">
            <w:pPr>
              <w:spacing w:line="360" w:lineRule="auto"/>
            </w:pPr>
            <w:r w:rsidRPr="00591BFC">
              <w:t>-14.1</w:t>
            </w:r>
          </w:p>
        </w:tc>
        <w:tc>
          <w:tcPr>
            <w:tcW w:w="1320" w:type="dxa"/>
            <w:shd w:val="clear" w:color="auto" w:fill="auto"/>
            <w:noWrap/>
            <w:hideMark/>
          </w:tcPr>
          <w:p w14:paraId="026D7218" w14:textId="77777777" w:rsidR="00746C94" w:rsidRPr="00591BFC" w:rsidRDefault="00746C94" w:rsidP="00E86771">
            <w:pPr>
              <w:spacing w:line="360" w:lineRule="auto"/>
            </w:pPr>
            <w:r w:rsidRPr="00591BFC">
              <w:t>-0.95</w:t>
            </w:r>
          </w:p>
        </w:tc>
        <w:tc>
          <w:tcPr>
            <w:tcW w:w="1320" w:type="dxa"/>
            <w:shd w:val="clear" w:color="auto" w:fill="auto"/>
            <w:noWrap/>
            <w:hideMark/>
          </w:tcPr>
          <w:p w14:paraId="3BBEAE8D" w14:textId="77777777" w:rsidR="00746C94" w:rsidRPr="00591BFC" w:rsidRDefault="00746C94" w:rsidP="00E86771">
            <w:pPr>
              <w:spacing w:line="360" w:lineRule="auto"/>
            </w:pPr>
            <w:r w:rsidRPr="00591BFC">
              <w:t>0.027</w:t>
            </w:r>
          </w:p>
        </w:tc>
      </w:tr>
      <w:tr w:rsidR="00746C94" w:rsidRPr="00591BFC" w14:paraId="2031E3A1" w14:textId="77777777" w:rsidTr="005661FC">
        <w:trPr>
          <w:trHeight w:val="330"/>
        </w:trPr>
        <w:tc>
          <w:tcPr>
            <w:tcW w:w="3780" w:type="dxa"/>
            <w:shd w:val="clear" w:color="auto" w:fill="auto"/>
            <w:noWrap/>
            <w:hideMark/>
          </w:tcPr>
          <w:p w14:paraId="04546A4A"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357E5E31" w14:textId="77777777" w:rsidR="00746C94" w:rsidRPr="00591BFC" w:rsidRDefault="00746C94" w:rsidP="00E86771">
            <w:pPr>
              <w:spacing w:line="360" w:lineRule="auto"/>
            </w:pPr>
            <w:r w:rsidRPr="00591BFC">
              <w:t> </w:t>
            </w:r>
          </w:p>
        </w:tc>
        <w:tc>
          <w:tcPr>
            <w:tcW w:w="1320" w:type="dxa"/>
            <w:shd w:val="clear" w:color="auto" w:fill="auto"/>
            <w:noWrap/>
            <w:hideMark/>
          </w:tcPr>
          <w:p w14:paraId="4BF05850" w14:textId="77777777" w:rsidR="00746C94" w:rsidRPr="00591BFC" w:rsidRDefault="00746C94" w:rsidP="00E86771">
            <w:pPr>
              <w:spacing w:line="360" w:lineRule="auto"/>
            </w:pPr>
            <w:r w:rsidRPr="00591BFC">
              <w:t> </w:t>
            </w:r>
          </w:p>
        </w:tc>
        <w:tc>
          <w:tcPr>
            <w:tcW w:w="1320" w:type="dxa"/>
            <w:shd w:val="clear" w:color="auto" w:fill="auto"/>
            <w:noWrap/>
            <w:hideMark/>
          </w:tcPr>
          <w:p w14:paraId="5E78DF16" w14:textId="77777777" w:rsidR="00746C94" w:rsidRPr="00591BFC" w:rsidRDefault="00746C94" w:rsidP="00E86771">
            <w:pPr>
              <w:spacing w:line="360" w:lineRule="auto"/>
            </w:pPr>
            <w:r w:rsidRPr="00591BFC">
              <w:t> </w:t>
            </w:r>
          </w:p>
        </w:tc>
        <w:tc>
          <w:tcPr>
            <w:tcW w:w="1320" w:type="dxa"/>
            <w:shd w:val="clear" w:color="auto" w:fill="auto"/>
            <w:noWrap/>
            <w:hideMark/>
          </w:tcPr>
          <w:p w14:paraId="5E1329A7" w14:textId="77777777" w:rsidR="00746C94" w:rsidRPr="00591BFC" w:rsidRDefault="00746C94" w:rsidP="00E86771">
            <w:pPr>
              <w:spacing w:line="360" w:lineRule="auto"/>
            </w:pPr>
            <w:r w:rsidRPr="00591BFC">
              <w:t> </w:t>
            </w:r>
          </w:p>
        </w:tc>
      </w:tr>
      <w:tr w:rsidR="00746C94" w:rsidRPr="00591BFC" w14:paraId="18D583F7" w14:textId="77777777" w:rsidTr="005661FC">
        <w:trPr>
          <w:trHeight w:val="330"/>
        </w:trPr>
        <w:tc>
          <w:tcPr>
            <w:tcW w:w="3780" w:type="dxa"/>
            <w:shd w:val="clear" w:color="auto" w:fill="auto"/>
            <w:noWrap/>
            <w:hideMark/>
          </w:tcPr>
          <w:p w14:paraId="34F669E9"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6C49E1FD" w14:textId="77777777" w:rsidR="00746C94" w:rsidRPr="00591BFC" w:rsidRDefault="00746C94" w:rsidP="00E86771">
            <w:pPr>
              <w:spacing w:line="360" w:lineRule="auto"/>
            </w:pPr>
            <w:r w:rsidRPr="00591BFC">
              <w:t> </w:t>
            </w:r>
          </w:p>
        </w:tc>
        <w:tc>
          <w:tcPr>
            <w:tcW w:w="1320" w:type="dxa"/>
            <w:shd w:val="clear" w:color="auto" w:fill="auto"/>
            <w:noWrap/>
            <w:hideMark/>
          </w:tcPr>
          <w:p w14:paraId="696F98A6" w14:textId="77777777" w:rsidR="00746C94" w:rsidRPr="00591BFC" w:rsidRDefault="00746C94" w:rsidP="00E86771">
            <w:pPr>
              <w:spacing w:line="360" w:lineRule="auto"/>
            </w:pPr>
            <w:r w:rsidRPr="00591BFC">
              <w:t> </w:t>
            </w:r>
          </w:p>
        </w:tc>
        <w:tc>
          <w:tcPr>
            <w:tcW w:w="1320" w:type="dxa"/>
            <w:shd w:val="clear" w:color="auto" w:fill="auto"/>
            <w:noWrap/>
            <w:hideMark/>
          </w:tcPr>
          <w:p w14:paraId="79400E50" w14:textId="77777777" w:rsidR="00746C94" w:rsidRPr="00591BFC" w:rsidRDefault="00746C94" w:rsidP="00E86771">
            <w:pPr>
              <w:spacing w:line="360" w:lineRule="auto"/>
            </w:pPr>
            <w:r w:rsidRPr="00591BFC">
              <w:t> </w:t>
            </w:r>
          </w:p>
        </w:tc>
        <w:tc>
          <w:tcPr>
            <w:tcW w:w="1320" w:type="dxa"/>
            <w:shd w:val="clear" w:color="auto" w:fill="auto"/>
            <w:noWrap/>
            <w:hideMark/>
          </w:tcPr>
          <w:p w14:paraId="2972167D" w14:textId="77777777" w:rsidR="00746C94" w:rsidRPr="00591BFC" w:rsidRDefault="00746C94" w:rsidP="00E86771">
            <w:pPr>
              <w:spacing w:line="360" w:lineRule="auto"/>
            </w:pPr>
            <w:r w:rsidRPr="00591BFC">
              <w:t> </w:t>
            </w:r>
          </w:p>
        </w:tc>
      </w:tr>
      <w:tr w:rsidR="00746C94" w:rsidRPr="00591BFC" w14:paraId="0C0949FD" w14:textId="77777777" w:rsidTr="005661FC">
        <w:trPr>
          <w:trHeight w:val="330"/>
        </w:trPr>
        <w:tc>
          <w:tcPr>
            <w:tcW w:w="3780" w:type="dxa"/>
            <w:shd w:val="clear" w:color="auto" w:fill="auto"/>
            <w:noWrap/>
            <w:hideMark/>
          </w:tcPr>
          <w:p w14:paraId="52346A4E"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3FDF086E" w14:textId="77777777" w:rsidR="00746C94" w:rsidRPr="00591BFC" w:rsidRDefault="00746C94" w:rsidP="00E86771">
            <w:pPr>
              <w:spacing w:line="360" w:lineRule="auto"/>
            </w:pPr>
            <w:r w:rsidRPr="00591BFC">
              <w:t> </w:t>
            </w:r>
          </w:p>
        </w:tc>
        <w:tc>
          <w:tcPr>
            <w:tcW w:w="1320" w:type="dxa"/>
            <w:shd w:val="clear" w:color="auto" w:fill="auto"/>
            <w:noWrap/>
            <w:hideMark/>
          </w:tcPr>
          <w:p w14:paraId="6A53327C" w14:textId="77777777" w:rsidR="00746C94" w:rsidRPr="00591BFC" w:rsidRDefault="00746C94" w:rsidP="00E86771">
            <w:pPr>
              <w:spacing w:line="360" w:lineRule="auto"/>
            </w:pPr>
            <w:r w:rsidRPr="00591BFC">
              <w:t> </w:t>
            </w:r>
          </w:p>
        </w:tc>
        <w:tc>
          <w:tcPr>
            <w:tcW w:w="1320" w:type="dxa"/>
            <w:shd w:val="clear" w:color="auto" w:fill="auto"/>
            <w:noWrap/>
            <w:hideMark/>
          </w:tcPr>
          <w:p w14:paraId="14C4A6AD" w14:textId="77777777" w:rsidR="00746C94" w:rsidRPr="00591BFC" w:rsidRDefault="00746C94" w:rsidP="00E86771">
            <w:pPr>
              <w:spacing w:line="360" w:lineRule="auto"/>
            </w:pPr>
            <w:r w:rsidRPr="00591BFC">
              <w:t> </w:t>
            </w:r>
          </w:p>
        </w:tc>
        <w:tc>
          <w:tcPr>
            <w:tcW w:w="1320" w:type="dxa"/>
            <w:shd w:val="clear" w:color="auto" w:fill="auto"/>
            <w:noWrap/>
            <w:hideMark/>
          </w:tcPr>
          <w:p w14:paraId="573AF657" w14:textId="77777777" w:rsidR="00746C94" w:rsidRPr="00591BFC" w:rsidRDefault="00746C94" w:rsidP="00E86771">
            <w:pPr>
              <w:spacing w:line="360" w:lineRule="auto"/>
            </w:pPr>
            <w:r w:rsidRPr="00591BFC">
              <w:t> </w:t>
            </w:r>
          </w:p>
        </w:tc>
      </w:tr>
      <w:tr w:rsidR="00746C94" w:rsidRPr="00591BFC" w14:paraId="47D340EB" w14:textId="77777777" w:rsidTr="005661FC">
        <w:trPr>
          <w:trHeight w:val="300"/>
        </w:trPr>
        <w:tc>
          <w:tcPr>
            <w:tcW w:w="9060" w:type="dxa"/>
            <w:gridSpan w:val="5"/>
            <w:shd w:val="clear" w:color="auto" w:fill="auto"/>
            <w:hideMark/>
          </w:tcPr>
          <w:p w14:paraId="5B683557" w14:textId="77777777" w:rsidR="00746C94" w:rsidRPr="00591BFC" w:rsidRDefault="00746C94" w:rsidP="00E86771">
            <w:pPr>
              <w:spacing w:line="360" w:lineRule="auto"/>
              <w:rPr>
                <w:u w:val="single"/>
              </w:rPr>
            </w:pPr>
            <w:r w:rsidRPr="00591BFC">
              <w:rPr>
                <w:u w:val="single"/>
              </w:rPr>
              <w:t>bisphosphonate prevalence (10-14 months)*</w:t>
            </w:r>
          </w:p>
        </w:tc>
      </w:tr>
      <w:tr w:rsidR="00746C94" w:rsidRPr="00591BFC" w14:paraId="371851F2" w14:textId="77777777" w:rsidTr="005661FC">
        <w:trPr>
          <w:trHeight w:val="330"/>
        </w:trPr>
        <w:tc>
          <w:tcPr>
            <w:tcW w:w="3780" w:type="dxa"/>
            <w:shd w:val="clear" w:color="auto" w:fill="auto"/>
            <w:noWrap/>
            <w:hideMark/>
          </w:tcPr>
          <w:p w14:paraId="0E6E49F2"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381782D6" w14:textId="77777777" w:rsidR="00746C94" w:rsidRPr="00591BFC" w:rsidRDefault="00746C94" w:rsidP="00E86771">
            <w:pPr>
              <w:spacing w:line="360" w:lineRule="auto"/>
            </w:pPr>
            <w:r w:rsidRPr="00591BFC">
              <w:t>2.83</w:t>
            </w:r>
          </w:p>
        </w:tc>
        <w:tc>
          <w:tcPr>
            <w:tcW w:w="1320" w:type="dxa"/>
            <w:shd w:val="clear" w:color="auto" w:fill="auto"/>
            <w:noWrap/>
            <w:hideMark/>
          </w:tcPr>
          <w:p w14:paraId="79030EE0" w14:textId="77777777" w:rsidR="00746C94" w:rsidRPr="00591BFC" w:rsidRDefault="00746C94" w:rsidP="00E86771">
            <w:pPr>
              <w:spacing w:line="360" w:lineRule="auto"/>
            </w:pPr>
            <w:r w:rsidRPr="00591BFC">
              <w:t>1.1</w:t>
            </w:r>
          </w:p>
        </w:tc>
        <w:tc>
          <w:tcPr>
            <w:tcW w:w="1320" w:type="dxa"/>
            <w:shd w:val="clear" w:color="auto" w:fill="auto"/>
            <w:noWrap/>
            <w:hideMark/>
          </w:tcPr>
          <w:p w14:paraId="055E9DFE" w14:textId="77777777" w:rsidR="00746C94" w:rsidRPr="00591BFC" w:rsidRDefault="00746C94" w:rsidP="00E86771">
            <w:pPr>
              <w:spacing w:line="360" w:lineRule="auto"/>
            </w:pPr>
            <w:r w:rsidRPr="00591BFC">
              <w:t>4.56</w:t>
            </w:r>
          </w:p>
        </w:tc>
        <w:tc>
          <w:tcPr>
            <w:tcW w:w="1320" w:type="dxa"/>
            <w:shd w:val="clear" w:color="auto" w:fill="auto"/>
            <w:noWrap/>
            <w:hideMark/>
          </w:tcPr>
          <w:p w14:paraId="19DFBB12" w14:textId="77777777" w:rsidR="00746C94" w:rsidRPr="00591BFC" w:rsidRDefault="00746C94" w:rsidP="00E86771">
            <w:pPr>
              <w:spacing w:line="360" w:lineRule="auto"/>
            </w:pPr>
            <w:r w:rsidRPr="00591BFC">
              <w:t>0.003</w:t>
            </w:r>
          </w:p>
        </w:tc>
      </w:tr>
      <w:tr w:rsidR="00746C94" w:rsidRPr="00591BFC" w14:paraId="7707CF4D" w14:textId="77777777" w:rsidTr="005661FC">
        <w:trPr>
          <w:trHeight w:val="330"/>
        </w:trPr>
        <w:tc>
          <w:tcPr>
            <w:tcW w:w="3780" w:type="dxa"/>
            <w:shd w:val="clear" w:color="auto" w:fill="auto"/>
            <w:noWrap/>
            <w:hideMark/>
          </w:tcPr>
          <w:p w14:paraId="3B0C716E"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67684B7F" w14:textId="77777777" w:rsidR="00746C94" w:rsidRPr="00591BFC" w:rsidRDefault="00746C94" w:rsidP="00E86771">
            <w:pPr>
              <w:spacing w:line="360" w:lineRule="auto"/>
            </w:pPr>
            <w:r w:rsidRPr="00591BFC">
              <w:t> </w:t>
            </w:r>
          </w:p>
        </w:tc>
        <w:tc>
          <w:tcPr>
            <w:tcW w:w="1320" w:type="dxa"/>
            <w:shd w:val="clear" w:color="auto" w:fill="auto"/>
            <w:noWrap/>
            <w:hideMark/>
          </w:tcPr>
          <w:p w14:paraId="27252C5E" w14:textId="77777777" w:rsidR="00746C94" w:rsidRPr="00591BFC" w:rsidRDefault="00746C94" w:rsidP="00E86771">
            <w:pPr>
              <w:spacing w:line="360" w:lineRule="auto"/>
            </w:pPr>
            <w:r w:rsidRPr="00591BFC">
              <w:t> </w:t>
            </w:r>
          </w:p>
        </w:tc>
        <w:tc>
          <w:tcPr>
            <w:tcW w:w="1320" w:type="dxa"/>
            <w:shd w:val="clear" w:color="auto" w:fill="auto"/>
            <w:noWrap/>
            <w:hideMark/>
          </w:tcPr>
          <w:p w14:paraId="5823D4D5" w14:textId="77777777" w:rsidR="00746C94" w:rsidRPr="00591BFC" w:rsidRDefault="00746C94" w:rsidP="00E86771">
            <w:pPr>
              <w:spacing w:line="360" w:lineRule="auto"/>
            </w:pPr>
            <w:r w:rsidRPr="00591BFC">
              <w:t> </w:t>
            </w:r>
          </w:p>
        </w:tc>
        <w:tc>
          <w:tcPr>
            <w:tcW w:w="1320" w:type="dxa"/>
            <w:shd w:val="clear" w:color="auto" w:fill="auto"/>
            <w:noWrap/>
            <w:hideMark/>
          </w:tcPr>
          <w:p w14:paraId="71A8E28A" w14:textId="77777777" w:rsidR="00746C94" w:rsidRPr="00591BFC" w:rsidRDefault="00746C94" w:rsidP="00E86771">
            <w:pPr>
              <w:spacing w:line="360" w:lineRule="auto"/>
            </w:pPr>
            <w:r w:rsidRPr="00591BFC">
              <w:t> </w:t>
            </w:r>
          </w:p>
        </w:tc>
      </w:tr>
      <w:tr w:rsidR="00746C94" w:rsidRPr="00591BFC" w14:paraId="604967A6" w14:textId="77777777" w:rsidTr="005661FC">
        <w:trPr>
          <w:trHeight w:val="330"/>
        </w:trPr>
        <w:tc>
          <w:tcPr>
            <w:tcW w:w="3780" w:type="dxa"/>
            <w:shd w:val="clear" w:color="auto" w:fill="auto"/>
            <w:noWrap/>
            <w:hideMark/>
          </w:tcPr>
          <w:p w14:paraId="01A8B0E4"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3F96CE4E" w14:textId="77777777" w:rsidR="00746C94" w:rsidRPr="00591BFC" w:rsidRDefault="00746C94" w:rsidP="00E86771">
            <w:pPr>
              <w:spacing w:line="360" w:lineRule="auto"/>
            </w:pPr>
            <w:r w:rsidRPr="00591BFC">
              <w:t>7.98</w:t>
            </w:r>
          </w:p>
        </w:tc>
        <w:tc>
          <w:tcPr>
            <w:tcW w:w="1320" w:type="dxa"/>
            <w:shd w:val="clear" w:color="auto" w:fill="auto"/>
            <w:noWrap/>
            <w:hideMark/>
          </w:tcPr>
          <w:p w14:paraId="17755803" w14:textId="77777777" w:rsidR="00746C94" w:rsidRPr="00591BFC" w:rsidRDefault="00746C94" w:rsidP="00E86771">
            <w:pPr>
              <w:spacing w:line="360" w:lineRule="auto"/>
            </w:pPr>
            <w:r w:rsidRPr="00591BFC">
              <w:t>4.06</w:t>
            </w:r>
          </w:p>
        </w:tc>
        <w:tc>
          <w:tcPr>
            <w:tcW w:w="1320" w:type="dxa"/>
            <w:shd w:val="clear" w:color="auto" w:fill="auto"/>
            <w:noWrap/>
            <w:hideMark/>
          </w:tcPr>
          <w:p w14:paraId="0BBE2995" w14:textId="77777777" w:rsidR="00746C94" w:rsidRPr="00591BFC" w:rsidRDefault="00746C94" w:rsidP="00E86771">
            <w:pPr>
              <w:spacing w:line="360" w:lineRule="auto"/>
            </w:pPr>
            <w:r w:rsidRPr="00591BFC">
              <w:t>11.9</w:t>
            </w:r>
          </w:p>
        </w:tc>
        <w:tc>
          <w:tcPr>
            <w:tcW w:w="1320" w:type="dxa"/>
            <w:shd w:val="clear" w:color="auto" w:fill="auto"/>
            <w:noWrap/>
            <w:hideMark/>
          </w:tcPr>
          <w:p w14:paraId="194DFF57" w14:textId="77777777" w:rsidR="00746C94" w:rsidRPr="00591BFC" w:rsidRDefault="00746C94" w:rsidP="00E86771">
            <w:pPr>
              <w:spacing w:line="360" w:lineRule="auto"/>
            </w:pPr>
            <w:r w:rsidRPr="00591BFC">
              <w:t>&lt;0.001</w:t>
            </w:r>
          </w:p>
        </w:tc>
      </w:tr>
      <w:tr w:rsidR="00746C94" w:rsidRPr="00591BFC" w14:paraId="6DBFEA4D" w14:textId="77777777" w:rsidTr="005661FC">
        <w:trPr>
          <w:trHeight w:val="330"/>
        </w:trPr>
        <w:tc>
          <w:tcPr>
            <w:tcW w:w="3780" w:type="dxa"/>
            <w:shd w:val="clear" w:color="auto" w:fill="auto"/>
            <w:noWrap/>
            <w:hideMark/>
          </w:tcPr>
          <w:p w14:paraId="7B1A2A3C"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35D34552" w14:textId="77777777" w:rsidR="00746C94" w:rsidRPr="00591BFC" w:rsidRDefault="00746C94" w:rsidP="00E86771">
            <w:pPr>
              <w:spacing w:line="360" w:lineRule="auto"/>
            </w:pPr>
            <w:r w:rsidRPr="00591BFC">
              <w:t>1.74</w:t>
            </w:r>
          </w:p>
        </w:tc>
        <w:tc>
          <w:tcPr>
            <w:tcW w:w="1320" w:type="dxa"/>
            <w:shd w:val="clear" w:color="auto" w:fill="auto"/>
            <w:noWrap/>
            <w:hideMark/>
          </w:tcPr>
          <w:p w14:paraId="051728A5" w14:textId="77777777" w:rsidR="00746C94" w:rsidRPr="00591BFC" w:rsidRDefault="00746C94" w:rsidP="00E86771">
            <w:pPr>
              <w:spacing w:line="360" w:lineRule="auto"/>
            </w:pPr>
            <w:r w:rsidRPr="00591BFC">
              <w:t>0.94</w:t>
            </w:r>
          </w:p>
        </w:tc>
        <w:tc>
          <w:tcPr>
            <w:tcW w:w="1320" w:type="dxa"/>
            <w:shd w:val="clear" w:color="auto" w:fill="auto"/>
            <w:noWrap/>
            <w:hideMark/>
          </w:tcPr>
          <w:p w14:paraId="647EEADA" w14:textId="77777777" w:rsidR="00746C94" w:rsidRPr="00591BFC" w:rsidRDefault="00746C94" w:rsidP="00E86771">
            <w:pPr>
              <w:spacing w:line="360" w:lineRule="auto"/>
            </w:pPr>
            <w:r w:rsidRPr="00591BFC">
              <w:t>2.53</w:t>
            </w:r>
          </w:p>
        </w:tc>
        <w:tc>
          <w:tcPr>
            <w:tcW w:w="1320" w:type="dxa"/>
            <w:shd w:val="clear" w:color="auto" w:fill="auto"/>
            <w:noWrap/>
            <w:hideMark/>
          </w:tcPr>
          <w:p w14:paraId="74048DC6" w14:textId="77777777" w:rsidR="00746C94" w:rsidRPr="00591BFC" w:rsidRDefault="00746C94" w:rsidP="00E86771">
            <w:pPr>
              <w:spacing w:line="360" w:lineRule="auto"/>
            </w:pPr>
            <w:r w:rsidRPr="00591BFC">
              <w:t>&lt;0.001</w:t>
            </w:r>
          </w:p>
        </w:tc>
      </w:tr>
      <w:tr w:rsidR="00746C94" w:rsidRPr="00591BFC" w14:paraId="26EAFACC" w14:textId="77777777" w:rsidTr="005661FC">
        <w:trPr>
          <w:trHeight w:val="330"/>
        </w:trPr>
        <w:tc>
          <w:tcPr>
            <w:tcW w:w="3780" w:type="dxa"/>
            <w:shd w:val="clear" w:color="auto" w:fill="auto"/>
            <w:noWrap/>
            <w:hideMark/>
          </w:tcPr>
          <w:p w14:paraId="768C7219"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0502191B" w14:textId="77777777" w:rsidR="00746C94" w:rsidRPr="00591BFC" w:rsidRDefault="00746C94" w:rsidP="00E86771">
            <w:pPr>
              <w:spacing w:line="360" w:lineRule="auto"/>
            </w:pPr>
            <w:r w:rsidRPr="00591BFC">
              <w:t>-8.69</w:t>
            </w:r>
          </w:p>
        </w:tc>
        <w:tc>
          <w:tcPr>
            <w:tcW w:w="1320" w:type="dxa"/>
            <w:shd w:val="clear" w:color="auto" w:fill="auto"/>
            <w:noWrap/>
            <w:hideMark/>
          </w:tcPr>
          <w:p w14:paraId="3C89C334" w14:textId="77777777" w:rsidR="00746C94" w:rsidRPr="00591BFC" w:rsidRDefault="00746C94" w:rsidP="00E86771">
            <w:pPr>
              <w:spacing w:line="360" w:lineRule="auto"/>
            </w:pPr>
            <w:r w:rsidRPr="00591BFC">
              <w:t>-14.8</w:t>
            </w:r>
          </w:p>
        </w:tc>
        <w:tc>
          <w:tcPr>
            <w:tcW w:w="1320" w:type="dxa"/>
            <w:shd w:val="clear" w:color="auto" w:fill="auto"/>
            <w:noWrap/>
            <w:hideMark/>
          </w:tcPr>
          <w:p w14:paraId="0C1263AE" w14:textId="77777777" w:rsidR="00746C94" w:rsidRPr="00591BFC" w:rsidRDefault="00746C94" w:rsidP="00E86771">
            <w:pPr>
              <w:spacing w:line="360" w:lineRule="auto"/>
            </w:pPr>
            <w:r w:rsidRPr="00591BFC">
              <w:t>-2.56</w:t>
            </w:r>
          </w:p>
        </w:tc>
        <w:tc>
          <w:tcPr>
            <w:tcW w:w="1320" w:type="dxa"/>
            <w:shd w:val="clear" w:color="auto" w:fill="auto"/>
            <w:noWrap/>
            <w:hideMark/>
          </w:tcPr>
          <w:p w14:paraId="3886D01F" w14:textId="77777777" w:rsidR="00746C94" w:rsidRPr="00591BFC" w:rsidRDefault="00746C94" w:rsidP="00E86771">
            <w:pPr>
              <w:spacing w:line="360" w:lineRule="auto"/>
            </w:pPr>
            <w:r w:rsidRPr="00591BFC">
              <w:t>0.008</w:t>
            </w:r>
          </w:p>
        </w:tc>
      </w:tr>
      <w:tr w:rsidR="00746C94" w:rsidRPr="00591BFC" w14:paraId="28DDA1D2" w14:textId="77777777" w:rsidTr="005661FC">
        <w:trPr>
          <w:trHeight w:val="330"/>
        </w:trPr>
        <w:tc>
          <w:tcPr>
            <w:tcW w:w="3780" w:type="dxa"/>
            <w:shd w:val="clear" w:color="auto" w:fill="auto"/>
            <w:noWrap/>
            <w:hideMark/>
          </w:tcPr>
          <w:p w14:paraId="1FA42D2B" w14:textId="77777777" w:rsidR="00746C94" w:rsidRPr="00591BFC" w:rsidRDefault="00746C94" w:rsidP="00E86771">
            <w:pPr>
              <w:spacing w:line="360" w:lineRule="auto"/>
            </w:pPr>
            <w:r w:rsidRPr="00591BFC">
              <w:lastRenderedPageBreak/>
              <w:t>Trend change after intervention 3+4 (β</w:t>
            </w:r>
            <w:r w:rsidRPr="00591BFC">
              <w:rPr>
                <w:vertAlign w:val="subscript"/>
              </w:rPr>
              <w:t>5</w:t>
            </w:r>
            <w:r w:rsidRPr="00591BFC">
              <w:t>)</w:t>
            </w:r>
          </w:p>
        </w:tc>
        <w:tc>
          <w:tcPr>
            <w:tcW w:w="1320" w:type="dxa"/>
            <w:shd w:val="clear" w:color="auto" w:fill="auto"/>
            <w:noWrap/>
            <w:hideMark/>
          </w:tcPr>
          <w:p w14:paraId="786581EA" w14:textId="77777777" w:rsidR="00746C94" w:rsidRPr="00591BFC" w:rsidRDefault="00746C94" w:rsidP="00E86771">
            <w:pPr>
              <w:spacing w:line="360" w:lineRule="auto"/>
            </w:pPr>
            <w:r w:rsidRPr="00591BFC">
              <w:t> </w:t>
            </w:r>
          </w:p>
        </w:tc>
        <w:tc>
          <w:tcPr>
            <w:tcW w:w="1320" w:type="dxa"/>
            <w:shd w:val="clear" w:color="auto" w:fill="auto"/>
            <w:noWrap/>
            <w:hideMark/>
          </w:tcPr>
          <w:p w14:paraId="6935F028" w14:textId="77777777" w:rsidR="00746C94" w:rsidRPr="00591BFC" w:rsidRDefault="00746C94" w:rsidP="00E86771">
            <w:pPr>
              <w:spacing w:line="360" w:lineRule="auto"/>
            </w:pPr>
            <w:r w:rsidRPr="00591BFC">
              <w:t> </w:t>
            </w:r>
          </w:p>
        </w:tc>
        <w:tc>
          <w:tcPr>
            <w:tcW w:w="1320" w:type="dxa"/>
            <w:shd w:val="clear" w:color="auto" w:fill="auto"/>
            <w:noWrap/>
            <w:hideMark/>
          </w:tcPr>
          <w:p w14:paraId="554B1C00" w14:textId="77777777" w:rsidR="00746C94" w:rsidRPr="00591BFC" w:rsidRDefault="00746C94" w:rsidP="00E86771">
            <w:pPr>
              <w:spacing w:line="360" w:lineRule="auto"/>
            </w:pPr>
            <w:r w:rsidRPr="00591BFC">
              <w:t> </w:t>
            </w:r>
          </w:p>
        </w:tc>
        <w:tc>
          <w:tcPr>
            <w:tcW w:w="1320" w:type="dxa"/>
            <w:shd w:val="clear" w:color="auto" w:fill="auto"/>
            <w:noWrap/>
            <w:hideMark/>
          </w:tcPr>
          <w:p w14:paraId="3D7E144D" w14:textId="77777777" w:rsidR="00746C94" w:rsidRPr="00591BFC" w:rsidRDefault="00746C94" w:rsidP="00E86771">
            <w:pPr>
              <w:spacing w:line="360" w:lineRule="auto"/>
            </w:pPr>
            <w:r w:rsidRPr="00591BFC">
              <w:t> </w:t>
            </w:r>
          </w:p>
        </w:tc>
      </w:tr>
      <w:tr w:rsidR="00746C94" w:rsidRPr="00591BFC" w14:paraId="3A655F5A" w14:textId="77777777" w:rsidTr="005661FC">
        <w:trPr>
          <w:trHeight w:val="330"/>
        </w:trPr>
        <w:tc>
          <w:tcPr>
            <w:tcW w:w="3780" w:type="dxa"/>
            <w:shd w:val="clear" w:color="auto" w:fill="auto"/>
            <w:noWrap/>
            <w:hideMark/>
          </w:tcPr>
          <w:p w14:paraId="5995B294"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5EF0C7EF" w14:textId="77777777" w:rsidR="00746C94" w:rsidRPr="00591BFC" w:rsidRDefault="00746C94" w:rsidP="00E86771">
            <w:pPr>
              <w:spacing w:line="360" w:lineRule="auto"/>
            </w:pPr>
            <w:r w:rsidRPr="00591BFC">
              <w:t> </w:t>
            </w:r>
          </w:p>
        </w:tc>
        <w:tc>
          <w:tcPr>
            <w:tcW w:w="1320" w:type="dxa"/>
            <w:shd w:val="clear" w:color="auto" w:fill="auto"/>
            <w:noWrap/>
            <w:hideMark/>
          </w:tcPr>
          <w:p w14:paraId="5632F271" w14:textId="77777777" w:rsidR="00746C94" w:rsidRPr="00591BFC" w:rsidRDefault="00746C94" w:rsidP="00E86771">
            <w:pPr>
              <w:spacing w:line="360" w:lineRule="auto"/>
            </w:pPr>
            <w:r w:rsidRPr="00591BFC">
              <w:t> </w:t>
            </w:r>
          </w:p>
        </w:tc>
        <w:tc>
          <w:tcPr>
            <w:tcW w:w="1320" w:type="dxa"/>
            <w:shd w:val="clear" w:color="auto" w:fill="auto"/>
            <w:noWrap/>
            <w:hideMark/>
          </w:tcPr>
          <w:p w14:paraId="7B8BB1FD" w14:textId="77777777" w:rsidR="00746C94" w:rsidRPr="00591BFC" w:rsidRDefault="00746C94" w:rsidP="00E86771">
            <w:pPr>
              <w:spacing w:line="360" w:lineRule="auto"/>
            </w:pPr>
            <w:r w:rsidRPr="00591BFC">
              <w:t> </w:t>
            </w:r>
          </w:p>
        </w:tc>
        <w:tc>
          <w:tcPr>
            <w:tcW w:w="1320" w:type="dxa"/>
            <w:shd w:val="clear" w:color="auto" w:fill="auto"/>
            <w:noWrap/>
            <w:hideMark/>
          </w:tcPr>
          <w:p w14:paraId="3938280D" w14:textId="77777777" w:rsidR="00746C94" w:rsidRPr="00591BFC" w:rsidRDefault="00746C94" w:rsidP="00E86771">
            <w:pPr>
              <w:spacing w:line="360" w:lineRule="auto"/>
            </w:pPr>
            <w:r w:rsidRPr="00591BFC">
              <w:t> </w:t>
            </w:r>
          </w:p>
        </w:tc>
      </w:tr>
      <w:tr w:rsidR="00746C94" w:rsidRPr="00591BFC" w14:paraId="1EEC406C" w14:textId="77777777" w:rsidTr="005661FC">
        <w:trPr>
          <w:trHeight w:val="330"/>
        </w:trPr>
        <w:tc>
          <w:tcPr>
            <w:tcW w:w="3780" w:type="dxa"/>
            <w:shd w:val="clear" w:color="auto" w:fill="auto"/>
            <w:noWrap/>
            <w:hideMark/>
          </w:tcPr>
          <w:p w14:paraId="5E07D75C"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6DDDD230" w14:textId="77777777" w:rsidR="00746C94" w:rsidRPr="00591BFC" w:rsidRDefault="00746C94" w:rsidP="00E86771">
            <w:pPr>
              <w:spacing w:line="360" w:lineRule="auto"/>
            </w:pPr>
            <w:r w:rsidRPr="00591BFC">
              <w:t> </w:t>
            </w:r>
          </w:p>
        </w:tc>
        <w:tc>
          <w:tcPr>
            <w:tcW w:w="1320" w:type="dxa"/>
            <w:shd w:val="clear" w:color="auto" w:fill="auto"/>
            <w:noWrap/>
            <w:hideMark/>
          </w:tcPr>
          <w:p w14:paraId="71D57F9C" w14:textId="77777777" w:rsidR="00746C94" w:rsidRPr="00591BFC" w:rsidRDefault="00746C94" w:rsidP="00E86771">
            <w:pPr>
              <w:spacing w:line="360" w:lineRule="auto"/>
            </w:pPr>
            <w:r w:rsidRPr="00591BFC">
              <w:t> </w:t>
            </w:r>
          </w:p>
        </w:tc>
        <w:tc>
          <w:tcPr>
            <w:tcW w:w="1320" w:type="dxa"/>
            <w:shd w:val="clear" w:color="auto" w:fill="auto"/>
            <w:noWrap/>
            <w:hideMark/>
          </w:tcPr>
          <w:p w14:paraId="268D6D66" w14:textId="77777777" w:rsidR="00746C94" w:rsidRPr="00591BFC" w:rsidRDefault="00746C94" w:rsidP="00E86771">
            <w:pPr>
              <w:spacing w:line="360" w:lineRule="auto"/>
            </w:pPr>
            <w:r w:rsidRPr="00591BFC">
              <w:t> </w:t>
            </w:r>
          </w:p>
        </w:tc>
        <w:tc>
          <w:tcPr>
            <w:tcW w:w="1320" w:type="dxa"/>
            <w:shd w:val="clear" w:color="auto" w:fill="auto"/>
            <w:noWrap/>
            <w:hideMark/>
          </w:tcPr>
          <w:p w14:paraId="1AAAA0EC" w14:textId="77777777" w:rsidR="00746C94" w:rsidRPr="00591BFC" w:rsidRDefault="00746C94" w:rsidP="00E86771">
            <w:pPr>
              <w:spacing w:line="360" w:lineRule="auto"/>
            </w:pPr>
            <w:r w:rsidRPr="00591BFC">
              <w:t> </w:t>
            </w:r>
          </w:p>
        </w:tc>
      </w:tr>
      <w:tr w:rsidR="00746C94" w:rsidRPr="00591BFC" w14:paraId="4B6215F3" w14:textId="77777777" w:rsidTr="005661FC">
        <w:trPr>
          <w:trHeight w:val="315"/>
        </w:trPr>
        <w:tc>
          <w:tcPr>
            <w:tcW w:w="3780" w:type="dxa"/>
            <w:shd w:val="clear" w:color="auto" w:fill="auto"/>
            <w:noWrap/>
            <w:hideMark/>
          </w:tcPr>
          <w:p w14:paraId="68703C09" w14:textId="77777777" w:rsidR="00746C94" w:rsidRPr="00591BFC" w:rsidRDefault="00746C94" w:rsidP="00E86771">
            <w:pPr>
              <w:spacing w:line="360" w:lineRule="auto"/>
            </w:pPr>
            <w:r w:rsidRPr="00591BFC">
              <w:t> </w:t>
            </w:r>
          </w:p>
        </w:tc>
        <w:tc>
          <w:tcPr>
            <w:tcW w:w="1320" w:type="dxa"/>
            <w:shd w:val="clear" w:color="auto" w:fill="auto"/>
            <w:hideMark/>
          </w:tcPr>
          <w:p w14:paraId="34BC0614" w14:textId="77777777" w:rsidR="00746C94" w:rsidRPr="00591BFC" w:rsidRDefault="00746C94" w:rsidP="00E86771">
            <w:pPr>
              <w:spacing w:line="360" w:lineRule="auto"/>
            </w:pPr>
            <w:r w:rsidRPr="00591BFC">
              <w:t> </w:t>
            </w:r>
          </w:p>
        </w:tc>
        <w:tc>
          <w:tcPr>
            <w:tcW w:w="1320" w:type="dxa"/>
            <w:shd w:val="clear" w:color="auto" w:fill="auto"/>
            <w:hideMark/>
          </w:tcPr>
          <w:p w14:paraId="2C41FAD1" w14:textId="77777777" w:rsidR="00746C94" w:rsidRPr="00591BFC" w:rsidRDefault="00746C94" w:rsidP="00E86771">
            <w:pPr>
              <w:spacing w:line="360" w:lineRule="auto"/>
            </w:pPr>
            <w:r w:rsidRPr="00591BFC">
              <w:t> </w:t>
            </w:r>
          </w:p>
        </w:tc>
        <w:tc>
          <w:tcPr>
            <w:tcW w:w="1320" w:type="dxa"/>
            <w:shd w:val="clear" w:color="auto" w:fill="auto"/>
            <w:hideMark/>
          </w:tcPr>
          <w:p w14:paraId="7A3FFDB0" w14:textId="77777777" w:rsidR="00746C94" w:rsidRPr="00591BFC" w:rsidRDefault="00746C94" w:rsidP="00E86771">
            <w:pPr>
              <w:spacing w:line="360" w:lineRule="auto"/>
            </w:pPr>
            <w:r w:rsidRPr="00591BFC">
              <w:t> </w:t>
            </w:r>
          </w:p>
        </w:tc>
        <w:tc>
          <w:tcPr>
            <w:tcW w:w="1320" w:type="dxa"/>
            <w:shd w:val="clear" w:color="auto" w:fill="auto"/>
            <w:noWrap/>
            <w:hideMark/>
          </w:tcPr>
          <w:p w14:paraId="03F43A02" w14:textId="77777777" w:rsidR="00746C94" w:rsidRPr="00591BFC" w:rsidRDefault="00746C94" w:rsidP="00E86771">
            <w:pPr>
              <w:spacing w:line="360" w:lineRule="auto"/>
            </w:pPr>
            <w:r w:rsidRPr="00591BFC">
              <w:t> </w:t>
            </w:r>
          </w:p>
        </w:tc>
      </w:tr>
      <w:tr w:rsidR="00746C94" w:rsidRPr="00591BFC" w14:paraId="0FD1EA3D" w14:textId="77777777" w:rsidTr="005661FC">
        <w:trPr>
          <w:trHeight w:val="315"/>
        </w:trPr>
        <w:tc>
          <w:tcPr>
            <w:tcW w:w="9060" w:type="dxa"/>
            <w:gridSpan w:val="5"/>
            <w:shd w:val="clear" w:color="auto" w:fill="auto"/>
            <w:noWrap/>
            <w:hideMark/>
          </w:tcPr>
          <w:p w14:paraId="0CF0E01A" w14:textId="77777777" w:rsidR="00746C94" w:rsidRPr="00591BFC" w:rsidRDefault="00746C94" w:rsidP="00E86771">
            <w:pPr>
              <w:spacing w:line="360" w:lineRule="auto"/>
              <w:rPr>
                <w:b/>
                <w:bCs/>
              </w:rPr>
            </w:pPr>
            <w:r w:rsidRPr="00591BFC">
              <w:rPr>
                <w:b/>
                <w:bCs/>
              </w:rPr>
              <w:t>FEMALES</w:t>
            </w:r>
          </w:p>
        </w:tc>
      </w:tr>
      <w:tr w:rsidR="00746C94" w:rsidRPr="00591BFC" w14:paraId="2CA2279A" w14:textId="77777777" w:rsidTr="005661FC">
        <w:trPr>
          <w:trHeight w:val="315"/>
        </w:trPr>
        <w:tc>
          <w:tcPr>
            <w:tcW w:w="9060" w:type="dxa"/>
            <w:gridSpan w:val="5"/>
            <w:shd w:val="clear" w:color="auto" w:fill="auto"/>
            <w:hideMark/>
          </w:tcPr>
          <w:p w14:paraId="0313E0C2" w14:textId="77777777" w:rsidR="00746C94" w:rsidRPr="00591BFC" w:rsidRDefault="00746C94" w:rsidP="00E86771">
            <w:pPr>
              <w:spacing w:line="360" w:lineRule="auto"/>
              <w:rPr>
                <w:u w:val="single"/>
              </w:rPr>
            </w:pPr>
            <w:r w:rsidRPr="00591BFC">
              <w:rPr>
                <w:u w:val="single"/>
              </w:rPr>
              <w:t>any incident anti-OP medication use (1 year)*</w:t>
            </w:r>
          </w:p>
        </w:tc>
      </w:tr>
      <w:tr w:rsidR="00746C94" w:rsidRPr="00591BFC" w14:paraId="74EDC6C0" w14:textId="77777777" w:rsidTr="005661FC">
        <w:trPr>
          <w:trHeight w:val="330"/>
        </w:trPr>
        <w:tc>
          <w:tcPr>
            <w:tcW w:w="3780" w:type="dxa"/>
            <w:shd w:val="clear" w:color="auto" w:fill="auto"/>
            <w:noWrap/>
            <w:hideMark/>
          </w:tcPr>
          <w:p w14:paraId="63D61078"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2642AE0D" w14:textId="77777777" w:rsidR="00746C94" w:rsidRPr="00591BFC" w:rsidRDefault="00746C94" w:rsidP="00E86771">
            <w:pPr>
              <w:spacing w:line="360" w:lineRule="auto"/>
            </w:pPr>
            <w:r w:rsidRPr="00591BFC">
              <w:t>1.63</w:t>
            </w:r>
          </w:p>
        </w:tc>
        <w:tc>
          <w:tcPr>
            <w:tcW w:w="1320" w:type="dxa"/>
            <w:shd w:val="clear" w:color="auto" w:fill="auto"/>
            <w:noWrap/>
            <w:hideMark/>
          </w:tcPr>
          <w:p w14:paraId="671BF61F" w14:textId="77777777" w:rsidR="00746C94" w:rsidRPr="00591BFC" w:rsidRDefault="00746C94" w:rsidP="00E86771">
            <w:pPr>
              <w:spacing w:line="360" w:lineRule="auto"/>
            </w:pPr>
            <w:r w:rsidRPr="00591BFC">
              <w:t>-0.49</w:t>
            </w:r>
          </w:p>
        </w:tc>
        <w:tc>
          <w:tcPr>
            <w:tcW w:w="1320" w:type="dxa"/>
            <w:shd w:val="clear" w:color="auto" w:fill="auto"/>
            <w:noWrap/>
            <w:hideMark/>
          </w:tcPr>
          <w:p w14:paraId="36BDF574" w14:textId="77777777" w:rsidR="00746C94" w:rsidRPr="00591BFC" w:rsidRDefault="00746C94" w:rsidP="00E86771">
            <w:pPr>
              <w:spacing w:line="360" w:lineRule="auto"/>
            </w:pPr>
            <w:r w:rsidRPr="00591BFC">
              <w:t>3.75</w:t>
            </w:r>
          </w:p>
        </w:tc>
        <w:tc>
          <w:tcPr>
            <w:tcW w:w="1320" w:type="dxa"/>
            <w:shd w:val="clear" w:color="auto" w:fill="auto"/>
            <w:noWrap/>
            <w:hideMark/>
          </w:tcPr>
          <w:p w14:paraId="307E3616" w14:textId="77777777" w:rsidR="00746C94" w:rsidRPr="00591BFC" w:rsidRDefault="00746C94" w:rsidP="00E86771">
            <w:pPr>
              <w:spacing w:line="360" w:lineRule="auto"/>
            </w:pPr>
            <w:r w:rsidRPr="00591BFC">
              <w:t>0.13</w:t>
            </w:r>
          </w:p>
        </w:tc>
      </w:tr>
      <w:tr w:rsidR="00746C94" w:rsidRPr="00591BFC" w14:paraId="069B5571" w14:textId="77777777" w:rsidTr="005661FC">
        <w:trPr>
          <w:trHeight w:val="330"/>
        </w:trPr>
        <w:tc>
          <w:tcPr>
            <w:tcW w:w="3780" w:type="dxa"/>
            <w:shd w:val="clear" w:color="auto" w:fill="auto"/>
            <w:noWrap/>
            <w:hideMark/>
          </w:tcPr>
          <w:p w14:paraId="60EEAF01"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3FBCB1EC" w14:textId="77777777" w:rsidR="00746C94" w:rsidRPr="00591BFC" w:rsidRDefault="00746C94" w:rsidP="00E86771">
            <w:pPr>
              <w:spacing w:line="360" w:lineRule="auto"/>
            </w:pPr>
            <w:r w:rsidRPr="00591BFC">
              <w:t>1.48</w:t>
            </w:r>
          </w:p>
        </w:tc>
        <w:tc>
          <w:tcPr>
            <w:tcW w:w="1320" w:type="dxa"/>
            <w:shd w:val="clear" w:color="auto" w:fill="auto"/>
            <w:noWrap/>
            <w:hideMark/>
          </w:tcPr>
          <w:p w14:paraId="45028E8A" w14:textId="77777777" w:rsidR="00746C94" w:rsidRPr="00591BFC" w:rsidRDefault="00746C94" w:rsidP="00E86771">
            <w:pPr>
              <w:spacing w:line="360" w:lineRule="auto"/>
            </w:pPr>
            <w:r w:rsidRPr="00591BFC">
              <w:t>1.23</w:t>
            </w:r>
          </w:p>
        </w:tc>
        <w:tc>
          <w:tcPr>
            <w:tcW w:w="1320" w:type="dxa"/>
            <w:shd w:val="clear" w:color="auto" w:fill="auto"/>
            <w:noWrap/>
            <w:hideMark/>
          </w:tcPr>
          <w:p w14:paraId="0E231BE1" w14:textId="77777777" w:rsidR="00746C94" w:rsidRPr="00591BFC" w:rsidRDefault="00746C94" w:rsidP="00E86771">
            <w:pPr>
              <w:spacing w:line="360" w:lineRule="auto"/>
            </w:pPr>
            <w:r w:rsidRPr="00591BFC">
              <w:t>1.73</w:t>
            </w:r>
          </w:p>
        </w:tc>
        <w:tc>
          <w:tcPr>
            <w:tcW w:w="1320" w:type="dxa"/>
            <w:shd w:val="clear" w:color="auto" w:fill="auto"/>
            <w:noWrap/>
            <w:hideMark/>
          </w:tcPr>
          <w:p w14:paraId="73F12EBF" w14:textId="77777777" w:rsidR="00746C94" w:rsidRPr="00591BFC" w:rsidRDefault="00746C94" w:rsidP="00E86771">
            <w:pPr>
              <w:spacing w:line="360" w:lineRule="auto"/>
            </w:pPr>
            <w:r w:rsidRPr="00591BFC">
              <w:t>&lt;0.001</w:t>
            </w:r>
          </w:p>
        </w:tc>
      </w:tr>
      <w:tr w:rsidR="00746C94" w:rsidRPr="00591BFC" w14:paraId="2438D697" w14:textId="77777777" w:rsidTr="005661FC">
        <w:trPr>
          <w:trHeight w:val="330"/>
        </w:trPr>
        <w:tc>
          <w:tcPr>
            <w:tcW w:w="3780" w:type="dxa"/>
            <w:shd w:val="clear" w:color="auto" w:fill="auto"/>
            <w:noWrap/>
            <w:hideMark/>
          </w:tcPr>
          <w:p w14:paraId="102993DD"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261A4786" w14:textId="77777777" w:rsidR="00746C94" w:rsidRPr="00591BFC" w:rsidRDefault="00746C94" w:rsidP="00E86771">
            <w:pPr>
              <w:spacing w:line="360" w:lineRule="auto"/>
            </w:pPr>
            <w:r w:rsidRPr="00591BFC">
              <w:t>15.2</w:t>
            </w:r>
          </w:p>
        </w:tc>
        <w:tc>
          <w:tcPr>
            <w:tcW w:w="1320" w:type="dxa"/>
            <w:shd w:val="clear" w:color="auto" w:fill="auto"/>
            <w:noWrap/>
            <w:hideMark/>
          </w:tcPr>
          <w:p w14:paraId="5936A909" w14:textId="77777777" w:rsidR="00746C94" w:rsidRPr="00591BFC" w:rsidRDefault="00746C94" w:rsidP="00E86771">
            <w:pPr>
              <w:spacing w:line="360" w:lineRule="auto"/>
            </w:pPr>
            <w:r w:rsidRPr="00591BFC">
              <w:t>11.1</w:t>
            </w:r>
          </w:p>
        </w:tc>
        <w:tc>
          <w:tcPr>
            <w:tcW w:w="1320" w:type="dxa"/>
            <w:shd w:val="clear" w:color="auto" w:fill="auto"/>
            <w:noWrap/>
            <w:hideMark/>
          </w:tcPr>
          <w:p w14:paraId="20FF9171" w14:textId="77777777" w:rsidR="00746C94" w:rsidRPr="00591BFC" w:rsidRDefault="00746C94" w:rsidP="00E86771">
            <w:pPr>
              <w:spacing w:line="360" w:lineRule="auto"/>
            </w:pPr>
            <w:r w:rsidRPr="00591BFC">
              <w:t>19.3</w:t>
            </w:r>
          </w:p>
        </w:tc>
        <w:tc>
          <w:tcPr>
            <w:tcW w:w="1320" w:type="dxa"/>
            <w:shd w:val="clear" w:color="auto" w:fill="auto"/>
            <w:noWrap/>
            <w:hideMark/>
          </w:tcPr>
          <w:p w14:paraId="077B675C" w14:textId="77777777" w:rsidR="00746C94" w:rsidRPr="00591BFC" w:rsidRDefault="00746C94" w:rsidP="00E86771">
            <w:pPr>
              <w:spacing w:line="360" w:lineRule="auto"/>
            </w:pPr>
            <w:r w:rsidRPr="00591BFC">
              <w:t>&lt;0.001</w:t>
            </w:r>
          </w:p>
        </w:tc>
      </w:tr>
      <w:tr w:rsidR="00746C94" w:rsidRPr="00591BFC" w14:paraId="24912A07" w14:textId="77777777" w:rsidTr="005661FC">
        <w:trPr>
          <w:trHeight w:val="330"/>
        </w:trPr>
        <w:tc>
          <w:tcPr>
            <w:tcW w:w="3780" w:type="dxa"/>
            <w:shd w:val="clear" w:color="auto" w:fill="auto"/>
            <w:noWrap/>
            <w:hideMark/>
          </w:tcPr>
          <w:p w14:paraId="338D321A"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4AC7E1B7" w14:textId="77777777" w:rsidR="00746C94" w:rsidRPr="00591BFC" w:rsidRDefault="00746C94" w:rsidP="00E86771">
            <w:pPr>
              <w:spacing w:line="360" w:lineRule="auto"/>
            </w:pPr>
            <w:r w:rsidRPr="00591BFC">
              <w:t> </w:t>
            </w:r>
          </w:p>
        </w:tc>
        <w:tc>
          <w:tcPr>
            <w:tcW w:w="1320" w:type="dxa"/>
            <w:shd w:val="clear" w:color="auto" w:fill="auto"/>
            <w:noWrap/>
            <w:hideMark/>
          </w:tcPr>
          <w:p w14:paraId="712B1440" w14:textId="77777777" w:rsidR="00746C94" w:rsidRPr="00591BFC" w:rsidRDefault="00746C94" w:rsidP="00E86771">
            <w:pPr>
              <w:spacing w:line="360" w:lineRule="auto"/>
            </w:pPr>
            <w:r w:rsidRPr="00591BFC">
              <w:t> </w:t>
            </w:r>
          </w:p>
        </w:tc>
        <w:tc>
          <w:tcPr>
            <w:tcW w:w="1320" w:type="dxa"/>
            <w:shd w:val="clear" w:color="auto" w:fill="auto"/>
            <w:noWrap/>
            <w:hideMark/>
          </w:tcPr>
          <w:p w14:paraId="1CB4D53C" w14:textId="77777777" w:rsidR="00746C94" w:rsidRPr="00591BFC" w:rsidRDefault="00746C94" w:rsidP="00E86771">
            <w:pPr>
              <w:spacing w:line="360" w:lineRule="auto"/>
            </w:pPr>
            <w:r w:rsidRPr="00591BFC">
              <w:t> </w:t>
            </w:r>
          </w:p>
        </w:tc>
        <w:tc>
          <w:tcPr>
            <w:tcW w:w="1320" w:type="dxa"/>
            <w:shd w:val="clear" w:color="auto" w:fill="auto"/>
            <w:noWrap/>
            <w:hideMark/>
          </w:tcPr>
          <w:p w14:paraId="60652D8B" w14:textId="77777777" w:rsidR="00746C94" w:rsidRPr="00591BFC" w:rsidRDefault="00746C94" w:rsidP="00E86771">
            <w:pPr>
              <w:spacing w:line="360" w:lineRule="auto"/>
            </w:pPr>
            <w:r w:rsidRPr="00591BFC">
              <w:t> </w:t>
            </w:r>
          </w:p>
        </w:tc>
      </w:tr>
      <w:tr w:rsidR="00746C94" w:rsidRPr="00591BFC" w14:paraId="0628273D" w14:textId="77777777" w:rsidTr="005661FC">
        <w:trPr>
          <w:trHeight w:val="330"/>
        </w:trPr>
        <w:tc>
          <w:tcPr>
            <w:tcW w:w="3780" w:type="dxa"/>
            <w:shd w:val="clear" w:color="auto" w:fill="auto"/>
            <w:noWrap/>
            <w:hideMark/>
          </w:tcPr>
          <w:p w14:paraId="70062409"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36A150C6" w14:textId="77777777" w:rsidR="00746C94" w:rsidRPr="00591BFC" w:rsidRDefault="00746C94" w:rsidP="00E86771">
            <w:pPr>
              <w:spacing w:line="360" w:lineRule="auto"/>
            </w:pPr>
            <w:r w:rsidRPr="00591BFC">
              <w:t> </w:t>
            </w:r>
          </w:p>
        </w:tc>
        <w:tc>
          <w:tcPr>
            <w:tcW w:w="1320" w:type="dxa"/>
            <w:shd w:val="clear" w:color="auto" w:fill="auto"/>
            <w:noWrap/>
            <w:hideMark/>
          </w:tcPr>
          <w:p w14:paraId="65A49E29" w14:textId="77777777" w:rsidR="00746C94" w:rsidRPr="00591BFC" w:rsidRDefault="00746C94" w:rsidP="00E86771">
            <w:pPr>
              <w:spacing w:line="360" w:lineRule="auto"/>
            </w:pPr>
            <w:r w:rsidRPr="00591BFC">
              <w:t> </w:t>
            </w:r>
          </w:p>
        </w:tc>
        <w:tc>
          <w:tcPr>
            <w:tcW w:w="1320" w:type="dxa"/>
            <w:shd w:val="clear" w:color="auto" w:fill="auto"/>
            <w:noWrap/>
            <w:hideMark/>
          </w:tcPr>
          <w:p w14:paraId="775469C0" w14:textId="77777777" w:rsidR="00746C94" w:rsidRPr="00591BFC" w:rsidRDefault="00746C94" w:rsidP="00E86771">
            <w:pPr>
              <w:spacing w:line="360" w:lineRule="auto"/>
            </w:pPr>
            <w:r w:rsidRPr="00591BFC">
              <w:t> </w:t>
            </w:r>
          </w:p>
        </w:tc>
        <w:tc>
          <w:tcPr>
            <w:tcW w:w="1320" w:type="dxa"/>
            <w:shd w:val="clear" w:color="auto" w:fill="auto"/>
            <w:noWrap/>
            <w:hideMark/>
          </w:tcPr>
          <w:p w14:paraId="7C69E94D" w14:textId="77777777" w:rsidR="00746C94" w:rsidRPr="00591BFC" w:rsidRDefault="00746C94" w:rsidP="00E86771">
            <w:pPr>
              <w:spacing w:line="360" w:lineRule="auto"/>
            </w:pPr>
            <w:r w:rsidRPr="00591BFC">
              <w:t> </w:t>
            </w:r>
          </w:p>
        </w:tc>
      </w:tr>
      <w:tr w:rsidR="00746C94" w:rsidRPr="00591BFC" w14:paraId="1C43E62D" w14:textId="77777777" w:rsidTr="005661FC">
        <w:trPr>
          <w:trHeight w:val="330"/>
        </w:trPr>
        <w:tc>
          <w:tcPr>
            <w:tcW w:w="3780" w:type="dxa"/>
            <w:shd w:val="clear" w:color="auto" w:fill="auto"/>
            <w:noWrap/>
            <w:hideMark/>
          </w:tcPr>
          <w:p w14:paraId="4D75F0CD"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40A3D7AB" w14:textId="77777777" w:rsidR="00746C94" w:rsidRPr="00591BFC" w:rsidRDefault="00746C94" w:rsidP="00E86771">
            <w:pPr>
              <w:spacing w:line="360" w:lineRule="auto"/>
            </w:pPr>
            <w:r w:rsidRPr="00591BFC">
              <w:t> </w:t>
            </w:r>
          </w:p>
        </w:tc>
        <w:tc>
          <w:tcPr>
            <w:tcW w:w="1320" w:type="dxa"/>
            <w:shd w:val="clear" w:color="auto" w:fill="auto"/>
            <w:noWrap/>
            <w:hideMark/>
          </w:tcPr>
          <w:p w14:paraId="689583E0" w14:textId="77777777" w:rsidR="00746C94" w:rsidRPr="00591BFC" w:rsidRDefault="00746C94" w:rsidP="00E86771">
            <w:pPr>
              <w:spacing w:line="360" w:lineRule="auto"/>
            </w:pPr>
            <w:r w:rsidRPr="00591BFC">
              <w:t> </w:t>
            </w:r>
          </w:p>
        </w:tc>
        <w:tc>
          <w:tcPr>
            <w:tcW w:w="1320" w:type="dxa"/>
            <w:shd w:val="clear" w:color="auto" w:fill="auto"/>
            <w:noWrap/>
            <w:hideMark/>
          </w:tcPr>
          <w:p w14:paraId="4AF11086" w14:textId="77777777" w:rsidR="00746C94" w:rsidRPr="00591BFC" w:rsidRDefault="00746C94" w:rsidP="00E86771">
            <w:pPr>
              <w:spacing w:line="360" w:lineRule="auto"/>
            </w:pPr>
            <w:r w:rsidRPr="00591BFC">
              <w:t> </w:t>
            </w:r>
          </w:p>
        </w:tc>
        <w:tc>
          <w:tcPr>
            <w:tcW w:w="1320" w:type="dxa"/>
            <w:shd w:val="clear" w:color="auto" w:fill="auto"/>
            <w:noWrap/>
            <w:hideMark/>
          </w:tcPr>
          <w:p w14:paraId="1D13D0F4" w14:textId="77777777" w:rsidR="00746C94" w:rsidRPr="00591BFC" w:rsidRDefault="00746C94" w:rsidP="00E86771">
            <w:pPr>
              <w:spacing w:line="360" w:lineRule="auto"/>
            </w:pPr>
            <w:r w:rsidRPr="00591BFC">
              <w:t> </w:t>
            </w:r>
          </w:p>
        </w:tc>
      </w:tr>
      <w:tr w:rsidR="00746C94" w:rsidRPr="00591BFC" w14:paraId="0B82A4CF" w14:textId="77777777" w:rsidTr="005661FC">
        <w:trPr>
          <w:trHeight w:val="330"/>
        </w:trPr>
        <w:tc>
          <w:tcPr>
            <w:tcW w:w="3780" w:type="dxa"/>
            <w:shd w:val="clear" w:color="auto" w:fill="auto"/>
            <w:noWrap/>
            <w:hideMark/>
          </w:tcPr>
          <w:p w14:paraId="73E21566"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435BEE14" w14:textId="77777777" w:rsidR="00746C94" w:rsidRPr="00591BFC" w:rsidRDefault="00746C94" w:rsidP="00E86771">
            <w:pPr>
              <w:spacing w:line="360" w:lineRule="auto"/>
            </w:pPr>
            <w:r w:rsidRPr="00591BFC">
              <w:t> </w:t>
            </w:r>
          </w:p>
        </w:tc>
        <w:tc>
          <w:tcPr>
            <w:tcW w:w="1320" w:type="dxa"/>
            <w:shd w:val="clear" w:color="auto" w:fill="auto"/>
            <w:noWrap/>
            <w:hideMark/>
          </w:tcPr>
          <w:p w14:paraId="38C95134" w14:textId="77777777" w:rsidR="00746C94" w:rsidRPr="00591BFC" w:rsidRDefault="00746C94" w:rsidP="00E86771">
            <w:pPr>
              <w:spacing w:line="360" w:lineRule="auto"/>
            </w:pPr>
            <w:r w:rsidRPr="00591BFC">
              <w:t> </w:t>
            </w:r>
          </w:p>
        </w:tc>
        <w:tc>
          <w:tcPr>
            <w:tcW w:w="1320" w:type="dxa"/>
            <w:shd w:val="clear" w:color="auto" w:fill="auto"/>
            <w:noWrap/>
            <w:hideMark/>
          </w:tcPr>
          <w:p w14:paraId="1E3D0CDD" w14:textId="77777777" w:rsidR="00746C94" w:rsidRPr="00591BFC" w:rsidRDefault="00746C94" w:rsidP="00E86771">
            <w:pPr>
              <w:spacing w:line="360" w:lineRule="auto"/>
            </w:pPr>
            <w:r w:rsidRPr="00591BFC">
              <w:t> </w:t>
            </w:r>
          </w:p>
        </w:tc>
        <w:tc>
          <w:tcPr>
            <w:tcW w:w="1320" w:type="dxa"/>
            <w:shd w:val="clear" w:color="auto" w:fill="auto"/>
            <w:noWrap/>
            <w:hideMark/>
          </w:tcPr>
          <w:p w14:paraId="27232D03" w14:textId="77777777" w:rsidR="00746C94" w:rsidRPr="00591BFC" w:rsidRDefault="00746C94" w:rsidP="00E86771">
            <w:pPr>
              <w:spacing w:line="360" w:lineRule="auto"/>
            </w:pPr>
            <w:r w:rsidRPr="00591BFC">
              <w:t> </w:t>
            </w:r>
          </w:p>
        </w:tc>
      </w:tr>
      <w:tr w:rsidR="00746C94" w:rsidRPr="00591BFC" w14:paraId="18D55A2C" w14:textId="77777777" w:rsidTr="005661FC">
        <w:trPr>
          <w:trHeight w:val="330"/>
        </w:trPr>
        <w:tc>
          <w:tcPr>
            <w:tcW w:w="3780" w:type="dxa"/>
            <w:shd w:val="clear" w:color="auto" w:fill="auto"/>
            <w:noWrap/>
            <w:hideMark/>
          </w:tcPr>
          <w:p w14:paraId="2DF94F13"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505B5661" w14:textId="77777777" w:rsidR="00746C94" w:rsidRPr="00591BFC" w:rsidRDefault="00746C94" w:rsidP="00E86771">
            <w:pPr>
              <w:spacing w:line="360" w:lineRule="auto"/>
            </w:pPr>
            <w:r w:rsidRPr="00591BFC">
              <w:t> </w:t>
            </w:r>
          </w:p>
        </w:tc>
        <w:tc>
          <w:tcPr>
            <w:tcW w:w="1320" w:type="dxa"/>
            <w:shd w:val="clear" w:color="auto" w:fill="auto"/>
            <w:noWrap/>
            <w:hideMark/>
          </w:tcPr>
          <w:p w14:paraId="5B0DB635" w14:textId="77777777" w:rsidR="00746C94" w:rsidRPr="00591BFC" w:rsidRDefault="00746C94" w:rsidP="00E86771">
            <w:pPr>
              <w:spacing w:line="360" w:lineRule="auto"/>
            </w:pPr>
            <w:r w:rsidRPr="00591BFC">
              <w:t> </w:t>
            </w:r>
          </w:p>
        </w:tc>
        <w:tc>
          <w:tcPr>
            <w:tcW w:w="1320" w:type="dxa"/>
            <w:shd w:val="clear" w:color="auto" w:fill="auto"/>
            <w:noWrap/>
            <w:hideMark/>
          </w:tcPr>
          <w:p w14:paraId="3813E978" w14:textId="77777777" w:rsidR="00746C94" w:rsidRPr="00591BFC" w:rsidRDefault="00746C94" w:rsidP="00E86771">
            <w:pPr>
              <w:spacing w:line="360" w:lineRule="auto"/>
            </w:pPr>
            <w:r w:rsidRPr="00591BFC">
              <w:t> </w:t>
            </w:r>
          </w:p>
        </w:tc>
        <w:tc>
          <w:tcPr>
            <w:tcW w:w="1320" w:type="dxa"/>
            <w:shd w:val="clear" w:color="auto" w:fill="auto"/>
            <w:noWrap/>
            <w:hideMark/>
          </w:tcPr>
          <w:p w14:paraId="6EF06EBE" w14:textId="77777777" w:rsidR="00746C94" w:rsidRPr="00591BFC" w:rsidRDefault="00746C94" w:rsidP="00E86771">
            <w:pPr>
              <w:spacing w:line="360" w:lineRule="auto"/>
            </w:pPr>
            <w:r w:rsidRPr="00591BFC">
              <w:t> </w:t>
            </w:r>
          </w:p>
        </w:tc>
      </w:tr>
      <w:tr w:rsidR="00746C94" w:rsidRPr="00591BFC" w14:paraId="7B8837E0" w14:textId="77777777" w:rsidTr="005661FC">
        <w:trPr>
          <w:trHeight w:val="315"/>
        </w:trPr>
        <w:tc>
          <w:tcPr>
            <w:tcW w:w="9060" w:type="dxa"/>
            <w:gridSpan w:val="5"/>
            <w:shd w:val="clear" w:color="auto" w:fill="auto"/>
            <w:hideMark/>
          </w:tcPr>
          <w:p w14:paraId="4BF11A3B" w14:textId="77777777" w:rsidR="00746C94" w:rsidRPr="00591BFC" w:rsidRDefault="00746C94" w:rsidP="00E86771">
            <w:pPr>
              <w:spacing w:line="360" w:lineRule="auto"/>
              <w:rPr>
                <w:u w:val="single"/>
              </w:rPr>
            </w:pPr>
            <w:r w:rsidRPr="00591BFC">
              <w:rPr>
                <w:u w:val="single"/>
              </w:rPr>
              <w:t>bisphosphonate prevalence (10-14 months)*</w:t>
            </w:r>
          </w:p>
        </w:tc>
      </w:tr>
      <w:tr w:rsidR="00746C94" w:rsidRPr="00591BFC" w14:paraId="3210A764" w14:textId="77777777" w:rsidTr="005661FC">
        <w:trPr>
          <w:trHeight w:val="330"/>
        </w:trPr>
        <w:tc>
          <w:tcPr>
            <w:tcW w:w="3780" w:type="dxa"/>
            <w:shd w:val="clear" w:color="auto" w:fill="auto"/>
            <w:noWrap/>
            <w:hideMark/>
          </w:tcPr>
          <w:p w14:paraId="33D4828A"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7AA0ACD7" w14:textId="77777777" w:rsidR="00746C94" w:rsidRPr="00591BFC" w:rsidRDefault="00746C94" w:rsidP="00E86771">
            <w:pPr>
              <w:spacing w:line="360" w:lineRule="auto"/>
            </w:pPr>
            <w:r w:rsidRPr="00591BFC">
              <w:t>2.11</w:t>
            </w:r>
          </w:p>
        </w:tc>
        <w:tc>
          <w:tcPr>
            <w:tcW w:w="1320" w:type="dxa"/>
            <w:shd w:val="clear" w:color="auto" w:fill="auto"/>
            <w:noWrap/>
            <w:hideMark/>
          </w:tcPr>
          <w:p w14:paraId="0113A39A" w14:textId="77777777" w:rsidR="00746C94" w:rsidRPr="00591BFC" w:rsidRDefault="00746C94" w:rsidP="00E86771">
            <w:pPr>
              <w:spacing w:line="360" w:lineRule="auto"/>
            </w:pPr>
            <w:r w:rsidRPr="00591BFC">
              <w:t>-0.64</w:t>
            </w:r>
          </w:p>
        </w:tc>
        <w:tc>
          <w:tcPr>
            <w:tcW w:w="1320" w:type="dxa"/>
            <w:shd w:val="clear" w:color="auto" w:fill="auto"/>
            <w:noWrap/>
            <w:hideMark/>
          </w:tcPr>
          <w:p w14:paraId="69780935" w14:textId="77777777" w:rsidR="00746C94" w:rsidRPr="00591BFC" w:rsidRDefault="00746C94" w:rsidP="00E86771">
            <w:pPr>
              <w:spacing w:line="360" w:lineRule="auto"/>
            </w:pPr>
            <w:r w:rsidRPr="00591BFC">
              <w:t>4.86</w:t>
            </w:r>
          </w:p>
        </w:tc>
        <w:tc>
          <w:tcPr>
            <w:tcW w:w="1320" w:type="dxa"/>
            <w:shd w:val="clear" w:color="auto" w:fill="auto"/>
            <w:noWrap/>
            <w:hideMark/>
          </w:tcPr>
          <w:p w14:paraId="3D063449" w14:textId="77777777" w:rsidR="00746C94" w:rsidRPr="00591BFC" w:rsidRDefault="00746C94" w:rsidP="00E86771">
            <w:pPr>
              <w:spacing w:line="360" w:lineRule="auto"/>
            </w:pPr>
            <w:r w:rsidRPr="00591BFC">
              <w:t>0.13</w:t>
            </w:r>
          </w:p>
        </w:tc>
      </w:tr>
      <w:tr w:rsidR="00746C94" w:rsidRPr="00591BFC" w14:paraId="4C6100DD" w14:textId="77777777" w:rsidTr="005661FC">
        <w:trPr>
          <w:trHeight w:val="330"/>
        </w:trPr>
        <w:tc>
          <w:tcPr>
            <w:tcW w:w="3780" w:type="dxa"/>
            <w:shd w:val="clear" w:color="auto" w:fill="auto"/>
            <w:noWrap/>
            <w:hideMark/>
          </w:tcPr>
          <w:p w14:paraId="43F27D1F"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48B6E747" w14:textId="77777777" w:rsidR="00746C94" w:rsidRPr="00591BFC" w:rsidRDefault="00746C94" w:rsidP="00E86771">
            <w:pPr>
              <w:spacing w:line="360" w:lineRule="auto"/>
            </w:pPr>
            <w:r w:rsidRPr="00591BFC">
              <w:t>1.04</w:t>
            </w:r>
          </w:p>
        </w:tc>
        <w:tc>
          <w:tcPr>
            <w:tcW w:w="1320" w:type="dxa"/>
            <w:shd w:val="clear" w:color="auto" w:fill="auto"/>
            <w:noWrap/>
            <w:hideMark/>
          </w:tcPr>
          <w:p w14:paraId="2BD3608B" w14:textId="77777777" w:rsidR="00746C94" w:rsidRPr="00591BFC" w:rsidRDefault="00746C94" w:rsidP="00E86771">
            <w:pPr>
              <w:spacing w:line="360" w:lineRule="auto"/>
            </w:pPr>
            <w:r w:rsidRPr="00591BFC">
              <w:t>0.65</w:t>
            </w:r>
          </w:p>
        </w:tc>
        <w:tc>
          <w:tcPr>
            <w:tcW w:w="1320" w:type="dxa"/>
            <w:shd w:val="clear" w:color="auto" w:fill="auto"/>
            <w:noWrap/>
            <w:hideMark/>
          </w:tcPr>
          <w:p w14:paraId="672B6E7D" w14:textId="77777777" w:rsidR="00746C94" w:rsidRPr="00591BFC" w:rsidRDefault="00746C94" w:rsidP="00E86771">
            <w:pPr>
              <w:spacing w:line="360" w:lineRule="auto"/>
            </w:pPr>
            <w:r w:rsidRPr="00591BFC">
              <w:t>1.42</w:t>
            </w:r>
          </w:p>
        </w:tc>
        <w:tc>
          <w:tcPr>
            <w:tcW w:w="1320" w:type="dxa"/>
            <w:shd w:val="clear" w:color="auto" w:fill="auto"/>
            <w:noWrap/>
            <w:hideMark/>
          </w:tcPr>
          <w:p w14:paraId="083AA1E2" w14:textId="77777777" w:rsidR="00746C94" w:rsidRPr="00591BFC" w:rsidRDefault="00746C94" w:rsidP="00E86771">
            <w:pPr>
              <w:spacing w:line="360" w:lineRule="auto"/>
            </w:pPr>
            <w:r w:rsidRPr="00591BFC">
              <w:t>&lt;0.001</w:t>
            </w:r>
          </w:p>
        </w:tc>
      </w:tr>
      <w:tr w:rsidR="00746C94" w:rsidRPr="00591BFC" w14:paraId="04345870" w14:textId="77777777" w:rsidTr="005661FC">
        <w:trPr>
          <w:trHeight w:val="330"/>
        </w:trPr>
        <w:tc>
          <w:tcPr>
            <w:tcW w:w="3780" w:type="dxa"/>
            <w:shd w:val="clear" w:color="auto" w:fill="auto"/>
            <w:noWrap/>
            <w:hideMark/>
          </w:tcPr>
          <w:p w14:paraId="406B0D1B"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65E29115" w14:textId="77777777" w:rsidR="00746C94" w:rsidRPr="00591BFC" w:rsidRDefault="00746C94" w:rsidP="00E86771">
            <w:pPr>
              <w:spacing w:line="360" w:lineRule="auto"/>
            </w:pPr>
            <w:r w:rsidRPr="00591BFC">
              <w:t>9.59</w:t>
            </w:r>
          </w:p>
        </w:tc>
        <w:tc>
          <w:tcPr>
            <w:tcW w:w="1320" w:type="dxa"/>
            <w:shd w:val="clear" w:color="auto" w:fill="auto"/>
            <w:noWrap/>
            <w:hideMark/>
          </w:tcPr>
          <w:p w14:paraId="3FE4CF63" w14:textId="77777777" w:rsidR="00746C94" w:rsidRPr="00591BFC" w:rsidRDefault="00746C94" w:rsidP="00E86771">
            <w:pPr>
              <w:spacing w:line="360" w:lineRule="auto"/>
            </w:pPr>
            <w:r w:rsidRPr="00591BFC">
              <w:t>5.22</w:t>
            </w:r>
          </w:p>
        </w:tc>
        <w:tc>
          <w:tcPr>
            <w:tcW w:w="1320" w:type="dxa"/>
            <w:shd w:val="clear" w:color="auto" w:fill="auto"/>
            <w:noWrap/>
            <w:hideMark/>
          </w:tcPr>
          <w:p w14:paraId="47F4CD00" w14:textId="77777777" w:rsidR="00746C94" w:rsidRPr="00591BFC" w:rsidRDefault="00746C94" w:rsidP="00E86771">
            <w:pPr>
              <w:spacing w:line="360" w:lineRule="auto"/>
            </w:pPr>
            <w:r w:rsidRPr="00591BFC">
              <w:t>14</w:t>
            </w:r>
          </w:p>
        </w:tc>
        <w:tc>
          <w:tcPr>
            <w:tcW w:w="1320" w:type="dxa"/>
            <w:shd w:val="clear" w:color="auto" w:fill="auto"/>
            <w:noWrap/>
            <w:hideMark/>
          </w:tcPr>
          <w:p w14:paraId="15695025" w14:textId="77777777" w:rsidR="00746C94" w:rsidRPr="00591BFC" w:rsidRDefault="00746C94" w:rsidP="00E86771">
            <w:pPr>
              <w:spacing w:line="360" w:lineRule="auto"/>
            </w:pPr>
            <w:r w:rsidRPr="00591BFC">
              <w:t>&lt;0.001</w:t>
            </w:r>
          </w:p>
        </w:tc>
      </w:tr>
      <w:tr w:rsidR="00746C94" w:rsidRPr="00591BFC" w14:paraId="56B94A92" w14:textId="77777777" w:rsidTr="005661FC">
        <w:trPr>
          <w:trHeight w:val="330"/>
        </w:trPr>
        <w:tc>
          <w:tcPr>
            <w:tcW w:w="3780" w:type="dxa"/>
            <w:shd w:val="clear" w:color="auto" w:fill="auto"/>
            <w:noWrap/>
            <w:hideMark/>
          </w:tcPr>
          <w:p w14:paraId="67316E9E"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6E6D8A7F" w14:textId="77777777" w:rsidR="00746C94" w:rsidRPr="00591BFC" w:rsidRDefault="00746C94" w:rsidP="00E86771">
            <w:pPr>
              <w:spacing w:line="360" w:lineRule="auto"/>
            </w:pPr>
            <w:r w:rsidRPr="00591BFC">
              <w:t>-4.22</w:t>
            </w:r>
          </w:p>
        </w:tc>
        <w:tc>
          <w:tcPr>
            <w:tcW w:w="1320" w:type="dxa"/>
            <w:shd w:val="clear" w:color="auto" w:fill="auto"/>
            <w:noWrap/>
            <w:hideMark/>
          </w:tcPr>
          <w:p w14:paraId="7B6727F0" w14:textId="77777777" w:rsidR="00746C94" w:rsidRPr="00591BFC" w:rsidRDefault="00746C94" w:rsidP="00E86771">
            <w:pPr>
              <w:spacing w:line="360" w:lineRule="auto"/>
            </w:pPr>
            <w:r w:rsidRPr="00591BFC">
              <w:t>-8.53</w:t>
            </w:r>
          </w:p>
        </w:tc>
        <w:tc>
          <w:tcPr>
            <w:tcW w:w="1320" w:type="dxa"/>
            <w:shd w:val="clear" w:color="auto" w:fill="auto"/>
            <w:noWrap/>
            <w:hideMark/>
          </w:tcPr>
          <w:p w14:paraId="3F74217E" w14:textId="77777777" w:rsidR="00746C94" w:rsidRPr="00591BFC" w:rsidRDefault="00746C94" w:rsidP="00E86771">
            <w:pPr>
              <w:spacing w:line="360" w:lineRule="auto"/>
            </w:pPr>
            <w:r w:rsidRPr="00591BFC">
              <w:t>0.09</w:t>
            </w:r>
          </w:p>
        </w:tc>
        <w:tc>
          <w:tcPr>
            <w:tcW w:w="1320" w:type="dxa"/>
            <w:shd w:val="clear" w:color="auto" w:fill="auto"/>
            <w:noWrap/>
            <w:hideMark/>
          </w:tcPr>
          <w:p w14:paraId="6535A9A0" w14:textId="77777777" w:rsidR="00746C94" w:rsidRPr="00591BFC" w:rsidRDefault="00746C94" w:rsidP="00E86771">
            <w:pPr>
              <w:spacing w:line="360" w:lineRule="auto"/>
            </w:pPr>
            <w:r w:rsidRPr="00591BFC">
              <w:t>0.055</w:t>
            </w:r>
          </w:p>
        </w:tc>
      </w:tr>
      <w:tr w:rsidR="00746C94" w:rsidRPr="00591BFC" w14:paraId="0A91ACAB" w14:textId="77777777" w:rsidTr="005661FC">
        <w:trPr>
          <w:trHeight w:val="330"/>
        </w:trPr>
        <w:tc>
          <w:tcPr>
            <w:tcW w:w="3780" w:type="dxa"/>
            <w:shd w:val="clear" w:color="auto" w:fill="auto"/>
            <w:noWrap/>
            <w:hideMark/>
          </w:tcPr>
          <w:p w14:paraId="1D6EAF03"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3A3CD61D" w14:textId="77777777" w:rsidR="00746C94" w:rsidRPr="00591BFC" w:rsidRDefault="00746C94" w:rsidP="00E86771">
            <w:pPr>
              <w:spacing w:line="360" w:lineRule="auto"/>
            </w:pPr>
            <w:r w:rsidRPr="00591BFC">
              <w:t> </w:t>
            </w:r>
          </w:p>
        </w:tc>
        <w:tc>
          <w:tcPr>
            <w:tcW w:w="1320" w:type="dxa"/>
            <w:shd w:val="clear" w:color="auto" w:fill="auto"/>
            <w:noWrap/>
            <w:hideMark/>
          </w:tcPr>
          <w:p w14:paraId="4AEEF013" w14:textId="77777777" w:rsidR="00746C94" w:rsidRPr="00591BFC" w:rsidRDefault="00746C94" w:rsidP="00E86771">
            <w:pPr>
              <w:spacing w:line="360" w:lineRule="auto"/>
            </w:pPr>
            <w:r w:rsidRPr="00591BFC">
              <w:t> </w:t>
            </w:r>
          </w:p>
        </w:tc>
        <w:tc>
          <w:tcPr>
            <w:tcW w:w="1320" w:type="dxa"/>
            <w:shd w:val="clear" w:color="auto" w:fill="auto"/>
            <w:noWrap/>
            <w:hideMark/>
          </w:tcPr>
          <w:p w14:paraId="4B7CE510" w14:textId="77777777" w:rsidR="00746C94" w:rsidRPr="00591BFC" w:rsidRDefault="00746C94" w:rsidP="00E86771">
            <w:pPr>
              <w:spacing w:line="360" w:lineRule="auto"/>
            </w:pPr>
            <w:r w:rsidRPr="00591BFC">
              <w:t> </w:t>
            </w:r>
          </w:p>
        </w:tc>
        <w:tc>
          <w:tcPr>
            <w:tcW w:w="1320" w:type="dxa"/>
            <w:shd w:val="clear" w:color="auto" w:fill="auto"/>
            <w:noWrap/>
            <w:hideMark/>
          </w:tcPr>
          <w:p w14:paraId="116C80B0" w14:textId="77777777" w:rsidR="00746C94" w:rsidRPr="00591BFC" w:rsidRDefault="00746C94" w:rsidP="00E86771">
            <w:pPr>
              <w:spacing w:line="360" w:lineRule="auto"/>
            </w:pPr>
            <w:r w:rsidRPr="00591BFC">
              <w:t> </w:t>
            </w:r>
          </w:p>
        </w:tc>
      </w:tr>
      <w:tr w:rsidR="00746C94" w:rsidRPr="00591BFC" w14:paraId="103381A7" w14:textId="77777777" w:rsidTr="005661FC">
        <w:trPr>
          <w:trHeight w:val="330"/>
        </w:trPr>
        <w:tc>
          <w:tcPr>
            <w:tcW w:w="3780" w:type="dxa"/>
            <w:shd w:val="clear" w:color="auto" w:fill="auto"/>
            <w:noWrap/>
            <w:hideMark/>
          </w:tcPr>
          <w:p w14:paraId="1199CF9A" w14:textId="77777777" w:rsidR="00746C94" w:rsidRPr="00591BFC" w:rsidRDefault="00746C94" w:rsidP="00E86771">
            <w:pPr>
              <w:spacing w:line="360" w:lineRule="auto"/>
            </w:pPr>
            <w:r w:rsidRPr="00591BFC">
              <w:lastRenderedPageBreak/>
              <w:t>Trend change after intervention 3+4 (β</w:t>
            </w:r>
            <w:r w:rsidRPr="00591BFC">
              <w:rPr>
                <w:vertAlign w:val="subscript"/>
              </w:rPr>
              <w:t>5</w:t>
            </w:r>
            <w:r w:rsidRPr="00591BFC">
              <w:t>)</w:t>
            </w:r>
          </w:p>
        </w:tc>
        <w:tc>
          <w:tcPr>
            <w:tcW w:w="1320" w:type="dxa"/>
            <w:shd w:val="clear" w:color="auto" w:fill="auto"/>
            <w:noWrap/>
            <w:hideMark/>
          </w:tcPr>
          <w:p w14:paraId="54BDF241" w14:textId="77777777" w:rsidR="00746C94" w:rsidRPr="00591BFC" w:rsidRDefault="00746C94" w:rsidP="00E86771">
            <w:pPr>
              <w:spacing w:line="360" w:lineRule="auto"/>
            </w:pPr>
            <w:r w:rsidRPr="00591BFC">
              <w:t> </w:t>
            </w:r>
          </w:p>
        </w:tc>
        <w:tc>
          <w:tcPr>
            <w:tcW w:w="1320" w:type="dxa"/>
            <w:shd w:val="clear" w:color="auto" w:fill="auto"/>
            <w:noWrap/>
            <w:hideMark/>
          </w:tcPr>
          <w:p w14:paraId="16038101" w14:textId="77777777" w:rsidR="00746C94" w:rsidRPr="00591BFC" w:rsidRDefault="00746C94" w:rsidP="00E86771">
            <w:pPr>
              <w:spacing w:line="360" w:lineRule="auto"/>
            </w:pPr>
            <w:r w:rsidRPr="00591BFC">
              <w:t> </w:t>
            </w:r>
          </w:p>
        </w:tc>
        <w:tc>
          <w:tcPr>
            <w:tcW w:w="1320" w:type="dxa"/>
            <w:shd w:val="clear" w:color="auto" w:fill="auto"/>
            <w:noWrap/>
            <w:hideMark/>
          </w:tcPr>
          <w:p w14:paraId="1F78D197" w14:textId="77777777" w:rsidR="00746C94" w:rsidRPr="00591BFC" w:rsidRDefault="00746C94" w:rsidP="00E86771">
            <w:pPr>
              <w:spacing w:line="360" w:lineRule="auto"/>
            </w:pPr>
            <w:r w:rsidRPr="00591BFC">
              <w:t> </w:t>
            </w:r>
          </w:p>
        </w:tc>
        <w:tc>
          <w:tcPr>
            <w:tcW w:w="1320" w:type="dxa"/>
            <w:shd w:val="clear" w:color="auto" w:fill="auto"/>
            <w:noWrap/>
            <w:hideMark/>
          </w:tcPr>
          <w:p w14:paraId="790D599B" w14:textId="77777777" w:rsidR="00746C94" w:rsidRPr="00591BFC" w:rsidRDefault="00746C94" w:rsidP="00E86771">
            <w:pPr>
              <w:spacing w:line="360" w:lineRule="auto"/>
            </w:pPr>
            <w:r w:rsidRPr="00591BFC">
              <w:t> </w:t>
            </w:r>
          </w:p>
        </w:tc>
      </w:tr>
      <w:tr w:rsidR="00746C94" w:rsidRPr="00591BFC" w14:paraId="37532547" w14:textId="77777777" w:rsidTr="005661FC">
        <w:trPr>
          <w:trHeight w:val="330"/>
        </w:trPr>
        <w:tc>
          <w:tcPr>
            <w:tcW w:w="3780" w:type="dxa"/>
            <w:shd w:val="clear" w:color="auto" w:fill="auto"/>
            <w:noWrap/>
            <w:hideMark/>
          </w:tcPr>
          <w:p w14:paraId="23019E57"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10242BB4" w14:textId="77777777" w:rsidR="00746C94" w:rsidRPr="00591BFC" w:rsidRDefault="00746C94" w:rsidP="00E86771">
            <w:pPr>
              <w:spacing w:line="360" w:lineRule="auto"/>
            </w:pPr>
            <w:r w:rsidRPr="00591BFC">
              <w:t> </w:t>
            </w:r>
          </w:p>
        </w:tc>
        <w:tc>
          <w:tcPr>
            <w:tcW w:w="1320" w:type="dxa"/>
            <w:shd w:val="clear" w:color="auto" w:fill="auto"/>
            <w:noWrap/>
            <w:hideMark/>
          </w:tcPr>
          <w:p w14:paraId="56AD3F6D" w14:textId="77777777" w:rsidR="00746C94" w:rsidRPr="00591BFC" w:rsidRDefault="00746C94" w:rsidP="00E86771">
            <w:pPr>
              <w:spacing w:line="360" w:lineRule="auto"/>
            </w:pPr>
            <w:r w:rsidRPr="00591BFC">
              <w:t> </w:t>
            </w:r>
          </w:p>
        </w:tc>
        <w:tc>
          <w:tcPr>
            <w:tcW w:w="1320" w:type="dxa"/>
            <w:shd w:val="clear" w:color="auto" w:fill="auto"/>
            <w:noWrap/>
            <w:hideMark/>
          </w:tcPr>
          <w:p w14:paraId="4F672ACA" w14:textId="77777777" w:rsidR="00746C94" w:rsidRPr="00591BFC" w:rsidRDefault="00746C94" w:rsidP="00E86771">
            <w:pPr>
              <w:spacing w:line="360" w:lineRule="auto"/>
            </w:pPr>
            <w:r w:rsidRPr="00591BFC">
              <w:t> </w:t>
            </w:r>
          </w:p>
        </w:tc>
        <w:tc>
          <w:tcPr>
            <w:tcW w:w="1320" w:type="dxa"/>
            <w:shd w:val="clear" w:color="auto" w:fill="auto"/>
            <w:noWrap/>
            <w:hideMark/>
          </w:tcPr>
          <w:p w14:paraId="43E15A54" w14:textId="77777777" w:rsidR="00746C94" w:rsidRPr="00591BFC" w:rsidRDefault="00746C94" w:rsidP="00E86771">
            <w:pPr>
              <w:spacing w:line="360" w:lineRule="auto"/>
            </w:pPr>
            <w:r w:rsidRPr="00591BFC">
              <w:t> </w:t>
            </w:r>
          </w:p>
        </w:tc>
      </w:tr>
      <w:tr w:rsidR="00746C94" w:rsidRPr="00591BFC" w14:paraId="3C5158E6" w14:textId="77777777" w:rsidTr="005661FC">
        <w:trPr>
          <w:trHeight w:val="330"/>
        </w:trPr>
        <w:tc>
          <w:tcPr>
            <w:tcW w:w="3780" w:type="dxa"/>
            <w:shd w:val="clear" w:color="auto" w:fill="auto"/>
            <w:noWrap/>
            <w:hideMark/>
          </w:tcPr>
          <w:p w14:paraId="0BC9E9B1"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5C16D70F" w14:textId="77777777" w:rsidR="00746C94" w:rsidRPr="00591BFC" w:rsidRDefault="00746C94" w:rsidP="00E86771">
            <w:pPr>
              <w:spacing w:line="360" w:lineRule="auto"/>
            </w:pPr>
            <w:r w:rsidRPr="00591BFC">
              <w:t> </w:t>
            </w:r>
          </w:p>
        </w:tc>
        <w:tc>
          <w:tcPr>
            <w:tcW w:w="1320" w:type="dxa"/>
            <w:shd w:val="clear" w:color="auto" w:fill="auto"/>
            <w:noWrap/>
            <w:hideMark/>
          </w:tcPr>
          <w:p w14:paraId="73453748" w14:textId="77777777" w:rsidR="00746C94" w:rsidRPr="00591BFC" w:rsidRDefault="00746C94" w:rsidP="00E86771">
            <w:pPr>
              <w:spacing w:line="360" w:lineRule="auto"/>
            </w:pPr>
            <w:r w:rsidRPr="00591BFC">
              <w:t> </w:t>
            </w:r>
          </w:p>
        </w:tc>
        <w:tc>
          <w:tcPr>
            <w:tcW w:w="1320" w:type="dxa"/>
            <w:shd w:val="clear" w:color="auto" w:fill="auto"/>
            <w:noWrap/>
            <w:hideMark/>
          </w:tcPr>
          <w:p w14:paraId="4166C762" w14:textId="77777777" w:rsidR="00746C94" w:rsidRPr="00591BFC" w:rsidRDefault="00746C94" w:rsidP="00E86771">
            <w:pPr>
              <w:spacing w:line="360" w:lineRule="auto"/>
            </w:pPr>
            <w:r w:rsidRPr="00591BFC">
              <w:t> </w:t>
            </w:r>
          </w:p>
        </w:tc>
        <w:tc>
          <w:tcPr>
            <w:tcW w:w="1320" w:type="dxa"/>
            <w:shd w:val="clear" w:color="auto" w:fill="auto"/>
            <w:noWrap/>
            <w:hideMark/>
          </w:tcPr>
          <w:p w14:paraId="1EFBC8C1" w14:textId="77777777" w:rsidR="00746C94" w:rsidRPr="00591BFC" w:rsidRDefault="00746C94" w:rsidP="00E86771">
            <w:pPr>
              <w:spacing w:line="360" w:lineRule="auto"/>
            </w:pPr>
            <w:r w:rsidRPr="00591BFC">
              <w:t> </w:t>
            </w:r>
          </w:p>
        </w:tc>
      </w:tr>
      <w:tr w:rsidR="00746C94" w:rsidRPr="00591BFC" w14:paraId="2F1A19BF" w14:textId="77777777" w:rsidTr="005661FC">
        <w:trPr>
          <w:trHeight w:val="315"/>
        </w:trPr>
        <w:tc>
          <w:tcPr>
            <w:tcW w:w="3780" w:type="dxa"/>
            <w:shd w:val="clear" w:color="auto" w:fill="auto"/>
            <w:noWrap/>
            <w:hideMark/>
          </w:tcPr>
          <w:p w14:paraId="17CC3FA8" w14:textId="77777777" w:rsidR="00746C94" w:rsidRPr="00591BFC" w:rsidRDefault="00746C94" w:rsidP="00E86771">
            <w:pPr>
              <w:spacing w:line="360" w:lineRule="auto"/>
            </w:pPr>
            <w:r w:rsidRPr="00591BFC">
              <w:t> </w:t>
            </w:r>
          </w:p>
        </w:tc>
        <w:tc>
          <w:tcPr>
            <w:tcW w:w="1320" w:type="dxa"/>
            <w:shd w:val="clear" w:color="auto" w:fill="auto"/>
            <w:hideMark/>
          </w:tcPr>
          <w:p w14:paraId="11B2CA2E" w14:textId="77777777" w:rsidR="00746C94" w:rsidRPr="00591BFC" w:rsidRDefault="00746C94" w:rsidP="00E86771">
            <w:pPr>
              <w:spacing w:line="360" w:lineRule="auto"/>
            </w:pPr>
            <w:r w:rsidRPr="00591BFC">
              <w:t> </w:t>
            </w:r>
          </w:p>
        </w:tc>
        <w:tc>
          <w:tcPr>
            <w:tcW w:w="1320" w:type="dxa"/>
            <w:shd w:val="clear" w:color="auto" w:fill="auto"/>
            <w:hideMark/>
          </w:tcPr>
          <w:p w14:paraId="1302F864" w14:textId="77777777" w:rsidR="00746C94" w:rsidRPr="00591BFC" w:rsidRDefault="00746C94" w:rsidP="00E86771">
            <w:pPr>
              <w:spacing w:line="360" w:lineRule="auto"/>
            </w:pPr>
            <w:r w:rsidRPr="00591BFC">
              <w:t> </w:t>
            </w:r>
          </w:p>
        </w:tc>
        <w:tc>
          <w:tcPr>
            <w:tcW w:w="1320" w:type="dxa"/>
            <w:shd w:val="clear" w:color="auto" w:fill="auto"/>
            <w:hideMark/>
          </w:tcPr>
          <w:p w14:paraId="73FFD836" w14:textId="77777777" w:rsidR="00746C94" w:rsidRPr="00591BFC" w:rsidRDefault="00746C94" w:rsidP="00E86771">
            <w:pPr>
              <w:spacing w:line="360" w:lineRule="auto"/>
            </w:pPr>
            <w:r w:rsidRPr="00591BFC">
              <w:t> </w:t>
            </w:r>
          </w:p>
        </w:tc>
        <w:tc>
          <w:tcPr>
            <w:tcW w:w="1320" w:type="dxa"/>
            <w:shd w:val="clear" w:color="auto" w:fill="auto"/>
            <w:noWrap/>
            <w:hideMark/>
          </w:tcPr>
          <w:p w14:paraId="39167F30" w14:textId="77777777" w:rsidR="00746C94" w:rsidRPr="00591BFC" w:rsidRDefault="00746C94" w:rsidP="00E86771">
            <w:pPr>
              <w:spacing w:line="360" w:lineRule="auto"/>
            </w:pPr>
            <w:r w:rsidRPr="00591BFC">
              <w:t> </w:t>
            </w:r>
          </w:p>
        </w:tc>
      </w:tr>
    </w:tbl>
    <w:p w14:paraId="175A8EE7" w14:textId="77777777" w:rsidR="00746C94" w:rsidRPr="00591BFC" w:rsidRDefault="00746C94" w:rsidP="00E86771">
      <w:pPr>
        <w:spacing w:line="360" w:lineRule="auto"/>
      </w:pPr>
    </w:p>
    <w:p w14:paraId="0828F795" w14:textId="77777777" w:rsidR="00746C94" w:rsidRPr="00591BFC" w:rsidRDefault="00746C94" w:rsidP="00E86771">
      <w:pPr>
        <w:pStyle w:val="Heading2"/>
        <w:spacing w:line="360" w:lineRule="auto"/>
        <w:rPr>
          <w:rFonts w:ascii="Calibri" w:hAnsi="Calibri"/>
        </w:rPr>
      </w:pPr>
      <w:r w:rsidRPr="00591BFC">
        <w:rPr>
          <w:rFonts w:ascii="Calibri" w:hAnsi="Calibri"/>
        </w:rPr>
        <w:br w:type="page"/>
      </w:r>
      <w:bookmarkStart w:id="703" w:name="_Toc308300850"/>
      <w:bookmarkStart w:id="704" w:name="_Toc311366658"/>
      <w:r w:rsidR="00FC769E" w:rsidRPr="00591BFC">
        <w:rPr>
          <w:rFonts w:ascii="Calibri" w:hAnsi="Calibri"/>
        </w:rPr>
        <w:lastRenderedPageBreak/>
        <w:t xml:space="preserve">Appendix </w:t>
      </w:r>
      <w:r w:rsidR="00866F8C">
        <w:rPr>
          <w:rFonts w:ascii="Calibri" w:hAnsi="Calibri"/>
          <w:lang w:val="en-GB"/>
        </w:rPr>
        <w:t>10</w:t>
      </w:r>
      <w:r w:rsidRPr="00591BFC">
        <w:rPr>
          <w:rFonts w:ascii="Calibri" w:hAnsi="Calibri"/>
        </w:rPr>
        <w:t xml:space="preserve"> Estimated impact of interventions using segmented linear regression (FULL) models on all primary hip fracture patients, stratified by gender</w:t>
      </w:r>
      <w:bookmarkEnd w:id="703"/>
      <w:bookmarkEnd w:id="704"/>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34"/>
        <w:gridCol w:w="1320"/>
        <w:gridCol w:w="1320"/>
        <w:gridCol w:w="1320"/>
        <w:gridCol w:w="1320"/>
      </w:tblGrid>
      <w:tr w:rsidR="00746C94" w:rsidRPr="00591BFC" w14:paraId="40CED29F" w14:textId="77777777" w:rsidTr="001F6C78">
        <w:trPr>
          <w:trHeight w:val="900"/>
        </w:trPr>
        <w:tc>
          <w:tcPr>
            <w:tcW w:w="3934" w:type="dxa"/>
            <w:shd w:val="clear" w:color="auto" w:fill="auto"/>
            <w:noWrap/>
            <w:hideMark/>
          </w:tcPr>
          <w:p w14:paraId="26AEC36E" w14:textId="77777777" w:rsidR="00746C94" w:rsidRPr="00591BFC" w:rsidRDefault="00746C94" w:rsidP="00E86771">
            <w:pPr>
              <w:spacing w:line="360" w:lineRule="auto"/>
            </w:pPr>
            <w:r w:rsidRPr="00591BFC">
              <w:t> </w:t>
            </w:r>
          </w:p>
        </w:tc>
        <w:tc>
          <w:tcPr>
            <w:tcW w:w="1320" w:type="dxa"/>
            <w:shd w:val="clear" w:color="auto" w:fill="auto"/>
            <w:hideMark/>
          </w:tcPr>
          <w:p w14:paraId="198C248F" w14:textId="77777777" w:rsidR="00746C94" w:rsidRPr="00591BFC" w:rsidRDefault="00746C94" w:rsidP="00E86771">
            <w:pPr>
              <w:spacing w:line="360" w:lineRule="auto"/>
            </w:pPr>
            <w:r w:rsidRPr="00591BFC">
              <w:t xml:space="preserve">Coefficient                                </w:t>
            </w:r>
          </w:p>
        </w:tc>
        <w:tc>
          <w:tcPr>
            <w:tcW w:w="1320" w:type="dxa"/>
            <w:shd w:val="clear" w:color="auto" w:fill="auto"/>
            <w:hideMark/>
          </w:tcPr>
          <w:p w14:paraId="3063545F" w14:textId="77777777" w:rsidR="00746C94" w:rsidRPr="00591BFC" w:rsidRDefault="00746C94" w:rsidP="00E86771">
            <w:pPr>
              <w:spacing w:line="360" w:lineRule="auto"/>
            </w:pPr>
            <w:r w:rsidRPr="00591BFC">
              <w:t>lower 95% confidence interval</w:t>
            </w:r>
          </w:p>
        </w:tc>
        <w:tc>
          <w:tcPr>
            <w:tcW w:w="1320" w:type="dxa"/>
            <w:shd w:val="clear" w:color="auto" w:fill="auto"/>
            <w:hideMark/>
          </w:tcPr>
          <w:p w14:paraId="6DA892DB" w14:textId="77777777" w:rsidR="00746C94" w:rsidRPr="00591BFC" w:rsidRDefault="00746C94" w:rsidP="00E86771">
            <w:pPr>
              <w:spacing w:line="360" w:lineRule="auto"/>
            </w:pPr>
            <w:r w:rsidRPr="00591BFC">
              <w:t>upper 95% confidence interval</w:t>
            </w:r>
          </w:p>
        </w:tc>
        <w:tc>
          <w:tcPr>
            <w:tcW w:w="1320" w:type="dxa"/>
            <w:shd w:val="clear" w:color="auto" w:fill="auto"/>
            <w:noWrap/>
            <w:hideMark/>
          </w:tcPr>
          <w:p w14:paraId="7716CD4C" w14:textId="77777777" w:rsidR="00746C94" w:rsidRPr="00591BFC" w:rsidRDefault="00746C94" w:rsidP="00E86771">
            <w:pPr>
              <w:spacing w:line="360" w:lineRule="auto"/>
            </w:pPr>
            <w:r w:rsidRPr="00591BFC">
              <w:t>P-value</w:t>
            </w:r>
          </w:p>
        </w:tc>
      </w:tr>
      <w:tr w:rsidR="00746C94" w:rsidRPr="00591BFC" w14:paraId="2B101AEE" w14:textId="77777777" w:rsidTr="001F6C78">
        <w:trPr>
          <w:trHeight w:val="315"/>
        </w:trPr>
        <w:tc>
          <w:tcPr>
            <w:tcW w:w="9214" w:type="dxa"/>
            <w:gridSpan w:val="5"/>
            <w:shd w:val="clear" w:color="auto" w:fill="auto"/>
            <w:noWrap/>
            <w:hideMark/>
          </w:tcPr>
          <w:p w14:paraId="5972FAE5" w14:textId="77777777" w:rsidR="00746C94" w:rsidRPr="00591BFC" w:rsidRDefault="00746C94" w:rsidP="00E86771">
            <w:pPr>
              <w:spacing w:line="360" w:lineRule="auto"/>
              <w:rPr>
                <w:b/>
                <w:bCs/>
                <w:u w:val="single"/>
              </w:rPr>
            </w:pPr>
            <w:r w:rsidRPr="00591BFC">
              <w:rPr>
                <w:b/>
                <w:bCs/>
                <w:u w:val="single"/>
              </w:rPr>
              <w:t>MALES</w:t>
            </w:r>
          </w:p>
        </w:tc>
      </w:tr>
      <w:tr w:rsidR="00746C94" w:rsidRPr="00591BFC" w14:paraId="43E82A88" w14:textId="77777777" w:rsidTr="001F6C78">
        <w:trPr>
          <w:trHeight w:val="300"/>
        </w:trPr>
        <w:tc>
          <w:tcPr>
            <w:tcW w:w="9214" w:type="dxa"/>
            <w:gridSpan w:val="5"/>
            <w:shd w:val="clear" w:color="auto" w:fill="auto"/>
            <w:hideMark/>
          </w:tcPr>
          <w:p w14:paraId="23E5D9FB" w14:textId="77777777" w:rsidR="00746C94" w:rsidRPr="00591BFC" w:rsidRDefault="00746C94" w:rsidP="00E86771">
            <w:pPr>
              <w:spacing w:line="360" w:lineRule="auto"/>
              <w:rPr>
                <w:u w:val="single"/>
              </w:rPr>
            </w:pPr>
            <w:r w:rsidRPr="00591BFC">
              <w:rPr>
                <w:u w:val="single"/>
              </w:rPr>
              <w:t>any incident anti-OP medication use (1 year)*</w:t>
            </w:r>
          </w:p>
        </w:tc>
      </w:tr>
      <w:tr w:rsidR="00746C94" w:rsidRPr="00591BFC" w14:paraId="577039AE" w14:textId="77777777" w:rsidTr="001F6C78">
        <w:trPr>
          <w:trHeight w:val="330"/>
        </w:trPr>
        <w:tc>
          <w:tcPr>
            <w:tcW w:w="3934" w:type="dxa"/>
            <w:shd w:val="clear" w:color="auto" w:fill="auto"/>
            <w:noWrap/>
            <w:hideMark/>
          </w:tcPr>
          <w:p w14:paraId="3CB46DA9"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70DFC675" w14:textId="77777777" w:rsidR="00746C94" w:rsidRPr="00591BFC" w:rsidRDefault="00746C94" w:rsidP="00E86771">
            <w:pPr>
              <w:spacing w:line="360" w:lineRule="auto"/>
            </w:pPr>
            <w:r w:rsidRPr="00591BFC">
              <w:t>0.57</w:t>
            </w:r>
          </w:p>
        </w:tc>
        <w:tc>
          <w:tcPr>
            <w:tcW w:w="1320" w:type="dxa"/>
            <w:shd w:val="clear" w:color="auto" w:fill="auto"/>
            <w:noWrap/>
            <w:hideMark/>
          </w:tcPr>
          <w:p w14:paraId="53CD5D14" w14:textId="77777777" w:rsidR="00746C94" w:rsidRPr="00591BFC" w:rsidRDefault="00746C94" w:rsidP="00E86771">
            <w:pPr>
              <w:spacing w:line="360" w:lineRule="auto"/>
            </w:pPr>
            <w:r w:rsidRPr="00591BFC">
              <w:t>-3.46</w:t>
            </w:r>
          </w:p>
        </w:tc>
        <w:tc>
          <w:tcPr>
            <w:tcW w:w="1320" w:type="dxa"/>
            <w:shd w:val="clear" w:color="auto" w:fill="auto"/>
            <w:noWrap/>
            <w:hideMark/>
          </w:tcPr>
          <w:p w14:paraId="0878BBBC" w14:textId="77777777" w:rsidR="00746C94" w:rsidRPr="00591BFC" w:rsidRDefault="00746C94" w:rsidP="00E86771">
            <w:pPr>
              <w:spacing w:line="360" w:lineRule="auto"/>
            </w:pPr>
            <w:r w:rsidRPr="00591BFC">
              <w:t>4.6</w:t>
            </w:r>
          </w:p>
        </w:tc>
        <w:tc>
          <w:tcPr>
            <w:tcW w:w="1320" w:type="dxa"/>
            <w:shd w:val="clear" w:color="auto" w:fill="auto"/>
            <w:noWrap/>
            <w:hideMark/>
          </w:tcPr>
          <w:p w14:paraId="1AC6CB41" w14:textId="77777777" w:rsidR="00746C94" w:rsidRPr="00591BFC" w:rsidRDefault="00746C94" w:rsidP="00E86771">
            <w:pPr>
              <w:spacing w:line="360" w:lineRule="auto"/>
            </w:pPr>
            <w:r w:rsidRPr="00591BFC">
              <w:t>0.76</w:t>
            </w:r>
          </w:p>
        </w:tc>
      </w:tr>
      <w:tr w:rsidR="00746C94" w:rsidRPr="00591BFC" w14:paraId="372D7E43" w14:textId="77777777" w:rsidTr="001F6C78">
        <w:trPr>
          <w:trHeight w:val="330"/>
        </w:trPr>
        <w:tc>
          <w:tcPr>
            <w:tcW w:w="3934" w:type="dxa"/>
            <w:shd w:val="clear" w:color="auto" w:fill="auto"/>
            <w:noWrap/>
            <w:hideMark/>
          </w:tcPr>
          <w:p w14:paraId="0761A37A"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47C93BF0" w14:textId="77777777" w:rsidR="00746C94" w:rsidRPr="00591BFC" w:rsidRDefault="00746C94" w:rsidP="00E86771">
            <w:pPr>
              <w:spacing w:line="360" w:lineRule="auto"/>
            </w:pPr>
            <w:r w:rsidRPr="00591BFC">
              <w:t>0.67</w:t>
            </w:r>
          </w:p>
        </w:tc>
        <w:tc>
          <w:tcPr>
            <w:tcW w:w="1320" w:type="dxa"/>
            <w:shd w:val="clear" w:color="auto" w:fill="auto"/>
            <w:noWrap/>
            <w:hideMark/>
          </w:tcPr>
          <w:p w14:paraId="0E0D3E02" w14:textId="77777777" w:rsidR="00746C94" w:rsidRPr="00591BFC" w:rsidRDefault="00746C94" w:rsidP="00E86771">
            <w:pPr>
              <w:spacing w:line="360" w:lineRule="auto"/>
            </w:pPr>
            <w:r w:rsidRPr="00591BFC">
              <w:t>0.71</w:t>
            </w:r>
          </w:p>
        </w:tc>
        <w:tc>
          <w:tcPr>
            <w:tcW w:w="1320" w:type="dxa"/>
            <w:shd w:val="clear" w:color="auto" w:fill="auto"/>
            <w:noWrap/>
            <w:hideMark/>
          </w:tcPr>
          <w:p w14:paraId="2D1081B5" w14:textId="77777777" w:rsidR="00746C94" w:rsidRPr="00591BFC" w:rsidRDefault="00746C94" w:rsidP="00E86771">
            <w:pPr>
              <w:spacing w:line="360" w:lineRule="auto"/>
            </w:pPr>
            <w:r w:rsidRPr="00591BFC">
              <w:t>1.26</w:t>
            </w:r>
          </w:p>
        </w:tc>
        <w:tc>
          <w:tcPr>
            <w:tcW w:w="1320" w:type="dxa"/>
            <w:shd w:val="clear" w:color="auto" w:fill="auto"/>
            <w:noWrap/>
            <w:hideMark/>
          </w:tcPr>
          <w:p w14:paraId="6D4CD252" w14:textId="77777777" w:rsidR="00746C94" w:rsidRPr="00591BFC" w:rsidRDefault="00746C94" w:rsidP="00E86771">
            <w:pPr>
              <w:spacing w:line="360" w:lineRule="auto"/>
            </w:pPr>
            <w:r w:rsidRPr="00591BFC">
              <w:t>0.031</w:t>
            </w:r>
          </w:p>
        </w:tc>
      </w:tr>
      <w:tr w:rsidR="00746C94" w:rsidRPr="00591BFC" w14:paraId="3D5F722A" w14:textId="77777777" w:rsidTr="001F6C78">
        <w:trPr>
          <w:trHeight w:val="330"/>
        </w:trPr>
        <w:tc>
          <w:tcPr>
            <w:tcW w:w="3934" w:type="dxa"/>
            <w:shd w:val="clear" w:color="auto" w:fill="auto"/>
            <w:noWrap/>
            <w:hideMark/>
          </w:tcPr>
          <w:p w14:paraId="6751AE86"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43A130E2" w14:textId="77777777" w:rsidR="00746C94" w:rsidRPr="00591BFC" w:rsidRDefault="00746C94" w:rsidP="00E86771">
            <w:pPr>
              <w:spacing w:line="360" w:lineRule="auto"/>
            </w:pPr>
            <w:r w:rsidRPr="00591BFC">
              <w:t>6.6</w:t>
            </w:r>
          </w:p>
        </w:tc>
        <w:tc>
          <w:tcPr>
            <w:tcW w:w="1320" w:type="dxa"/>
            <w:shd w:val="clear" w:color="auto" w:fill="auto"/>
            <w:noWrap/>
            <w:hideMark/>
          </w:tcPr>
          <w:p w14:paraId="19DD1EA7" w14:textId="77777777" w:rsidR="00746C94" w:rsidRPr="00591BFC" w:rsidRDefault="00746C94" w:rsidP="00E86771">
            <w:pPr>
              <w:spacing w:line="360" w:lineRule="auto"/>
            </w:pPr>
            <w:r w:rsidRPr="00591BFC">
              <w:t>-1.08</w:t>
            </w:r>
          </w:p>
        </w:tc>
        <w:tc>
          <w:tcPr>
            <w:tcW w:w="1320" w:type="dxa"/>
            <w:shd w:val="clear" w:color="auto" w:fill="auto"/>
            <w:noWrap/>
            <w:hideMark/>
          </w:tcPr>
          <w:p w14:paraId="52EDAA42" w14:textId="77777777" w:rsidR="00746C94" w:rsidRPr="00591BFC" w:rsidRDefault="00746C94" w:rsidP="00E86771">
            <w:pPr>
              <w:spacing w:line="360" w:lineRule="auto"/>
            </w:pPr>
            <w:r w:rsidRPr="00591BFC">
              <w:t>14.3</w:t>
            </w:r>
          </w:p>
        </w:tc>
        <w:tc>
          <w:tcPr>
            <w:tcW w:w="1320" w:type="dxa"/>
            <w:shd w:val="clear" w:color="auto" w:fill="auto"/>
            <w:noWrap/>
            <w:hideMark/>
          </w:tcPr>
          <w:p w14:paraId="02A98BA9" w14:textId="77777777" w:rsidR="00746C94" w:rsidRPr="00591BFC" w:rsidRDefault="00746C94" w:rsidP="00E86771">
            <w:pPr>
              <w:spacing w:line="360" w:lineRule="auto"/>
            </w:pPr>
            <w:r w:rsidRPr="00591BFC">
              <w:t>0.087</w:t>
            </w:r>
          </w:p>
        </w:tc>
      </w:tr>
      <w:tr w:rsidR="00746C94" w:rsidRPr="00591BFC" w14:paraId="085828B0" w14:textId="77777777" w:rsidTr="001F6C78">
        <w:trPr>
          <w:trHeight w:val="330"/>
        </w:trPr>
        <w:tc>
          <w:tcPr>
            <w:tcW w:w="3934" w:type="dxa"/>
            <w:shd w:val="clear" w:color="auto" w:fill="auto"/>
            <w:noWrap/>
            <w:hideMark/>
          </w:tcPr>
          <w:p w14:paraId="11AB8FB4"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7DB499B8" w14:textId="77777777" w:rsidR="00746C94" w:rsidRPr="00591BFC" w:rsidRDefault="00746C94" w:rsidP="00E86771">
            <w:pPr>
              <w:spacing w:line="360" w:lineRule="auto"/>
            </w:pPr>
            <w:r w:rsidRPr="00591BFC">
              <w:t>2.33</w:t>
            </w:r>
          </w:p>
        </w:tc>
        <w:tc>
          <w:tcPr>
            <w:tcW w:w="1320" w:type="dxa"/>
            <w:shd w:val="clear" w:color="auto" w:fill="auto"/>
            <w:noWrap/>
            <w:hideMark/>
          </w:tcPr>
          <w:p w14:paraId="147A23EE" w14:textId="77777777" w:rsidR="00746C94" w:rsidRPr="00591BFC" w:rsidRDefault="00746C94" w:rsidP="00E86771">
            <w:pPr>
              <w:spacing w:line="360" w:lineRule="auto"/>
            </w:pPr>
            <w:r w:rsidRPr="00591BFC">
              <w:t>0.27</w:t>
            </w:r>
          </w:p>
        </w:tc>
        <w:tc>
          <w:tcPr>
            <w:tcW w:w="1320" w:type="dxa"/>
            <w:shd w:val="clear" w:color="auto" w:fill="auto"/>
            <w:noWrap/>
            <w:hideMark/>
          </w:tcPr>
          <w:p w14:paraId="2CC10D25" w14:textId="77777777" w:rsidR="00746C94" w:rsidRPr="00591BFC" w:rsidRDefault="00746C94" w:rsidP="00E86771">
            <w:pPr>
              <w:spacing w:line="360" w:lineRule="auto"/>
            </w:pPr>
            <w:r w:rsidRPr="00591BFC">
              <w:t>4.39</w:t>
            </w:r>
          </w:p>
        </w:tc>
        <w:tc>
          <w:tcPr>
            <w:tcW w:w="1320" w:type="dxa"/>
            <w:shd w:val="clear" w:color="auto" w:fill="auto"/>
            <w:noWrap/>
            <w:hideMark/>
          </w:tcPr>
          <w:p w14:paraId="05221A50" w14:textId="77777777" w:rsidR="00746C94" w:rsidRPr="00591BFC" w:rsidRDefault="00746C94" w:rsidP="00E86771">
            <w:pPr>
              <w:spacing w:line="360" w:lineRule="auto"/>
            </w:pPr>
            <w:r w:rsidRPr="00591BFC">
              <w:t>0.029</w:t>
            </w:r>
          </w:p>
        </w:tc>
      </w:tr>
      <w:tr w:rsidR="00746C94" w:rsidRPr="00591BFC" w14:paraId="6ED61463" w14:textId="77777777" w:rsidTr="001F6C78">
        <w:trPr>
          <w:trHeight w:val="330"/>
        </w:trPr>
        <w:tc>
          <w:tcPr>
            <w:tcW w:w="3934" w:type="dxa"/>
            <w:shd w:val="clear" w:color="auto" w:fill="auto"/>
            <w:noWrap/>
            <w:hideMark/>
          </w:tcPr>
          <w:p w14:paraId="391D8F33"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3E0B7843" w14:textId="77777777" w:rsidR="00746C94" w:rsidRPr="00591BFC" w:rsidRDefault="00746C94" w:rsidP="00E86771">
            <w:pPr>
              <w:spacing w:line="360" w:lineRule="auto"/>
            </w:pPr>
            <w:r w:rsidRPr="00591BFC">
              <w:t>-4.8</w:t>
            </w:r>
          </w:p>
        </w:tc>
        <w:tc>
          <w:tcPr>
            <w:tcW w:w="1320" w:type="dxa"/>
            <w:shd w:val="clear" w:color="auto" w:fill="auto"/>
            <w:noWrap/>
            <w:hideMark/>
          </w:tcPr>
          <w:p w14:paraId="591168EC" w14:textId="77777777" w:rsidR="00746C94" w:rsidRPr="00591BFC" w:rsidRDefault="00746C94" w:rsidP="00E86771">
            <w:pPr>
              <w:spacing w:line="360" w:lineRule="auto"/>
            </w:pPr>
            <w:r w:rsidRPr="00591BFC">
              <w:t>-15.5</w:t>
            </w:r>
          </w:p>
        </w:tc>
        <w:tc>
          <w:tcPr>
            <w:tcW w:w="1320" w:type="dxa"/>
            <w:shd w:val="clear" w:color="auto" w:fill="auto"/>
            <w:noWrap/>
            <w:hideMark/>
          </w:tcPr>
          <w:p w14:paraId="0BF3039F" w14:textId="77777777" w:rsidR="00746C94" w:rsidRPr="00591BFC" w:rsidRDefault="00746C94" w:rsidP="00E86771">
            <w:pPr>
              <w:spacing w:line="360" w:lineRule="auto"/>
            </w:pPr>
            <w:r w:rsidRPr="00591BFC">
              <w:t>5.94</w:t>
            </w:r>
          </w:p>
        </w:tc>
        <w:tc>
          <w:tcPr>
            <w:tcW w:w="1320" w:type="dxa"/>
            <w:shd w:val="clear" w:color="auto" w:fill="auto"/>
            <w:noWrap/>
            <w:hideMark/>
          </w:tcPr>
          <w:p w14:paraId="04DEB518" w14:textId="77777777" w:rsidR="00746C94" w:rsidRPr="00591BFC" w:rsidRDefault="00746C94" w:rsidP="00E86771">
            <w:pPr>
              <w:spacing w:line="360" w:lineRule="auto"/>
            </w:pPr>
            <w:r w:rsidRPr="00591BFC">
              <w:t>0.36</w:t>
            </w:r>
          </w:p>
        </w:tc>
      </w:tr>
      <w:tr w:rsidR="00746C94" w:rsidRPr="00591BFC" w14:paraId="5176AFB2" w14:textId="77777777" w:rsidTr="001F6C78">
        <w:trPr>
          <w:trHeight w:val="330"/>
        </w:trPr>
        <w:tc>
          <w:tcPr>
            <w:tcW w:w="3934" w:type="dxa"/>
            <w:shd w:val="clear" w:color="auto" w:fill="auto"/>
            <w:noWrap/>
            <w:hideMark/>
          </w:tcPr>
          <w:p w14:paraId="25D8FC6C"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105888CA" w14:textId="77777777" w:rsidR="00746C94" w:rsidRPr="00591BFC" w:rsidRDefault="00746C94" w:rsidP="00E86771">
            <w:pPr>
              <w:spacing w:line="360" w:lineRule="auto"/>
            </w:pPr>
            <w:r w:rsidRPr="00591BFC">
              <w:t>-3.1</w:t>
            </w:r>
          </w:p>
        </w:tc>
        <w:tc>
          <w:tcPr>
            <w:tcW w:w="1320" w:type="dxa"/>
            <w:shd w:val="clear" w:color="auto" w:fill="auto"/>
            <w:noWrap/>
            <w:hideMark/>
          </w:tcPr>
          <w:p w14:paraId="2F8460C9" w14:textId="77777777" w:rsidR="00746C94" w:rsidRPr="00591BFC" w:rsidRDefault="00746C94" w:rsidP="00E86771">
            <w:pPr>
              <w:spacing w:line="360" w:lineRule="auto"/>
            </w:pPr>
            <w:r w:rsidRPr="00591BFC">
              <w:t>-7.93</w:t>
            </w:r>
          </w:p>
        </w:tc>
        <w:tc>
          <w:tcPr>
            <w:tcW w:w="1320" w:type="dxa"/>
            <w:shd w:val="clear" w:color="auto" w:fill="auto"/>
            <w:noWrap/>
            <w:hideMark/>
          </w:tcPr>
          <w:p w14:paraId="0481C9BA" w14:textId="77777777" w:rsidR="00746C94" w:rsidRPr="00591BFC" w:rsidRDefault="00746C94" w:rsidP="00E86771">
            <w:pPr>
              <w:spacing w:line="360" w:lineRule="auto"/>
            </w:pPr>
            <w:r w:rsidRPr="00591BFC">
              <w:t>1.72</w:t>
            </w:r>
          </w:p>
        </w:tc>
        <w:tc>
          <w:tcPr>
            <w:tcW w:w="1320" w:type="dxa"/>
            <w:shd w:val="clear" w:color="auto" w:fill="auto"/>
            <w:noWrap/>
            <w:hideMark/>
          </w:tcPr>
          <w:p w14:paraId="02249BB9" w14:textId="77777777" w:rsidR="00746C94" w:rsidRPr="00591BFC" w:rsidRDefault="00746C94" w:rsidP="00E86771">
            <w:pPr>
              <w:spacing w:line="360" w:lineRule="auto"/>
            </w:pPr>
            <w:r w:rsidRPr="00591BFC">
              <w:t>0.19</w:t>
            </w:r>
          </w:p>
        </w:tc>
      </w:tr>
      <w:tr w:rsidR="00746C94" w:rsidRPr="00591BFC" w14:paraId="030523CC" w14:textId="77777777" w:rsidTr="001F6C78">
        <w:trPr>
          <w:trHeight w:val="330"/>
        </w:trPr>
        <w:tc>
          <w:tcPr>
            <w:tcW w:w="3934" w:type="dxa"/>
            <w:shd w:val="clear" w:color="auto" w:fill="auto"/>
            <w:noWrap/>
            <w:hideMark/>
          </w:tcPr>
          <w:p w14:paraId="513F0EF1"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7B2D04C5" w14:textId="77777777" w:rsidR="00746C94" w:rsidRPr="00591BFC" w:rsidRDefault="00746C94" w:rsidP="00E86771">
            <w:pPr>
              <w:spacing w:line="360" w:lineRule="auto"/>
            </w:pPr>
            <w:r w:rsidRPr="00591BFC">
              <w:t>4.42</w:t>
            </w:r>
          </w:p>
        </w:tc>
        <w:tc>
          <w:tcPr>
            <w:tcW w:w="1320" w:type="dxa"/>
            <w:shd w:val="clear" w:color="auto" w:fill="auto"/>
            <w:noWrap/>
            <w:hideMark/>
          </w:tcPr>
          <w:p w14:paraId="091CF5E0" w14:textId="77777777" w:rsidR="00746C94" w:rsidRPr="00591BFC" w:rsidRDefault="00746C94" w:rsidP="00E86771">
            <w:pPr>
              <w:spacing w:line="360" w:lineRule="auto"/>
            </w:pPr>
            <w:r w:rsidRPr="00591BFC">
              <w:t>-4.24</w:t>
            </w:r>
          </w:p>
        </w:tc>
        <w:tc>
          <w:tcPr>
            <w:tcW w:w="1320" w:type="dxa"/>
            <w:shd w:val="clear" w:color="auto" w:fill="auto"/>
            <w:noWrap/>
            <w:hideMark/>
          </w:tcPr>
          <w:p w14:paraId="3711530A" w14:textId="77777777" w:rsidR="00746C94" w:rsidRPr="00591BFC" w:rsidRDefault="00746C94" w:rsidP="00E86771">
            <w:pPr>
              <w:spacing w:line="360" w:lineRule="auto"/>
            </w:pPr>
            <w:r w:rsidRPr="00591BFC">
              <w:t>13.1</w:t>
            </w:r>
          </w:p>
        </w:tc>
        <w:tc>
          <w:tcPr>
            <w:tcW w:w="1320" w:type="dxa"/>
            <w:shd w:val="clear" w:color="auto" w:fill="auto"/>
            <w:noWrap/>
            <w:hideMark/>
          </w:tcPr>
          <w:p w14:paraId="2EAB771B" w14:textId="77777777" w:rsidR="00746C94" w:rsidRPr="00591BFC" w:rsidRDefault="00746C94" w:rsidP="00E86771">
            <w:pPr>
              <w:spacing w:line="360" w:lineRule="auto"/>
            </w:pPr>
            <w:r w:rsidRPr="00591BFC">
              <w:t>0.3</w:t>
            </w:r>
          </w:p>
        </w:tc>
      </w:tr>
      <w:tr w:rsidR="00746C94" w:rsidRPr="00591BFC" w14:paraId="0603CD32" w14:textId="77777777" w:rsidTr="001F6C78">
        <w:trPr>
          <w:trHeight w:val="330"/>
        </w:trPr>
        <w:tc>
          <w:tcPr>
            <w:tcW w:w="3934" w:type="dxa"/>
            <w:shd w:val="clear" w:color="auto" w:fill="auto"/>
            <w:noWrap/>
            <w:hideMark/>
          </w:tcPr>
          <w:p w14:paraId="773B0C8B"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2F5D1C9F" w14:textId="77777777" w:rsidR="00746C94" w:rsidRPr="00591BFC" w:rsidRDefault="00746C94" w:rsidP="00E86771">
            <w:pPr>
              <w:spacing w:line="360" w:lineRule="auto"/>
            </w:pPr>
            <w:r w:rsidRPr="00591BFC">
              <w:t>1.67</w:t>
            </w:r>
          </w:p>
        </w:tc>
        <w:tc>
          <w:tcPr>
            <w:tcW w:w="1320" w:type="dxa"/>
            <w:shd w:val="clear" w:color="auto" w:fill="auto"/>
            <w:noWrap/>
            <w:hideMark/>
          </w:tcPr>
          <w:p w14:paraId="221FCE5D" w14:textId="77777777" w:rsidR="00746C94" w:rsidRPr="00591BFC" w:rsidRDefault="00746C94" w:rsidP="00E86771">
            <w:pPr>
              <w:spacing w:line="360" w:lineRule="auto"/>
            </w:pPr>
            <w:r w:rsidRPr="00591BFC">
              <w:t>-3.15</w:t>
            </w:r>
          </w:p>
        </w:tc>
        <w:tc>
          <w:tcPr>
            <w:tcW w:w="1320" w:type="dxa"/>
            <w:shd w:val="clear" w:color="auto" w:fill="auto"/>
            <w:noWrap/>
            <w:hideMark/>
          </w:tcPr>
          <w:p w14:paraId="393C8E04" w14:textId="77777777" w:rsidR="00746C94" w:rsidRPr="00591BFC" w:rsidRDefault="00746C94" w:rsidP="00E86771">
            <w:pPr>
              <w:spacing w:line="360" w:lineRule="auto"/>
            </w:pPr>
            <w:r w:rsidRPr="00591BFC">
              <w:t>6.5</w:t>
            </w:r>
          </w:p>
        </w:tc>
        <w:tc>
          <w:tcPr>
            <w:tcW w:w="1320" w:type="dxa"/>
            <w:shd w:val="clear" w:color="auto" w:fill="auto"/>
            <w:noWrap/>
            <w:hideMark/>
          </w:tcPr>
          <w:p w14:paraId="63210D30" w14:textId="77777777" w:rsidR="00746C94" w:rsidRPr="00591BFC" w:rsidRDefault="00746C94" w:rsidP="00E86771">
            <w:pPr>
              <w:spacing w:line="360" w:lineRule="auto"/>
            </w:pPr>
            <w:r w:rsidRPr="00591BFC">
              <w:t>0.47</w:t>
            </w:r>
          </w:p>
        </w:tc>
      </w:tr>
      <w:tr w:rsidR="00746C94" w:rsidRPr="00591BFC" w14:paraId="6D664C9B" w14:textId="77777777" w:rsidTr="001F6C78">
        <w:trPr>
          <w:trHeight w:val="300"/>
        </w:trPr>
        <w:tc>
          <w:tcPr>
            <w:tcW w:w="9214" w:type="dxa"/>
            <w:gridSpan w:val="5"/>
            <w:shd w:val="clear" w:color="auto" w:fill="auto"/>
            <w:hideMark/>
          </w:tcPr>
          <w:p w14:paraId="5AE3BA13" w14:textId="77777777" w:rsidR="00746C94" w:rsidRPr="00591BFC" w:rsidRDefault="00746C94" w:rsidP="00E86771">
            <w:pPr>
              <w:spacing w:line="360" w:lineRule="auto"/>
              <w:rPr>
                <w:u w:val="single"/>
              </w:rPr>
            </w:pPr>
            <w:r w:rsidRPr="00591BFC">
              <w:rPr>
                <w:u w:val="single"/>
              </w:rPr>
              <w:t>bisphosphonate prevalence (10-14 months)*</w:t>
            </w:r>
          </w:p>
        </w:tc>
      </w:tr>
      <w:tr w:rsidR="00746C94" w:rsidRPr="00591BFC" w14:paraId="70109A2A" w14:textId="77777777" w:rsidTr="001F6C78">
        <w:trPr>
          <w:trHeight w:val="330"/>
        </w:trPr>
        <w:tc>
          <w:tcPr>
            <w:tcW w:w="3934" w:type="dxa"/>
            <w:shd w:val="clear" w:color="auto" w:fill="auto"/>
            <w:noWrap/>
            <w:hideMark/>
          </w:tcPr>
          <w:p w14:paraId="0895D11F"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76843AA5" w14:textId="77777777" w:rsidR="00746C94" w:rsidRPr="00591BFC" w:rsidRDefault="00746C94" w:rsidP="00E86771">
            <w:pPr>
              <w:spacing w:line="360" w:lineRule="auto"/>
            </w:pPr>
            <w:r w:rsidRPr="00591BFC">
              <w:t>0.65</w:t>
            </w:r>
          </w:p>
        </w:tc>
        <w:tc>
          <w:tcPr>
            <w:tcW w:w="1320" w:type="dxa"/>
            <w:shd w:val="clear" w:color="auto" w:fill="auto"/>
            <w:noWrap/>
            <w:hideMark/>
          </w:tcPr>
          <w:p w14:paraId="49CAC879" w14:textId="77777777" w:rsidR="00746C94" w:rsidRPr="00591BFC" w:rsidRDefault="00746C94" w:rsidP="00E86771">
            <w:pPr>
              <w:spacing w:line="360" w:lineRule="auto"/>
            </w:pPr>
            <w:r w:rsidRPr="00591BFC">
              <w:t>-3.33</w:t>
            </w:r>
          </w:p>
        </w:tc>
        <w:tc>
          <w:tcPr>
            <w:tcW w:w="1320" w:type="dxa"/>
            <w:shd w:val="clear" w:color="auto" w:fill="auto"/>
            <w:noWrap/>
            <w:hideMark/>
          </w:tcPr>
          <w:p w14:paraId="03799F9B" w14:textId="77777777" w:rsidR="00746C94" w:rsidRPr="00591BFC" w:rsidRDefault="00746C94" w:rsidP="00E86771">
            <w:pPr>
              <w:spacing w:line="360" w:lineRule="auto"/>
            </w:pPr>
            <w:r w:rsidRPr="00591BFC">
              <w:t>4.62</w:t>
            </w:r>
          </w:p>
        </w:tc>
        <w:tc>
          <w:tcPr>
            <w:tcW w:w="1320" w:type="dxa"/>
            <w:shd w:val="clear" w:color="auto" w:fill="auto"/>
            <w:noWrap/>
            <w:hideMark/>
          </w:tcPr>
          <w:p w14:paraId="6BECA205" w14:textId="77777777" w:rsidR="00746C94" w:rsidRPr="00591BFC" w:rsidRDefault="00746C94" w:rsidP="00E86771">
            <w:pPr>
              <w:spacing w:line="360" w:lineRule="auto"/>
            </w:pPr>
            <w:r w:rsidRPr="00591BFC">
              <w:t>0.74</w:t>
            </w:r>
          </w:p>
        </w:tc>
      </w:tr>
      <w:tr w:rsidR="00746C94" w:rsidRPr="00591BFC" w14:paraId="605FBD51" w14:textId="77777777" w:rsidTr="001F6C78">
        <w:trPr>
          <w:trHeight w:val="330"/>
        </w:trPr>
        <w:tc>
          <w:tcPr>
            <w:tcW w:w="3934" w:type="dxa"/>
            <w:shd w:val="clear" w:color="auto" w:fill="auto"/>
            <w:noWrap/>
            <w:hideMark/>
          </w:tcPr>
          <w:p w14:paraId="47F7434E"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73DDDF86" w14:textId="77777777" w:rsidR="00746C94" w:rsidRPr="00591BFC" w:rsidRDefault="00746C94" w:rsidP="00E86771">
            <w:pPr>
              <w:spacing w:line="360" w:lineRule="auto"/>
            </w:pPr>
            <w:r w:rsidRPr="00591BFC">
              <w:t>0.36</w:t>
            </w:r>
          </w:p>
        </w:tc>
        <w:tc>
          <w:tcPr>
            <w:tcW w:w="1320" w:type="dxa"/>
            <w:shd w:val="clear" w:color="auto" w:fill="auto"/>
            <w:noWrap/>
            <w:hideMark/>
          </w:tcPr>
          <w:p w14:paraId="21D50FDE" w14:textId="77777777" w:rsidR="00746C94" w:rsidRPr="00591BFC" w:rsidRDefault="00746C94" w:rsidP="00E86771">
            <w:pPr>
              <w:spacing w:line="360" w:lineRule="auto"/>
            </w:pPr>
            <w:r w:rsidRPr="00591BFC">
              <w:t>-0.22</w:t>
            </w:r>
          </w:p>
        </w:tc>
        <w:tc>
          <w:tcPr>
            <w:tcW w:w="1320" w:type="dxa"/>
            <w:shd w:val="clear" w:color="auto" w:fill="auto"/>
            <w:noWrap/>
            <w:hideMark/>
          </w:tcPr>
          <w:p w14:paraId="05CE789D" w14:textId="77777777" w:rsidR="00746C94" w:rsidRPr="00591BFC" w:rsidRDefault="00746C94" w:rsidP="00E86771">
            <w:pPr>
              <w:spacing w:line="360" w:lineRule="auto"/>
            </w:pPr>
            <w:r w:rsidRPr="00591BFC">
              <w:t>0.95</w:t>
            </w:r>
          </w:p>
        </w:tc>
        <w:tc>
          <w:tcPr>
            <w:tcW w:w="1320" w:type="dxa"/>
            <w:shd w:val="clear" w:color="auto" w:fill="auto"/>
            <w:noWrap/>
            <w:hideMark/>
          </w:tcPr>
          <w:p w14:paraId="5CF5E504" w14:textId="77777777" w:rsidR="00746C94" w:rsidRPr="00591BFC" w:rsidRDefault="00746C94" w:rsidP="00E86771">
            <w:pPr>
              <w:spacing w:line="360" w:lineRule="auto"/>
            </w:pPr>
            <w:r w:rsidRPr="00591BFC">
              <w:t>0.21</w:t>
            </w:r>
          </w:p>
        </w:tc>
      </w:tr>
      <w:tr w:rsidR="00746C94" w:rsidRPr="00591BFC" w14:paraId="7EB0B728" w14:textId="77777777" w:rsidTr="001F6C78">
        <w:trPr>
          <w:trHeight w:val="330"/>
        </w:trPr>
        <w:tc>
          <w:tcPr>
            <w:tcW w:w="3934" w:type="dxa"/>
            <w:shd w:val="clear" w:color="auto" w:fill="auto"/>
            <w:noWrap/>
            <w:hideMark/>
          </w:tcPr>
          <w:p w14:paraId="53EEB7B9"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080B123F" w14:textId="77777777" w:rsidR="00746C94" w:rsidRPr="00591BFC" w:rsidRDefault="00746C94" w:rsidP="00E86771">
            <w:pPr>
              <w:spacing w:line="360" w:lineRule="auto"/>
            </w:pPr>
            <w:r w:rsidRPr="00591BFC">
              <w:t>5.56</w:t>
            </w:r>
          </w:p>
        </w:tc>
        <w:tc>
          <w:tcPr>
            <w:tcW w:w="1320" w:type="dxa"/>
            <w:shd w:val="clear" w:color="auto" w:fill="auto"/>
            <w:noWrap/>
            <w:hideMark/>
          </w:tcPr>
          <w:p w14:paraId="2BC7ACCA" w14:textId="77777777" w:rsidR="00746C94" w:rsidRPr="00591BFC" w:rsidRDefault="00746C94" w:rsidP="00E86771">
            <w:pPr>
              <w:spacing w:line="360" w:lineRule="auto"/>
            </w:pPr>
            <w:r w:rsidRPr="00591BFC">
              <w:t>-2.02</w:t>
            </w:r>
          </w:p>
        </w:tc>
        <w:tc>
          <w:tcPr>
            <w:tcW w:w="1320" w:type="dxa"/>
            <w:shd w:val="clear" w:color="auto" w:fill="auto"/>
            <w:noWrap/>
            <w:hideMark/>
          </w:tcPr>
          <w:p w14:paraId="263C9A2D" w14:textId="77777777" w:rsidR="00746C94" w:rsidRPr="00591BFC" w:rsidRDefault="00746C94" w:rsidP="00E86771">
            <w:pPr>
              <w:spacing w:line="360" w:lineRule="auto"/>
            </w:pPr>
            <w:r w:rsidRPr="00591BFC">
              <w:t>13.1</w:t>
            </w:r>
          </w:p>
        </w:tc>
        <w:tc>
          <w:tcPr>
            <w:tcW w:w="1320" w:type="dxa"/>
            <w:shd w:val="clear" w:color="auto" w:fill="auto"/>
            <w:noWrap/>
            <w:hideMark/>
          </w:tcPr>
          <w:p w14:paraId="7DF36D30" w14:textId="77777777" w:rsidR="00746C94" w:rsidRPr="00591BFC" w:rsidRDefault="00746C94" w:rsidP="00E86771">
            <w:pPr>
              <w:spacing w:line="360" w:lineRule="auto"/>
            </w:pPr>
            <w:r w:rsidRPr="00591BFC">
              <w:t>0.14</w:t>
            </w:r>
          </w:p>
        </w:tc>
      </w:tr>
      <w:tr w:rsidR="00746C94" w:rsidRPr="00591BFC" w14:paraId="74E40460" w14:textId="77777777" w:rsidTr="001F6C78">
        <w:trPr>
          <w:trHeight w:val="330"/>
        </w:trPr>
        <w:tc>
          <w:tcPr>
            <w:tcW w:w="3934" w:type="dxa"/>
            <w:shd w:val="clear" w:color="auto" w:fill="auto"/>
            <w:noWrap/>
            <w:hideMark/>
          </w:tcPr>
          <w:p w14:paraId="5C6F68F3"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391A1003" w14:textId="77777777" w:rsidR="00746C94" w:rsidRPr="00591BFC" w:rsidRDefault="00746C94" w:rsidP="00E86771">
            <w:pPr>
              <w:spacing w:line="360" w:lineRule="auto"/>
            </w:pPr>
            <w:r w:rsidRPr="00591BFC">
              <w:t>1.45</w:t>
            </w:r>
          </w:p>
        </w:tc>
        <w:tc>
          <w:tcPr>
            <w:tcW w:w="1320" w:type="dxa"/>
            <w:shd w:val="clear" w:color="auto" w:fill="auto"/>
            <w:noWrap/>
            <w:hideMark/>
          </w:tcPr>
          <w:p w14:paraId="37E525D9" w14:textId="77777777" w:rsidR="00746C94" w:rsidRPr="00591BFC" w:rsidRDefault="00746C94" w:rsidP="00E86771">
            <w:pPr>
              <w:spacing w:line="360" w:lineRule="auto"/>
            </w:pPr>
            <w:r w:rsidRPr="00591BFC">
              <w:t>-0.58</w:t>
            </w:r>
          </w:p>
        </w:tc>
        <w:tc>
          <w:tcPr>
            <w:tcW w:w="1320" w:type="dxa"/>
            <w:shd w:val="clear" w:color="auto" w:fill="auto"/>
            <w:noWrap/>
            <w:hideMark/>
          </w:tcPr>
          <w:p w14:paraId="6CE9B8BE" w14:textId="77777777" w:rsidR="00746C94" w:rsidRPr="00591BFC" w:rsidRDefault="00746C94" w:rsidP="00E86771">
            <w:pPr>
              <w:spacing w:line="360" w:lineRule="auto"/>
            </w:pPr>
            <w:r w:rsidRPr="00591BFC">
              <w:t>3.48</w:t>
            </w:r>
          </w:p>
        </w:tc>
        <w:tc>
          <w:tcPr>
            <w:tcW w:w="1320" w:type="dxa"/>
            <w:shd w:val="clear" w:color="auto" w:fill="auto"/>
            <w:noWrap/>
            <w:hideMark/>
          </w:tcPr>
          <w:p w14:paraId="5D6132BA" w14:textId="77777777" w:rsidR="00746C94" w:rsidRPr="00591BFC" w:rsidRDefault="00746C94" w:rsidP="00E86771">
            <w:pPr>
              <w:spacing w:line="360" w:lineRule="auto"/>
            </w:pPr>
            <w:r w:rsidRPr="00591BFC">
              <w:t>0.15</w:t>
            </w:r>
          </w:p>
        </w:tc>
      </w:tr>
      <w:tr w:rsidR="00746C94" w:rsidRPr="00591BFC" w14:paraId="29528033" w14:textId="77777777" w:rsidTr="001F6C78">
        <w:trPr>
          <w:trHeight w:val="330"/>
        </w:trPr>
        <w:tc>
          <w:tcPr>
            <w:tcW w:w="3934" w:type="dxa"/>
            <w:shd w:val="clear" w:color="auto" w:fill="auto"/>
            <w:noWrap/>
            <w:hideMark/>
          </w:tcPr>
          <w:p w14:paraId="6A88CBE9"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1D039F5C" w14:textId="77777777" w:rsidR="00746C94" w:rsidRPr="00591BFC" w:rsidRDefault="00746C94" w:rsidP="00E86771">
            <w:pPr>
              <w:spacing w:line="360" w:lineRule="auto"/>
            </w:pPr>
            <w:r w:rsidRPr="00591BFC">
              <w:t>-10.5</w:t>
            </w:r>
          </w:p>
        </w:tc>
        <w:tc>
          <w:tcPr>
            <w:tcW w:w="1320" w:type="dxa"/>
            <w:shd w:val="clear" w:color="auto" w:fill="auto"/>
            <w:noWrap/>
            <w:hideMark/>
          </w:tcPr>
          <w:p w14:paraId="2F054D9C" w14:textId="77777777" w:rsidR="00746C94" w:rsidRPr="00591BFC" w:rsidRDefault="00746C94" w:rsidP="00E86771">
            <w:pPr>
              <w:spacing w:line="360" w:lineRule="auto"/>
            </w:pPr>
            <w:r w:rsidRPr="00591BFC">
              <w:t>-21.1</w:t>
            </w:r>
          </w:p>
        </w:tc>
        <w:tc>
          <w:tcPr>
            <w:tcW w:w="1320" w:type="dxa"/>
            <w:shd w:val="clear" w:color="auto" w:fill="auto"/>
            <w:noWrap/>
            <w:hideMark/>
          </w:tcPr>
          <w:p w14:paraId="797F348F" w14:textId="77777777" w:rsidR="00746C94" w:rsidRPr="00591BFC" w:rsidRDefault="00746C94" w:rsidP="00E86771">
            <w:pPr>
              <w:spacing w:line="360" w:lineRule="auto"/>
            </w:pPr>
            <w:r w:rsidRPr="00591BFC">
              <w:t>0.11</w:t>
            </w:r>
          </w:p>
        </w:tc>
        <w:tc>
          <w:tcPr>
            <w:tcW w:w="1320" w:type="dxa"/>
            <w:shd w:val="clear" w:color="auto" w:fill="auto"/>
            <w:noWrap/>
            <w:hideMark/>
          </w:tcPr>
          <w:p w14:paraId="20103874" w14:textId="77777777" w:rsidR="00746C94" w:rsidRPr="00591BFC" w:rsidRDefault="00746C94" w:rsidP="00E86771">
            <w:pPr>
              <w:spacing w:line="360" w:lineRule="auto"/>
            </w:pPr>
            <w:r w:rsidRPr="00591BFC">
              <w:t>0.052</w:t>
            </w:r>
          </w:p>
        </w:tc>
      </w:tr>
      <w:tr w:rsidR="00746C94" w:rsidRPr="00591BFC" w14:paraId="452322DA" w14:textId="77777777" w:rsidTr="001F6C78">
        <w:trPr>
          <w:trHeight w:val="330"/>
        </w:trPr>
        <w:tc>
          <w:tcPr>
            <w:tcW w:w="3934" w:type="dxa"/>
            <w:shd w:val="clear" w:color="auto" w:fill="auto"/>
            <w:noWrap/>
            <w:hideMark/>
          </w:tcPr>
          <w:p w14:paraId="5D0CF7FF"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5592D8D0" w14:textId="77777777" w:rsidR="00746C94" w:rsidRPr="00591BFC" w:rsidRDefault="00746C94" w:rsidP="00E86771">
            <w:pPr>
              <w:spacing w:line="360" w:lineRule="auto"/>
            </w:pPr>
            <w:r w:rsidRPr="00591BFC">
              <w:t>0.26</w:t>
            </w:r>
          </w:p>
        </w:tc>
        <w:tc>
          <w:tcPr>
            <w:tcW w:w="1320" w:type="dxa"/>
            <w:shd w:val="clear" w:color="auto" w:fill="auto"/>
            <w:noWrap/>
            <w:hideMark/>
          </w:tcPr>
          <w:p w14:paraId="7D9481F8" w14:textId="77777777" w:rsidR="00746C94" w:rsidRPr="00591BFC" w:rsidRDefault="00746C94" w:rsidP="00E86771">
            <w:pPr>
              <w:spacing w:line="360" w:lineRule="auto"/>
            </w:pPr>
            <w:r w:rsidRPr="00591BFC">
              <w:t>-4.51</w:t>
            </w:r>
          </w:p>
        </w:tc>
        <w:tc>
          <w:tcPr>
            <w:tcW w:w="1320" w:type="dxa"/>
            <w:shd w:val="clear" w:color="auto" w:fill="auto"/>
            <w:noWrap/>
            <w:hideMark/>
          </w:tcPr>
          <w:p w14:paraId="454B0233" w14:textId="77777777" w:rsidR="00746C94" w:rsidRPr="00591BFC" w:rsidRDefault="00746C94" w:rsidP="00E86771">
            <w:pPr>
              <w:spacing w:line="360" w:lineRule="auto"/>
            </w:pPr>
            <w:r w:rsidRPr="00591BFC">
              <w:t>5.02</w:t>
            </w:r>
          </w:p>
        </w:tc>
        <w:tc>
          <w:tcPr>
            <w:tcW w:w="1320" w:type="dxa"/>
            <w:shd w:val="clear" w:color="auto" w:fill="auto"/>
            <w:noWrap/>
            <w:hideMark/>
          </w:tcPr>
          <w:p w14:paraId="69A04926" w14:textId="77777777" w:rsidR="00746C94" w:rsidRPr="00591BFC" w:rsidRDefault="00746C94" w:rsidP="00E86771">
            <w:pPr>
              <w:spacing w:line="360" w:lineRule="auto"/>
            </w:pPr>
            <w:r w:rsidRPr="00591BFC">
              <w:t>0.91</w:t>
            </w:r>
          </w:p>
        </w:tc>
      </w:tr>
      <w:tr w:rsidR="00746C94" w:rsidRPr="00591BFC" w14:paraId="60311DE4" w14:textId="77777777" w:rsidTr="001F6C78">
        <w:trPr>
          <w:trHeight w:val="330"/>
        </w:trPr>
        <w:tc>
          <w:tcPr>
            <w:tcW w:w="3934" w:type="dxa"/>
            <w:shd w:val="clear" w:color="auto" w:fill="auto"/>
            <w:noWrap/>
            <w:hideMark/>
          </w:tcPr>
          <w:p w14:paraId="6FFCDC2F"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5297F2DB" w14:textId="77777777" w:rsidR="00746C94" w:rsidRPr="00591BFC" w:rsidRDefault="00746C94" w:rsidP="00E86771">
            <w:pPr>
              <w:spacing w:line="360" w:lineRule="auto"/>
            </w:pPr>
            <w:r w:rsidRPr="00591BFC">
              <w:t>1.39</w:t>
            </w:r>
          </w:p>
        </w:tc>
        <w:tc>
          <w:tcPr>
            <w:tcW w:w="1320" w:type="dxa"/>
            <w:shd w:val="clear" w:color="auto" w:fill="auto"/>
            <w:noWrap/>
            <w:hideMark/>
          </w:tcPr>
          <w:p w14:paraId="2A4C9819" w14:textId="77777777" w:rsidR="00746C94" w:rsidRPr="00591BFC" w:rsidRDefault="00746C94" w:rsidP="00E86771">
            <w:pPr>
              <w:spacing w:line="360" w:lineRule="auto"/>
            </w:pPr>
            <w:r w:rsidRPr="00591BFC">
              <w:t>-7.16</w:t>
            </w:r>
          </w:p>
        </w:tc>
        <w:tc>
          <w:tcPr>
            <w:tcW w:w="1320" w:type="dxa"/>
            <w:shd w:val="clear" w:color="auto" w:fill="auto"/>
            <w:noWrap/>
            <w:hideMark/>
          </w:tcPr>
          <w:p w14:paraId="5773B712" w14:textId="77777777" w:rsidR="00746C94" w:rsidRPr="00591BFC" w:rsidRDefault="00746C94" w:rsidP="00E86771">
            <w:pPr>
              <w:spacing w:line="360" w:lineRule="auto"/>
            </w:pPr>
            <w:r w:rsidRPr="00591BFC">
              <w:t>9.95</w:t>
            </w:r>
          </w:p>
        </w:tc>
        <w:tc>
          <w:tcPr>
            <w:tcW w:w="1320" w:type="dxa"/>
            <w:shd w:val="clear" w:color="auto" w:fill="auto"/>
            <w:noWrap/>
            <w:hideMark/>
          </w:tcPr>
          <w:p w14:paraId="0D430C07" w14:textId="77777777" w:rsidR="00746C94" w:rsidRPr="00591BFC" w:rsidRDefault="00746C94" w:rsidP="00E86771">
            <w:pPr>
              <w:spacing w:line="360" w:lineRule="auto"/>
            </w:pPr>
            <w:r w:rsidRPr="00591BFC">
              <w:t>0.73</w:t>
            </w:r>
          </w:p>
        </w:tc>
      </w:tr>
      <w:tr w:rsidR="00746C94" w:rsidRPr="00591BFC" w14:paraId="07029899" w14:textId="77777777" w:rsidTr="001F6C78">
        <w:trPr>
          <w:trHeight w:val="330"/>
        </w:trPr>
        <w:tc>
          <w:tcPr>
            <w:tcW w:w="3934" w:type="dxa"/>
            <w:shd w:val="clear" w:color="auto" w:fill="auto"/>
            <w:noWrap/>
            <w:hideMark/>
          </w:tcPr>
          <w:p w14:paraId="57549A41"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63AE9510" w14:textId="77777777" w:rsidR="00746C94" w:rsidRPr="00591BFC" w:rsidRDefault="00746C94" w:rsidP="00E86771">
            <w:pPr>
              <w:spacing w:line="360" w:lineRule="auto"/>
            </w:pPr>
            <w:r w:rsidRPr="00591BFC">
              <w:t>-0.78</w:t>
            </w:r>
          </w:p>
        </w:tc>
        <w:tc>
          <w:tcPr>
            <w:tcW w:w="1320" w:type="dxa"/>
            <w:shd w:val="clear" w:color="auto" w:fill="auto"/>
            <w:noWrap/>
            <w:hideMark/>
          </w:tcPr>
          <w:p w14:paraId="3B9984C4" w14:textId="77777777" w:rsidR="00746C94" w:rsidRPr="00591BFC" w:rsidRDefault="00746C94" w:rsidP="00E86771">
            <w:pPr>
              <w:spacing w:line="360" w:lineRule="auto"/>
            </w:pPr>
            <w:r w:rsidRPr="00591BFC">
              <w:t>-5.54</w:t>
            </w:r>
          </w:p>
        </w:tc>
        <w:tc>
          <w:tcPr>
            <w:tcW w:w="1320" w:type="dxa"/>
            <w:shd w:val="clear" w:color="auto" w:fill="auto"/>
            <w:noWrap/>
            <w:hideMark/>
          </w:tcPr>
          <w:p w14:paraId="0B873A02" w14:textId="77777777" w:rsidR="00746C94" w:rsidRPr="00591BFC" w:rsidRDefault="00746C94" w:rsidP="00E86771">
            <w:pPr>
              <w:spacing w:line="360" w:lineRule="auto"/>
            </w:pPr>
            <w:r w:rsidRPr="00591BFC">
              <w:t>4</w:t>
            </w:r>
          </w:p>
        </w:tc>
        <w:tc>
          <w:tcPr>
            <w:tcW w:w="1320" w:type="dxa"/>
            <w:shd w:val="clear" w:color="auto" w:fill="auto"/>
            <w:noWrap/>
            <w:hideMark/>
          </w:tcPr>
          <w:p w14:paraId="5DC91A4B" w14:textId="77777777" w:rsidR="00746C94" w:rsidRPr="00591BFC" w:rsidRDefault="00746C94" w:rsidP="00E86771">
            <w:pPr>
              <w:spacing w:line="360" w:lineRule="auto"/>
            </w:pPr>
            <w:r w:rsidRPr="00591BFC">
              <w:t>0.73</w:t>
            </w:r>
          </w:p>
        </w:tc>
      </w:tr>
      <w:tr w:rsidR="00746C94" w:rsidRPr="00591BFC" w14:paraId="16610C84" w14:textId="77777777" w:rsidTr="001F6C78">
        <w:trPr>
          <w:trHeight w:val="315"/>
        </w:trPr>
        <w:tc>
          <w:tcPr>
            <w:tcW w:w="9214" w:type="dxa"/>
            <w:gridSpan w:val="5"/>
            <w:shd w:val="clear" w:color="auto" w:fill="auto"/>
            <w:noWrap/>
            <w:hideMark/>
          </w:tcPr>
          <w:p w14:paraId="09A4E7E6" w14:textId="77777777" w:rsidR="00746C94" w:rsidRPr="00591BFC" w:rsidRDefault="00746C94" w:rsidP="00E86771">
            <w:pPr>
              <w:spacing w:line="360" w:lineRule="auto"/>
              <w:rPr>
                <w:b/>
                <w:bCs/>
              </w:rPr>
            </w:pPr>
            <w:r w:rsidRPr="00591BFC">
              <w:rPr>
                <w:b/>
                <w:bCs/>
              </w:rPr>
              <w:lastRenderedPageBreak/>
              <w:t>FEMALES</w:t>
            </w:r>
          </w:p>
        </w:tc>
      </w:tr>
      <w:tr w:rsidR="00746C94" w:rsidRPr="00591BFC" w14:paraId="785C390A" w14:textId="77777777" w:rsidTr="001F6C78">
        <w:trPr>
          <w:trHeight w:val="315"/>
        </w:trPr>
        <w:tc>
          <w:tcPr>
            <w:tcW w:w="9214" w:type="dxa"/>
            <w:gridSpan w:val="5"/>
            <w:shd w:val="clear" w:color="auto" w:fill="auto"/>
            <w:hideMark/>
          </w:tcPr>
          <w:p w14:paraId="2429F301" w14:textId="77777777" w:rsidR="00746C94" w:rsidRPr="00591BFC" w:rsidRDefault="00746C94" w:rsidP="00E86771">
            <w:pPr>
              <w:spacing w:line="360" w:lineRule="auto"/>
              <w:rPr>
                <w:u w:val="single"/>
              </w:rPr>
            </w:pPr>
            <w:r w:rsidRPr="00591BFC">
              <w:rPr>
                <w:u w:val="single"/>
              </w:rPr>
              <w:t>any incident anti-OP medication use (1 year)*</w:t>
            </w:r>
          </w:p>
        </w:tc>
      </w:tr>
      <w:tr w:rsidR="00746C94" w:rsidRPr="00591BFC" w14:paraId="7D061671" w14:textId="77777777" w:rsidTr="001F6C78">
        <w:trPr>
          <w:trHeight w:val="330"/>
        </w:trPr>
        <w:tc>
          <w:tcPr>
            <w:tcW w:w="3934" w:type="dxa"/>
            <w:shd w:val="clear" w:color="auto" w:fill="auto"/>
            <w:noWrap/>
            <w:hideMark/>
          </w:tcPr>
          <w:p w14:paraId="05052002"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30A9AB71" w14:textId="77777777" w:rsidR="00746C94" w:rsidRPr="00591BFC" w:rsidRDefault="00746C94" w:rsidP="00E86771">
            <w:pPr>
              <w:spacing w:line="360" w:lineRule="auto"/>
            </w:pPr>
            <w:r w:rsidRPr="00591BFC">
              <w:t>3.14</w:t>
            </w:r>
          </w:p>
        </w:tc>
        <w:tc>
          <w:tcPr>
            <w:tcW w:w="1320" w:type="dxa"/>
            <w:shd w:val="clear" w:color="auto" w:fill="auto"/>
            <w:noWrap/>
            <w:hideMark/>
          </w:tcPr>
          <w:p w14:paraId="7822E929" w14:textId="77777777" w:rsidR="00746C94" w:rsidRPr="00591BFC" w:rsidRDefault="00746C94" w:rsidP="00E86771">
            <w:pPr>
              <w:spacing w:line="360" w:lineRule="auto"/>
            </w:pPr>
            <w:r w:rsidRPr="00591BFC">
              <w:t>-0.2</w:t>
            </w:r>
          </w:p>
        </w:tc>
        <w:tc>
          <w:tcPr>
            <w:tcW w:w="1320" w:type="dxa"/>
            <w:shd w:val="clear" w:color="auto" w:fill="auto"/>
            <w:noWrap/>
            <w:hideMark/>
          </w:tcPr>
          <w:p w14:paraId="6E57C54D" w14:textId="77777777" w:rsidR="00746C94" w:rsidRPr="00591BFC" w:rsidRDefault="00746C94" w:rsidP="00E86771">
            <w:pPr>
              <w:spacing w:line="360" w:lineRule="auto"/>
            </w:pPr>
            <w:r w:rsidRPr="00591BFC">
              <w:t>6.49</w:t>
            </w:r>
          </w:p>
        </w:tc>
        <w:tc>
          <w:tcPr>
            <w:tcW w:w="1320" w:type="dxa"/>
            <w:shd w:val="clear" w:color="auto" w:fill="auto"/>
            <w:noWrap/>
            <w:hideMark/>
          </w:tcPr>
          <w:p w14:paraId="3838FB1B" w14:textId="77777777" w:rsidR="00746C94" w:rsidRPr="00591BFC" w:rsidRDefault="00746C94" w:rsidP="00E86771">
            <w:pPr>
              <w:spacing w:line="360" w:lineRule="auto"/>
            </w:pPr>
            <w:r w:rsidRPr="00591BFC">
              <w:t>0.064</w:t>
            </w:r>
          </w:p>
        </w:tc>
      </w:tr>
      <w:tr w:rsidR="00746C94" w:rsidRPr="00591BFC" w14:paraId="5D3658FE" w14:textId="77777777" w:rsidTr="001F6C78">
        <w:trPr>
          <w:trHeight w:val="330"/>
        </w:trPr>
        <w:tc>
          <w:tcPr>
            <w:tcW w:w="3934" w:type="dxa"/>
            <w:shd w:val="clear" w:color="auto" w:fill="auto"/>
            <w:noWrap/>
            <w:hideMark/>
          </w:tcPr>
          <w:p w14:paraId="6D97F2DF"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794D3EBB" w14:textId="77777777" w:rsidR="00746C94" w:rsidRPr="00591BFC" w:rsidRDefault="00746C94" w:rsidP="00E86771">
            <w:pPr>
              <w:spacing w:line="360" w:lineRule="auto"/>
            </w:pPr>
            <w:r w:rsidRPr="00591BFC">
              <w:t>1.23</w:t>
            </w:r>
          </w:p>
        </w:tc>
        <w:tc>
          <w:tcPr>
            <w:tcW w:w="1320" w:type="dxa"/>
            <w:shd w:val="clear" w:color="auto" w:fill="auto"/>
            <w:noWrap/>
            <w:hideMark/>
          </w:tcPr>
          <w:p w14:paraId="236C9787" w14:textId="77777777" w:rsidR="00746C94" w:rsidRPr="00591BFC" w:rsidRDefault="00746C94" w:rsidP="00E86771">
            <w:pPr>
              <w:spacing w:line="360" w:lineRule="auto"/>
            </w:pPr>
            <w:r w:rsidRPr="00591BFC">
              <w:t>0.73</w:t>
            </w:r>
          </w:p>
        </w:tc>
        <w:tc>
          <w:tcPr>
            <w:tcW w:w="1320" w:type="dxa"/>
            <w:shd w:val="clear" w:color="auto" w:fill="auto"/>
            <w:noWrap/>
            <w:hideMark/>
          </w:tcPr>
          <w:p w14:paraId="17FDD8CF" w14:textId="77777777" w:rsidR="00746C94" w:rsidRPr="00591BFC" w:rsidRDefault="00746C94" w:rsidP="00E86771">
            <w:pPr>
              <w:spacing w:line="360" w:lineRule="auto"/>
            </w:pPr>
            <w:r w:rsidRPr="00591BFC">
              <w:t>1.72</w:t>
            </w:r>
          </w:p>
        </w:tc>
        <w:tc>
          <w:tcPr>
            <w:tcW w:w="1320" w:type="dxa"/>
            <w:shd w:val="clear" w:color="auto" w:fill="auto"/>
            <w:noWrap/>
            <w:hideMark/>
          </w:tcPr>
          <w:p w14:paraId="00732A9C" w14:textId="77777777" w:rsidR="00746C94" w:rsidRPr="00591BFC" w:rsidRDefault="00746C94" w:rsidP="00E86771">
            <w:pPr>
              <w:spacing w:line="360" w:lineRule="auto"/>
            </w:pPr>
            <w:r w:rsidRPr="00591BFC">
              <w:t>&lt;0.001</w:t>
            </w:r>
          </w:p>
        </w:tc>
      </w:tr>
      <w:tr w:rsidR="00746C94" w:rsidRPr="00591BFC" w14:paraId="31138F49" w14:textId="77777777" w:rsidTr="001F6C78">
        <w:trPr>
          <w:trHeight w:val="330"/>
        </w:trPr>
        <w:tc>
          <w:tcPr>
            <w:tcW w:w="3934" w:type="dxa"/>
            <w:shd w:val="clear" w:color="auto" w:fill="auto"/>
            <w:noWrap/>
            <w:hideMark/>
          </w:tcPr>
          <w:p w14:paraId="0900FC91"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05E60206" w14:textId="77777777" w:rsidR="00746C94" w:rsidRPr="00591BFC" w:rsidRDefault="00746C94" w:rsidP="00E86771">
            <w:pPr>
              <w:spacing w:line="360" w:lineRule="auto"/>
            </w:pPr>
            <w:r w:rsidRPr="00591BFC">
              <w:t>13.3</w:t>
            </w:r>
          </w:p>
        </w:tc>
        <w:tc>
          <w:tcPr>
            <w:tcW w:w="1320" w:type="dxa"/>
            <w:shd w:val="clear" w:color="auto" w:fill="auto"/>
            <w:noWrap/>
            <w:hideMark/>
          </w:tcPr>
          <w:p w14:paraId="63E84E42" w14:textId="77777777" w:rsidR="00746C94" w:rsidRPr="00591BFC" w:rsidRDefault="00746C94" w:rsidP="00E86771">
            <w:pPr>
              <w:spacing w:line="360" w:lineRule="auto"/>
            </w:pPr>
            <w:r w:rsidRPr="00591BFC">
              <w:t>6.94</w:t>
            </w:r>
          </w:p>
        </w:tc>
        <w:tc>
          <w:tcPr>
            <w:tcW w:w="1320" w:type="dxa"/>
            <w:shd w:val="clear" w:color="auto" w:fill="auto"/>
            <w:noWrap/>
            <w:hideMark/>
          </w:tcPr>
          <w:p w14:paraId="620F2F03" w14:textId="77777777" w:rsidR="00746C94" w:rsidRPr="00591BFC" w:rsidRDefault="00746C94" w:rsidP="00E86771">
            <w:pPr>
              <w:spacing w:line="360" w:lineRule="auto"/>
            </w:pPr>
            <w:r w:rsidRPr="00591BFC">
              <w:t>19.7</w:t>
            </w:r>
          </w:p>
        </w:tc>
        <w:tc>
          <w:tcPr>
            <w:tcW w:w="1320" w:type="dxa"/>
            <w:shd w:val="clear" w:color="auto" w:fill="auto"/>
            <w:noWrap/>
            <w:hideMark/>
          </w:tcPr>
          <w:p w14:paraId="7B8B7BA6" w14:textId="77777777" w:rsidR="00746C94" w:rsidRPr="00591BFC" w:rsidRDefault="00746C94" w:rsidP="00E86771">
            <w:pPr>
              <w:spacing w:line="360" w:lineRule="auto"/>
            </w:pPr>
            <w:r w:rsidRPr="00591BFC">
              <w:t>&lt;0.001</w:t>
            </w:r>
          </w:p>
        </w:tc>
      </w:tr>
      <w:tr w:rsidR="00746C94" w:rsidRPr="00591BFC" w14:paraId="10A16B7B" w14:textId="77777777" w:rsidTr="001F6C78">
        <w:trPr>
          <w:trHeight w:val="330"/>
        </w:trPr>
        <w:tc>
          <w:tcPr>
            <w:tcW w:w="3934" w:type="dxa"/>
            <w:shd w:val="clear" w:color="auto" w:fill="auto"/>
            <w:noWrap/>
            <w:hideMark/>
          </w:tcPr>
          <w:p w14:paraId="566CA049"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204DF646" w14:textId="77777777" w:rsidR="00746C94" w:rsidRPr="00591BFC" w:rsidRDefault="00746C94" w:rsidP="00E86771">
            <w:pPr>
              <w:spacing w:line="360" w:lineRule="auto"/>
            </w:pPr>
            <w:r w:rsidRPr="00591BFC">
              <w:t>1.14</w:t>
            </w:r>
          </w:p>
        </w:tc>
        <w:tc>
          <w:tcPr>
            <w:tcW w:w="1320" w:type="dxa"/>
            <w:shd w:val="clear" w:color="auto" w:fill="auto"/>
            <w:noWrap/>
            <w:hideMark/>
          </w:tcPr>
          <w:p w14:paraId="69EDA887" w14:textId="77777777" w:rsidR="00746C94" w:rsidRPr="00591BFC" w:rsidRDefault="00746C94" w:rsidP="00E86771">
            <w:pPr>
              <w:spacing w:line="360" w:lineRule="auto"/>
            </w:pPr>
            <w:r w:rsidRPr="00591BFC">
              <w:t>-0.57</w:t>
            </w:r>
          </w:p>
        </w:tc>
        <w:tc>
          <w:tcPr>
            <w:tcW w:w="1320" w:type="dxa"/>
            <w:shd w:val="clear" w:color="auto" w:fill="auto"/>
            <w:noWrap/>
            <w:hideMark/>
          </w:tcPr>
          <w:p w14:paraId="5D673FB9" w14:textId="77777777" w:rsidR="00746C94" w:rsidRPr="00591BFC" w:rsidRDefault="00746C94" w:rsidP="00E86771">
            <w:pPr>
              <w:spacing w:line="360" w:lineRule="auto"/>
            </w:pPr>
            <w:r w:rsidRPr="00591BFC">
              <w:t>2.85</w:t>
            </w:r>
          </w:p>
        </w:tc>
        <w:tc>
          <w:tcPr>
            <w:tcW w:w="1320" w:type="dxa"/>
            <w:shd w:val="clear" w:color="auto" w:fill="auto"/>
            <w:noWrap/>
            <w:hideMark/>
          </w:tcPr>
          <w:p w14:paraId="5D047FA3" w14:textId="77777777" w:rsidR="00746C94" w:rsidRPr="00591BFC" w:rsidRDefault="00746C94" w:rsidP="00E86771">
            <w:pPr>
              <w:spacing w:line="360" w:lineRule="auto"/>
            </w:pPr>
            <w:r w:rsidRPr="00591BFC">
              <w:t>0.18</w:t>
            </w:r>
          </w:p>
        </w:tc>
      </w:tr>
      <w:tr w:rsidR="00746C94" w:rsidRPr="00591BFC" w14:paraId="5592068C" w14:textId="77777777" w:rsidTr="001F6C78">
        <w:trPr>
          <w:trHeight w:val="330"/>
        </w:trPr>
        <w:tc>
          <w:tcPr>
            <w:tcW w:w="3934" w:type="dxa"/>
            <w:shd w:val="clear" w:color="auto" w:fill="auto"/>
            <w:noWrap/>
            <w:hideMark/>
          </w:tcPr>
          <w:p w14:paraId="1BA50A4E"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258903CA" w14:textId="77777777" w:rsidR="00746C94" w:rsidRPr="00591BFC" w:rsidRDefault="00746C94" w:rsidP="00E86771">
            <w:pPr>
              <w:spacing w:line="360" w:lineRule="auto"/>
            </w:pPr>
            <w:r w:rsidRPr="00591BFC">
              <w:t>0.83</w:t>
            </w:r>
          </w:p>
        </w:tc>
        <w:tc>
          <w:tcPr>
            <w:tcW w:w="1320" w:type="dxa"/>
            <w:shd w:val="clear" w:color="auto" w:fill="auto"/>
            <w:noWrap/>
            <w:hideMark/>
          </w:tcPr>
          <w:p w14:paraId="146331BB" w14:textId="77777777" w:rsidR="00746C94" w:rsidRPr="00591BFC" w:rsidRDefault="00746C94" w:rsidP="00E86771">
            <w:pPr>
              <w:spacing w:line="360" w:lineRule="auto"/>
            </w:pPr>
            <w:r w:rsidRPr="00591BFC">
              <w:t>-8.07</w:t>
            </w:r>
          </w:p>
        </w:tc>
        <w:tc>
          <w:tcPr>
            <w:tcW w:w="1320" w:type="dxa"/>
            <w:shd w:val="clear" w:color="auto" w:fill="auto"/>
            <w:noWrap/>
            <w:hideMark/>
          </w:tcPr>
          <w:p w14:paraId="3C778224" w14:textId="77777777" w:rsidR="00746C94" w:rsidRPr="00591BFC" w:rsidRDefault="00746C94" w:rsidP="00E86771">
            <w:pPr>
              <w:spacing w:line="360" w:lineRule="auto"/>
            </w:pPr>
            <w:r w:rsidRPr="00591BFC">
              <w:t>9.74</w:t>
            </w:r>
          </w:p>
        </w:tc>
        <w:tc>
          <w:tcPr>
            <w:tcW w:w="1320" w:type="dxa"/>
            <w:shd w:val="clear" w:color="auto" w:fill="auto"/>
            <w:noWrap/>
            <w:hideMark/>
          </w:tcPr>
          <w:p w14:paraId="4FC86330" w14:textId="77777777" w:rsidR="00746C94" w:rsidRPr="00591BFC" w:rsidRDefault="00746C94" w:rsidP="00E86771">
            <w:pPr>
              <w:spacing w:line="360" w:lineRule="auto"/>
            </w:pPr>
            <w:r w:rsidRPr="00591BFC">
              <w:t>0.85</w:t>
            </w:r>
          </w:p>
        </w:tc>
      </w:tr>
      <w:tr w:rsidR="00746C94" w:rsidRPr="00591BFC" w14:paraId="41B723E0" w14:textId="77777777" w:rsidTr="001F6C78">
        <w:trPr>
          <w:trHeight w:val="330"/>
        </w:trPr>
        <w:tc>
          <w:tcPr>
            <w:tcW w:w="3934" w:type="dxa"/>
            <w:shd w:val="clear" w:color="auto" w:fill="auto"/>
            <w:noWrap/>
            <w:hideMark/>
          </w:tcPr>
          <w:p w14:paraId="5E120817"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74CD5563" w14:textId="77777777" w:rsidR="00746C94" w:rsidRPr="00591BFC" w:rsidRDefault="00746C94" w:rsidP="00E86771">
            <w:pPr>
              <w:spacing w:line="360" w:lineRule="auto"/>
            </w:pPr>
            <w:r w:rsidRPr="00591BFC">
              <w:t>-0.99</w:t>
            </w:r>
          </w:p>
        </w:tc>
        <w:tc>
          <w:tcPr>
            <w:tcW w:w="1320" w:type="dxa"/>
            <w:shd w:val="clear" w:color="auto" w:fill="auto"/>
            <w:noWrap/>
            <w:hideMark/>
          </w:tcPr>
          <w:p w14:paraId="04519A8C" w14:textId="77777777" w:rsidR="00746C94" w:rsidRPr="00591BFC" w:rsidRDefault="00746C94" w:rsidP="00E86771">
            <w:pPr>
              <w:spacing w:line="360" w:lineRule="auto"/>
            </w:pPr>
            <w:r w:rsidRPr="00591BFC">
              <w:t>-5</w:t>
            </w:r>
          </w:p>
        </w:tc>
        <w:tc>
          <w:tcPr>
            <w:tcW w:w="1320" w:type="dxa"/>
            <w:shd w:val="clear" w:color="auto" w:fill="auto"/>
            <w:noWrap/>
            <w:hideMark/>
          </w:tcPr>
          <w:p w14:paraId="49A2AFC5" w14:textId="77777777" w:rsidR="00746C94" w:rsidRPr="00591BFC" w:rsidRDefault="00746C94" w:rsidP="00E86771">
            <w:pPr>
              <w:spacing w:line="360" w:lineRule="auto"/>
            </w:pPr>
            <w:r w:rsidRPr="00591BFC">
              <w:t>3.01</w:t>
            </w:r>
          </w:p>
        </w:tc>
        <w:tc>
          <w:tcPr>
            <w:tcW w:w="1320" w:type="dxa"/>
            <w:shd w:val="clear" w:color="auto" w:fill="auto"/>
            <w:noWrap/>
            <w:hideMark/>
          </w:tcPr>
          <w:p w14:paraId="013DFA47" w14:textId="77777777" w:rsidR="00746C94" w:rsidRPr="00591BFC" w:rsidRDefault="00746C94" w:rsidP="00E86771">
            <w:pPr>
              <w:spacing w:line="360" w:lineRule="auto"/>
            </w:pPr>
            <w:r w:rsidRPr="00591BFC">
              <w:t>0.61</w:t>
            </w:r>
          </w:p>
        </w:tc>
      </w:tr>
      <w:tr w:rsidR="00746C94" w:rsidRPr="00591BFC" w14:paraId="2D61CC52" w14:textId="77777777" w:rsidTr="001F6C78">
        <w:trPr>
          <w:trHeight w:val="330"/>
        </w:trPr>
        <w:tc>
          <w:tcPr>
            <w:tcW w:w="3934" w:type="dxa"/>
            <w:shd w:val="clear" w:color="auto" w:fill="auto"/>
            <w:noWrap/>
            <w:hideMark/>
          </w:tcPr>
          <w:p w14:paraId="29E8170D"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47C92863" w14:textId="77777777" w:rsidR="00746C94" w:rsidRPr="00591BFC" w:rsidRDefault="00746C94" w:rsidP="00E86771">
            <w:pPr>
              <w:spacing w:line="360" w:lineRule="auto"/>
            </w:pPr>
            <w:r w:rsidRPr="00591BFC">
              <w:t>0.27</w:t>
            </w:r>
          </w:p>
        </w:tc>
        <w:tc>
          <w:tcPr>
            <w:tcW w:w="1320" w:type="dxa"/>
            <w:shd w:val="clear" w:color="auto" w:fill="auto"/>
            <w:noWrap/>
            <w:hideMark/>
          </w:tcPr>
          <w:p w14:paraId="0B1F2F91" w14:textId="77777777" w:rsidR="00746C94" w:rsidRPr="00591BFC" w:rsidRDefault="00746C94" w:rsidP="00E86771">
            <w:pPr>
              <w:spacing w:line="360" w:lineRule="auto"/>
            </w:pPr>
            <w:r w:rsidRPr="00591BFC">
              <w:t>-6.92</w:t>
            </w:r>
          </w:p>
        </w:tc>
        <w:tc>
          <w:tcPr>
            <w:tcW w:w="1320" w:type="dxa"/>
            <w:shd w:val="clear" w:color="auto" w:fill="auto"/>
            <w:noWrap/>
            <w:hideMark/>
          </w:tcPr>
          <w:p w14:paraId="467079BC" w14:textId="77777777" w:rsidR="00746C94" w:rsidRPr="00591BFC" w:rsidRDefault="00746C94" w:rsidP="00E86771">
            <w:pPr>
              <w:spacing w:line="360" w:lineRule="auto"/>
            </w:pPr>
            <w:r w:rsidRPr="00591BFC">
              <w:t>7.45</w:t>
            </w:r>
          </w:p>
        </w:tc>
        <w:tc>
          <w:tcPr>
            <w:tcW w:w="1320" w:type="dxa"/>
            <w:shd w:val="clear" w:color="auto" w:fill="auto"/>
            <w:noWrap/>
            <w:hideMark/>
          </w:tcPr>
          <w:p w14:paraId="63FAF3A4" w14:textId="77777777" w:rsidR="00746C94" w:rsidRPr="00591BFC" w:rsidRDefault="00746C94" w:rsidP="00E86771">
            <w:pPr>
              <w:spacing w:line="360" w:lineRule="auto"/>
            </w:pPr>
            <w:r w:rsidRPr="00591BFC">
              <w:t>0.94</w:t>
            </w:r>
          </w:p>
        </w:tc>
      </w:tr>
      <w:tr w:rsidR="00746C94" w:rsidRPr="00591BFC" w14:paraId="5B6707F7" w14:textId="77777777" w:rsidTr="001F6C78">
        <w:trPr>
          <w:trHeight w:val="330"/>
        </w:trPr>
        <w:tc>
          <w:tcPr>
            <w:tcW w:w="3934" w:type="dxa"/>
            <w:shd w:val="clear" w:color="auto" w:fill="auto"/>
            <w:noWrap/>
            <w:hideMark/>
          </w:tcPr>
          <w:p w14:paraId="1BE8354A"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36512702" w14:textId="77777777" w:rsidR="00746C94" w:rsidRPr="00591BFC" w:rsidRDefault="00746C94" w:rsidP="00E86771">
            <w:pPr>
              <w:spacing w:line="360" w:lineRule="auto"/>
            </w:pPr>
            <w:r w:rsidRPr="00591BFC">
              <w:t>-0.31</w:t>
            </w:r>
          </w:p>
        </w:tc>
        <w:tc>
          <w:tcPr>
            <w:tcW w:w="1320" w:type="dxa"/>
            <w:shd w:val="clear" w:color="auto" w:fill="auto"/>
            <w:noWrap/>
            <w:hideMark/>
          </w:tcPr>
          <w:p w14:paraId="62524A5F" w14:textId="77777777" w:rsidR="00746C94" w:rsidRPr="00591BFC" w:rsidRDefault="00746C94" w:rsidP="00E86771">
            <w:pPr>
              <w:spacing w:line="360" w:lineRule="auto"/>
            </w:pPr>
            <w:r w:rsidRPr="00591BFC">
              <w:t>-4.32</w:t>
            </w:r>
          </w:p>
        </w:tc>
        <w:tc>
          <w:tcPr>
            <w:tcW w:w="1320" w:type="dxa"/>
            <w:shd w:val="clear" w:color="auto" w:fill="auto"/>
            <w:noWrap/>
            <w:hideMark/>
          </w:tcPr>
          <w:p w14:paraId="09FC05C4" w14:textId="77777777" w:rsidR="00746C94" w:rsidRPr="00591BFC" w:rsidRDefault="00746C94" w:rsidP="00E86771">
            <w:pPr>
              <w:spacing w:line="360" w:lineRule="auto"/>
            </w:pPr>
            <w:r w:rsidRPr="00591BFC">
              <w:t>3.69</w:t>
            </w:r>
          </w:p>
        </w:tc>
        <w:tc>
          <w:tcPr>
            <w:tcW w:w="1320" w:type="dxa"/>
            <w:shd w:val="clear" w:color="auto" w:fill="auto"/>
            <w:noWrap/>
            <w:hideMark/>
          </w:tcPr>
          <w:p w14:paraId="2475EF38" w14:textId="77777777" w:rsidR="00746C94" w:rsidRPr="00591BFC" w:rsidRDefault="00746C94" w:rsidP="00E86771">
            <w:pPr>
              <w:spacing w:line="360" w:lineRule="auto"/>
            </w:pPr>
            <w:r w:rsidRPr="00591BFC">
              <w:t>0.87</w:t>
            </w:r>
          </w:p>
        </w:tc>
      </w:tr>
      <w:tr w:rsidR="00746C94" w:rsidRPr="00591BFC" w14:paraId="72ACDD39" w14:textId="77777777" w:rsidTr="001F6C78">
        <w:trPr>
          <w:trHeight w:val="315"/>
        </w:trPr>
        <w:tc>
          <w:tcPr>
            <w:tcW w:w="9214" w:type="dxa"/>
            <w:gridSpan w:val="5"/>
            <w:shd w:val="clear" w:color="auto" w:fill="auto"/>
            <w:hideMark/>
          </w:tcPr>
          <w:p w14:paraId="1AA979A8" w14:textId="77777777" w:rsidR="00746C94" w:rsidRPr="00591BFC" w:rsidRDefault="00746C94" w:rsidP="00E86771">
            <w:pPr>
              <w:spacing w:line="360" w:lineRule="auto"/>
              <w:rPr>
                <w:u w:val="single"/>
              </w:rPr>
            </w:pPr>
            <w:r w:rsidRPr="00591BFC">
              <w:rPr>
                <w:u w:val="single"/>
              </w:rPr>
              <w:t>bisphosphonate prevalence (10-14 months)*</w:t>
            </w:r>
          </w:p>
        </w:tc>
      </w:tr>
      <w:tr w:rsidR="00746C94" w:rsidRPr="00591BFC" w14:paraId="5FFE07CB" w14:textId="77777777" w:rsidTr="001F6C78">
        <w:trPr>
          <w:trHeight w:val="330"/>
        </w:trPr>
        <w:tc>
          <w:tcPr>
            <w:tcW w:w="3934" w:type="dxa"/>
            <w:shd w:val="clear" w:color="auto" w:fill="auto"/>
            <w:noWrap/>
            <w:hideMark/>
          </w:tcPr>
          <w:p w14:paraId="6CAFC093" w14:textId="77777777" w:rsidR="00746C94" w:rsidRPr="00591BFC" w:rsidRDefault="00746C94" w:rsidP="00E86771">
            <w:pPr>
              <w:spacing w:line="360" w:lineRule="auto"/>
            </w:pPr>
            <w:r w:rsidRPr="00591BFC">
              <w:t>Intercept (β</w:t>
            </w:r>
            <w:r w:rsidRPr="00591BFC">
              <w:rPr>
                <w:vertAlign w:val="subscript"/>
              </w:rPr>
              <w:t>0</w:t>
            </w:r>
            <w:r w:rsidRPr="00591BFC">
              <w:t>)</w:t>
            </w:r>
          </w:p>
        </w:tc>
        <w:tc>
          <w:tcPr>
            <w:tcW w:w="1320" w:type="dxa"/>
            <w:shd w:val="clear" w:color="auto" w:fill="auto"/>
            <w:noWrap/>
            <w:hideMark/>
          </w:tcPr>
          <w:p w14:paraId="2D7BC4C2" w14:textId="77777777" w:rsidR="00746C94" w:rsidRPr="00591BFC" w:rsidRDefault="00746C94" w:rsidP="00E86771">
            <w:pPr>
              <w:spacing w:line="360" w:lineRule="auto"/>
            </w:pPr>
            <w:r w:rsidRPr="00591BFC">
              <w:t>1.77</w:t>
            </w:r>
          </w:p>
        </w:tc>
        <w:tc>
          <w:tcPr>
            <w:tcW w:w="1320" w:type="dxa"/>
            <w:shd w:val="clear" w:color="auto" w:fill="auto"/>
            <w:noWrap/>
            <w:hideMark/>
          </w:tcPr>
          <w:p w14:paraId="00381BF9" w14:textId="77777777" w:rsidR="00746C94" w:rsidRPr="00591BFC" w:rsidRDefault="00746C94" w:rsidP="00E86771">
            <w:pPr>
              <w:spacing w:line="360" w:lineRule="auto"/>
            </w:pPr>
            <w:r w:rsidRPr="00591BFC">
              <w:t>-1.59</w:t>
            </w:r>
          </w:p>
        </w:tc>
        <w:tc>
          <w:tcPr>
            <w:tcW w:w="1320" w:type="dxa"/>
            <w:shd w:val="clear" w:color="auto" w:fill="auto"/>
            <w:noWrap/>
            <w:hideMark/>
          </w:tcPr>
          <w:p w14:paraId="0395DC9A" w14:textId="77777777" w:rsidR="00746C94" w:rsidRPr="00591BFC" w:rsidRDefault="00746C94" w:rsidP="00E86771">
            <w:pPr>
              <w:spacing w:line="360" w:lineRule="auto"/>
            </w:pPr>
            <w:r w:rsidRPr="00591BFC">
              <w:t>5.14</w:t>
            </w:r>
          </w:p>
        </w:tc>
        <w:tc>
          <w:tcPr>
            <w:tcW w:w="1320" w:type="dxa"/>
            <w:shd w:val="clear" w:color="auto" w:fill="auto"/>
            <w:noWrap/>
            <w:hideMark/>
          </w:tcPr>
          <w:p w14:paraId="273CBBD1" w14:textId="77777777" w:rsidR="00746C94" w:rsidRPr="00591BFC" w:rsidRDefault="00746C94" w:rsidP="00E86771">
            <w:pPr>
              <w:spacing w:line="360" w:lineRule="auto"/>
            </w:pPr>
            <w:r w:rsidRPr="00591BFC">
              <w:t>0.28</w:t>
            </w:r>
          </w:p>
        </w:tc>
      </w:tr>
      <w:tr w:rsidR="00746C94" w:rsidRPr="00591BFC" w14:paraId="26D00A28" w14:textId="77777777" w:rsidTr="001F6C78">
        <w:trPr>
          <w:trHeight w:val="330"/>
        </w:trPr>
        <w:tc>
          <w:tcPr>
            <w:tcW w:w="3934" w:type="dxa"/>
            <w:shd w:val="clear" w:color="auto" w:fill="auto"/>
            <w:noWrap/>
            <w:hideMark/>
          </w:tcPr>
          <w:p w14:paraId="2F7DD99E" w14:textId="77777777" w:rsidR="00746C94" w:rsidRPr="00591BFC" w:rsidRDefault="00746C94" w:rsidP="00E86771">
            <w:pPr>
              <w:spacing w:line="360" w:lineRule="auto"/>
            </w:pPr>
            <w:r w:rsidRPr="00591BFC">
              <w:t>Baseline trend (β</w:t>
            </w:r>
            <w:r w:rsidRPr="00591BFC">
              <w:rPr>
                <w:vertAlign w:val="subscript"/>
              </w:rPr>
              <w:t>1</w:t>
            </w:r>
            <w:r w:rsidRPr="00591BFC">
              <w:t>)</w:t>
            </w:r>
          </w:p>
        </w:tc>
        <w:tc>
          <w:tcPr>
            <w:tcW w:w="1320" w:type="dxa"/>
            <w:shd w:val="clear" w:color="auto" w:fill="auto"/>
            <w:noWrap/>
            <w:hideMark/>
          </w:tcPr>
          <w:p w14:paraId="0A123C8C" w14:textId="77777777" w:rsidR="00746C94" w:rsidRPr="00591BFC" w:rsidRDefault="00746C94" w:rsidP="00E86771">
            <w:pPr>
              <w:spacing w:line="360" w:lineRule="auto"/>
            </w:pPr>
            <w:r w:rsidRPr="00591BFC">
              <w:t>1.09</w:t>
            </w:r>
          </w:p>
        </w:tc>
        <w:tc>
          <w:tcPr>
            <w:tcW w:w="1320" w:type="dxa"/>
            <w:shd w:val="clear" w:color="auto" w:fill="auto"/>
            <w:noWrap/>
            <w:hideMark/>
          </w:tcPr>
          <w:p w14:paraId="78A97889" w14:textId="77777777" w:rsidR="00746C94" w:rsidRPr="00591BFC" w:rsidRDefault="00746C94" w:rsidP="00E86771">
            <w:pPr>
              <w:spacing w:line="360" w:lineRule="auto"/>
            </w:pPr>
            <w:r w:rsidRPr="00591BFC">
              <w:t>0.6</w:t>
            </w:r>
          </w:p>
        </w:tc>
        <w:tc>
          <w:tcPr>
            <w:tcW w:w="1320" w:type="dxa"/>
            <w:shd w:val="clear" w:color="auto" w:fill="auto"/>
            <w:noWrap/>
            <w:hideMark/>
          </w:tcPr>
          <w:p w14:paraId="18820A05" w14:textId="77777777" w:rsidR="00746C94" w:rsidRPr="00591BFC" w:rsidRDefault="00746C94" w:rsidP="00E86771">
            <w:pPr>
              <w:spacing w:line="360" w:lineRule="auto"/>
            </w:pPr>
            <w:r w:rsidRPr="00591BFC">
              <w:t>1.59</w:t>
            </w:r>
          </w:p>
        </w:tc>
        <w:tc>
          <w:tcPr>
            <w:tcW w:w="1320" w:type="dxa"/>
            <w:shd w:val="clear" w:color="auto" w:fill="auto"/>
            <w:noWrap/>
            <w:hideMark/>
          </w:tcPr>
          <w:p w14:paraId="4FC72B2C" w14:textId="77777777" w:rsidR="00746C94" w:rsidRPr="00591BFC" w:rsidRDefault="00746C94" w:rsidP="00E86771">
            <w:pPr>
              <w:spacing w:line="360" w:lineRule="auto"/>
            </w:pPr>
            <w:r w:rsidRPr="00591BFC">
              <w:t>&lt;0.001</w:t>
            </w:r>
          </w:p>
        </w:tc>
      </w:tr>
      <w:tr w:rsidR="00746C94" w:rsidRPr="00591BFC" w14:paraId="1B384F1B" w14:textId="77777777" w:rsidTr="001F6C78">
        <w:trPr>
          <w:trHeight w:val="330"/>
        </w:trPr>
        <w:tc>
          <w:tcPr>
            <w:tcW w:w="3934" w:type="dxa"/>
            <w:shd w:val="clear" w:color="auto" w:fill="auto"/>
            <w:noWrap/>
            <w:hideMark/>
          </w:tcPr>
          <w:p w14:paraId="16226BD6" w14:textId="77777777" w:rsidR="00746C94" w:rsidRPr="00591BFC" w:rsidRDefault="00746C94" w:rsidP="00E86771">
            <w:pPr>
              <w:spacing w:line="360" w:lineRule="auto"/>
            </w:pPr>
            <w:r w:rsidRPr="00591BFC">
              <w:t>Level change after intervention 1+2 (β</w:t>
            </w:r>
            <w:r w:rsidRPr="00591BFC">
              <w:rPr>
                <w:vertAlign w:val="subscript"/>
              </w:rPr>
              <w:t>2</w:t>
            </w:r>
            <w:r w:rsidRPr="00591BFC">
              <w:t>)</w:t>
            </w:r>
          </w:p>
        </w:tc>
        <w:tc>
          <w:tcPr>
            <w:tcW w:w="1320" w:type="dxa"/>
            <w:shd w:val="clear" w:color="auto" w:fill="auto"/>
            <w:noWrap/>
            <w:hideMark/>
          </w:tcPr>
          <w:p w14:paraId="418FB946" w14:textId="77777777" w:rsidR="00746C94" w:rsidRPr="00591BFC" w:rsidRDefault="00746C94" w:rsidP="00E86771">
            <w:pPr>
              <w:spacing w:line="360" w:lineRule="auto"/>
            </w:pPr>
            <w:r w:rsidRPr="00591BFC">
              <w:t>10.2</w:t>
            </w:r>
          </w:p>
        </w:tc>
        <w:tc>
          <w:tcPr>
            <w:tcW w:w="1320" w:type="dxa"/>
            <w:shd w:val="clear" w:color="auto" w:fill="auto"/>
            <w:noWrap/>
            <w:hideMark/>
          </w:tcPr>
          <w:p w14:paraId="41C385AD" w14:textId="77777777" w:rsidR="00746C94" w:rsidRPr="00591BFC" w:rsidRDefault="00746C94" w:rsidP="00E86771">
            <w:pPr>
              <w:spacing w:line="360" w:lineRule="auto"/>
            </w:pPr>
            <w:r w:rsidRPr="00591BFC">
              <w:t>3.84</w:t>
            </w:r>
          </w:p>
        </w:tc>
        <w:tc>
          <w:tcPr>
            <w:tcW w:w="1320" w:type="dxa"/>
            <w:shd w:val="clear" w:color="auto" w:fill="auto"/>
            <w:noWrap/>
            <w:hideMark/>
          </w:tcPr>
          <w:p w14:paraId="04EC101F" w14:textId="77777777" w:rsidR="00746C94" w:rsidRPr="00591BFC" w:rsidRDefault="00746C94" w:rsidP="00E86771">
            <w:pPr>
              <w:spacing w:line="360" w:lineRule="auto"/>
            </w:pPr>
            <w:r w:rsidRPr="00591BFC">
              <w:t>16.7</w:t>
            </w:r>
          </w:p>
        </w:tc>
        <w:tc>
          <w:tcPr>
            <w:tcW w:w="1320" w:type="dxa"/>
            <w:shd w:val="clear" w:color="auto" w:fill="auto"/>
            <w:noWrap/>
            <w:hideMark/>
          </w:tcPr>
          <w:p w14:paraId="6F3339AB" w14:textId="77777777" w:rsidR="00746C94" w:rsidRPr="00591BFC" w:rsidRDefault="00746C94" w:rsidP="00E86771">
            <w:pPr>
              <w:spacing w:line="360" w:lineRule="auto"/>
            </w:pPr>
            <w:r w:rsidRPr="00591BFC">
              <w:t>0.004</w:t>
            </w:r>
          </w:p>
        </w:tc>
      </w:tr>
      <w:tr w:rsidR="00746C94" w:rsidRPr="00591BFC" w14:paraId="2A0B809C" w14:textId="77777777" w:rsidTr="001F6C78">
        <w:trPr>
          <w:trHeight w:val="330"/>
        </w:trPr>
        <w:tc>
          <w:tcPr>
            <w:tcW w:w="3934" w:type="dxa"/>
            <w:shd w:val="clear" w:color="auto" w:fill="auto"/>
            <w:noWrap/>
            <w:hideMark/>
          </w:tcPr>
          <w:p w14:paraId="5A3F8D8F" w14:textId="77777777" w:rsidR="00746C94" w:rsidRPr="00591BFC" w:rsidRDefault="00746C94" w:rsidP="00E86771">
            <w:pPr>
              <w:spacing w:line="360" w:lineRule="auto"/>
            </w:pPr>
            <w:r w:rsidRPr="00591BFC">
              <w:t>Trend change after intervention 1+2 (β</w:t>
            </w:r>
            <w:r w:rsidRPr="00591BFC">
              <w:rPr>
                <w:vertAlign w:val="subscript"/>
              </w:rPr>
              <w:t>3</w:t>
            </w:r>
            <w:r w:rsidRPr="00591BFC">
              <w:t>)</w:t>
            </w:r>
          </w:p>
        </w:tc>
        <w:tc>
          <w:tcPr>
            <w:tcW w:w="1320" w:type="dxa"/>
            <w:shd w:val="clear" w:color="auto" w:fill="auto"/>
            <w:noWrap/>
            <w:hideMark/>
          </w:tcPr>
          <w:p w14:paraId="53267D1E" w14:textId="77777777" w:rsidR="00746C94" w:rsidRPr="00591BFC" w:rsidRDefault="00746C94" w:rsidP="00E86771">
            <w:pPr>
              <w:spacing w:line="360" w:lineRule="auto"/>
            </w:pPr>
            <w:r w:rsidRPr="00591BFC">
              <w:t>-0.39</w:t>
            </w:r>
          </w:p>
        </w:tc>
        <w:tc>
          <w:tcPr>
            <w:tcW w:w="1320" w:type="dxa"/>
            <w:shd w:val="clear" w:color="auto" w:fill="auto"/>
            <w:noWrap/>
            <w:hideMark/>
          </w:tcPr>
          <w:p w14:paraId="069ABD65" w14:textId="77777777" w:rsidR="00746C94" w:rsidRPr="00591BFC" w:rsidRDefault="00746C94" w:rsidP="00E86771">
            <w:pPr>
              <w:spacing w:line="360" w:lineRule="auto"/>
            </w:pPr>
            <w:r w:rsidRPr="00591BFC">
              <w:t>-2.1</w:t>
            </w:r>
          </w:p>
        </w:tc>
        <w:tc>
          <w:tcPr>
            <w:tcW w:w="1320" w:type="dxa"/>
            <w:shd w:val="clear" w:color="auto" w:fill="auto"/>
            <w:noWrap/>
            <w:hideMark/>
          </w:tcPr>
          <w:p w14:paraId="796088D4" w14:textId="77777777" w:rsidR="00746C94" w:rsidRPr="00591BFC" w:rsidRDefault="00746C94" w:rsidP="00E86771">
            <w:pPr>
              <w:spacing w:line="360" w:lineRule="auto"/>
            </w:pPr>
            <w:r w:rsidRPr="00591BFC">
              <w:t>1.33</w:t>
            </w:r>
          </w:p>
        </w:tc>
        <w:tc>
          <w:tcPr>
            <w:tcW w:w="1320" w:type="dxa"/>
            <w:shd w:val="clear" w:color="auto" w:fill="auto"/>
            <w:noWrap/>
            <w:hideMark/>
          </w:tcPr>
          <w:p w14:paraId="076E359D" w14:textId="77777777" w:rsidR="00746C94" w:rsidRPr="00591BFC" w:rsidRDefault="00746C94" w:rsidP="00E86771">
            <w:pPr>
              <w:spacing w:line="360" w:lineRule="auto"/>
            </w:pPr>
            <w:r w:rsidRPr="00591BFC">
              <w:t>0.64</w:t>
            </w:r>
          </w:p>
        </w:tc>
      </w:tr>
      <w:tr w:rsidR="00746C94" w:rsidRPr="00591BFC" w14:paraId="5BE17269" w14:textId="77777777" w:rsidTr="001F6C78">
        <w:trPr>
          <w:trHeight w:val="330"/>
        </w:trPr>
        <w:tc>
          <w:tcPr>
            <w:tcW w:w="3934" w:type="dxa"/>
            <w:shd w:val="clear" w:color="auto" w:fill="auto"/>
            <w:noWrap/>
            <w:hideMark/>
          </w:tcPr>
          <w:p w14:paraId="16519978" w14:textId="77777777" w:rsidR="00746C94" w:rsidRPr="00591BFC" w:rsidRDefault="00746C94" w:rsidP="00E86771">
            <w:pPr>
              <w:spacing w:line="360" w:lineRule="auto"/>
            </w:pPr>
            <w:r w:rsidRPr="00591BFC">
              <w:t>Level change after intervention 3+4 (β</w:t>
            </w:r>
            <w:r w:rsidRPr="00591BFC">
              <w:rPr>
                <w:vertAlign w:val="subscript"/>
              </w:rPr>
              <w:t>4</w:t>
            </w:r>
            <w:r w:rsidRPr="00591BFC">
              <w:t>)</w:t>
            </w:r>
          </w:p>
        </w:tc>
        <w:tc>
          <w:tcPr>
            <w:tcW w:w="1320" w:type="dxa"/>
            <w:shd w:val="clear" w:color="auto" w:fill="auto"/>
            <w:noWrap/>
            <w:hideMark/>
          </w:tcPr>
          <w:p w14:paraId="53795E4B" w14:textId="77777777" w:rsidR="00746C94" w:rsidRPr="00591BFC" w:rsidRDefault="00746C94" w:rsidP="00E86771">
            <w:pPr>
              <w:spacing w:line="360" w:lineRule="auto"/>
            </w:pPr>
            <w:r w:rsidRPr="00591BFC">
              <w:t>-7.94</w:t>
            </w:r>
          </w:p>
        </w:tc>
        <w:tc>
          <w:tcPr>
            <w:tcW w:w="1320" w:type="dxa"/>
            <w:shd w:val="clear" w:color="auto" w:fill="auto"/>
            <w:noWrap/>
            <w:hideMark/>
          </w:tcPr>
          <w:p w14:paraId="72234AF2" w14:textId="77777777" w:rsidR="00746C94" w:rsidRPr="00591BFC" w:rsidRDefault="00746C94" w:rsidP="00E86771">
            <w:pPr>
              <w:spacing w:line="360" w:lineRule="auto"/>
            </w:pPr>
            <w:r w:rsidRPr="00591BFC">
              <w:t>-16.9</w:t>
            </w:r>
          </w:p>
        </w:tc>
        <w:tc>
          <w:tcPr>
            <w:tcW w:w="1320" w:type="dxa"/>
            <w:shd w:val="clear" w:color="auto" w:fill="auto"/>
            <w:noWrap/>
            <w:hideMark/>
          </w:tcPr>
          <w:p w14:paraId="4EFF0EBD" w14:textId="77777777" w:rsidR="00746C94" w:rsidRPr="00591BFC" w:rsidRDefault="00746C94" w:rsidP="00E86771">
            <w:pPr>
              <w:spacing w:line="360" w:lineRule="auto"/>
            </w:pPr>
            <w:r w:rsidRPr="00591BFC">
              <w:t>1.03</w:t>
            </w:r>
          </w:p>
        </w:tc>
        <w:tc>
          <w:tcPr>
            <w:tcW w:w="1320" w:type="dxa"/>
            <w:shd w:val="clear" w:color="auto" w:fill="auto"/>
            <w:noWrap/>
            <w:hideMark/>
          </w:tcPr>
          <w:p w14:paraId="29E546FF" w14:textId="77777777" w:rsidR="00746C94" w:rsidRPr="00591BFC" w:rsidRDefault="00746C94" w:rsidP="00E86771">
            <w:pPr>
              <w:spacing w:line="360" w:lineRule="auto"/>
            </w:pPr>
            <w:r w:rsidRPr="00591BFC">
              <w:t>0.079</w:t>
            </w:r>
          </w:p>
        </w:tc>
      </w:tr>
      <w:tr w:rsidR="00746C94" w:rsidRPr="00591BFC" w14:paraId="60F0A94A" w14:textId="77777777" w:rsidTr="001F6C78">
        <w:trPr>
          <w:trHeight w:val="330"/>
        </w:trPr>
        <w:tc>
          <w:tcPr>
            <w:tcW w:w="3934" w:type="dxa"/>
            <w:shd w:val="clear" w:color="auto" w:fill="auto"/>
            <w:noWrap/>
            <w:hideMark/>
          </w:tcPr>
          <w:p w14:paraId="72EF14D0" w14:textId="77777777" w:rsidR="00746C94" w:rsidRPr="00591BFC" w:rsidRDefault="00746C94" w:rsidP="00E86771">
            <w:pPr>
              <w:spacing w:line="360" w:lineRule="auto"/>
            </w:pPr>
            <w:r w:rsidRPr="00591BFC">
              <w:t>Trend change after intervention 3+4 (β</w:t>
            </w:r>
            <w:r w:rsidRPr="00591BFC">
              <w:rPr>
                <w:vertAlign w:val="subscript"/>
              </w:rPr>
              <w:t>5</w:t>
            </w:r>
            <w:r w:rsidRPr="00591BFC">
              <w:t>)</w:t>
            </w:r>
          </w:p>
        </w:tc>
        <w:tc>
          <w:tcPr>
            <w:tcW w:w="1320" w:type="dxa"/>
            <w:shd w:val="clear" w:color="auto" w:fill="auto"/>
            <w:noWrap/>
            <w:hideMark/>
          </w:tcPr>
          <w:p w14:paraId="58FE5444" w14:textId="77777777" w:rsidR="00746C94" w:rsidRPr="00591BFC" w:rsidRDefault="00746C94" w:rsidP="00E86771">
            <w:pPr>
              <w:spacing w:line="360" w:lineRule="auto"/>
            </w:pPr>
            <w:r w:rsidRPr="00591BFC">
              <w:t>2.52</w:t>
            </w:r>
          </w:p>
        </w:tc>
        <w:tc>
          <w:tcPr>
            <w:tcW w:w="1320" w:type="dxa"/>
            <w:shd w:val="clear" w:color="auto" w:fill="auto"/>
            <w:noWrap/>
            <w:hideMark/>
          </w:tcPr>
          <w:p w14:paraId="2FF39357" w14:textId="77777777" w:rsidR="00746C94" w:rsidRPr="00591BFC" w:rsidRDefault="00746C94" w:rsidP="00E86771">
            <w:pPr>
              <w:spacing w:line="360" w:lineRule="auto"/>
            </w:pPr>
            <w:r w:rsidRPr="00591BFC">
              <w:t>-1.51</w:t>
            </w:r>
          </w:p>
        </w:tc>
        <w:tc>
          <w:tcPr>
            <w:tcW w:w="1320" w:type="dxa"/>
            <w:shd w:val="clear" w:color="auto" w:fill="auto"/>
            <w:noWrap/>
            <w:hideMark/>
          </w:tcPr>
          <w:p w14:paraId="2E6833E4" w14:textId="77777777" w:rsidR="00746C94" w:rsidRPr="00591BFC" w:rsidRDefault="00746C94" w:rsidP="00E86771">
            <w:pPr>
              <w:spacing w:line="360" w:lineRule="auto"/>
            </w:pPr>
            <w:r w:rsidRPr="00591BFC">
              <w:t>6.55</w:t>
            </w:r>
          </w:p>
        </w:tc>
        <w:tc>
          <w:tcPr>
            <w:tcW w:w="1320" w:type="dxa"/>
            <w:shd w:val="clear" w:color="auto" w:fill="auto"/>
            <w:noWrap/>
            <w:hideMark/>
          </w:tcPr>
          <w:p w14:paraId="6E9B9003" w14:textId="77777777" w:rsidR="00746C94" w:rsidRPr="00591BFC" w:rsidRDefault="00746C94" w:rsidP="00E86771">
            <w:pPr>
              <w:spacing w:line="360" w:lineRule="auto"/>
            </w:pPr>
            <w:r w:rsidRPr="00591BFC">
              <w:t>0.2</w:t>
            </w:r>
          </w:p>
        </w:tc>
      </w:tr>
      <w:tr w:rsidR="00746C94" w:rsidRPr="00591BFC" w14:paraId="26D994FA" w14:textId="77777777" w:rsidTr="001F6C78">
        <w:trPr>
          <w:trHeight w:val="330"/>
        </w:trPr>
        <w:tc>
          <w:tcPr>
            <w:tcW w:w="3934" w:type="dxa"/>
            <w:shd w:val="clear" w:color="auto" w:fill="auto"/>
            <w:noWrap/>
            <w:hideMark/>
          </w:tcPr>
          <w:p w14:paraId="0B9B72CC" w14:textId="77777777" w:rsidR="00746C94" w:rsidRPr="00591BFC" w:rsidRDefault="00746C94" w:rsidP="00E86771">
            <w:pPr>
              <w:spacing w:line="360" w:lineRule="auto"/>
            </w:pPr>
            <w:r w:rsidRPr="00591BFC">
              <w:t>Level change after intervention 5 (β</w:t>
            </w:r>
            <w:r w:rsidRPr="00591BFC">
              <w:rPr>
                <w:vertAlign w:val="subscript"/>
              </w:rPr>
              <w:t>6</w:t>
            </w:r>
            <w:r w:rsidRPr="00591BFC">
              <w:t>)</w:t>
            </w:r>
          </w:p>
        </w:tc>
        <w:tc>
          <w:tcPr>
            <w:tcW w:w="1320" w:type="dxa"/>
            <w:shd w:val="clear" w:color="auto" w:fill="auto"/>
            <w:noWrap/>
            <w:hideMark/>
          </w:tcPr>
          <w:p w14:paraId="658FB9B3" w14:textId="77777777" w:rsidR="00746C94" w:rsidRPr="00591BFC" w:rsidRDefault="00746C94" w:rsidP="00E86771">
            <w:pPr>
              <w:spacing w:line="360" w:lineRule="auto"/>
            </w:pPr>
            <w:r w:rsidRPr="00591BFC">
              <w:t>-0.57</w:t>
            </w:r>
          </w:p>
        </w:tc>
        <w:tc>
          <w:tcPr>
            <w:tcW w:w="1320" w:type="dxa"/>
            <w:shd w:val="clear" w:color="auto" w:fill="auto"/>
            <w:noWrap/>
            <w:hideMark/>
          </w:tcPr>
          <w:p w14:paraId="55D3EDB4" w14:textId="77777777" w:rsidR="00746C94" w:rsidRPr="00591BFC" w:rsidRDefault="00746C94" w:rsidP="00E86771">
            <w:pPr>
              <w:spacing w:line="360" w:lineRule="auto"/>
            </w:pPr>
            <w:r w:rsidRPr="00591BFC">
              <w:t>-7.8</w:t>
            </w:r>
          </w:p>
        </w:tc>
        <w:tc>
          <w:tcPr>
            <w:tcW w:w="1320" w:type="dxa"/>
            <w:shd w:val="clear" w:color="auto" w:fill="auto"/>
            <w:noWrap/>
            <w:hideMark/>
          </w:tcPr>
          <w:p w14:paraId="3E52FEE3" w14:textId="77777777" w:rsidR="00746C94" w:rsidRPr="00591BFC" w:rsidRDefault="00746C94" w:rsidP="00E86771">
            <w:pPr>
              <w:spacing w:line="360" w:lineRule="auto"/>
            </w:pPr>
            <w:r w:rsidRPr="00591BFC">
              <w:t>6.66</w:t>
            </w:r>
          </w:p>
        </w:tc>
        <w:tc>
          <w:tcPr>
            <w:tcW w:w="1320" w:type="dxa"/>
            <w:shd w:val="clear" w:color="auto" w:fill="auto"/>
            <w:noWrap/>
            <w:hideMark/>
          </w:tcPr>
          <w:p w14:paraId="110924E8" w14:textId="77777777" w:rsidR="00746C94" w:rsidRPr="00591BFC" w:rsidRDefault="00746C94" w:rsidP="00E86771">
            <w:pPr>
              <w:spacing w:line="360" w:lineRule="auto"/>
            </w:pPr>
            <w:r w:rsidRPr="00591BFC">
              <w:t>0.87</w:t>
            </w:r>
          </w:p>
        </w:tc>
      </w:tr>
      <w:tr w:rsidR="00746C94" w:rsidRPr="00591BFC" w14:paraId="7DAAEAF2" w14:textId="77777777" w:rsidTr="001F6C78">
        <w:trPr>
          <w:trHeight w:val="330"/>
        </w:trPr>
        <w:tc>
          <w:tcPr>
            <w:tcW w:w="3934" w:type="dxa"/>
            <w:shd w:val="clear" w:color="auto" w:fill="auto"/>
            <w:noWrap/>
            <w:hideMark/>
          </w:tcPr>
          <w:p w14:paraId="0434F33F" w14:textId="77777777" w:rsidR="00746C94" w:rsidRPr="00591BFC" w:rsidRDefault="00746C94" w:rsidP="00E86771">
            <w:pPr>
              <w:spacing w:line="360" w:lineRule="auto"/>
            </w:pPr>
            <w:r w:rsidRPr="00591BFC">
              <w:t>Trend change after intervention 5 (β</w:t>
            </w:r>
            <w:r w:rsidRPr="00591BFC">
              <w:rPr>
                <w:vertAlign w:val="subscript"/>
              </w:rPr>
              <w:t>7</w:t>
            </w:r>
            <w:r w:rsidRPr="00591BFC">
              <w:t>)</w:t>
            </w:r>
          </w:p>
        </w:tc>
        <w:tc>
          <w:tcPr>
            <w:tcW w:w="1320" w:type="dxa"/>
            <w:shd w:val="clear" w:color="auto" w:fill="auto"/>
            <w:noWrap/>
            <w:hideMark/>
          </w:tcPr>
          <w:p w14:paraId="7E6462BE" w14:textId="77777777" w:rsidR="00746C94" w:rsidRPr="00591BFC" w:rsidRDefault="00746C94" w:rsidP="00E86771">
            <w:pPr>
              <w:spacing w:line="360" w:lineRule="auto"/>
            </w:pPr>
            <w:r w:rsidRPr="00591BFC">
              <w:t>-2.78</w:t>
            </w:r>
          </w:p>
        </w:tc>
        <w:tc>
          <w:tcPr>
            <w:tcW w:w="1320" w:type="dxa"/>
            <w:shd w:val="clear" w:color="auto" w:fill="auto"/>
            <w:noWrap/>
            <w:hideMark/>
          </w:tcPr>
          <w:p w14:paraId="6C2D0F54" w14:textId="77777777" w:rsidR="00746C94" w:rsidRPr="00591BFC" w:rsidRDefault="00746C94" w:rsidP="00E86771">
            <w:pPr>
              <w:spacing w:line="360" w:lineRule="auto"/>
            </w:pPr>
            <w:r w:rsidRPr="00591BFC">
              <w:t>-6.81</w:t>
            </w:r>
          </w:p>
        </w:tc>
        <w:tc>
          <w:tcPr>
            <w:tcW w:w="1320" w:type="dxa"/>
            <w:shd w:val="clear" w:color="auto" w:fill="auto"/>
            <w:noWrap/>
            <w:hideMark/>
          </w:tcPr>
          <w:p w14:paraId="17B1F08B" w14:textId="77777777" w:rsidR="00746C94" w:rsidRPr="00591BFC" w:rsidRDefault="00746C94" w:rsidP="00E86771">
            <w:pPr>
              <w:spacing w:line="360" w:lineRule="auto"/>
            </w:pPr>
            <w:r w:rsidRPr="00591BFC">
              <w:t>1.25</w:t>
            </w:r>
          </w:p>
        </w:tc>
        <w:tc>
          <w:tcPr>
            <w:tcW w:w="1320" w:type="dxa"/>
            <w:shd w:val="clear" w:color="auto" w:fill="auto"/>
            <w:noWrap/>
            <w:hideMark/>
          </w:tcPr>
          <w:p w14:paraId="2065D50C" w14:textId="77777777" w:rsidR="00746C94" w:rsidRPr="00591BFC" w:rsidRDefault="00746C94" w:rsidP="00E86771">
            <w:pPr>
              <w:spacing w:line="360" w:lineRule="auto"/>
            </w:pPr>
            <w:r w:rsidRPr="00591BFC">
              <w:t>0.16</w:t>
            </w:r>
          </w:p>
        </w:tc>
      </w:tr>
      <w:tr w:rsidR="00746C94" w:rsidRPr="00591BFC" w14:paraId="0DF10985" w14:textId="77777777" w:rsidTr="001F6C78">
        <w:trPr>
          <w:trHeight w:val="315"/>
        </w:trPr>
        <w:tc>
          <w:tcPr>
            <w:tcW w:w="3934" w:type="dxa"/>
            <w:shd w:val="clear" w:color="auto" w:fill="auto"/>
            <w:noWrap/>
            <w:hideMark/>
          </w:tcPr>
          <w:p w14:paraId="210451F5" w14:textId="77777777" w:rsidR="00746C94" w:rsidRPr="00591BFC" w:rsidRDefault="00746C94" w:rsidP="00E86771">
            <w:pPr>
              <w:spacing w:line="360" w:lineRule="auto"/>
            </w:pPr>
            <w:r w:rsidRPr="00591BFC">
              <w:t> </w:t>
            </w:r>
          </w:p>
        </w:tc>
        <w:tc>
          <w:tcPr>
            <w:tcW w:w="1320" w:type="dxa"/>
            <w:shd w:val="clear" w:color="auto" w:fill="auto"/>
            <w:hideMark/>
          </w:tcPr>
          <w:p w14:paraId="3DC8EA36" w14:textId="77777777" w:rsidR="00746C94" w:rsidRPr="00591BFC" w:rsidRDefault="00746C94" w:rsidP="00E86771">
            <w:pPr>
              <w:spacing w:line="360" w:lineRule="auto"/>
            </w:pPr>
            <w:r w:rsidRPr="00591BFC">
              <w:t> </w:t>
            </w:r>
          </w:p>
        </w:tc>
        <w:tc>
          <w:tcPr>
            <w:tcW w:w="1320" w:type="dxa"/>
            <w:shd w:val="clear" w:color="auto" w:fill="auto"/>
            <w:hideMark/>
          </w:tcPr>
          <w:p w14:paraId="5FCDFB06" w14:textId="77777777" w:rsidR="00746C94" w:rsidRPr="00591BFC" w:rsidRDefault="00746C94" w:rsidP="00E86771">
            <w:pPr>
              <w:spacing w:line="360" w:lineRule="auto"/>
            </w:pPr>
            <w:r w:rsidRPr="00591BFC">
              <w:t> </w:t>
            </w:r>
          </w:p>
        </w:tc>
        <w:tc>
          <w:tcPr>
            <w:tcW w:w="1320" w:type="dxa"/>
            <w:shd w:val="clear" w:color="auto" w:fill="auto"/>
            <w:hideMark/>
          </w:tcPr>
          <w:p w14:paraId="7C23F41C" w14:textId="77777777" w:rsidR="00746C94" w:rsidRPr="00591BFC" w:rsidRDefault="00746C94" w:rsidP="00E86771">
            <w:pPr>
              <w:spacing w:line="360" w:lineRule="auto"/>
            </w:pPr>
            <w:r w:rsidRPr="00591BFC">
              <w:t> </w:t>
            </w:r>
          </w:p>
        </w:tc>
        <w:tc>
          <w:tcPr>
            <w:tcW w:w="1320" w:type="dxa"/>
            <w:shd w:val="clear" w:color="auto" w:fill="auto"/>
            <w:noWrap/>
            <w:hideMark/>
          </w:tcPr>
          <w:p w14:paraId="0A58DBB3" w14:textId="77777777" w:rsidR="00746C94" w:rsidRPr="00591BFC" w:rsidRDefault="00746C94" w:rsidP="00E86771">
            <w:pPr>
              <w:spacing w:line="360" w:lineRule="auto"/>
            </w:pPr>
            <w:r w:rsidRPr="00591BFC">
              <w:t> </w:t>
            </w:r>
          </w:p>
        </w:tc>
      </w:tr>
    </w:tbl>
    <w:p w14:paraId="7306DC39" w14:textId="77777777" w:rsidR="00BD735D" w:rsidRPr="00591BFC" w:rsidRDefault="00BD735D" w:rsidP="00E86771">
      <w:pPr>
        <w:spacing w:line="360" w:lineRule="auto"/>
      </w:pPr>
    </w:p>
    <w:p w14:paraId="693B7DA7" w14:textId="77777777" w:rsidR="00746C94" w:rsidRPr="00591BFC" w:rsidRDefault="00BD735D" w:rsidP="00E86771">
      <w:pPr>
        <w:pStyle w:val="Heading1"/>
        <w:spacing w:line="360" w:lineRule="auto"/>
        <w:rPr>
          <w:rFonts w:ascii="Calibri" w:hAnsi="Calibri"/>
          <w:lang w:val="en-GB"/>
        </w:rPr>
      </w:pPr>
      <w:r w:rsidRPr="00591BFC">
        <w:rPr>
          <w:rFonts w:ascii="Calibri" w:hAnsi="Calibri"/>
        </w:rPr>
        <w:br w:type="page"/>
      </w:r>
      <w:bookmarkStart w:id="705" w:name="_Toc308300851"/>
      <w:bookmarkStart w:id="706" w:name="_Toc311366659"/>
      <w:r w:rsidR="00BC4396" w:rsidRPr="00591BFC">
        <w:rPr>
          <w:rFonts w:ascii="Calibri" w:hAnsi="Calibri"/>
        </w:rPr>
        <w:lastRenderedPageBreak/>
        <w:t>Acknowledgement</w:t>
      </w:r>
      <w:bookmarkEnd w:id="705"/>
      <w:bookmarkEnd w:id="706"/>
    </w:p>
    <w:p w14:paraId="2A504EC1" w14:textId="77777777" w:rsidR="00BC4396" w:rsidRPr="00591BFC" w:rsidRDefault="00BC4396" w:rsidP="00E86771">
      <w:pPr>
        <w:pStyle w:val="Heading2"/>
        <w:spacing w:line="360" w:lineRule="auto"/>
        <w:rPr>
          <w:rFonts w:ascii="Calibri" w:hAnsi="Calibri"/>
          <w:lang w:val="en-GB"/>
        </w:rPr>
      </w:pPr>
      <w:bookmarkStart w:id="707" w:name="_Toc308300852"/>
      <w:bookmarkStart w:id="708" w:name="_Toc311366660"/>
      <w:r w:rsidRPr="00591BFC">
        <w:rPr>
          <w:rFonts w:ascii="Calibri" w:hAnsi="Calibri"/>
        </w:rPr>
        <w:t>Contributions of authors</w:t>
      </w:r>
      <w:bookmarkEnd w:id="707"/>
      <w:bookmarkEnd w:id="708"/>
    </w:p>
    <w:p w14:paraId="65EA08D8" w14:textId="77777777" w:rsidR="00BC4396" w:rsidRPr="00591BFC" w:rsidRDefault="00BC4396" w:rsidP="00E86771">
      <w:pPr>
        <w:spacing w:line="360" w:lineRule="auto"/>
        <w:rPr>
          <w:lang w:eastAsia="x-none"/>
        </w:rPr>
      </w:pPr>
      <w:r w:rsidRPr="00591BFC">
        <w:rPr>
          <w:lang w:eastAsia="x-none"/>
        </w:rPr>
        <w:t xml:space="preserve">AJ, MKJ, JLe, DPA, RGH, JLi, AF, NA, AG, MG, CC contributed to the conception and design of the project. </w:t>
      </w:r>
    </w:p>
    <w:p w14:paraId="5E62324A" w14:textId="77777777" w:rsidR="00BC4396" w:rsidRPr="00591BFC" w:rsidRDefault="00BC4396" w:rsidP="00E86771">
      <w:pPr>
        <w:spacing w:line="360" w:lineRule="auto"/>
        <w:rPr>
          <w:lang w:eastAsia="x-none"/>
        </w:rPr>
      </w:pPr>
      <w:r w:rsidRPr="00591BFC">
        <w:rPr>
          <w:lang w:eastAsia="x-none"/>
        </w:rPr>
        <w:t xml:space="preserve">AJ, SD, JL, SS, SH, AD, RGH contributed to the acquisition or analysis of data. </w:t>
      </w:r>
    </w:p>
    <w:p w14:paraId="78302954" w14:textId="77777777" w:rsidR="00BC4396" w:rsidRPr="00591BFC" w:rsidRDefault="00BC4396" w:rsidP="00E86771">
      <w:pPr>
        <w:spacing w:line="360" w:lineRule="auto"/>
        <w:rPr>
          <w:lang w:eastAsia="x-none"/>
        </w:rPr>
      </w:pPr>
      <w:r w:rsidRPr="00591BFC">
        <w:rPr>
          <w:lang w:eastAsia="x-none"/>
        </w:rPr>
        <w:t>AJ, MKJ, JLe, DPA, RGH, JLi, AF, AG, MG, CC, SD, SS, SH contributed to the interpretation of the findings of this work.</w:t>
      </w:r>
    </w:p>
    <w:p w14:paraId="6AAE83A8" w14:textId="77777777" w:rsidR="00BC4396" w:rsidRPr="00591BFC" w:rsidRDefault="00BC4396" w:rsidP="00E86771">
      <w:pPr>
        <w:spacing w:line="360" w:lineRule="auto"/>
        <w:rPr>
          <w:lang w:eastAsia="x-none"/>
        </w:rPr>
      </w:pPr>
      <w:r w:rsidRPr="00591BFC">
        <w:rPr>
          <w:lang w:eastAsia="x-none"/>
        </w:rPr>
        <w:t xml:space="preserve">All authors contributed to drafting this report or revising it critically for important intellectual content and have approved the final version. </w:t>
      </w:r>
    </w:p>
    <w:p w14:paraId="43FDC5E2" w14:textId="77777777" w:rsidR="00BC4396" w:rsidRPr="00591BFC" w:rsidRDefault="00BC4396" w:rsidP="00E86771">
      <w:pPr>
        <w:spacing w:line="360" w:lineRule="auto"/>
        <w:rPr>
          <w:lang w:eastAsia="x-none"/>
        </w:rPr>
      </w:pPr>
      <w:r w:rsidRPr="00591BFC">
        <w:rPr>
          <w:lang w:eastAsia="x-none"/>
        </w:rPr>
        <w:t>All authors agree to be accountable for all aspects of the work in ensuring that questions related to the accuracy or integrity of any part of the work are appropriately investigated and resolved.</w:t>
      </w:r>
    </w:p>
    <w:p w14:paraId="799D409F" w14:textId="77777777" w:rsidR="00183DCF" w:rsidRPr="00591BFC" w:rsidRDefault="000B18EF" w:rsidP="00E86771">
      <w:pPr>
        <w:spacing w:line="360" w:lineRule="auto"/>
        <w:rPr>
          <w:lang w:eastAsia="x-none"/>
        </w:rPr>
      </w:pPr>
      <w:r w:rsidRPr="00591BFC">
        <w:rPr>
          <w:lang w:eastAsia="x-none"/>
        </w:rPr>
        <w:t xml:space="preserve">In addition, the authors would like to acknowledge the contributions of Laura Graham (Royal Shrewsbury Hospitals NHS Trust) </w:t>
      </w:r>
      <w:r w:rsidR="00217C26" w:rsidRPr="00591BFC">
        <w:rPr>
          <w:lang w:eastAsia="x-none"/>
        </w:rPr>
        <w:t xml:space="preserve">for her help in interpreting and writing up the findings of the business cases work </w:t>
      </w:r>
      <w:r w:rsidRPr="00591BFC">
        <w:rPr>
          <w:lang w:eastAsia="x-none"/>
        </w:rPr>
        <w:t>and Prof Carl May (University of Southampton)</w:t>
      </w:r>
      <w:r w:rsidR="00217C26" w:rsidRPr="00591BFC">
        <w:rPr>
          <w:lang w:eastAsia="x-none"/>
        </w:rPr>
        <w:t xml:space="preserve">  for his help in analysing qualitative findings</w:t>
      </w:r>
      <w:r w:rsidRPr="00591BFC">
        <w:rPr>
          <w:lang w:eastAsia="x-none"/>
        </w:rPr>
        <w:t xml:space="preserve"> applying NPT to the </w:t>
      </w:r>
      <w:r w:rsidR="00217C26" w:rsidRPr="00591BFC">
        <w:rPr>
          <w:lang w:eastAsia="x-none"/>
        </w:rPr>
        <w:t xml:space="preserve">data. </w:t>
      </w:r>
    </w:p>
    <w:p w14:paraId="20C50594" w14:textId="77777777" w:rsidR="000B18EF" w:rsidRPr="00591BFC" w:rsidRDefault="000B18EF" w:rsidP="00E86771">
      <w:pPr>
        <w:spacing w:line="360" w:lineRule="auto"/>
        <w:rPr>
          <w:lang w:eastAsia="x-none"/>
        </w:rPr>
      </w:pPr>
      <w:r w:rsidRPr="00591BFC">
        <w:rPr>
          <w:lang w:eastAsia="x-none"/>
        </w:rPr>
        <w:t xml:space="preserve"> </w:t>
      </w:r>
      <w:r w:rsidR="00183DCF" w:rsidRPr="00591BFC">
        <w:rPr>
          <w:lang w:eastAsia="x-none"/>
        </w:rPr>
        <w:t>This project was funded by the National Institute for Health Research Health Services and Delivery Research Programme (project number 11/1023/01). The views and opinions expressed therein are those of the authors and do not necessarily reflect those of the HS&amp;DR Programme, NIHR, NHS or the Department of Health.</w:t>
      </w:r>
    </w:p>
    <w:p w14:paraId="4173D54F" w14:textId="77777777" w:rsidR="00183DCF" w:rsidRPr="00591BFC" w:rsidRDefault="00183DCF" w:rsidP="00E86771">
      <w:pPr>
        <w:spacing w:line="360" w:lineRule="auto"/>
        <w:rPr>
          <w:lang w:eastAsia="x-none"/>
        </w:rPr>
      </w:pPr>
      <w:r w:rsidRPr="00591BFC">
        <w:rPr>
          <w:lang w:eastAsia="x-none"/>
        </w:rPr>
        <w:t xml:space="preserve">In addition, the authors would like to acknowledge the support of the NIHR Musculoskeletal Biomedical Research Unit, University of Oxford. </w:t>
      </w:r>
    </w:p>
    <w:p w14:paraId="13CB09AC" w14:textId="77777777" w:rsidR="00B727CD" w:rsidRPr="00591BFC" w:rsidRDefault="00B727CD" w:rsidP="00E86771">
      <w:pPr>
        <w:pStyle w:val="Heading1"/>
        <w:spacing w:line="360" w:lineRule="auto"/>
        <w:rPr>
          <w:rFonts w:ascii="Calibri" w:hAnsi="Calibri"/>
          <w:lang w:val="en-GB"/>
        </w:rPr>
      </w:pPr>
      <w:bookmarkStart w:id="709" w:name="_Toc308300853"/>
      <w:bookmarkStart w:id="710" w:name="_Toc311366661"/>
      <w:r w:rsidRPr="00591BFC">
        <w:rPr>
          <w:rFonts w:ascii="Calibri" w:hAnsi="Calibri"/>
          <w:lang w:val="en-GB"/>
        </w:rPr>
        <w:t>Data sharing statement</w:t>
      </w:r>
      <w:bookmarkEnd w:id="709"/>
      <w:bookmarkEnd w:id="710"/>
    </w:p>
    <w:p w14:paraId="6F3EDA62" w14:textId="14B0F775" w:rsidR="00B727CD" w:rsidRPr="00591BFC" w:rsidRDefault="008C4889" w:rsidP="00C95D56">
      <w:pPr>
        <w:spacing w:line="360" w:lineRule="auto"/>
        <w:rPr>
          <w:lang w:eastAsia="x-none"/>
        </w:rPr>
      </w:pPr>
      <w:r w:rsidRPr="00C95D56">
        <w:rPr>
          <w:lang w:eastAsia="x-none"/>
        </w:rPr>
        <w:t>Anonymised data included in chapter 2 are included within the report. We are unable to share data related to chapter 3 due to the nature of the data generated not being suitable for sharing. Data obtained for chapters 5 to 8 were sought through Health and Social Care Information Centre (HSCIC) and Clinical Practice Research Datalink (CPRD). Please contact the lead author for further information.</w:t>
      </w:r>
    </w:p>
    <w:sectPr w:rsidR="00B727CD" w:rsidRPr="00591BFC" w:rsidSect="00C43F88">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4BD4A7" w14:textId="77777777" w:rsidR="00AB59D4" w:rsidRDefault="00AB59D4">
      <w:pPr>
        <w:spacing w:after="0" w:line="240" w:lineRule="auto"/>
      </w:pPr>
      <w:r>
        <w:separator/>
      </w:r>
    </w:p>
  </w:endnote>
  <w:endnote w:type="continuationSeparator" w:id="0">
    <w:p w14:paraId="5F60A7AE" w14:textId="77777777" w:rsidR="00AB59D4" w:rsidRDefault="00AB59D4">
      <w:pPr>
        <w:spacing w:after="0" w:line="240" w:lineRule="auto"/>
      </w:pPr>
      <w:r>
        <w:continuationSeparator/>
      </w:r>
    </w:p>
  </w:endnote>
  <w:endnote w:type="continuationNotice" w:id="1">
    <w:p w14:paraId="16CB59AE" w14:textId="77777777" w:rsidR="00AB59D4" w:rsidRDefault="00AB59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4C214" w14:textId="77777777" w:rsidR="00AB59D4" w:rsidRDefault="00AB59D4">
    <w:pPr>
      <w:pStyle w:val="Footer"/>
      <w:jc w:val="right"/>
    </w:pPr>
    <w:r>
      <w:fldChar w:fldCharType="begin"/>
    </w:r>
    <w:r>
      <w:instrText xml:space="preserve"> PAGE   \* MERGEFORMAT </w:instrText>
    </w:r>
    <w:r>
      <w:fldChar w:fldCharType="separate"/>
    </w:r>
    <w:r w:rsidR="002149AD">
      <w:rPr>
        <w:noProof/>
      </w:rPr>
      <w:t>1</w:t>
    </w:r>
    <w:r>
      <w:rPr>
        <w:noProof/>
      </w:rPr>
      <w:fldChar w:fldCharType="end"/>
    </w:r>
  </w:p>
  <w:p w14:paraId="362634C2" w14:textId="77777777" w:rsidR="00AB59D4" w:rsidRDefault="00AB59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E2B897" w14:textId="77777777" w:rsidR="00AB59D4" w:rsidRDefault="00AB59D4">
      <w:pPr>
        <w:spacing w:after="0" w:line="240" w:lineRule="auto"/>
      </w:pPr>
      <w:r>
        <w:separator/>
      </w:r>
    </w:p>
  </w:footnote>
  <w:footnote w:type="continuationSeparator" w:id="0">
    <w:p w14:paraId="7C355D06" w14:textId="77777777" w:rsidR="00AB59D4" w:rsidRDefault="00AB59D4">
      <w:pPr>
        <w:spacing w:after="0" w:line="240" w:lineRule="auto"/>
      </w:pPr>
      <w:r>
        <w:continuationSeparator/>
      </w:r>
    </w:p>
  </w:footnote>
  <w:footnote w:type="continuationNotice" w:id="1">
    <w:p w14:paraId="4EDDC8B5" w14:textId="77777777" w:rsidR="00AB59D4" w:rsidRDefault="00AB59D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4F01D" w14:textId="77777777" w:rsidR="00AB59D4" w:rsidRDefault="00AB59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CAA20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D21CA"/>
    <w:multiLevelType w:val="hybridMultilevel"/>
    <w:tmpl w:val="BCCEA9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9C5334"/>
    <w:multiLevelType w:val="hybridMultilevel"/>
    <w:tmpl w:val="38E28C4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BB0A3B"/>
    <w:multiLevelType w:val="hybridMultilevel"/>
    <w:tmpl w:val="3EAA6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3C56B3"/>
    <w:multiLevelType w:val="hybridMultilevel"/>
    <w:tmpl w:val="8C868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5971FB"/>
    <w:multiLevelType w:val="hybridMultilevel"/>
    <w:tmpl w:val="09B6F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A2E7C"/>
    <w:multiLevelType w:val="hybridMultilevel"/>
    <w:tmpl w:val="5784E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7917B3"/>
    <w:multiLevelType w:val="hybridMultilevel"/>
    <w:tmpl w:val="551A5B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D216BA"/>
    <w:multiLevelType w:val="hybridMultilevel"/>
    <w:tmpl w:val="2F22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374924"/>
    <w:multiLevelType w:val="hybridMultilevel"/>
    <w:tmpl w:val="AD063D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1835E9"/>
    <w:multiLevelType w:val="hybridMultilevel"/>
    <w:tmpl w:val="34E0FE88"/>
    <w:lvl w:ilvl="0" w:tplc="1EE0B752">
      <w:start w:val="1"/>
      <w:numFmt w:val="decimal"/>
      <w:lvlText w:val="%1)"/>
      <w:lvlJc w:val="left"/>
      <w:pPr>
        <w:ind w:left="1320" w:hanging="360"/>
      </w:pPr>
      <w:rPr>
        <w:rFonts w:hint="default"/>
      </w:r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1">
    <w:nsid w:val="278A0805"/>
    <w:multiLevelType w:val="hybridMultilevel"/>
    <w:tmpl w:val="F764480E"/>
    <w:lvl w:ilvl="0" w:tplc="AB5C56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332285"/>
    <w:multiLevelType w:val="hybridMultilevel"/>
    <w:tmpl w:val="0AE2C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2B0D28"/>
    <w:multiLevelType w:val="hybridMultilevel"/>
    <w:tmpl w:val="A97A54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C746AC9"/>
    <w:multiLevelType w:val="hybridMultilevel"/>
    <w:tmpl w:val="0276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D3434A1"/>
    <w:multiLevelType w:val="hybridMultilevel"/>
    <w:tmpl w:val="F764480E"/>
    <w:lvl w:ilvl="0" w:tplc="AB5C56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AB78D9"/>
    <w:multiLevelType w:val="hybridMultilevel"/>
    <w:tmpl w:val="357666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7135F25"/>
    <w:multiLevelType w:val="hybridMultilevel"/>
    <w:tmpl w:val="D3528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787D40"/>
    <w:multiLevelType w:val="hybridMultilevel"/>
    <w:tmpl w:val="7966BDEA"/>
    <w:lvl w:ilvl="0" w:tplc="BBA8A57E">
      <w:start w:val="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6E3ADF"/>
    <w:multiLevelType w:val="hybridMultilevel"/>
    <w:tmpl w:val="4330DE56"/>
    <w:lvl w:ilvl="0" w:tplc="4C6C3D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AAF69D1"/>
    <w:multiLevelType w:val="hybridMultilevel"/>
    <w:tmpl w:val="D63674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E310291"/>
    <w:multiLevelType w:val="hybridMultilevel"/>
    <w:tmpl w:val="6C9E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F521A48"/>
    <w:multiLevelType w:val="hybridMultilevel"/>
    <w:tmpl w:val="D1843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09B7777"/>
    <w:multiLevelType w:val="hybridMultilevel"/>
    <w:tmpl w:val="03622EC0"/>
    <w:lvl w:ilvl="0" w:tplc="1EE0B752">
      <w:start w:val="1"/>
      <w:numFmt w:val="decimal"/>
      <w:lvlText w:val="%1)"/>
      <w:lvlJc w:val="left"/>
      <w:pPr>
        <w:ind w:left="1320" w:hanging="360"/>
      </w:pPr>
      <w:rPr>
        <w:rFonts w:hint="default"/>
      </w:r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24">
    <w:nsid w:val="625407A7"/>
    <w:multiLevelType w:val="hybridMultilevel"/>
    <w:tmpl w:val="17FA1DAC"/>
    <w:lvl w:ilvl="0" w:tplc="7376D20E">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826415"/>
    <w:multiLevelType w:val="hybridMultilevel"/>
    <w:tmpl w:val="62F24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7DC3C62"/>
    <w:multiLevelType w:val="hybridMultilevel"/>
    <w:tmpl w:val="7DE2B7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05E256B"/>
    <w:multiLevelType w:val="multilevel"/>
    <w:tmpl w:val="5BE6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081D36"/>
    <w:multiLevelType w:val="hybridMultilevel"/>
    <w:tmpl w:val="A9FEF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F96FF8"/>
    <w:multiLevelType w:val="hybridMultilevel"/>
    <w:tmpl w:val="8346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22"/>
  </w:num>
  <w:num w:numId="4">
    <w:abstractNumId w:val="8"/>
  </w:num>
  <w:num w:numId="5">
    <w:abstractNumId w:val="14"/>
  </w:num>
  <w:num w:numId="6">
    <w:abstractNumId w:val="29"/>
  </w:num>
  <w:num w:numId="7">
    <w:abstractNumId w:val="17"/>
  </w:num>
  <w:num w:numId="8">
    <w:abstractNumId w:val="0"/>
  </w:num>
  <w:num w:numId="9">
    <w:abstractNumId w:val="11"/>
  </w:num>
  <w:num w:numId="10">
    <w:abstractNumId w:val="10"/>
  </w:num>
  <w:num w:numId="11">
    <w:abstractNumId w:val="16"/>
  </w:num>
  <w:num w:numId="12">
    <w:abstractNumId w:val="25"/>
  </w:num>
  <w:num w:numId="13">
    <w:abstractNumId w:val="23"/>
  </w:num>
  <w:num w:numId="14">
    <w:abstractNumId w:val="7"/>
  </w:num>
  <w:num w:numId="15">
    <w:abstractNumId w:val="6"/>
  </w:num>
  <w:num w:numId="16">
    <w:abstractNumId w:val="26"/>
  </w:num>
  <w:num w:numId="17">
    <w:abstractNumId w:val="27"/>
  </w:num>
  <w:num w:numId="18">
    <w:abstractNumId w:val="28"/>
  </w:num>
  <w:num w:numId="19">
    <w:abstractNumId w:val="3"/>
  </w:num>
  <w:num w:numId="20">
    <w:abstractNumId w:val="9"/>
  </w:num>
  <w:num w:numId="21">
    <w:abstractNumId w:val="1"/>
  </w:num>
  <w:num w:numId="22">
    <w:abstractNumId w:val="13"/>
  </w:num>
  <w:num w:numId="23">
    <w:abstractNumId w:val="4"/>
  </w:num>
  <w:num w:numId="24">
    <w:abstractNumId w:val="21"/>
  </w:num>
  <w:num w:numId="25">
    <w:abstractNumId w:val="24"/>
  </w:num>
  <w:num w:numId="26">
    <w:abstractNumId w:val="2"/>
  </w:num>
  <w:num w:numId="27">
    <w:abstractNumId w:val="18"/>
  </w:num>
  <w:num w:numId="28">
    <w:abstractNumId w:val="12"/>
  </w:num>
  <w:num w:numId="29">
    <w:abstractNumId w:val="5"/>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doNotTrackMove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EN.InstantFormat" w:val="&lt;ENInstantFormat&gt;&lt;Enabled&gt;0&lt;/Enabled&gt;&lt;ScanUnformatted&gt;1&lt;/ScanUnformatted&gt;&lt;ScanChanges&gt;1&lt;/ScanChanges&gt;&lt;Suspended&gt;0&lt;/Suspended&gt;&lt;/ENInstantFormat&gt;"/>
    <w:docVar w:name="EN.Layout" w:val="&lt;ENLayout&gt;&lt;Style&gt;BM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xpszd2ti9dx04ewefrvfp5bpf5faazszr9p&quot;&gt;SDO references ReFRESH&lt;record-ids&gt;&lt;item&gt;1&lt;/item&gt;&lt;item&gt;2&lt;/item&gt;&lt;item&gt;3&lt;/item&gt;&lt;item&gt;4&lt;/item&gt;&lt;item&gt;6&lt;/item&gt;&lt;item&gt;7&lt;/item&gt;&lt;item&gt;10&lt;/item&gt;&lt;item&gt;18&lt;/item&gt;&lt;item&gt;19&lt;/item&gt;&lt;item&gt;21&lt;/item&gt;&lt;item&gt;23&lt;/item&gt;&lt;item&gt;24&lt;/item&gt;&lt;item&gt;25&lt;/item&gt;&lt;item&gt;26&lt;/item&gt;&lt;item&gt;27&lt;/item&gt;&lt;item&gt;28&lt;/item&gt;&lt;item&gt;29&lt;/item&gt;&lt;item&gt;30&lt;/item&gt;&lt;item&gt;31&lt;/item&gt;&lt;item&gt;32&lt;/item&gt;&lt;item&gt;33&lt;/item&gt;&lt;item&gt;35&lt;/item&gt;&lt;item&gt;36&lt;/item&gt;&lt;item&gt;39&lt;/item&gt;&lt;item&gt;41&lt;/item&gt;&lt;item&gt;43&lt;/item&gt;&lt;item&gt;45&lt;/item&gt;&lt;item&gt;46&lt;/item&gt;&lt;item&gt;49&lt;/item&gt;&lt;item&gt;51&lt;/item&gt;&lt;item&gt;52&lt;/item&gt;&lt;item&gt;54&lt;/item&gt;&lt;item&gt;56&lt;/item&gt;&lt;item&gt;63&lt;/item&gt;&lt;item&gt;70&lt;/item&gt;&lt;item&gt;71&lt;/item&gt;&lt;item&gt;73&lt;/item&gt;&lt;item&gt;81&lt;/item&gt;&lt;item&gt;83&lt;/item&gt;&lt;item&gt;92&lt;/item&gt;&lt;item&gt;147&lt;/item&gt;&lt;item&gt;148&lt;/item&gt;&lt;item&gt;400&lt;/item&gt;&lt;item&gt;543&lt;/item&gt;&lt;item&gt;544&lt;/item&gt;&lt;item&gt;551&lt;/item&gt;&lt;item&gt;554&lt;/item&gt;&lt;item&gt;567&lt;/item&gt;&lt;item&gt;616&lt;/item&gt;&lt;item&gt;619&lt;/item&gt;&lt;item&gt;623&lt;/item&gt;&lt;item&gt;624&lt;/item&gt;&lt;item&gt;626&lt;/item&gt;&lt;item&gt;627&lt;/item&gt;&lt;item&gt;633&lt;/item&gt;&lt;item&gt;637&lt;/item&gt;&lt;item&gt;638&lt;/item&gt;&lt;item&gt;639&lt;/item&gt;&lt;item&gt;640&lt;/item&gt;&lt;item&gt;642&lt;/item&gt;&lt;item&gt;643&lt;/item&gt;&lt;item&gt;644&lt;/item&gt;&lt;item&gt;647&lt;/item&gt;&lt;item&gt;649&lt;/item&gt;&lt;item&gt;650&lt;/item&gt;&lt;item&gt;651&lt;/item&gt;&lt;item&gt;653&lt;/item&gt;&lt;item&gt;703&lt;/item&gt;&lt;item&gt;736&lt;/item&gt;&lt;item&gt;747&lt;/item&gt;&lt;item&gt;748&lt;/item&gt;&lt;item&gt;758&lt;/item&gt;&lt;item&gt;777&lt;/item&gt;&lt;item&gt;796&lt;/item&gt;&lt;item&gt;797&lt;/item&gt;&lt;item&gt;921&lt;/item&gt;&lt;item&gt;925&lt;/item&gt;&lt;item&gt;926&lt;/item&gt;&lt;item&gt;929&lt;/item&gt;&lt;item&gt;935&lt;/item&gt;&lt;item&gt;940&lt;/item&gt;&lt;item&gt;942&lt;/item&gt;&lt;item&gt;950&lt;/item&gt;&lt;item&gt;1083&lt;/item&gt;&lt;item&gt;1087&lt;/item&gt;&lt;item&gt;1092&lt;/item&gt;&lt;item&gt;1097&lt;/item&gt;&lt;item&gt;1099&lt;/item&gt;&lt;item&gt;1100&lt;/item&gt;&lt;item&gt;1101&lt;/item&gt;&lt;item&gt;1103&lt;/item&gt;&lt;item&gt;1106&lt;/item&gt;&lt;item&gt;1108&lt;/item&gt;&lt;item&gt;1109&lt;/item&gt;&lt;item&gt;1110&lt;/item&gt;&lt;item&gt;1111&lt;/item&gt;&lt;item&gt;1118&lt;/item&gt;&lt;item&gt;1119&lt;/item&gt;&lt;item&gt;1120&lt;/item&gt;&lt;item&gt;1121&lt;/item&gt;&lt;item&gt;1123&lt;/item&gt;&lt;item&gt;1124&lt;/item&gt;&lt;item&gt;1125&lt;/item&gt;&lt;item&gt;1126&lt;/item&gt;&lt;item&gt;1127&lt;/item&gt;&lt;item&gt;1128&lt;/item&gt;&lt;item&gt;1131&lt;/item&gt;&lt;item&gt;1136&lt;/item&gt;&lt;item&gt;1137&lt;/item&gt;&lt;item&gt;1138&lt;/item&gt;&lt;item&gt;1139&lt;/item&gt;&lt;item&gt;1141&lt;/item&gt;&lt;item&gt;1144&lt;/item&gt;&lt;item&gt;1146&lt;/item&gt;&lt;item&gt;1147&lt;/item&gt;&lt;item&gt;1148&lt;/item&gt;&lt;item&gt;1149&lt;/item&gt;&lt;item&gt;1151&lt;/item&gt;&lt;item&gt;1152&lt;/item&gt;&lt;item&gt;1154&lt;/item&gt;&lt;item&gt;1163&lt;/item&gt;&lt;item&gt;1165&lt;/item&gt;&lt;item&gt;1174&lt;/item&gt;&lt;item&gt;1175&lt;/item&gt;&lt;item&gt;1181&lt;/item&gt;&lt;item&gt;1187&lt;/item&gt;&lt;item&gt;1188&lt;/item&gt;&lt;item&gt;1189&lt;/item&gt;&lt;item&gt;1190&lt;/item&gt;&lt;item&gt;1191&lt;/item&gt;&lt;item&gt;1192&lt;/item&gt;&lt;item&gt;1193&lt;/item&gt;&lt;item&gt;1195&lt;/item&gt;&lt;item&gt;1197&lt;/item&gt;&lt;item&gt;1198&lt;/item&gt;&lt;item&gt;1199&lt;/item&gt;&lt;item&gt;1202&lt;/item&gt;&lt;item&gt;1209&lt;/item&gt;&lt;item&gt;1213&lt;/item&gt;&lt;item&gt;1214&lt;/item&gt;&lt;item&gt;1217&lt;/item&gt;&lt;item&gt;1218&lt;/item&gt;&lt;item&gt;1221&lt;/item&gt;&lt;item&gt;1222&lt;/item&gt;&lt;item&gt;1223&lt;/item&gt;&lt;item&gt;1224&lt;/item&gt;&lt;item&gt;1226&lt;/item&gt;&lt;item&gt;1227&lt;/item&gt;&lt;item&gt;1228&lt;/item&gt;&lt;item&gt;1229&lt;/item&gt;&lt;item&gt;1230&lt;/item&gt;&lt;item&gt;1233&lt;/item&gt;&lt;item&gt;1241&lt;/item&gt;&lt;item&gt;1252&lt;/item&gt;&lt;item&gt;1253&lt;/item&gt;&lt;item&gt;1254&lt;/item&gt;&lt;item&gt;1255&lt;/item&gt;&lt;item&gt;1256&lt;/item&gt;&lt;item&gt;1257&lt;/item&gt;&lt;/record-ids&gt;&lt;/item&gt;&lt;/Libraries&gt;"/>
  </w:docVars>
  <w:rsids>
    <w:rsidRoot w:val="00E66CCB"/>
    <w:rsid w:val="000052E3"/>
    <w:rsid w:val="0001255C"/>
    <w:rsid w:val="00014A69"/>
    <w:rsid w:val="000173EB"/>
    <w:rsid w:val="000309C8"/>
    <w:rsid w:val="0003420E"/>
    <w:rsid w:val="00037D9D"/>
    <w:rsid w:val="00043338"/>
    <w:rsid w:val="00045DDF"/>
    <w:rsid w:val="000514C3"/>
    <w:rsid w:val="00052F0D"/>
    <w:rsid w:val="000533AF"/>
    <w:rsid w:val="00053A24"/>
    <w:rsid w:val="00053EBD"/>
    <w:rsid w:val="0005500A"/>
    <w:rsid w:val="00056369"/>
    <w:rsid w:val="00060A34"/>
    <w:rsid w:val="000655D1"/>
    <w:rsid w:val="00076679"/>
    <w:rsid w:val="00080863"/>
    <w:rsid w:val="000813E1"/>
    <w:rsid w:val="00081F44"/>
    <w:rsid w:val="0008294E"/>
    <w:rsid w:val="000831C2"/>
    <w:rsid w:val="00086A10"/>
    <w:rsid w:val="00087633"/>
    <w:rsid w:val="00092054"/>
    <w:rsid w:val="000A0579"/>
    <w:rsid w:val="000A69F4"/>
    <w:rsid w:val="000A71B1"/>
    <w:rsid w:val="000B172B"/>
    <w:rsid w:val="000B18EF"/>
    <w:rsid w:val="000B1B00"/>
    <w:rsid w:val="000B6329"/>
    <w:rsid w:val="000B6EA3"/>
    <w:rsid w:val="000C1067"/>
    <w:rsid w:val="000C1219"/>
    <w:rsid w:val="000C151C"/>
    <w:rsid w:val="000C3295"/>
    <w:rsid w:val="000C65D4"/>
    <w:rsid w:val="000D3ACD"/>
    <w:rsid w:val="000D4504"/>
    <w:rsid w:val="000E03F7"/>
    <w:rsid w:val="000E1E46"/>
    <w:rsid w:val="000E21E5"/>
    <w:rsid w:val="000E3804"/>
    <w:rsid w:val="000E4AD5"/>
    <w:rsid w:val="000E6359"/>
    <w:rsid w:val="000F62D3"/>
    <w:rsid w:val="00100C5E"/>
    <w:rsid w:val="00101047"/>
    <w:rsid w:val="00106184"/>
    <w:rsid w:val="00106947"/>
    <w:rsid w:val="001079F0"/>
    <w:rsid w:val="00110CE2"/>
    <w:rsid w:val="00112ED8"/>
    <w:rsid w:val="00113E0D"/>
    <w:rsid w:val="00114A91"/>
    <w:rsid w:val="0012088D"/>
    <w:rsid w:val="0012131D"/>
    <w:rsid w:val="00124D59"/>
    <w:rsid w:val="001259A3"/>
    <w:rsid w:val="001259F0"/>
    <w:rsid w:val="00131C01"/>
    <w:rsid w:val="001358E2"/>
    <w:rsid w:val="00135C98"/>
    <w:rsid w:val="0014055A"/>
    <w:rsid w:val="00141834"/>
    <w:rsid w:val="00144E76"/>
    <w:rsid w:val="00147424"/>
    <w:rsid w:val="00147C9B"/>
    <w:rsid w:val="001508BC"/>
    <w:rsid w:val="00150B47"/>
    <w:rsid w:val="00152EFF"/>
    <w:rsid w:val="0015317A"/>
    <w:rsid w:val="00161005"/>
    <w:rsid w:val="00171E29"/>
    <w:rsid w:val="00174611"/>
    <w:rsid w:val="0017566D"/>
    <w:rsid w:val="001761CF"/>
    <w:rsid w:val="0017793F"/>
    <w:rsid w:val="00180EF2"/>
    <w:rsid w:val="00181F37"/>
    <w:rsid w:val="00183DCF"/>
    <w:rsid w:val="00191D98"/>
    <w:rsid w:val="001A4299"/>
    <w:rsid w:val="001B2857"/>
    <w:rsid w:val="001B32C0"/>
    <w:rsid w:val="001B62D3"/>
    <w:rsid w:val="001C0A90"/>
    <w:rsid w:val="001C5760"/>
    <w:rsid w:val="001C675E"/>
    <w:rsid w:val="001D1B87"/>
    <w:rsid w:val="001D1FDA"/>
    <w:rsid w:val="001D2501"/>
    <w:rsid w:val="001D4427"/>
    <w:rsid w:val="001F0197"/>
    <w:rsid w:val="001F06AE"/>
    <w:rsid w:val="001F6C78"/>
    <w:rsid w:val="0020038D"/>
    <w:rsid w:val="002068E6"/>
    <w:rsid w:val="002127E1"/>
    <w:rsid w:val="002127F1"/>
    <w:rsid w:val="0021483C"/>
    <w:rsid w:val="002149AD"/>
    <w:rsid w:val="002155FD"/>
    <w:rsid w:val="00217C26"/>
    <w:rsid w:val="002229C3"/>
    <w:rsid w:val="00231846"/>
    <w:rsid w:val="0023250F"/>
    <w:rsid w:val="00234448"/>
    <w:rsid w:val="002413DA"/>
    <w:rsid w:val="00242D5A"/>
    <w:rsid w:val="00245652"/>
    <w:rsid w:val="00246B0C"/>
    <w:rsid w:val="00247456"/>
    <w:rsid w:val="002507FC"/>
    <w:rsid w:val="00252220"/>
    <w:rsid w:val="00252E43"/>
    <w:rsid w:val="00256E9B"/>
    <w:rsid w:val="002616A8"/>
    <w:rsid w:val="00264FE4"/>
    <w:rsid w:val="00275217"/>
    <w:rsid w:val="0028047F"/>
    <w:rsid w:val="00285015"/>
    <w:rsid w:val="0028664B"/>
    <w:rsid w:val="0029378D"/>
    <w:rsid w:val="002937BD"/>
    <w:rsid w:val="00293805"/>
    <w:rsid w:val="00296ACF"/>
    <w:rsid w:val="002A2953"/>
    <w:rsid w:val="002A30F4"/>
    <w:rsid w:val="002A32A8"/>
    <w:rsid w:val="002A383E"/>
    <w:rsid w:val="002A4F61"/>
    <w:rsid w:val="002A7E4D"/>
    <w:rsid w:val="002B180B"/>
    <w:rsid w:val="002B7598"/>
    <w:rsid w:val="002C022A"/>
    <w:rsid w:val="002C25B4"/>
    <w:rsid w:val="002C3714"/>
    <w:rsid w:val="002C7FE3"/>
    <w:rsid w:val="002D0608"/>
    <w:rsid w:val="002D0945"/>
    <w:rsid w:val="002D127D"/>
    <w:rsid w:val="002D1876"/>
    <w:rsid w:val="002D7403"/>
    <w:rsid w:val="002D79E2"/>
    <w:rsid w:val="002E63B3"/>
    <w:rsid w:val="002E7E71"/>
    <w:rsid w:val="002E7EB4"/>
    <w:rsid w:val="002F0468"/>
    <w:rsid w:val="002F10F7"/>
    <w:rsid w:val="002F22AD"/>
    <w:rsid w:val="002F22E9"/>
    <w:rsid w:val="002F25AB"/>
    <w:rsid w:val="002F4678"/>
    <w:rsid w:val="00301182"/>
    <w:rsid w:val="003013C2"/>
    <w:rsid w:val="003018E5"/>
    <w:rsid w:val="003021BC"/>
    <w:rsid w:val="00311CE4"/>
    <w:rsid w:val="00314B75"/>
    <w:rsid w:val="00314D8E"/>
    <w:rsid w:val="00317F57"/>
    <w:rsid w:val="0032180C"/>
    <w:rsid w:val="003227D5"/>
    <w:rsid w:val="00323379"/>
    <w:rsid w:val="00323D78"/>
    <w:rsid w:val="00327E90"/>
    <w:rsid w:val="003310A3"/>
    <w:rsid w:val="00334C58"/>
    <w:rsid w:val="00335967"/>
    <w:rsid w:val="00345517"/>
    <w:rsid w:val="00345A4D"/>
    <w:rsid w:val="00347852"/>
    <w:rsid w:val="00352353"/>
    <w:rsid w:val="003524F4"/>
    <w:rsid w:val="00354F4D"/>
    <w:rsid w:val="003565DF"/>
    <w:rsid w:val="0036236C"/>
    <w:rsid w:val="00365C13"/>
    <w:rsid w:val="00366650"/>
    <w:rsid w:val="0036789B"/>
    <w:rsid w:val="0037041B"/>
    <w:rsid w:val="003714A0"/>
    <w:rsid w:val="003810F8"/>
    <w:rsid w:val="0038586A"/>
    <w:rsid w:val="0038738F"/>
    <w:rsid w:val="00391BB3"/>
    <w:rsid w:val="00393EBF"/>
    <w:rsid w:val="00394AF0"/>
    <w:rsid w:val="003A1E26"/>
    <w:rsid w:val="003A3A41"/>
    <w:rsid w:val="003B1D8F"/>
    <w:rsid w:val="003B2986"/>
    <w:rsid w:val="003B70E3"/>
    <w:rsid w:val="003C0762"/>
    <w:rsid w:val="003C1348"/>
    <w:rsid w:val="003C57FF"/>
    <w:rsid w:val="003C60F2"/>
    <w:rsid w:val="003C7A4A"/>
    <w:rsid w:val="003C7B9C"/>
    <w:rsid w:val="003D32A5"/>
    <w:rsid w:val="003D4C82"/>
    <w:rsid w:val="003D5D35"/>
    <w:rsid w:val="003D6FDF"/>
    <w:rsid w:val="003E03A7"/>
    <w:rsid w:val="003E30D8"/>
    <w:rsid w:val="003E34E5"/>
    <w:rsid w:val="003E4BE1"/>
    <w:rsid w:val="003F1DB8"/>
    <w:rsid w:val="003F2088"/>
    <w:rsid w:val="003F21B7"/>
    <w:rsid w:val="003F6F0C"/>
    <w:rsid w:val="003F7843"/>
    <w:rsid w:val="00404F43"/>
    <w:rsid w:val="004136FF"/>
    <w:rsid w:val="004153D4"/>
    <w:rsid w:val="00427272"/>
    <w:rsid w:val="004328A4"/>
    <w:rsid w:val="00434B26"/>
    <w:rsid w:val="00437056"/>
    <w:rsid w:val="00442359"/>
    <w:rsid w:val="0044237B"/>
    <w:rsid w:val="00444401"/>
    <w:rsid w:val="0044568C"/>
    <w:rsid w:val="0044705F"/>
    <w:rsid w:val="00451BF7"/>
    <w:rsid w:val="00453F8B"/>
    <w:rsid w:val="00455097"/>
    <w:rsid w:val="004579D1"/>
    <w:rsid w:val="004603DA"/>
    <w:rsid w:val="00460C0E"/>
    <w:rsid w:val="004643F5"/>
    <w:rsid w:val="0046526F"/>
    <w:rsid w:val="00465675"/>
    <w:rsid w:val="004672AA"/>
    <w:rsid w:val="00470C42"/>
    <w:rsid w:val="00472296"/>
    <w:rsid w:val="00480256"/>
    <w:rsid w:val="00481788"/>
    <w:rsid w:val="00482EEE"/>
    <w:rsid w:val="00483F08"/>
    <w:rsid w:val="00484408"/>
    <w:rsid w:val="00487D8D"/>
    <w:rsid w:val="00490779"/>
    <w:rsid w:val="0049110E"/>
    <w:rsid w:val="00491B57"/>
    <w:rsid w:val="00497CE1"/>
    <w:rsid w:val="004A01E7"/>
    <w:rsid w:val="004A0AC9"/>
    <w:rsid w:val="004A5FE6"/>
    <w:rsid w:val="004A7BCA"/>
    <w:rsid w:val="004B205D"/>
    <w:rsid w:val="004B242D"/>
    <w:rsid w:val="004B2A76"/>
    <w:rsid w:val="004B2CE0"/>
    <w:rsid w:val="004B5CCB"/>
    <w:rsid w:val="004B6415"/>
    <w:rsid w:val="004B70B3"/>
    <w:rsid w:val="004C1EB4"/>
    <w:rsid w:val="004C6125"/>
    <w:rsid w:val="004C63F5"/>
    <w:rsid w:val="004D147C"/>
    <w:rsid w:val="004D2401"/>
    <w:rsid w:val="004D3996"/>
    <w:rsid w:val="004E0F1B"/>
    <w:rsid w:val="004E2857"/>
    <w:rsid w:val="004E71B6"/>
    <w:rsid w:val="004F4E19"/>
    <w:rsid w:val="004F58AD"/>
    <w:rsid w:val="004F5E7C"/>
    <w:rsid w:val="004F739F"/>
    <w:rsid w:val="004F7ED8"/>
    <w:rsid w:val="00502A3B"/>
    <w:rsid w:val="00503B55"/>
    <w:rsid w:val="00505FB2"/>
    <w:rsid w:val="0050601D"/>
    <w:rsid w:val="00506BC0"/>
    <w:rsid w:val="00510B6E"/>
    <w:rsid w:val="005117F0"/>
    <w:rsid w:val="00514F6A"/>
    <w:rsid w:val="00515184"/>
    <w:rsid w:val="00515C25"/>
    <w:rsid w:val="00517F57"/>
    <w:rsid w:val="00522933"/>
    <w:rsid w:val="00522C0F"/>
    <w:rsid w:val="00527826"/>
    <w:rsid w:val="00531379"/>
    <w:rsid w:val="005346D8"/>
    <w:rsid w:val="0054001B"/>
    <w:rsid w:val="005411BA"/>
    <w:rsid w:val="0054186D"/>
    <w:rsid w:val="00542137"/>
    <w:rsid w:val="00542ED0"/>
    <w:rsid w:val="00543656"/>
    <w:rsid w:val="00547C36"/>
    <w:rsid w:val="0055079F"/>
    <w:rsid w:val="005512D2"/>
    <w:rsid w:val="00555D42"/>
    <w:rsid w:val="00557FDA"/>
    <w:rsid w:val="005661FC"/>
    <w:rsid w:val="005674F7"/>
    <w:rsid w:val="00571552"/>
    <w:rsid w:val="00572882"/>
    <w:rsid w:val="00574ACF"/>
    <w:rsid w:val="005855BF"/>
    <w:rsid w:val="00587703"/>
    <w:rsid w:val="00587AEE"/>
    <w:rsid w:val="00591278"/>
    <w:rsid w:val="00591BFC"/>
    <w:rsid w:val="00591D08"/>
    <w:rsid w:val="00592031"/>
    <w:rsid w:val="00596CA3"/>
    <w:rsid w:val="005972EC"/>
    <w:rsid w:val="005979BA"/>
    <w:rsid w:val="005A0100"/>
    <w:rsid w:val="005A2500"/>
    <w:rsid w:val="005B083B"/>
    <w:rsid w:val="005B37D1"/>
    <w:rsid w:val="005B7450"/>
    <w:rsid w:val="005B7A96"/>
    <w:rsid w:val="005B7C34"/>
    <w:rsid w:val="005C3017"/>
    <w:rsid w:val="005C3301"/>
    <w:rsid w:val="005C5412"/>
    <w:rsid w:val="005D44EE"/>
    <w:rsid w:val="005D6C4C"/>
    <w:rsid w:val="005E1176"/>
    <w:rsid w:val="005E1C19"/>
    <w:rsid w:val="005E28FD"/>
    <w:rsid w:val="005E3336"/>
    <w:rsid w:val="005E43F5"/>
    <w:rsid w:val="005E46BA"/>
    <w:rsid w:val="005E4E2F"/>
    <w:rsid w:val="005E60A4"/>
    <w:rsid w:val="005F6AA6"/>
    <w:rsid w:val="00610A23"/>
    <w:rsid w:val="00611656"/>
    <w:rsid w:val="00614F06"/>
    <w:rsid w:val="00615358"/>
    <w:rsid w:val="0061781D"/>
    <w:rsid w:val="00617823"/>
    <w:rsid w:val="00621ABD"/>
    <w:rsid w:val="00623AB2"/>
    <w:rsid w:val="0062467B"/>
    <w:rsid w:val="00625755"/>
    <w:rsid w:val="00626B60"/>
    <w:rsid w:val="00633639"/>
    <w:rsid w:val="0063425A"/>
    <w:rsid w:val="0063484A"/>
    <w:rsid w:val="00634EDF"/>
    <w:rsid w:val="00635313"/>
    <w:rsid w:val="006361CC"/>
    <w:rsid w:val="0064171A"/>
    <w:rsid w:val="006433D3"/>
    <w:rsid w:val="00643522"/>
    <w:rsid w:val="0064518B"/>
    <w:rsid w:val="00650176"/>
    <w:rsid w:val="00651F2D"/>
    <w:rsid w:val="00655089"/>
    <w:rsid w:val="0065714E"/>
    <w:rsid w:val="00662438"/>
    <w:rsid w:val="00662BB4"/>
    <w:rsid w:val="00664E8C"/>
    <w:rsid w:val="00665FD3"/>
    <w:rsid w:val="00666A9B"/>
    <w:rsid w:val="00667D59"/>
    <w:rsid w:val="00673BB7"/>
    <w:rsid w:val="00676220"/>
    <w:rsid w:val="006833D8"/>
    <w:rsid w:val="00683FC7"/>
    <w:rsid w:val="0068523F"/>
    <w:rsid w:val="0069281C"/>
    <w:rsid w:val="00694E86"/>
    <w:rsid w:val="006A0F63"/>
    <w:rsid w:val="006A511C"/>
    <w:rsid w:val="006A5BC4"/>
    <w:rsid w:val="006A630F"/>
    <w:rsid w:val="006A7D8D"/>
    <w:rsid w:val="006B1068"/>
    <w:rsid w:val="006B3519"/>
    <w:rsid w:val="006B566C"/>
    <w:rsid w:val="006B62F7"/>
    <w:rsid w:val="006B6620"/>
    <w:rsid w:val="006B6B6C"/>
    <w:rsid w:val="006B72BE"/>
    <w:rsid w:val="006C026C"/>
    <w:rsid w:val="006C06F9"/>
    <w:rsid w:val="006C0BBA"/>
    <w:rsid w:val="006C1591"/>
    <w:rsid w:val="006C6DD9"/>
    <w:rsid w:val="006D271E"/>
    <w:rsid w:val="006D28F7"/>
    <w:rsid w:val="006D41FB"/>
    <w:rsid w:val="006D4C91"/>
    <w:rsid w:val="006D4F3E"/>
    <w:rsid w:val="006E1B1B"/>
    <w:rsid w:val="006E37DB"/>
    <w:rsid w:val="006E6DDE"/>
    <w:rsid w:val="006F4AD5"/>
    <w:rsid w:val="006F52C3"/>
    <w:rsid w:val="006F5D10"/>
    <w:rsid w:val="00700E3E"/>
    <w:rsid w:val="00700F87"/>
    <w:rsid w:val="00701E7D"/>
    <w:rsid w:val="0071186E"/>
    <w:rsid w:val="00711A4F"/>
    <w:rsid w:val="00721553"/>
    <w:rsid w:val="00733064"/>
    <w:rsid w:val="0073544A"/>
    <w:rsid w:val="00745889"/>
    <w:rsid w:val="007458E2"/>
    <w:rsid w:val="00746C94"/>
    <w:rsid w:val="00754E59"/>
    <w:rsid w:val="007608C2"/>
    <w:rsid w:val="00761E64"/>
    <w:rsid w:val="0076253D"/>
    <w:rsid w:val="0076307D"/>
    <w:rsid w:val="00764089"/>
    <w:rsid w:val="00764825"/>
    <w:rsid w:val="007715E2"/>
    <w:rsid w:val="00776A29"/>
    <w:rsid w:val="00776C05"/>
    <w:rsid w:val="00777890"/>
    <w:rsid w:val="00777CF5"/>
    <w:rsid w:val="007813CC"/>
    <w:rsid w:val="00784BE9"/>
    <w:rsid w:val="00792528"/>
    <w:rsid w:val="007947DA"/>
    <w:rsid w:val="00794852"/>
    <w:rsid w:val="0079486A"/>
    <w:rsid w:val="00794C2D"/>
    <w:rsid w:val="00796846"/>
    <w:rsid w:val="00797551"/>
    <w:rsid w:val="007A2476"/>
    <w:rsid w:val="007A6450"/>
    <w:rsid w:val="007A70B9"/>
    <w:rsid w:val="007A73EB"/>
    <w:rsid w:val="007B07A0"/>
    <w:rsid w:val="007B08B0"/>
    <w:rsid w:val="007B18C0"/>
    <w:rsid w:val="007B4345"/>
    <w:rsid w:val="007B4ED0"/>
    <w:rsid w:val="007B5FB8"/>
    <w:rsid w:val="007C6E9B"/>
    <w:rsid w:val="007D1DD4"/>
    <w:rsid w:val="007E1C7D"/>
    <w:rsid w:val="007E24F8"/>
    <w:rsid w:val="007E5FCE"/>
    <w:rsid w:val="007F0F55"/>
    <w:rsid w:val="007F258D"/>
    <w:rsid w:val="008010D5"/>
    <w:rsid w:val="0080182E"/>
    <w:rsid w:val="00801F1F"/>
    <w:rsid w:val="00812CC7"/>
    <w:rsid w:val="00812F78"/>
    <w:rsid w:val="00813064"/>
    <w:rsid w:val="00815953"/>
    <w:rsid w:val="00820085"/>
    <w:rsid w:val="008218C5"/>
    <w:rsid w:val="008248EA"/>
    <w:rsid w:val="00825F3D"/>
    <w:rsid w:val="00832F55"/>
    <w:rsid w:val="008346A6"/>
    <w:rsid w:val="008347D7"/>
    <w:rsid w:val="00835121"/>
    <w:rsid w:val="0083544B"/>
    <w:rsid w:val="00837363"/>
    <w:rsid w:val="0084170F"/>
    <w:rsid w:val="00843947"/>
    <w:rsid w:val="00845110"/>
    <w:rsid w:val="0084586A"/>
    <w:rsid w:val="00847347"/>
    <w:rsid w:val="0085163A"/>
    <w:rsid w:val="008521FF"/>
    <w:rsid w:val="00852B5E"/>
    <w:rsid w:val="00855C09"/>
    <w:rsid w:val="00864D85"/>
    <w:rsid w:val="00866F8C"/>
    <w:rsid w:val="0086702D"/>
    <w:rsid w:val="0087597D"/>
    <w:rsid w:val="008774B9"/>
    <w:rsid w:val="00884AEA"/>
    <w:rsid w:val="00886054"/>
    <w:rsid w:val="00892641"/>
    <w:rsid w:val="00896307"/>
    <w:rsid w:val="00897D67"/>
    <w:rsid w:val="008A0BC3"/>
    <w:rsid w:val="008A13E6"/>
    <w:rsid w:val="008A2F17"/>
    <w:rsid w:val="008A546F"/>
    <w:rsid w:val="008A6CC5"/>
    <w:rsid w:val="008B0FC3"/>
    <w:rsid w:val="008B10C9"/>
    <w:rsid w:val="008B229C"/>
    <w:rsid w:val="008B27D3"/>
    <w:rsid w:val="008B5F61"/>
    <w:rsid w:val="008C2757"/>
    <w:rsid w:val="008C3090"/>
    <w:rsid w:val="008C4889"/>
    <w:rsid w:val="008D2C65"/>
    <w:rsid w:val="008D33B0"/>
    <w:rsid w:val="008D5884"/>
    <w:rsid w:val="008E6533"/>
    <w:rsid w:val="008E669E"/>
    <w:rsid w:val="008E7E74"/>
    <w:rsid w:val="008F1825"/>
    <w:rsid w:val="008F18EB"/>
    <w:rsid w:val="008F4624"/>
    <w:rsid w:val="00904D67"/>
    <w:rsid w:val="00905A57"/>
    <w:rsid w:val="00910522"/>
    <w:rsid w:val="00910C65"/>
    <w:rsid w:val="00910E76"/>
    <w:rsid w:val="0091493B"/>
    <w:rsid w:val="0091605A"/>
    <w:rsid w:val="009208AA"/>
    <w:rsid w:val="00926659"/>
    <w:rsid w:val="009353CA"/>
    <w:rsid w:val="00935DD3"/>
    <w:rsid w:val="00936B34"/>
    <w:rsid w:val="009414F5"/>
    <w:rsid w:val="009424A4"/>
    <w:rsid w:val="00943A7E"/>
    <w:rsid w:val="00944A78"/>
    <w:rsid w:val="00945BA9"/>
    <w:rsid w:val="00946A3C"/>
    <w:rsid w:val="00950CFB"/>
    <w:rsid w:val="009517E9"/>
    <w:rsid w:val="00954362"/>
    <w:rsid w:val="009573AF"/>
    <w:rsid w:val="00960622"/>
    <w:rsid w:val="00961987"/>
    <w:rsid w:val="00962B3F"/>
    <w:rsid w:val="00972318"/>
    <w:rsid w:val="009750CA"/>
    <w:rsid w:val="00976CC3"/>
    <w:rsid w:val="009806BA"/>
    <w:rsid w:val="0099095E"/>
    <w:rsid w:val="00992D01"/>
    <w:rsid w:val="0099436C"/>
    <w:rsid w:val="00997891"/>
    <w:rsid w:val="009A40DE"/>
    <w:rsid w:val="009A658D"/>
    <w:rsid w:val="009A6737"/>
    <w:rsid w:val="009B1A50"/>
    <w:rsid w:val="009B2900"/>
    <w:rsid w:val="009C135E"/>
    <w:rsid w:val="009C25C8"/>
    <w:rsid w:val="009C31A0"/>
    <w:rsid w:val="009C6678"/>
    <w:rsid w:val="009C7A5F"/>
    <w:rsid w:val="009D0596"/>
    <w:rsid w:val="009D190E"/>
    <w:rsid w:val="009D2CB2"/>
    <w:rsid w:val="009D3B4E"/>
    <w:rsid w:val="009D3F30"/>
    <w:rsid w:val="009D7991"/>
    <w:rsid w:val="009E438C"/>
    <w:rsid w:val="009E7675"/>
    <w:rsid w:val="009F0D51"/>
    <w:rsid w:val="009F1181"/>
    <w:rsid w:val="009F6E98"/>
    <w:rsid w:val="00A01968"/>
    <w:rsid w:val="00A02556"/>
    <w:rsid w:val="00A06AC8"/>
    <w:rsid w:val="00A11D82"/>
    <w:rsid w:val="00A13BE2"/>
    <w:rsid w:val="00A15BC1"/>
    <w:rsid w:val="00A20515"/>
    <w:rsid w:val="00A233C5"/>
    <w:rsid w:val="00A25C8E"/>
    <w:rsid w:val="00A30CA7"/>
    <w:rsid w:val="00A323EC"/>
    <w:rsid w:val="00A3425C"/>
    <w:rsid w:val="00A35954"/>
    <w:rsid w:val="00A35B4F"/>
    <w:rsid w:val="00A4578E"/>
    <w:rsid w:val="00A475D0"/>
    <w:rsid w:val="00A47E04"/>
    <w:rsid w:val="00A534FE"/>
    <w:rsid w:val="00A577F9"/>
    <w:rsid w:val="00A6125E"/>
    <w:rsid w:val="00A70D1B"/>
    <w:rsid w:val="00A74CF9"/>
    <w:rsid w:val="00A75A5C"/>
    <w:rsid w:val="00A75A6F"/>
    <w:rsid w:val="00A77A6F"/>
    <w:rsid w:val="00A84516"/>
    <w:rsid w:val="00A90AF8"/>
    <w:rsid w:val="00A9334A"/>
    <w:rsid w:val="00A93DBF"/>
    <w:rsid w:val="00A9610B"/>
    <w:rsid w:val="00AA2C46"/>
    <w:rsid w:val="00AA4B14"/>
    <w:rsid w:val="00AB5440"/>
    <w:rsid w:val="00AB57EE"/>
    <w:rsid w:val="00AB59D4"/>
    <w:rsid w:val="00AC6284"/>
    <w:rsid w:val="00AC69AB"/>
    <w:rsid w:val="00AC7BCC"/>
    <w:rsid w:val="00AD032C"/>
    <w:rsid w:val="00AD04D2"/>
    <w:rsid w:val="00AD4BA7"/>
    <w:rsid w:val="00AD533F"/>
    <w:rsid w:val="00AD6251"/>
    <w:rsid w:val="00AD7188"/>
    <w:rsid w:val="00AD7A06"/>
    <w:rsid w:val="00AE737F"/>
    <w:rsid w:val="00AE7EE6"/>
    <w:rsid w:val="00AF3418"/>
    <w:rsid w:val="00AF732D"/>
    <w:rsid w:val="00B02A2C"/>
    <w:rsid w:val="00B135D9"/>
    <w:rsid w:val="00B20D53"/>
    <w:rsid w:val="00B21A4A"/>
    <w:rsid w:val="00B21B76"/>
    <w:rsid w:val="00B2444A"/>
    <w:rsid w:val="00B24FEE"/>
    <w:rsid w:val="00B25D33"/>
    <w:rsid w:val="00B26452"/>
    <w:rsid w:val="00B32B53"/>
    <w:rsid w:val="00B3555E"/>
    <w:rsid w:val="00B36F9D"/>
    <w:rsid w:val="00B5075E"/>
    <w:rsid w:val="00B509F5"/>
    <w:rsid w:val="00B5138E"/>
    <w:rsid w:val="00B524B7"/>
    <w:rsid w:val="00B52965"/>
    <w:rsid w:val="00B5300B"/>
    <w:rsid w:val="00B53266"/>
    <w:rsid w:val="00B55249"/>
    <w:rsid w:val="00B55AC0"/>
    <w:rsid w:val="00B57573"/>
    <w:rsid w:val="00B64A85"/>
    <w:rsid w:val="00B65190"/>
    <w:rsid w:val="00B70DDB"/>
    <w:rsid w:val="00B727CD"/>
    <w:rsid w:val="00B7504B"/>
    <w:rsid w:val="00B81268"/>
    <w:rsid w:val="00B91660"/>
    <w:rsid w:val="00B9202B"/>
    <w:rsid w:val="00B920D5"/>
    <w:rsid w:val="00B92641"/>
    <w:rsid w:val="00B958AD"/>
    <w:rsid w:val="00B95DE1"/>
    <w:rsid w:val="00B961C6"/>
    <w:rsid w:val="00B966B2"/>
    <w:rsid w:val="00BA3144"/>
    <w:rsid w:val="00BA4355"/>
    <w:rsid w:val="00BA54C6"/>
    <w:rsid w:val="00BB2C2A"/>
    <w:rsid w:val="00BB347C"/>
    <w:rsid w:val="00BB542F"/>
    <w:rsid w:val="00BB67BB"/>
    <w:rsid w:val="00BC0F6F"/>
    <w:rsid w:val="00BC19EE"/>
    <w:rsid w:val="00BC4396"/>
    <w:rsid w:val="00BC674F"/>
    <w:rsid w:val="00BC6C54"/>
    <w:rsid w:val="00BD04CD"/>
    <w:rsid w:val="00BD0E89"/>
    <w:rsid w:val="00BD55AB"/>
    <w:rsid w:val="00BD735D"/>
    <w:rsid w:val="00BE7D08"/>
    <w:rsid w:val="00BF0C65"/>
    <w:rsid w:val="00BF1287"/>
    <w:rsid w:val="00BF1A68"/>
    <w:rsid w:val="00BF2D97"/>
    <w:rsid w:val="00BF3DD0"/>
    <w:rsid w:val="00BF4374"/>
    <w:rsid w:val="00BF5079"/>
    <w:rsid w:val="00BF7B0B"/>
    <w:rsid w:val="00C02B1C"/>
    <w:rsid w:val="00C0705C"/>
    <w:rsid w:val="00C070BB"/>
    <w:rsid w:val="00C10A9D"/>
    <w:rsid w:val="00C1123C"/>
    <w:rsid w:val="00C12D29"/>
    <w:rsid w:val="00C13186"/>
    <w:rsid w:val="00C16440"/>
    <w:rsid w:val="00C177BD"/>
    <w:rsid w:val="00C21E59"/>
    <w:rsid w:val="00C23C0B"/>
    <w:rsid w:val="00C2654B"/>
    <w:rsid w:val="00C32CBE"/>
    <w:rsid w:val="00C35AA4"/>
    <w:rsid w:val="00C35D03"/>
    <w:rsid w:val="00C36BC3"/>
    <w:rsid w:val="00C403FA"/>
    <w:rsid w:val="00C41044"/>
    <w:rsid w:val="00C4209A"/>
    <w:rsid w:val="00C423EE"/>
    <w:rsid w:val="00C43F88"/>
    <w:rsid w:val="00C4421C"/>
    <w:rsid w:val="00C46693"/>
    <w:rsid w:val="00C46CE6"/>
    <w:rsid w:val="00C47355"/>
    <w:rsid w:val="00C5559E"/>
    <w:rsid w:val="00C60A5F"/>
    <w:rsid w:val="00C627ED"/>
    <w:rsid w:val="00C63226"/>
    <w:rsid w:val="00C6483B"/>
    <w:rsid w:val="00C65561"/>
    <w:rsid w:val="00C67148"/>
    <w:rsid w:val="00C67DF1"/>
    <w:rsid w:val="00C71548"/>
    <w:rsid w:val="00C748C7"/>
    <w:rsid w:val="00C76357"/>
    <w:rsid w:val="00C819D3"/>
    <w:rsid w:val="00C82FA6"/>
    <w:rsid w:val="00C87935"/>
    <w:rsid w:val="00C90A49"/>
    <w:rsid w:val="00C92688"/>
    <w:rsid w:val="00C94587"/>
    <w:rsid w:val="00C95D56"/>
    <w:rsid w:val="00C9637E"/>
    <w:rsid w:val="00CA13CA"/>
    <w:rsid w:val="00CA5B33"/>
    <w:rsid w:val="00CA712A"/>
    <w:rsid w:val="00CB7211"/>
    <w:rsid w:val="00CC0EA1"/>
    <w:rsid w:val="00CC1836"/>
    <w:rsid w:val="00CC2404"/>
    <w:rsid w:val="00CC62EF"/>
    <w:rsid w:val="00CC6494"/>
    <w:rsid w:val="00CD0EFC"/>
    <w:rsid w:val="00CD1D1E"/>
    <w:rsid w:val="00CD25E2"/>
    <w:rsid w:val="00CD35ED"/>
    <w:rsid w:val="00CD4F56"/>
    <w:rsid w:val="00CE2ED9"/>
    <w:rsid w:val="00CE2EDF"/>
    <w:rsid w:val="00CE4BD3"/>
    <w:rsid w:val="00CE5943"/>
    <w:rsid w:val="00CF1808"/>
    <w:rsid w:val="00CF2E21"/>
    <w:rsid w:val="00CF76CB"/>
    <w:rsid w:val="00D0045F"/>
    <w:rsid w:val="00D037DA"/>
    <w:rsid w:val="00D03F79"/>
    <w:rsid w:val="00D04002"/>
    <w:rsid w:val="00D05091"/>
    <w:rsid w:val="00D10C46"/>
    <w:rsid w:val="00D15899"/>
    <w:rsid w:val="00D17301"/>
    <w:rsid w:val="00D239D5"/>
    <w:rsid w:val="00D26283"/>
    <w:rsid w:val="00D33A1C"/>
    <w:rsid w:val="00D35437"/>
    <w:rsid w:val="00D411E9"/>
    <w:rsid w:val="00D445D6"/>
    <w:rsid w:val="00D44978"/>
    <w:rsid w:val="00D44A6A"/>
    <w:rsid w:val="00D46ABE"/>
    <w:rsid w:val="00D504C9"/>
    <w:rsid w:val="00D504D3"/>
    <w:rsid w:val="00D50A5E"/>
    <w:rsid w:val="00D5230E"/>
    <w:rsid w:val="00D53587"/>
    <w:rsid w:val="00D54150"/>
    <w:rsid w:val="00D603A3"/>
    <w:rsid w:val="00D60A7D"/>
    <w:rsid w:val="00D62A53"/>
    <w:rsid w:val="00D62EC9"/>
    <w:rsid w:val="00D63724"/>
    <w:rsid w:val="00D65A7C"/>
    <w:rsid w:val="00D670CE"/>
    <w:rsid w:val="00D67621"/>
    <w:rsid w:val="00D72449"/>
    <w:rsid w:val="00D810CD"/>
    <w:rsid w:val="00D83E5F"/>
    <w:rsid w:val="00D84677"/>
    <w:rsid w:val="00D8677B"/>
    <w:rsid w:val="00D86CB2"/>
    <w:rsid w:val="00D875A3"/>
    <w:rsid w:val="00D93D4E"/>
    <w:rsid w:val="00D943A8"/>
    <w:rsid w:val="00DA2695"/>
    <w:rsid w:val="00DA4FC2"/>
    <w:rsid w:val="00DA6831"/>
    <w:rsid w:val="00DB142C"/>
    <w:rsid w:val="00DB47E2"/>
    <w:rsid w:val="00DB4F65"/>
    <w:rsid w:val="00DC7785"/>
    <w:rsid w:val="00DD00FB"/>
    <w:rsid w:val="00DD0D8D"/>
    <w:rsid w:val="00DD10EC"/>
    <w:rsid w:val="00DD6E51"/>
    <w:rsid w:val="00DE0EA1"/>
    <w:rsid w:val="00DE22D6"/>
    <w:rsid w:val="00DE3FD0"/>
    <w:rsid w:val="00DE4D72"/>
    <w:rsid w:val="00DE7538"/>
    <w:rsid w:val="00DF0FCB"/>
    <w:rsid w:val="00DF57C2"/>
    <w:rsid w:val="00E04E56"/>
    <w:rsid w:val="00E07E2A"/>
    <w:rsid w:val="00E12D41"/>
    <w:rsid w:val="00E140CA"/>
    <w:rsid w:val="00E1533B"/>
    <w:rsid w:val="00E20EEF"/>
    <w:rsid w:val="00E2172E"/>
    <w:rsid w:val="00E22489"/>
    <w:rsid w:val="00E25AAF"/>
    <w:rsid w:val="00E30B05"/>
    <w:rsid w:val="00E32774"/>
    <w:rsid w:val="00E34F16"/>
    <w:rsid w:val="00E416AE"/>
    <w:rsid w:val="00E42427"/>
    <w:rsid w:val="00E5050E"/>
    <w:rsid w:val="00E53312"/>
    <w:rsid w:val="00E53F9C"/>
    <w:rsid w:val="00E5443F"/>
    <w:rsid w:val="00E6325B"/>
    <w:rsid w:val="00E63CD6"/>
    <w:rsid w:val="00E652B4"/>
    <w:rsid w:val="00E66CCB"/>
    <w:rsid w:val="00E675D8"/>
    <w:rsid w:val="00E72710"/>
    <w:rsid w:val="00E814C1"/>
    <w:rsid w:val="00E86771"/>
    <w:rsid w:val="00E916AF"/>
    <w:rsid w:val="00EA2430"/>
    <w:rsid w:val="00EA3640"/>
    <w:rsid w:val="00EA4F54"/>
    <w:rsid w:val="00EB5422"/>
    <w:rsid w:val="00EB5732"/>
    <w:rsid w:val="00EC42CF"/>
    <w:rsid w:val="00EC7126"/>
    <w:rsid w:val="00ED20C1"/>
    <w:rsid w:val="00ED22A2"/>
    <w:rsid w:val="00ED27D5"/>
    <w:rsid w:val="00ED43FF"/>
    <w:rsid w:val="00EE37AE"/>
    <w:rsid w:val="00EE6819"/>
    <w:rsid w:val="00EF1761"/>
    <w:rsid w:val="00EF358A"/>
    <w:rsid w:val="00EF39FB"/>
    <w:rsid w:val="00EF41C9"/>
    <w:rsid w:val="00EF43F7"/>
    <w:rsid w:val="00F021B1"/>
    <w:rsid w:val="00F023CC"/>
    <w:rsid w:val="00F0432D"/>
    <w:rsid w:val="00F06402"/>
    <w:rsid w:val="00F0732F"/>
    <w:rsid w:val="00F11287"/>
    <w:rsid w:val="00F14E48"/>
    <w:rsid w:val="00F15E89"/>
    <w:rsid w:val="00F15F7B"/>
    <w:rsid w:val="00F17DB7"/>
    <w:rsid w:val="00F22237"/>
    <w:rsid w:val="00F24EB9"/>
    <w:rsid w:val="00F305A0"/>
    <w:rsid w:val="00F30AE7"/>
    <w:rsid w:val="00F328F8"/>
    <w:rsid w:val="00F3460F"/>
    <w:rsid w:val="00F34890"/>
    <w:rsid w:val="00F35600"/>
    <w:rsid w:val="00F36548"/>
    <w:rsid w:val="00F3691C"/>
    <w:rsid w:val="00F40914"/>
    <w:rsid w:val="00F40EC8"/>
    <w:rsid w:val="00F44B5C"/>
    <w:rsid w:val="00F46D6C"/>
    <w:rsid w:val="00F47352"/>
    <w:rsid w:val="00F503F8"/>
    <w:rsid w:val="00F510AB"/>
    <w:rsid w:val="00F5216A"/>
    <w:rsid w:val="00F532A1"/>
    <w:rsid w:val="00F5691E"/>
    <w:rsid w:val="00F65B93"/>
    <w:rsid w:val="00F660DB"/>
    <w:rsid w:val="00F67DB8"/>
    <w:rsid w:val="00F72F86"/>
    <w:rsid w:val="00F75D59"/>
    <w:rsid w:val="00F805E0"/>
    <w:rsid w:val="00F80ACB"/>
    <w:rsid w:val="00F82370"/>
    <w:rsid w:val="00F83BD1"/>
    <w:rsid w:val="00F85773"/>
    <w:rsid w:val="00F86C02"/>
    <w:rsid w:val="00F8798A"/>
    <w:rsid w:val="00F87C93"/>
    <w:rsid w:val="00F9036F"/>
    <w:rsid w:val="00FA2D40"/>
    <w:rsid w:val="00FA308C"/>
    <w:rsid w:val="00FA34DF"/>
    <w:rsid w:val="00FA5C4E"/>
    <w:rsid w:val="00FA70B6"/>
    <w:rsid w:val="00FA7660"/>
    <w:rsid w:val="00FB06A7"/>
    <w:rsid w:val="00FB3EC5"/>
    <w:rsid w:val="00FB3FE1"/>
    <w:rsid w:val="00FC3E10"/>
    <w:rsid w:val="00FC6CC9"/>
    <w:rsid w:val="00FC7426"/>
    <w:rsid w:val="00FC769E"/>
    <w:rsid w:val="00FD0338"/>
    <w:rsid w:val="00FD0AB1"/>
    <w:rsid w:val="00FE067E"/>
    <w:rsid w:val="00FE3F68"/>
    <w:rsid w:val="00FF05EE"/>
    <w:rsid w:val="00FF2158"/>
    <w:rsid w:val="00FF3C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799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348"/>
    <w:pPr>
      <w:spacing w:after="200" w:line="276" w:lineRule="auto"/>
    </w:pPr>
    <w:rPr>
      <w:sz w:val="22"/>
      <w:szCs w:val="22"/>
    </w:rPr>
  </w:style>
  <w:style w:type="paragraph" w:styleId="Heading1">
    <w:name w:val="heading 1"/>
    <w:basedOn w:val="Normal"/>
    <w:next w:val="Normal"/>
    <w:link w:val="Heading1Char"/>
    <w:uiPriority w:val="9"/>
    <w:qFormat/>
    <w:rsid w:val="00820085"/>
    <w:pPr>
      <w:keepNext/>
      <w:keepLines/>
      <w:spacing w:before="480" w:after="0"/>
      <w:outlineLvl w:val="0"/>
    </w:pPr>
    <w:rPr>
      <w:rFonts w:ascii="Cambria" w:eastAsia="MS Gothic" w:hAnsi="Cambria"/>
      <w:b/>
      <w:bCs/>
      <w:color w:val="365F91"/>
      <w:sz w:val="28"/>
      <w:szCs w:val="28"/>
      <w:lang w:val="x-none" w:eastAsia="x-none"/>
    </w:rPr>
  </w:style>
  <w:style w:type="paragraph" w:styleId="Heading2">
    <w:name w:val="heading 2"/>
    <w:basedOn w:val="Normal"/>
    <w:next w:val="Normal"/>
    <w:link w:val="Heading2Char"/>
    <w:uiPriority w:val="9"/>
    <w:qFormat/>
    <w:rsid w:val="00820085"/>
    <w:pPr>
      <w:keepNext/>
      <w:keepLines/>
      <w:spacing w:before="200" w:after="0"/>
      <w:outlineLvl w:val="1"/>
    </w:pPr>
    <w:rPr>
      <w:rFonts w:ascii="Cambria" w:eastAsia="MS Gothic" w:hAnsi="Cambria"/>
      <w:b/>
      <w:bCs/>
      <w:color w:val="4F81BD"/>
      <w:sz w:val="26"/>
      <w:szCs w:val="26"/>
      <w:lang w:val="x-none" w:eastAsia="x-none"/>
    </w:rPr>
  </w:style>
  <w:style w:type="paragraph" w:styleId="Heading3">
    <w:name w:val="heading 3"/>
    <w:basedOn w:val="Normal"/>
    <w:next w:val="Normal"/>
    <w:link w:val="Heading3Char"/>
    <w:uiPriority w:val="9"/>
    <w:qFormat/>
    <w:rsid w:val="00820085"/>
    <w:pPr>
      <w:keepNext/>
      <w:keepLines/>
      <w:spacing w:before="200" w:after="0"/>
      <w:outlineLvl w:val="2"/>
    </w:pPr>
    <w:rPr>
      <w:rFonts w:ascii="Cambria" w:eastAsia="MS Gothic" w:hAnsi="Cambria"/>
      <w:b/>
      <w:bCs/>
      <w:color w:val="4F81BD"/>
      <w:sz w:val="20"/>
      <w:szCs w:val="20"/>
      <w:lang w:val="x-none" w:eastAsia="x-none"/>
    </w:rPr>
  </w:style>
  <w:style w:type="paragraph" w:styleId="Heading4">
    <w:name w:val="heading 4"/>
    <w:basedOn w:val="Normal"/>
    <w:next w:val="Normal"/>
    <w:link w:val="Heading4Char"/>
    <w:uiPriority w:val="9"/>
    <w:unhideWhenUsed/>
    <w:qFormat/>
    <w:rsid w:val="00CF2E21"/>
    <w:pPr>
      <w:keepNext/>
      <w:keepLines/>
      <w:spacing w:before="40" w:after="0" w:line="259" w:lineRule="auto"/>
      <w:outlineLvl w:val="3"/>
    </w:pPr>
    <w:rPr>
      <w:rFonts w:ascii="Calibri Light" w:eastAsia="Times New Roma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3C1348"/>
    <w:pPr>
      <w:ind w:left="720"/>
      <w:contextualSpacing/>
    </w:pPr>
  </w:style>
  <w:style w:type="table" w:styleId="TableGrid">
    <w:name w:val="Table Grid"/>
    <w:basedOn w:val="TableNormal"/>
    <w:uiPriority w:val="59"/>
    <w:rsid w:val="00700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700E3E"/>
    <w:pPr>
      <w:spacing w:line="240" w:lineRule="auto"/>
    </w:pPr>
    <w:rPr>
      <w:b/>
      <w:bCs/>
      <w:color w:val="4F81BD"/>
      <w:sz w:val="18"/>
      <w:szCs w:val="18"/>
    </w:rPr>
  </w:style>
  <w:style w:type="character" w:styleId="Hyperlink">
    <w:name w:val="Hyperlink"/>
    <w:uiPriority w:val="99"/>
    <w:unhideWhenUsed/>
    <w:rsid w:val="003013C2"/>
    <w:rPr>
      <w:color w:val="0000FF"/>
      <w:u w:val="single"/>
    </w:rPr>
  </w:style>
  <w:style w:type="character" w:customStyle="1" w:styleId="Heading2Char">
    <w:name w:val="Heading 2 Char"/>
    <w:link w:val="Heading2"/>
    <w:uiPriority w:val="9"/>
    <w:rsid w:val="00820085"/>
    <w:rPr>
      <w:rFonts w:ascii="Cambria" w:eastAsia="MS Gothic" w:hAnsi="Cambria" w:cs="Times New Roman"/>
      <w:b/>
      <w:bCs/>
      <w:color w:val="4F81BD"/>
      <w:sz w:val="26"/>
      <w:szCs w:val="26"/>
    </w:rPr>
  </w:style>
  <w:style w:type="character" w:customStyle="1" w:styleId="Heading1Char">
    <w:name w:val="Heading 1 Char"/>
    <w:link w:val="Heading1"/>
    <w:uiPriority w:val="9"/>
    <w:rsid w:val="00820085"/>
    <w:rPr>
      <w:rFonts w:ascii="Cambria" w:eastAsia="MS Gothic" w:hAnsi="Cambria" w:cs="Times New Roman"/>
      <w:b/>
      <w:bCs/>
      <w:color w:val="365F91"/>
      <w:sz w:val="28"/>
      <w:szCs w:val="28"/>
    </w:rPr>
  </w:style>
  <w:style w:type="character" w:customStyle="1" w:styleId="Heading3Char">
    <w:name w:val="Heading 3 Char"/>
    <w:link w:val="Heading3"/>
    <w:uiPriority w:val="9"/>
    <w:rsid w:val="00820085"/>
    <w:rPr>
      <w:rFonts w:ascii="Cambria" w:eastAsia="MS Gothic" w:hAnsi="Cambria" w:cs="Times New Roman"/>
      <w:b/>
      <w:bCs/>
      <w:color w:val="4F81BD"/>
    </w:rPr>
  </w:style>
  <w:style w:type="paragraph" w:styleId="TOCHeading">
    <w:name w:val="TOC Heading"/>
    <w:basedOn w:val="Heading1"/>
    <w:next w:val="Normal"/>
    <w:uiPriority w:val="39"/>
    <w:semiHidden/>
    <w:unhideWhenUsed/>
    <w:qFormat/>
    <w:rsid w:val="00E416AE"/>
    <w:pPr>
      <w:outlineLvl w:val="9"/>
    </w:pPr>
    <w:rPr>
      <w:lang w:val="en-US" w:eastAsia="ja-JP"/>
    </w:rPr>
  </w:style>
  <w:style w:type="paragraph" w:styleId="TOC1">
    <w:name w:val="toc 1"/>
    <w:basedOn w:val="Normal"/>
    <w:next w:val="Normal"/>
    <w:autoRedefine/>
    <w:uiPriority w:val="39"/>
    <w:unhideWhenUsed/>
    <w:rsid w:val="00E416AE"/>
    <w:pPr>
      <w:spacing w:after="100"/>
    </w:pPr>
  </w:style>
  <w:style w:type="paragraph" w:styleId="TOC2">
    <w:name w:val="toc 2"/>
    <w:basedOn w:val="Normal"/>
    <w:next w:val="Normal"/>
    <w:autoRedefine/>
    <w:uiPriority w:val="39"/>
    <w:unhideWhenUsed/>
    <w:rsid w:val="00E416AE"/>
    <w:pPr>
      <w:spacing w:after="100"/>
      <w:ind w:left="220"/>
    </w:pPr>
  </w:style>
  <w:style w:type="paragraph" w:styleId="TOC3">
    <w:name w:val="toc 3"/>
    <w:basedOn w:val="Normal"/>
    <w:next w:val="Normal"/>
    <w:autoRedefine/>
    <w:uiPriority w:val="39"/>
    <w:unhideWhenUsed/>
    <w:rsid w:val="00E416AE"/>
    <w:pPr>
      <w:spacing w:after="100"/>
      <w:ind w:left="440"/>
    </w:pPr>
  </w:style>
  <w:style w:type="paragraph" w:styleId="BalloonText">
    <w:name w:val="Balloon Text"/>
    <w:basedOn w:val="Normal"/>
    <w:link w:val="BalloonTextChar"/>
    <w:uiPriority w:val="99"/>
    <w:semiHidden/>
    <w:unhideWhenUsed/>
    <w:rsid w:val="00E416A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416AE"/>
    <w:rPr>
      <w:rFonts w:ascii="Tahoma" w:hAnsi="Tahoma" w:cs="Tahoma"/>
      <w:sz w:val="16"/>
      <w:szCs w:val="16"/>
    </w:rPr>
  </w:style>
  <w:style w:type="paragraph" w:customStyle="1" w:styleId="EndNoteBibliographyTitle">
    <w:name w:val="EndNote Bibliography Title"/>
    <w:basedOn w:val="Normal"/>
    <w:link w:val="EndNoteBibliographyTitleChar"/>
    <w:rsid w:val="002A2953"/>
    <w:pPr>
      <w:spacing w:after="0"/>
      <w:jc w:val="center"/>
    </w:pPr>
    <w:rPr>
      <w:lang w:val="en-US"/>
    </w:rPr>
  </w:style>
  <w:style w:type="paragraph" w:customStyle="1" w:styleId="EndNoteBibliography">
    <w:name w:val="EndNote Bibliography"/>
    <w:basedOn w:val="Normal"/>
    <w:link w:val="EndNoteBibliographyChar"/>
    <w:rsid w:val="002A2953"/>
    <w:pPr>
      <w:spacing w:line="240" w:lineRule="auto"/>
    </w:pPr>
    <w:rPr>
      <w:lang w:val="en-US"/>
    </w:rPr>
  </w:style>
  <w:style w:type="paragraph" w:styleId="NormalWeb">
    <w:name w:val="Normal (Web)"/>
    <w:basedOn w:val="Normal"/>
    <w:uiPriority w:val="99"/>
    <w:unhideWhenUsed/>
    <w:rsid w:val="00F023CC"/>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uiPriority w:val="99"/>
    <w:semiHidden/>
    <w:unhideWhenUsed/>
    <w:rsid w:val="00B920D5"/>
    <w:rPr>
      <w:sz w:val="18"/>
      <w:szCs w:val="18"/>
    </w:rPr>
  </w:style>
  <w:style w:type="paragraph" w:styleId="CommentText">
    <w:name w:val="annotation text"/>
    <w:basedOn w:val="Normal"/>
    <w:link w:val="CommentTextChar"/>
    <w:uiPriority w:val="99"/>
    <w:unhideWhenUsed/>
    <w:rsid w:val="00B920D5"/>
    <w:pPr>
      <w:spacing w:line="240" w:lineRule="auto"/>
    </w:pPr>
    <w:rPr>
      <w:sz w:val="24"/>
      <w:szCs w:val="24"/>
      <w:lang w:val="x-none" w:eastAsia="x-none"/>
    </w:rPr>
  </w:style>
  <w:style w:type="character" w:customStyle="1" w:styleId="CommentTextChar">
    <w:name w:val="Comment Text Char"/>
    <w:link w:val="CommentText"/>
    <w:uiPriority w:val="99"/>
    <w:rsid w:val="00B920D5"/>
    <w:rPr>
      <w:sz w:val="24"/>
      <w:szCs w:val="24"/>
    </w:rPr>
  </w:style>
  <w:style w:type="paragraph" w:styleId="CommentSubject">
    <w:name w:val="annotation subject"/>
    <w:basedOn w:val="CommentText"/>
    <w:next w:val="CommentText"/>
    <w:link w:val="CommentSubjectChar"/>
    <w:uiPriority w:val="99"/>
    <w:semiHidden/>
    <w:unhideWhenUsed/>
    <w:rsid w:val="00B920D5"/>
    <w:rPr>
      <w:b/>
      <w:bCs/>
      <w:sz w:val="20"/>
      <w:szCs w:val="20"/>
    </w:rPr>
  </w:style>
  <w:style w:type="character" w:customStyle="1" w:styleId="CommentSubjectChar">
    <w:name w:val="Comment Subject Char"/>
    <w:link w:val="CommentSubject"/>
    <w:uiPriority w:val="99"/>
    <w:semiHidden/>
    <w:rsid w:val="00B920D5"/>
    <w:rPr>
      <w:b/>
      <w:bCs/>
      <w:sz w:val="20"/>
      <w:szCs w:val="20"/>
    </w:rPr>
  </w:style>
  <w:style w:type="table" w:customStyle="1" w:styleId="TableGrid1">
    <w:name w:val="Table Grid1"/>
    <w:basedOn w:val="TableNormal"/>
    <w:next w:val="TableGrid"/>
    <w:uiPriority w:val="59"/>
    <w:rsid w:val="00F15F7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60C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DDB"/>
    <w:rPr>
      <w:sz w:val="22"/>
      <w:szCs w:val="22"/>
    </w:rPr>
  </w:style>
  <w:style w:type="character" w:customStyle="1" w:styleId="EndNoteBibliographyTitleChar">
    <w:name w:val="EndNote Bibliography Title Char"/>
    <w:link w:val="EndNoteBibliographyTitle"/>
    <w:rsid w:val="00B70DDB"/>
    <w:rPr>
      <w:sz w:val="22"/>
      <w:szCs w:val="22"/>
      <w:lang w:val="en-US"/>
    </w:rPr>
  </w:style>
  <w:style w:type="character" w:customStyle="1" w:styleId="EndNoteBibliographyChar">
    <w:name w:val="EndNote Bibliography Char"/>
    <w:link w:val="EndNoteBibliography"/>
    <w:rsid w:val="00B70DDB"/>
    <w:rPr>
      <w:sz w:val="22"/>
      <w:szCs w:val="22"/>
      <w:lang w:val="en-US"/>
    </w:rPr>
  </w:style>
  <w:style w:type="paragraph" w:styleId="ListParagraph">
    <w:name w:val="List Paragraph"/>
    <w:basedOn w:val="Normal"/>
    <w:uiPriority w:val="34"/>
    <w:qFormat/>
    <w:rsid w:val="00B70DDB"/>
    <w:pPr>
      <w:ind w:left="720"/>
      <w:contextualSpacing/>
    </w:pPr>
  </w:style>
  <w:style w:type="character" w:customStyle="1" w:styleId="Heading4Char">
    <w:name w:val="Heading 4 Char"/>
    <w:link w:val="Heading4"/>
    <w:uiPriority w:val="9"/>
    <w:rsid w:val="00CF2E21"/>
    <w:rPr>
      <w:rFonts w:ascii="Calibri Light" w:eastAsia="Times New Roman" w:hAnsi="Calibri Light"/>
      <w:i/>
      <w:iCs/>
      <w:color w:val="2E74B5"/>
      <w:sz w:val="22"/>
      <w:szCs w:val="22"/>
      <w:lang w:eastAsia="en-US"/>
    </w:rPr>
  </w:style>
  <w:style w:type="paragraph" w:styleId="Header">
    <w:name w:val="header"/>
    <w:basedOn w:val="Normal"/>
    <w:link w:val="HeaderChar"/>
    <w:uiPriority w:val="99"/>
    <w:unhideWhenUsed/>
    <w:rsid w:val="00CF2E21"/>
    <w:pPr>
      <w:tabs>
        <w:tab w:val="center" w:pos="4513"/>
        <w:tab w:val="right" w:pos="9026"/>
      </w:tabs>
      <w:spacing w:after="0" w:line="240" w:lineRule="auto"/>
    </w:pPr>
  </w:style>
  <w:style w:type="character" w:customStyle="1" w:styleId="HeaderChar">
    <w:name w:val="Header Char"/>
    <w:link w:val="Header"/>
    <w:uiPriority w:val="99"/>
    <w:rsid w:val="00CF2E21"/>
    <w:rPr>
      <w:sz w:val="22"/>
      <w:szCs w:val="22"/>
      <w:lang w:eastAsia="en-US"/>
    </w:rPr>
  </w:style>
  <w:style w:type="paragraph" w:styleId="Footer">
    <w:name w:val="footer"/>
    <w:basedOn w:val="Normal"/>
    <w:link w:val="FooterChar"/>
    <w:uiPriority w:val="99"/>
    <w:unhideWhenUsed/>
    <w:rsid w:val="00CF2E21"/>
    <w:pPr>
      <w:tabs>
        <w:tab w:val="center" w:pos="4513"/>
        <w:tab w:val="right" w:pos="9026"/>
      </w:tabs>
      <w:spacing w:after="0" w:line="240" w:lineRule="auto"/>
    </w:pPr>
  </w:style>
  <w:style w:type="character" w:customStyle="1" w:styleId="FooterChar">
    <w:name w:val="Footer Char"/>
    <w:link w:val="Footer"/>
    <w:uiPriority w:val="99"/>
    <w:rsid w:val="00CF2E21"/>
    <w:rPr>
      <w:sz w:val="22"/>
      <w:szCs w:val="22"/>
      <w:lang w:eastAsia="en-US"/>
    </w:rPr>
  </w:style>
  <w:style w:type="table" w:customStyle="1" w:styleId="GridTableLight">
    <w:name w:val="Grid Table Light"/>
    <w:basedOn w:val="TableNormal"/>
    <w:uiPriority w:val="40"/>
    <w:rsid w:val="002A383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
    <w:name w:val="Plain Table 1"/>
    <w:basedOn w:val="TableNormal"/>
    <w:uiPriority w:val="41"/>
    <w:rsid w:val="002A383E"/>
    <w:rPr>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ableofFigures">
    <w:name w:val="table of figures"/>
    <w:basedOn w:val="Normal"/>
    <w:next w:val="Normal"/>
    <w:uiPriority w:val="99"/>
    <w:unhideWhenUsed/>
    <w:rsid w:val="00FB06A7"/>
  </w:style>
  <w:style w:type="paragraph" w:styleId="TOC4">
    <w:name w:val="toc 4"/>
    <w:basedOn w:val="Normal"/>
    <w:next w:val="Normal"/>
    <w:autoRedefine/>
    <w:uiPriority w:val="39"/>
    <w:unhideWhenUsed/>
    <w:rsid w:val="009A6737"/>
    <w:pPr>
      <w:spacing w:after="100"/>
      <w:ind w:left="660"/>
    </w:pPr>
    <w:rPr>
      <w:rFonts w:eastAsia="Times New Roman"/>
      <w:lang w:eastAsia="en-GB"/>
    </w:rPr>
  </w:style>
  <w:style w:type="paragraph" w:styleId="TOC5">
    <w:name w:val="toc 5"/>
    <w:basedOn w:val="Normal"/>
    <w:next w:val="Normal"/>
    <w:autoRedefine/>
    <w:uiPriority w:val="39"/>
    <w:unhideWhenUsed/>
    <w:rsid w:val="009A6737"/>
    <w:pPr>
      <w:spacing w:after="100"/>
      <w:ind w:left="880"/>
    </w:pPr>
    <w:rPr>
      <w:rFonts w:eastAsia="Times New Roman"/>
      <w:lang w:eastAsia="en-GB"/>
    </w:rPr>
  </w:style>
  <w:style w:type="paragraph" w:styleId="TOC6">
    <w:name w:val="toc 6"/>
    <w:basedOn w:val="Normal"/>
    <w:next w:val="Normal"/>
    <w:autoRedefine/>
    <w:uiPriority w:val="39"/>
    <w:unhideWhenUsed/>
    <w:rsid w:val="009A6737"/>
    <w:pPr>
      <w:spacing w:after="100"/>
      <w:ind w:left="1100"/>
    </w:pPr>
    <w:rPr>
      <w:rFonts w:eastAsia="Times New Roman"/>
      <w:lang w:eastAsia="en-GB"/>
    </w:rPr>
  </w:style>
  <w:style w:type="paragraph" w:styleId="TOC7">
    <w:name w:val="toc 7"/>
    <w:basedOn w:val="Normal"/>
    <w:next w:val="Normal"/>
    <w:autoRedefine/>
    <w:uiPriority w:val="39"/>
    <w:unhideWhenUsed/>
    <w:rsid w:val="009A6737"/>
    <w:pPr>
      <w:spacing w:after="100"/>
      <w:ind w:left="1320"/>
    </w:pPr>
    <w:rPr>
      <w:rFonts w:eastAsia="Times New Roman"/>
      <w:lang w:eastAsia="en-GB"/>
    </w:rPr>
  </w:style>
  <w:style w:type="paragraph" w:styleId="TOC8">
    <w:name w:val="toc 8"/>
    <w:basedOn w:val="Normal"/>
    <w:next w:val="Normal"/>
    <w:autoRedefine/>
    <w:uiPriority w:val="39"/>
    <w:unhideWhenUsed/>
    <w:rsid w:val="009A6737"/>
    <w:pPr>
      <w:spacing w:after="100"/>
      <w:ind w:left="1540"/>
    </w:pPr>
    <w:rPr>
      <w:rFonts w:eastAsia="Times New Roman"/>
      <w:lang w:eastAsia="en-GB"/>
    </w:rPr>
  </w:style>
  <w:style w:type="paragraph" w:styleId="TOC9">
    <w:name w:val="toc 9"/>
    <w:basedOn w:val="Normal"/>
    <w:next w:val="Normal"/>
    <w:autoRedefine/>
    <w:uiPriority w:val="39"/>
    <w:unhideWhenUsed/>
    <w:rsid w:val="009A6737"/>
    <w:pPr>
      <w:spacing w:after="100"/>
      <w:ind w:left="1760"/>
    </w:pPr>
    <w:rPr>
      <w:rFonts w:eastAsia="Times New Roman"/>
      <w:lang w:eastAsia="en-GB"/>
    </w:rPr>
  </w:style>
  <w:style w:type="character" w:styleId="FollowedHyperlink">
    <w:name w:val="FollowedHyperlink"/>
    <w:uiPriority w:val="99"/>
    <w:semiHidden/>
    <w:unhideWhenUsed/>
    <w:rsid w:val="00746C94"/>
    <w:rPr>
      <w:color w:val="800080"/>
      <w:u w:val="single"/>
    </w:rPr>
  </w:style>
  <w:style w:type="paragraph" w:customStyle="1" w:styleId="font5">
    <w:name w:val="font5"/>
    <w:basedOn w:val="Normal"/>
    <w:rsid w:val="00746C94"/>
    <w:pPr>
      <w:spacing w:before="100" w:beforeAutospacing="1" w:after="100" w:afterAutospacing="1" w:line="240" w:lineRule="auto"/>
    </w:pPr>
    <w:rPr>
      <w:rFonts w:ascii="Times New Roman" w:eastAsia="Times New Roman" w:hAnsi="Times New Roman"/>
      <w:color w:val="000000"/>
      <w:lang w:eastAsia="en-GB"/>
    </w:rPr>
  </w:style>
  <w:style w:type="paragraph" w:customStyle="1" w:styleId="font6">
    <w:name w:val="font6"/>
    <w:basedOn w:val="Normal"/>
    <w:rsid w:val="00746C94"/>
    <w:pPr>
      <w:spacing w:before="100" w:beforeAutospacing="1" w:after="100" w:afterAutospacing="1" w:line="240" w:lineRule="auto"/>
    </w:pPr>
    <w:rPr>
      <w:rFonts w:ascii="Times New Roman" w:eastAsia="Times New Roman" w:hAnsi="Times New Roman"/>
      <w:color w:val="000000"/>
      <w:lang w:eastAsia="en-GB"/>
    </w:rPr>
  </w:style>
  <w:style w:type="paragraph" w:customStyle="1" w:styleId="font7">
    <w:name w:val="font7"/>
    <w:basedOn w:val="Normal"/>
    <w:rsid w:val="00746C94"/>
    <w:pPr>
      <w:spacing w:before="100" w:beforeAutospacing="1" w:after="100" w:afterAutospacing="1" w:line="240" w:lineRule="auto"/>
    </w:pPr>
    <w:rPr>
      <w:rFonts w:ascii="Times New Roman" w:eastAsia="Times New Roman" w:hAnsi="Times New Roman"/>
      <w:color w:val="BFBFBF"/>
      <w:lang w:eastAsia="en-GB"/>
    </w:rPr>
  </w:style>
  <w:style w:type="paragraph" w:customStyle="1" w:styleId="font8">
    <w:name w:val="font8"/>
    <w:basedOn w:val="Normal"/>
    <w:rsid w:val="00746C94"/>
    <w:pPr>
      <w:spacing w:before="100" w:beforeAutospacing="1" w:after="100" w:afterAutospacing="1" w:line="240" w:lineRule="auto"/>
    </w:pPr>
    <w:rPr>
      <w:rFonts w:ascii="Times New Roman" w:eastAsia="Times New Roman" w:hAnsi="Times New Roman"/>
      <w:color w:val="BFBFBF"/>
      <w:lang w:eastAsia="en-GB"/>
    </w:rPr>
  </w:style>
  <w:style w:type="paragraph" w:customStyle="1" w:styleId="xl65">
    <w:name w:val="xl65"/>
    <w:basedOn w:val="Normal"/>
    <w:rsid w:val="00746C94"/>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eastAsia="en-GB"/>
    </w:rPr>
  </w:style>
  <w:style w:type="paragraph" w:customStyle="1" w:styleId="xl66">
    <w:name w:val="xl66"/>
    <w:basedOn w:val="Normal"/>
    <w:rsid w:val="00746C94"/>
    <w:pPr>
      <w:shd w:val="clear" w:color="000000" w:fill="FFFFFF"/>
      <w:spacing w:before="100" w:beforeAutospacing="1" w:after="100" w:afterAutospacing="1" w:line="240" w:lineRule="auto"/>
      <w:jc w:val="center"/>
      <w:textAlignment w:val="center"/>
    </w:pPr>
    <w:rPr>
      <w:rFonts w:ascii="Times New Roman" w:eastAsia="Times New Roman" w:hAnsi="Times New Roman"/>
      <w:lang w:eastAsia="en-GB"/>
    </w:rPr>
  </w:style>
  <w:style w:type="paragraph" w:customStyle="1" w:styleId="xl67">
    <w:name w:val="xl67"/>
    <w:basedOn w:val="Normal"/>
    <w:rsid w:val="00746C94"/>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eastAsia="en-GB"/>
    </w:rPr>
  </w:style>
  <w:style w:type="paragraph" w:customStyle="1" w:styleId="xl68">
    <w:name w:val="xl68"/>
    <w:basedOn w:val="Normal"/>
    <w:rsid w:val="00746C94"/>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u w:val="single"/>
      <w:lang w:eastAsia="en-GB"/>
    </w:rPr>
  </w:style>
  <w:style w:type="paragraph" w:customStyle="1" w:styleId="xl69">
    <w:name w:val="xl69"/>
    <w:basedOn w:val="Normal"/>
    <w:rsid w:val="00746C94"/>
    <w:pPr>
      <w:shd w:val="clear" w:color="000000" w:fill="FFFFFF"/>
      <w:spacing w:before="100" w:beforeAutospacing="1" w:after="100" w:afterAutospacing="1" w:line="240" w:lineRule="auto"/>
      <w:jc w:val="center"/>
    </w:pPr>
    <w:rPr>
      <w:rFonts w:ascii="Times New Roman" w:eastAsia="Times New Roman" w:hAnsi="Times New Roman"/>
      <w:u w:val="single"/>
      <w:lang w:eastAsia="en-GB"/>
    </w:rPr>
  </w:style>
  <w:style w:type="paragraph" w:customStyle="1" w:styleId="xl70">
    <w:name w:val="xl70"/>
    <w:basedOn w:val="Normal"/>
    <w:rsid w:val="00746C94"/>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u w:val="single"/>
      <w:lang w:eastAsia="en-GB"/>
    </w:rPr>
  </w:style>
  <w:style w:type="paragraph" w:customStyle="1" w:styleId="xl71">
    <w:name w:val="xl71"/>
    <w:basedOn w:val="Normal"/>
    <w:rsid w:val="00746C94"/>
    <w:pPr>
      <w:pBdr>
        <w:left w:val="single" w:sz="4" w:space="0" w:color="auto"/>
      </w:pBdr>
      <w:shd w:val="clear" w:color="000000" w:fill="FFFFFF"/>
      <w:spacing w:before="100" w:beforeAutospacing="1" w:after="100" w:afterAutospacing="1" w:line="240" w:lineRule="auto"/>
    </w:pPr>
    <w:rPr>
      <w:rFonts w:ascii="Times New Roman" w:eastAsia="Times New Roman" w:hAnsi="Times New Roman"/>
      <w:lang w:eastAsia="en-GB"/>
    </w:rPr>
  </w:style>
  <w:style w:type="paragraph" w:customStyle="1" w:styleId="xl72">
    <w:name w:val="xl72"/>
    <w:basedOn w:val="Normal"/>
    <w:rsid w:val="00746C94"/>
    <w:pPr>
      <w:shd w:val="clear" w:color="000000" w:fill="FFFFFF"/>
      <w:spacing w:before="100" w:beforeAutospacing="1" w:after="100" w:afterAutospacing="1" w:line="240" w:lineRule="auto"/>
      <w:jc w:val="center"/>
    </w:pPr>
    <w:rPr>
      <w:rFonts w:ascii="Times New Roman" w:eastAsia="Times New Roman" w:hAnsi="Times New Roman"/>
      <w:lang w:eastAsia="en-GB"/>
    </w:rPr>
  </w:style>
  <w:style w:type="paragraph" w:customStyle="1" w:styleId="xl73">
    <w:name w:val="xl73"/>
    <w:basedOn w:val="Normal"/>
    <w:rsid w:val="00746C94"/>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lang w:eastAsia="en-GB"/>
    </w:rPr>
  </w:style>
  <w:style w:type="paragraph" w:customStyle="1" w:styleId="xl74">
    <w:name w:val="xl74"/>
    <w:basedOn w:val="Normal"/>
    <w:rsid w:val="00746C94"/>
    <w:pPr>
      <w:shd w:val="clear" w:color="000000" w:fill="FFFFFF"/>
      <w:spacing w:before="100" w:beforeAutospacing="1" w:after="100" w:afterAutospacing="1" w:line="240" w:lineRule="auto"/>
    </w:pPr>
    <w:rPr>
      <w:rFonts w:ascii="Times New Roman" w:eastAsia="Times New Roman" w:hAnsi="Times New Roman"/>
      <w:lang w:eastAsia="en-GB"/>
    </w:rPr>
  </w:style>
  <w:style w:type="paragraph" w:customStyle="1" w:styleId="xl75">
    <w:name w:val="xl75"/>
    <w:basedOn w:val="Normal"/>
    <w:rsid w:val="00746C94"/>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lang w:eastAsia="en-GB"/>
    </w:rPr>
  </w:style>
  <w:style w:type="paragraph" w:customStyle="1" w:styleId="xl76">
    <w:name w:val="xl76"/>
    <w:basedOn w:val="Normal"/>
    <w:rsid w:val="00746C94"/>
    <w:pPr>
      <w:pBdr>
        <w:lef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7">
    <w:name w:val="xl77"/>
    <w:basedOn w:val="Normal"/>
    <w:rsid w:val="00746C94"/>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8">
    <w:name w:val="xl78"/>
    <w:basedOn w:val="Normal"/>
    <w:rsid w:val="00746C94"/>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9">
    <w:name w:val="xl79"/>
    <w:basedOn w:val="Normal"/>
    <w:rsid w:val="00746C94"/>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lang w:eastAsia="en-GB"/>
    </w:rPr>
  </w:style>
  <w:style w:type="paragraph" w:customStyle="1" w:styleId="xl80">
    <w:name w:val="xl80"/>
    <w:basedOn w:val="Normal"/>
    <w:rsid w:val="00746C94"/>
    <w:pPr>
      <w:shd w:val="clear" w:color="000000" w:fill="FFFFFF"/>
      <w:spacing w:before="100" w:beforeAutospacing="1" w:after="100" w:afterAutospacing="1" w:line="240" w:lineRule="auto"/>
      <w:jc w:val="center"/>
    </w:pPr>
    <w:rPr>
      <w:rFonts w:ascii="Times New Roman" w:eastAsia="Times New Roman" w:hAnsi="Times New Roman"/>
      <w:lang w:eastAsia="en-GB"/>
    </w:rPr>
  </w:style>
  <w:style w:type="paragraph" w:customStyle="1" w:styleId="xl81">
    <w:name w:val="xl81"/>
    <w:basedOn w:val="Normal"/>
    <w:rsid w:val="00746C94"/>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lang w:eastAsia="en-GB"/>
    </w:rPr>
  </w:style>
  <w:style w:type="paragraph" w:customStyle="1" w:styleId="xl82">
    <w:name w:val="xl82"/>
    <w:basedOn w:val="Normal"/>
    <w:rsid w:val="00746C94"/>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lang w:eastAsia="en-GB"/>
    </w:rPr>
  </w:style>
  <w:style w:type="paragraph" w:customStyle="1" w:styleId="xl83">
    <w:name w:val="xl83"/>
    <w:basedOn w:val="Normal"/>
    <w:rsid w:val="00746C94"/>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lang w:eastAsia="en-GB"/>
    </w:rPr>
  </w:style>
  <w:style w:type="paragraph" w:customStyle="1" w:styleId="xl84">
    <w:name w:val="xl84"/>
    <w:basedOn w:val="Normal"/>
    <w:rsid w:val="00746C94"/>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lang w:eastAsia="en-GB"/>
    </w:rPr>
  </w:style>
  <w:style w:type="paragraph" w:customStyle="1" w:styleId="xl85">
    <w:name w:val="xl85"/>
    <w:basedOn w:val="Normal"/>
    <w:rsid w:val="00746C94"/>
    <w:pPr>
      <w:shd w:val="clear" w:color="000000" w:fill="FFFFFF"/>
      <w:spacing w:before="100" w:beforeAutospacing="1" w:after="100" w:afterAutospacing="1" w:line="240" w:lineRule="auto"/>
      <w:jc w:val="center"/>
    </w:pPr>
    <w:rPr>
      <w:rFonts w:ascii="Times New Roman" w:eastAsia="Times New Roman" w:hAnsi="Times New Roman"/>
      <w:lang w:eastAsia="en-GB"/>
    </w:rPr>
  </w:style>
  <w:style w:type="paragraph" w:customStyle="1" w:styleId="xl86">
    <w:name w:val="xl86"/>
    <w:basedOn w:val="Normal"/>
    <w:rsid w:val="00746C94"/>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en-GB"/>
    </w:rPr>
  </w:style>
  <w:style w:type="paragraph" w:customStyle="1" w:styleId="xl87">
    <w:name w:val="xl87"/>
    <w:basedOn w:val="Normal"/>
    <w:rsid w:val="00746C94"/>
    <w:pPr>
      <w:shd w:val="clear" w:color="000000" w:fill="FFFFFF"/>
      <w:spacing w:before="100" w:beforeAutospacing="1" w:after="100" w:afterAutospacing="1" w:line="240" w:lineRule="auto"/>
      <w:textAlignment w:val="center"/>
    </w:pPr>
    <w:rPr>
      <w:rFonts w:ascii="Times New Roman" w:eastAsia="Times New Roman" w:hAnsi="Times New Roman"/>
      <w:lang w:eastAsia="en-GB"/>
    </w:rPr>
  </w:style>
  <w:style w:type="paragraph" w:customStyle="1" w:styleId="xl88">
    <w:name w:val="xl88"/>
    <w:basedOn w:val="Normal"/>
    <w:rsid w:val="00746C94"/>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en-GB"/>
    </w:rPr>
  </w:style>
  <w:style w:type="paragraph" w:customStyle="1" w:styleId="xl89">
    <w:name w:val="xl89"/>
    <w:basedOn w:val="Normal"/>
    <w:rsid w:val="00746C94"/>
    <w:pPr>
      <w:pBdr>
        <w:left w:val="single" w:sz="4" w:space="0" w:color="auto"/>
      </w:pBdr>
      <w:shd w:val="clear" w:color="000000" w:fill="FFFFFF"/>
      <w:spacing w:before="100" w:beforeAutospacing="1" w:after="100" w:afterAutospacing="1" w:line="240" w:lineRule="auto"/>
    </w:pPr>
    <w:rPr>
      <w:rFonts w:ascii="Times New Roman" w:eastAsia="Times New Roman" w:hAnsi="Times New Roman"/>
      <w:u w:val="single"/>
      <w:lang w:eastAsia="en-GB"/>
    </w:rPr>
  </w:style>
  <w:style w:type="paragraph" w:customStyle="1" w:styleId="xl90">
    <w:name w:val="xl90"/>
    <w:basedOn w:val="Normal"/>
    <w:rsid w:val="00746C94"/>
    <w:pPr>
      <w:shd w:val="clear" w:color="000000" w:fill="FFFFFF"/>
      <w:spacing w:before="100" w:beforeAutospacing="1" w:after="100" w:afterAutospacing="1" w:line="240" w:lineRule="auto"/>
    </w:pPr>
    <w:rPr>
      <w:rFonts w:ascii="Times New Roman" w:eastAsia="Times New Roman" w:hAnsi="Times New Roman"/>
      <w:u w:val="single"/>
      <w:lang w:eastAsia="en-GB"/>
    </w:rPr>
  </w:style>
  <w:style w:type="paragraph" w:customStyle="1" w:styleId="xl91">
    <w:name w:val="xl91"/>
    <w:basedOn w:val="Normal"/>
    <w:rsid w:val="00746C94"/>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u w:val="single"/>
      <w:lang w:eastAsia="en-GB"/>
    </w:rPr>
  </w:style>
  <w:style w:type="paragraph" w:customStyle="1" w:styleId="xl92">
    <w:name w:val="xl92"/>
    <w:basedOn w:val="Normal"/>
    <w:rsid w:val="00746C94"/>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BFBFBF"/>
      <w:u w:val="single"/>
      <w:lang w:eastAsia="en-GB"/>
    </w:rPr>
  </w:style>
  <w:style w:type="paragraph" w:customStyle="1" w:styleId="xl93">
    <w:name w:val="xl93"/>
    <w:basedOn w:val="Normal"/>
    <w:rsid w:val="00746C94"/>
    <w:pPr>
      <w:shd w:val="clear" w:color="000000" w:fill="FFFFFF"/>
      <w:spacing w:before="100" w:beforeAutospacing="1" w:after="100" w:afterAutospacing="1" w:line="240" w:lineRule="auto"/>
      <w:jc w:val="center"/>
    </w:pPr>
    <w:rPr>
      <w:rFonts w:ascii="Times New Roman" w:eastAsia="Times New Roman" w:hAnsi="Times New Roman"/>
      <w:color w:val="BFBFBF"/>
      <w:u w:val="single"/>
      <w:lang w:eastAsia="en-GB"/>
    </w:rPr>
  </w:style>
  <w:style w:type="paragraph" w:customStyle="1" w:styleId="xl94">
    <w:name w:val="xl94"/>
    <w:basedOn w:val="Normal"/>
    <w:rsid w:val="00746C94"/>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BFBFBF"/>
      <w:u w:val="single"/>
      <w:lang w:eastAsia="en-GB"/>
    </w:rPr>
  </w:style>
  <w:style w:type="paragraph" w:customStyle="1" w:styleId="xl95">
    <w:name w:val="xl95"/>
    <w:basedOn w:val="Normal"/>
    <w:rsid w:val="00746C94"/>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olor w:val="BFBFBF"/>
      <w:lang w:eastAsia="en-GB"/>
    </w:rPr>
  </w:style>
  <w:style w:type="paragraph" w:customStyle="1" w:styleId="xl96">
    <w:name w:val="xl96"/>
    <w:basedOn w:val="Normal"/>
    <w:rsid w:val="00746C94"/>
    <w:pPr>
      <w:shd w:val="clear" w:color="000000" w:fill="FFFFFF"/>
      <w:spacing w:before="100" w:beforeAutospacing="1" w:after="100" w:afterAutospacing="1" w:line="240" w:lineRule="auto"/>
      <w:jc w:val="center"/>
    </w:pPr>
    <w:rPr>
      <w:rFonts w:ascii="Times New Roman" w:eastAsia="Times New Roman" w:hAnsi="Times New Roman"/>
      <w:color w:val="BFBFBF"/>
      <w:lang w:eastAsia="en-GB"/>
    </w:rPr>
  </w:style>
  <w:style w:type="paragraph" w:customStyle="1" w:styleId="xl97">
    <w:name w:val="xl97"/>
    <w:basedOn w:val="Normal"/>
    <w:rsid w:val="00746C94"/>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BFBFBF"/>
      <w:lang w:eastAsia="en-GB"/>
    </w:rPr>
  </w:style>
  <w:style w:type="paragraph" w:customStyle="1" w:styleId="xl98">
    <w:name w:val="xl98"/>
    <w:basedOn w:val="Normal"/>
    <w:rsid w:val="00746C94"/>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en-GB"/>
    </w:rPr>
  </w:style>
  <w:style w:type="paragraph" w:customStyle="1" w:styleId="xl99">
    <w:name w:val="xl99"/>
    <w:basedOn w:val="Normal"/>
    <w:rsid w:val="00746C94"/>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en-GB"/>
    </w:rPr>
  </w:style>
  <w:style w:type="paragraph" w:customStyle="1" w:styleId="xl100">
    <w:name w:val="xl100"/>
    <w:basedOn w:val="Normal"/>
    <w:rsid w:val="00746C94"/>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en-GB"/>
    </w:rPr>
  </w:style>
  <w:style w:type="paragraph" w:customStyle="1" w:styleId="xl101">
    <w:name w:val="xl101"/>
    <w:basedOn w:val="Normal"/>
    <w:rsid w:val="00746C94"/>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02">
    <w:name w:val="xl102"/>
    <w:basedOn w:val="Normal"/>
    <w:rsid w:val="00746C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lang w:eastAsia="en-GB"/>
    </w:rPr>
  </w:style>
  <w:style w:type="paragraph" w:customStyle="1" w:styleId="xl103">
    <w:name w:val="xl103"/>
    <w:basedOn w:val="Normal"/>
    <w:rsid w:val="00746C9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lang w:eastAsia="en-GB"/>
    </w:rPr>
  </w:style>
  <w:style w:type="paragraph" w:customStyle="1" w:styleId="xl104">
    <w:name w:val="xl104"/>
    <w:basedOn w:val="Normal"/>
    <w:rsid w:val="00746C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lang w:eastAsia="en-GB"/>
    </w:rPr>
  </w:style>
  <w:style w:type="paragraph" w:customStyle="1" w:styleId="xl105">
    <w:name w:val="xl105"/>
    <w:basedOn w:val="Normal"/>
    <w:rsid w:val="00746C94"/>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lang w:eastAsia="en-GB"/>
    </w:rPr>
  </w:style>
  <w:style w:type="paragraph" w:customStyle="1" w:styleId="xl106">
    <w:name w:val="xl106"/>
    <w:basedOn w:val="Normal"/>
    <w:rsid w:val="00746C94"/>
    <w:pPr>
      <w:shd w:val="clear" w:color="000000" w:fill="FFFFFF"/>
      <w:spacing w:before="100" w:beforeAutospacing="1" w:after="100" w:afterAutospacing="1" w:line="240" w:lineRule="auto"/>
      <w:jc w:val="center"/>
      <w:textAlignment w:val="center"/>
    </w:pPr>
    <w:rPr>
      <w:rFonts w:ascii="Times New Roman" w:eastAsia="Times New Roman" w:hAnsi="Times New Roman"/>
      <w:b/>
      <w:bCs/>
      <w:lang w:eastAsia="en-GB"/>
    </w:rPr>
  </w:style>
  <w:style w:type="paragraph" w:customStyle="1" w:styleId="xl107">
    <w:name w:val="xl107"/>
    <w:basedOn w:val="Normal"/>
    <w:rsid w:val="00746C94"/>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lang w:eastAsia="en-GB"/>
    </w:rPr>
  </w:style>
  <w:style w:type="paragraph" w:customStyle="1" w:styleId="xl108">
    <w:name w:val="xl108"/>
    <w:basedOn w:val="Normal"/>
    <w:rsid w:val="00746C94"/>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u w:val="single"/>
      <w:lang w:eastAsia="en-GB"/>
    </w:rPr>
  </w:style>
  <w:style w:type="paragraph" w:customStyle="1" w:styleId="xl109">
    <w:name w:val="xl109"/>
    <w:basedOn w:val="Normal"/>
    <w:rsid w:val="00746C94"/>
    <w:pPr>
      <w:shd w:val="clear" w:color="000000" w:fill="FFFFFF"/>
      <w:spacing w:before="100" w:beforeAutospacing="1" w:after="100" w:afterAutospacing="1" w:line="240" w:lineRule="auto"/>
      <w:jc w:val="center"/>
      <w:textAlignment w:val="center"/>
    </w:pPr>
    <w:rPr>
      <w:rFonts w:ascii="Times New Roman" w:eastAsia="Times New Roman" w:hAnsi="Times New Roman"/>
      <w:b/>
      <w:bCs/>
      <w:u w:val="single"/>
      <w:lang w:eastAsia="en-GB"/>
    </w:rPr>
  </w:style>
  <w:style w:type="paragraph" w:customStyle="1" w:styleId="xl110">
    <w:name w:val="xl110"/>
    <w:basedOn w:val="Normal"/>
    <w:rsid w:val="00746C94"/>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u w:val="single"/>
      <w:lang w:eastAsia="en-GB"/>
    </w:rPr>
  </w:style>
  <w:style w:type="paragraph" w:customStyle="1" w:styleId="xl111">
    <w:name w:val="xl111"/>
    <w:basedOn w:val="Normal"/>
    <w:rsid w:val="00746C94"/>
    <w:pPr>
      <w:pBdr>
        <w:top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styleId="Title">
    <w:name w:val="Title"/>
    <w:basedOn w:val="Normal"/>
    <w:next w:val="Normal"/>
    <w:link w:val="TitleChar"/>
    <w:uiPriority w:val="10"/>
    <w:qFormat/>
    <w:rsid w:val="00487D8D"/>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487D8D"/>
    <w:rPr>
      <w:rFonts w:ascii="Cambria" w:eastAsia="Times New Roman" w:hAnsi="Cambria" w:cs="Times New Roman"/>
      <w:b/>
      <w:bCs/>
      <w:kern w:val="28"/>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348"/>
    <w:pPr>
      <w:spacing w:after="200" w:line="276" w:lineRule="auto"/>
    </w:pPr>
    <w:rPr>
      <w:sz w:val="22"/>
      <w:szCs w:val="22"/>
    </w:rPr>
  </w:style>
  <w:style w:type="paragraph" w:styleId="Heading1">
    <w:name w:val="heading 1"/>
    <w:basedOn w:val="Normal"/>
    <w:next w:val="Normal"/>
    <w:link w:val="Heading1Char"/>
    <w:uiPriority w:val="9"/>
    <w:qFormat/>
    <w:rsid w:val="00820085"/>
    <w:pPr>
      <w:keepNext/>
      <w:keepLines/>
      <w:spacing w:before="480" w:after="0"/>
      <w:outlineLvl w:val="0"/>
    </w:pPr>
    <w:rPr>
      <w:rFonts w:ascii="Cambria" w:eastAsia="MS Gothic" w:hAnsi="Cambria"/>
      <w:b/>
      <w:bCs/>
      <w:color w:val="365F91"/>
      <w:sz w:val="28"/>
      <w:szCs w:val="28"/>
      <w:lang w:val="x-none" w:eastAsia="x-none"/>
    </w:rPr>
  </w:style>
  <w:style w:type="paragraph" w:styleId="Heading2">
    <w:name w:val="heading 2"/>
    <w:basedOn w:val="Normal"/>
    <w:next w:val="Normal"/>
    <w:link w:val="Heading2Char"/>
    <w:uiPriority w:val="9"/>
    <w:qFormat/>
    <w:rsid w:val="00820085"/>
    <w:pPr>
      <w:keepNext/>
      <w:keepLines/>
      <w:spacing w:before="200" w:after="0"/>
      <w:outlineLvl w:val="1"/>
    </w:pPr>
    <w:rPr>
      <w:rFonts w:ascii="Cambria" w:eastAsia="MS Gothic" w:hAnsi="Cambria"/>
      <w:b/>
      <w:bCs/>
      <w:color w:val="4F81BD"/>
      <w:sz w:val="26"/>
      <w:szCs w:val="26"/>
      <w:lang w:val="x-none" w:eastAsia="x-none"/>
    </w:rPr>
  </w:style>
  <w:style w:type="paragraph" w:styleId="Heading3">
    <w:name w:val="heading 3"/>
    <w:basedOn w:val="Normal"/>
    <w:next w:val="Normal"/>
    <w:link w:val="Heading3Char"/>
    <w:uiPriority w:val="9"/>
    <w:qFormat/>
    <w:rsid w:val="00820085"/>
    <w:pPr>
      <w:keepNext/>
      <w:keepLines/>
      <w:spacing w:before="200" w:after="0"/>
      <w:outlineLvl w:val="2"/>
    </w:pPr>
    <w:rPr>
      <w:rFonts w:ascii="Cambria" w:eastAsia="MS Gothic" w:hAnsi="Cambria"/>
      <w:b/>
      <w:bCs/>
      <w:color w:val="4F81BD"/>
      <w:sz w:val="20"/>
      <w:szCs w:val="20"/>
      <w:lang w:val="x-none" w:eastAsia="x-none"/>
    </w:rPr>
  </w:style>
  <w:style w:type="paragraph" w:styleId="Heading4">
    <w:name w:val="heading 4"/>
    <w:basedOn w:val="Normal"/>
    <w:next w:val="Normal"/>
    <w:link w:val="Heading4Char"/>
    <w:uiPriority w:val="9"/>
    <w:unhideWhenUsed/>
    <w:qFormat/>
    <w:rsid w:val="00CF2E21"/>
    <w:pPr>
      <w:keepNext/>
      <w:keepLines/>
      <w:spacing w:before="40" w:after="0" w:line="259" w:lineRule="auto"/>
      <w:outlineLvl w:val="3"/>
    </w:pPr>
    <w:rPr>
      <w:rFonts w:ascii="Calibri Light" w:eastAsia="Times New Roma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3C1348"/>
    <w:pPr>
      <w:ind w:left="720"/>
      <w:contextualSpacing/>
    </w:pPr>
  </w:style>
  <w:style w:type="table" w:styleId="TableGrid">
    <w:name w:val="Table Grid"/>
    <w:basedOn w:val="TableNormal"/>
    <w:uiPriority w:val="59"/>
    <w:rsid w:val="00700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700E3E"/>
    <w:pPr>
      <w:spacing w:line="240" w:lineRule="auto"/>
    </w:pPr>
    <w:rPr>
      <w:b/>
      <w:bCs/>
      <w:color w:val="4F81BD"/>
      <w:sz w:val="18"/>
      <w:szCs w:val="18"/>
    </w:rPr>
  </w:style>
  <w:style w:type="character" w:styleId="Hyperlink">
    <w:name w:val="Hyperlink"/>
    <w:uiPriority w:val="99"/>
    <w:unhideWhenUsed/>
    <w:rsid w:val="003013C2"/>
    <w:rPr>
      <w:color w:val="0000FF"/>
      <w:u w:val="single"/>
    </w:rPr>
  </w:style>
  <w:style w:type="character" w:customStyle="1" w:styleId="Heading2Char">
    <w:name w:val="Heading 2 Char"/>
    <w:link w:val="Heading2"/>
    <w:uiPriority w:val="9"/>
    <w:rsid w:val="00820085"/>
    <w:rPr>
      <w:rFonts w:ascii="Cambria" w:eastAsia="MS Gothic" w:hAnsi="Cambria" w:cs="Times New Roman"/>
      <w:b/>
      <w:bCs/>
      <w:color w:val="4F81BD"/>
      <w:sz w:val="26"/>
      <w:szCs w:val="26"/>
    </w:rPr>
  </w:style>
  <w:style w:type="character" w:customStyle="1" w:styleId="Heading1Char">
    <w:name w:val="Heading 1 Char"/>
    <w:link w:val="Heading1"/>
    <w:uiPriority w:val="9"/>
    <w:rsid w:val="00820085"/>
    <w:rPr>
      <w:rFonts w:ascii="Cambria" w:eastAsia="MS Gothic" w:hAnsi="Cambria" w:cs="Times New Roman"/>
      <w:b/>
      <w:bCs/>
      <w:color w:val="365F91"/>
      <w:sz w:val="28"/>
      <w:szCs w:val="28"/>
    </w:rPr>
  </w:style>
  <w:style w:type="character" w:customStyle="1" w:styleId="Heading3Char">
    <w:name w:val="Heading 3 Char"/>
    <w:link w:val="Heading3"/>
    <w:uiPriority w:val="9"/>
    <w:rsid w:val="00820085"/>
    <w:rPr>
      <w:rFonts w:ascii="Cambria" w:eastAsia="MS Gothic" w:hAnsi="Cambria" w:cs="Times New Roman"/>
      <w:b/>
      <w:bCs/>
      <w:color w:val="4F81BD"/>
    </w:rPr>
  </w:style>
  <w:style w:type="paragraph" w:styleId="TOCHeading">
    <w:name w:val="TOC Heading"/>
    <w:basedOn w:val="Heading1"/>
    <w:next w:val="Normal"/>
    <w:uiPriority w:val="39"/>
    <w:semiHidden/>
    <w:unhideWhenUsed/>
    <w:qFormat/>
    <w:rsid w:val="00E416AE"/>
    <w:pPr>
      <w:outlineLvl w:val="9"/>
    </w:pPr>
    <w:rPr>
      <w:lang w:val="en-US" w:eastAsia="ja-JP"/>
    </w:rPr>
  </w:style>
  <w:style w:type="paragraph" w:styleId="TOC1">
    <w:name w:val="toc 1"/>
    <w:basedOn w:val="Normal"/>
    <w:next w:val="Normal"/>
    <w:autoRedefine/>
    <w:uiPriority w:val="39"/>
    <w:unhideWhenUsed/>
    <w:rsid w:val="00E416AE"/>
    <w:pPr>
      <w:spacing w:after="100"/>
    </w:pPr>
  </w:style>
  <w:style w:type="paragraph" w:styleId="TOC2">
    <w:name w:val="toc 2"/>
    <w:basedOn w:val="Normal"/>
    <w:next w:val="Normal"/>
    <w:autoRedefine/>
    <w:uiPriority w:val="39"/>
    <w:unhideWhenUsed/>
    <w:rsid w:val="00E416AE"/>
    <w:pPr>
      <w:spacing w:after="100"/>
      <w:ind w:left="220"/>
    </w:pPr>
  </w:style>
  <w:style w:type="paragraph" w:styleId="TOC3">
    <w:name w:val="toc 3"/>
    <w:basedOn w:val="Normal"/>
    <w:next w:val="Normal"/>
    <w:autoRedefine/>
    <w:uiPriority w:val="39"/>
    <w:unhideWhenUsed/>
    <w:rsid w:val="00E416AE"/>
    <w:pPr>
      <w:spacing w:after="100"/>
      <w:ind w:left="440"/>
    </w:pPr>
  </w:style>
  <w:style w:type="paragraph" w:styleId="BalloonText">
    <w:name w:val="Balloon Text"/>
    <w:basedOn w:val="Normal"/>
    <w:link w:val="BalloonTextChar"/>
    <w:uiPriority w:val="99"/>
    <w:semiHidden/>
    <w:unhideWhenUsed/>
    <w:rsid w:val="00E416A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416AE"/>
    <w:rPr>
      <w:rFonts w:ascii="Tahoma" w:hAnsi="Tahoma" w:cs="Tahoma"/>
      <w:sz w:val="16"/>
      <w:szCs w:val="16"/>
    </w:rPr>
  </w:style>
  <w:style w:type="paragraph" w:customStyle="1" w:styleId="EndNoteBibliographyTitle">
    <w:name w:val="EndNote Bibliography Title"/>
    <w:basedOn w:val="Normal"/>
    <w:link w:val="EndNoteBibliographyTitleChar"/>
    <w:rsid w:val="002A2953"/>
    <w:pPr>
      <w:spacing w:after="0"/>
      <w:jc w:val="center"/>
    </w:pPr>
    <w:rPr>
      <w:lang w:val="en-US"/>
    </w:rPr>
  </w:style>
  <w:style w:type="paragraph" w:customStyle="1" w:styleId="EndNoteBibliography">
    <w:name w:val="EndNote Bibliography"/>
    <w:basedOn w:val="Normal"/>
    <w:link w:val="EndNoteBibliographyChar"/>
    <w:rsid w:val="002A2953"/>
    <w:pPr>
      <w:spacing w:line="240" w:lineRule="auto"/>
    </w:pPr>
    <w:rPr>
      <w:lang w:val="en-US"/>
    </w:rPr>
  </w:style>
  <w:style w:type="paragraph" w:styleId="NormalWeb">
    <w:name w:val="Normal (Web)"/>
    <w:basedOn w:val="Normal"/>
    <w:uiPriority w:val="99"/>
    <w:unhideWhenUsed/>
    <w:rsid w:val="00F023CC"/>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uiPriority w:val="99"/>
    <w:semiHidden/>
    <w:unhideWhenUsed/>
    <w:rsid w:val="00B920D5"/>
    <w:rPr>
      <w:sz w:val="18"/>
      <w:szCs w:val="18"/>
    </w:rPr>
  </w:style>
  <w:style w:type="paragraph" w:styleId="CommentText">
    <w:name w:val="annotation text"/>
    <w:basedOn w:val="Normal"/>
    <w:link w:val="CommentTextChar"/>
    <w:uiPriority w:val="99"/>
    <w:unhideWhenUsed/>
    <w:rsid w:val="00B920D5"/>
    <w:pPr>
      <w:spacing w:line="240" w:lineRule="auto"/>
    </w:pPr>
    <w:rPr>
      <w:sz w:val="24"/>
      <w:szCs w:val="24"/>
      <w:lang w:val="x-none" w:eastAsia="x-none"/>
    </w:rPr>
  </w:style>
  <w:style w:type="character" w:customStyle="1" w:styleId="CommentTextChar">
    <w:name w:val="Comment Text Char"/>
    <w:link w:val="CommentText"/>
    <w:uiPriority w:val="99"/>
    <w:rsid w:val="00B920D5"/>
    <w:rPr>
      <w:sz w:val="24"/>
      <w:szCs w:val="24"/>
    </w:rPr>
  </w:style>
  <w:style w:type="paragraph" w:styleId="CommentSubject">
    <w:name w:val="annotation subject"/>
    <w:basedOn w:val="CommentText"/>
    <w:next w:val="CommentText"/>
    <w:link w:val="CommentSubjectChar"/>
    <w:uiPriority w:val="99"/>
    <w:semiHidden/>
    <w:unhideWhenUsed/>
    <w:rsid w:val="00B920D5"/>
    <w:rPr>
      <w:b/>
      <w:bCs/>
      <w:sz w:val="20"/>
      <w:szCs w:val="20"/>
    </w:rPr>
  </w:style>
  <w:style w:type="character" w:customStyle="1" w:styleId="CommentSubjectChar">
    <w:name w:val="Comment Subject Char"/>
    <w:link w:val="CommentSubject"/>
    <w:uiPriority w:val="99"/>
    <w:semiHidden/>
    <w:rsid w:val="00B920D5"/>
    <w:rPr>
      <w:b/>
      <w:bCs/>
      <w:sz w:val="20"/>
      <w:szCs w:val="20"/>
    </w:rPr>
  </w:style>
  <w:style w:type="table" w:customStyle="1" w:styleId="TableGrid1">
    <w:name w:val="Table Grid1"/>
    <w:basedOn w:val="TableNormal"/>
    <w:next w:val="TableGrid"/>
    <w:uiPriority w:val="59"/>
    <w:rsid w:val="00F15F7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60C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DDB"/>
    <w:rPr>
      <w:sz w:val="22"/>
      <w:szCs w:val="22"/>
    </w:rPr>
  </w:style>
  <w:style w:type="character" w:customStyle="1" w:styleId="EndNoteBibliographyTitleChar">
    <w:name w:val="EndNote Bibliography Title Char"/>
    <w:link w:val="EndNoteBibliographyTitle"/>
    <w:rsid w:val="00B70DDB"/>
    <w:rPr>
      <w:sz w:val="22"/>
      <w:szCs w:val="22"/>
      <w:lang w:val="en-US"/>
    </w:rPr>
  </w:style>
  <w:style w:type="character" w:customStyle="1" w:styleId="EndNoteBibliographyChar">
    <w:name w:val="EndNote Bibliography Char"/>
    <w:link w:val="EndNoteBibliography"/>
    <w:rsid w:val="00B70DDB"/>
    <w:rPr>
      <w:sz w:val="22"/>
      <w:szCs w:val="22"/>
      <w:lang w:val="en-US"/>
    </w:rPr>
  </w:style>
  <w:style w:type="paragraph" w:styleId="ListParagraph">
    <w:name w:val="List Paragraph"/>
    <w:basedOn w:val="Normal"/>
    <w:uiPriority w:val="34"/>
    <w:qFormat/>
    <w:rsid w:val="00B70DDB"/>
    <w:pPr>
      <w:ind w:left="720"/>
      <w:contextualSpacing/>
    </w:pPr>
  </w:style>
  <w:style w:type="character" w:customStyle="1" w:styleId="Heading4Char">
    <w:name w:val="Heading 4 Char"/>
    <w:link w:val="Heading4"/>
    <w:uiPriority w:val="9"/>
    <w:rsid w:val="00CF2E21"/>
    <w:rPr>
      <w:rFonts w:ascii="Calibri Light" w:eastAsia="Times New Roman" w:hAnsi="Calibri Light"/>
      <w:i/>
      <w:iCs/>
      <w:color w:val="2E74B5"/>
      <w:sz w:val="22"/>
      <w:szCs w:val="22"/>
      <w:lang w:eastAsia="en-US"/>
    </w:rPr>
  </w:style>
  <w:style w:type="paragraph" w:styleId="Header">
    <w:name w:val="header"/>
    <w:basedOn w:val="Normal"/>
    <w:link w:val="HeaderChar"/>
    <w:uiPriority w:val="99"/>
    <w:unhideWhenUsed/>
    <w:rsid w:val="00CF2E21"/>
    <w:pPr>
      <w:tabs>
        <w:tab w:val="center" w:pos="4513"/>
        <w:tab w:val="right" w:pos="9026"/>
      </w:tabs>
      <w:spacing w:after="0" w:line="240" w:lineRule="auto"/>
    </w:pPr>
  </w:style>
  <w:style w:type="character" w:customStyle="1" w:styleId="HeaderChar">
    <w:name w:val="Header Char"/>
    <w:link w:val="Header"/>
    <w:uiPriority w:val="99"/>
    <w:rsid w:val="00CF2E21"/>
    <w:rPr>
      <w:sz w:val="22"/>
      <w:szCs w:val="22"/>
      <w:lang w:eastAsia="en-US"/>
    </w:rPr>
  </w:style>
  <w:style w:type="paragraph" w:styleId="Footer">
    <w:name w:val="footer"/>
    <w:basedOn w:val="Normal"/>
    <w:link w:val="FooterChar"/>
    <w:uiPriority w:val="99"/>
    <w:unhideWhenUsed/>
    <w:rsid w:val="00CF2E21"/>
    <w:pPr>
      <w:tabs>
        <w:tab w:val="center" w:pos="4513"/>
        <w:tab w:val="right" w:pos="9026"/>
      </w:tabs>
      <w:spacing w:after="0" w:line="240" w:lineRule="auto"/>
    </w:pPr>
  </w:style>
  <w:style w:type="character" w:customStyle="1" w:styleId="FooterChar">
    <w:name w:val="Footer Char"/>
    <w:link w:val="Footer"/>
    <w:uiPriority w:val="99"/>
    <w:rsid w:val="00CF2E21"/>
    <w:rPr>
      <w:sz w:val="22"/>
      <w:szCs w:val="22"/>
      <w:lang w:eastAsia="en-US"/>
    </w:rPr>
  </w:style>
  <w:style w:type="table" w:customStyle="1" w:styleId="GridTableLight">
    <w:name w:val="Grid Table Light"/>
    <w:basedOn w:val="TableNormal"/>
    <w:uiPriority w:val="40"/>
    <w:rsid w:val="002A383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
    <w:name w:val="Plain Table 1"/>
    <w:basedOn w:val="TableNormal"/>
    <w:uiPriority w:val="41"/>
    <w:rsid w:val="002A383E"/>
    <w:rPr>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ableofFigures">
    <w:name w:val="table of figures"/>
    <w:basedOn w:val="Normal"/>
    <w:next w:val="Normal"/>
    <w:uiPriority w:val="99"/>
    <w:unhideWhenUsed/>
    <w:rsid w:val="00FB06A7"/>
  </w:style>
  <w:style w:type="paragraph" w:styleId="TOC4">
    <w:name w:val="toc 4"/>
    <w:basedOn w:val="Normal"/>
    <w:next w:val="Normal"/>
    <w:autoRedefine/>
    <w:uiPriority w:val="39"/>
    <w:unhideWhenUsed/>
    <w:rsid w:val="009A6737"/>
    <w:pPr>
      <w:spacing w:after="100"/>
      <w:ind w:left="660"/>
    </w:pPr>
    <w:rPr>
      <w:rFonts w:eastAsia="Times New Roman"/>
      <w:lang w:eastAsia="en-GB"/>
    </w:rPr>
  </w:style>
  <w:style w:type="paragraph" w:styleId="TOC5">
    <w:name w:val="toc 5"/>
    <w:basedOn w:val="Normal"/>
    <w:next w:val="Normal"/>
    <w:autoRedefine/>
    <w:uiPriority w:val="39"/>
    <w:unhideWhenUsed/>
    <w:rsid w:val="009A6737"/>
    <w:pPr>
      <w:spacing w:after="100"/>
      <w:ind w:left="880"/>
    </w:pPr>
    <w:rPr>
      <w:rFonts w:eastAsia="Times New Roman"/>
      <w:lang w:eastAsia="en-GB"/>
    </w:rPr>
  </w:style>
  <w:style w:type="paragraph" w:styleId="TOC6">
    <w:name w:val="toc 6"/>
    <w:basedOn w:val="Normal"/>
    <w:next w:val="Normal"/>
    <w:autoRedefine/>
    <w:uiPriority w:val="39"/>
    <w:unhideWhenUsed/>
    <w:rsid w:val="009A6737"/>
    <w:pPr>
      <w:spacing w:after="100"/>
      <w:ind w:left="1100"/>
    </w:pPr>
    <w:rPr>
      <w:rFonts w:eastAsia="Times New Roman"/>
      <w:lang w:eastAsia="en-GB"/>
    </w:rPr>
  </w:style>
  <w:style w:type="paragraph" w:styleId="TOC7">
    <w:name w:val="toc 7"/>
    <w:basedOn w:val="Normal"/>
    <w:next w:val="Normal"/>
    <w:autoRedefine/>
    <w:uiPriority w:val="39"/>
    <w:unhideWhenUsed/>
    <w:rsid w:val="009A6737"/>
    <w:pPr>
      <w:spacing w:after="100"/>
      <w:ind w:left="1320"/>
    </w:pPr>
    <w:rPr>
      <w:rFonts w:eastAsia="Times New Roman"/>
      <w:lang w:eastAsia="en-GB"/>
    </w:rPr>
  </w:style>
  <w:style w:type="paragraph" w:styleId="TOC8">
    <w:name w:val="toc 8"/>
    <w:basedOn w:val="Normal"/>
    <w:next w:val="Normal"/>
    <w:autoRedefine/>
    <w:uiPriority w:val="39"/>
    <w:unhideWhenUsed/>
    <w:rsid w:val="009A6737"/>
    <w:pPr>
      <w:spacing w:after="100"/>
      <w:ind w:left="1540"/>
    </w:pPr>
    <w:rPr>
      <w:rFonts w:eastAsia="Times New Roman"/>
      <w:lang w:eastAsia="en-GB"/>
    </w:rPr>
  </w:style>
  <w:style w:type="paragraph" w:styleId="TOC9">
    <w:name w:val="toc 9"/>
    <w:basedOn w:val="Normal"/>
    <w:next w:val="Normal"/>
    <w:autoRedefine/>
    <w:uiPriority w:val="39"/>
    <w:unhideWhenUsed/>
    <w:rsid w:val="009A6737"/>
    <w:pPr>
      <w:spacing w:after="100"/>
      <w:ind w:left="1760"/>
    </w:pPr>
    <w:rPr>
      <w:rFonts w:eastAsia="Times New Roman"/>
      <w:lang w:eastAsia="en-GB"/>
    </w:rPr>
  </w:style>
  <w:style w:type="character" w:styleId="FollowedHyperlink">
    <w:name w:val="FollowedHyperlink"/>
    <w:uiPriority w:val="99"/>
    <w:semiHidden/>
    <w:unhideWhenUsed/>
    <w:rsid w:val="00746C94"/>
    <w:rPr>
      <w:color w:val="800080"/>
      <w:u w:val="single"/>
    </w:rPr>
  </w:style>
  <w:style w:type="paragraph" w:customStyle="1" w:styleId="font5">
    <w:name w:val="font5"/>
    <w:basedOn w:val="Normal"/>
    <w:rsid w:val="00746C94"/>
    <w:pPr>
      <w:spacing w:before="100" w:beforeAutospacing="1" w:after="100" w:afterAutospacing="1" w:line="240" w:lineRule="auto"/>
    </w:pPr>
    <w:rPr>
      <w:rFonts w:ascii="Times New Roman" w:eastAsia="Times New Roman" w:hAnsi="Times New Roman"/>
      <w:color w:val="000000"/>
      <w:lang w:eastAsia="en-GB"/>
    </w:rPr>
  </w:style>
  <w:style w:type="paragraph" w:customStyle="1" w:styleId="font6">
    <w:name w:val="font6"/>
    <w:basedOn w:val="Normal"/>
    <w:rsid w:val="00746C94"/>
    <w:pPr>
      <w:spacing w:before="100" w:beforeAutospacing="1" w:after="100" w:afterAutospacing="1" w:line="240" w:lineRule="auto"/>
    </w:pPr>
    <w:rPr>
      <w:rFonts w:ascii="Times New Roman" w:eastAsia="Times New Roman" w:hAnsi="Times New Roman"/>
      <w:color w:val="000000"/>
      <w:lang w:eastAsia="en-GB"/>
    </w:rPr>
  </w:style>
  <w:style w:type="paragraph" w:customStyle="1" w:styleId="font7">
    <w:name w:val="font7"/>
    <w:basedOn w:val="Normal"/>
    <w:rsid w:val="00746C94"/>
    <w:pPr>
      <w:spacing w:before="100" w:beforeAutospacing="1" w:after="100" w:afterAutospacing="1" w:line="240" w:lineRule="auto"/>
    </w:pPr>
    <w:rPr>
      <w:rFonts w:ascii="Times New Roman" w:eastAsia="Times New Roman" w:hAnsi="Times New Roman"/>
      <w:color w:val="BFBFBF"/>
      <w:lang w:eastAsia="en-GB"/>
    </w:rPr>
  </w:style>
  <w:style w:type="paragraph" w:customStyle="1" w:styleId="font8">
    <w:name w:val="font8"/>
    <w:basedOn w:val="Normal"/>
    <w:rsid w:val="00746C94"/>
    <w:pPr>
      <w:spacing w:before="100" w:beforeAutospacing="1" w:after="100" w:afterAutospacing="1" w:line="240" w:lineRule="auto"/>
    </w:pPr>
    <w:rPr>
      <w:rFonts w:ascii="Times New Roman" w:eastAsia="Times New Roman" w:hAnsi="Times New Roman"/>
      <w:color w:val="BFBFBF"/>
      <w:lang w:eastAsia="en-GB"/>
    </w:rPr>
  </w:style>
  <w:style w:type="paragraph" w:customStyle="1" w:styleId="xl65">
    <w:name w:val="xl65"/>
    <w:basedOn w:val="Normal"/>
    <w:rsid w:val="00746C94"/>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eastAsia="en-GB"/>
    </w:rPr>
  </w:style>
  <w:style w:type="paragraph" w:customStyle="1" w:styleId="xl66">
    <w:name w:val="xl66"/>
    <w:basedOn w:val="Normal"/>
    <w:rsid w:val="00746C94"/>
    <w:pPr>
      <w:shd w:val="clear" w:color="000000" w:fill="FFFFFF"/>
      <w:spacing w:before="100" w:beforeAutospacing="1" w:after="100" w:afterAutospacing="1" w:line="240" w:lineRule="auto"/>
      <w:jc w:val="center"/>
      <w:textAlignment w:val="center"/>
    </w:pPr>
    <w:rPr>
      <w:rFonts w:ascii="Times New Roman" w:eastAsia="Times New Roman" w:hAnsi="Times New Roman"/>
      <w:lang w:eastAsia="en-GB"/>
    </w:rPr>
  </w:style>
  <w:style w:type="paragraph" w:customStyle="1" w:styleId="xl67">
    <w:name w:val="xl67"/>
    <w:basedOn w:val="Normal"/>
    <w:rsid w:val="00746C94"/>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eastAsia="en-GB"/>
    </w:rPr>
  </w:style>
  <w:style w:type="paragraph" w:customStyle="1" w:styleId="xl68">
    <w:name w:val="xl68"/>
    <w:basedOn w:val="Normal"/>
    <w:rsid w:val="00746C94"/>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u w:val="single"/>
      <w:lang w:eastAsia="en-GB"/>
    </w:rPr>
  </w:style>
  <w:style w:type="paragraph" w:customStyle="1" w:styleId="xl69">
    <w:name w:val="xl69"/>
    <w:basedOn w:val="Normal"/>
    <w:rsid w:val="00746C94"/>
    <w:pPr>
      <w:shd w:val="clear" w:color="000000" w:fill="FFFFFF"/>
      <w:spacing w:before="100" w:beforeAutospacing="1" w:after="100" w:afterAutospacing="1" w:line="240" w:lineRule="auto"/>
      <w:jc w:val="center"/>
    </w:pPr>
    <w:rPr>
      <w:rFonts w:ascii="Times New Roman" w:eastAsia="Times New Roman" w:hAnsi="Times New Roman"/>
      <w:u w:val="single"/>
      <w:lang w:eastAsia="en-GB"/>
    </w:rPr>
  </w:style>
  <w:style w:type="paragraph" w:customStyle="1" w:styleId="xl70">
    <w:name w:val="xl70"/>
    <w:basedOn w:val="Normal"/>
    <w:rsid w:val="00746C94"/>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u w:val="single"/>
      <w:lang w:eastAsia="en-GB"/>
    </w:rPr>
  </w:style>
  <w:style w:type="paragraph" w:customStyle="1" w:styleId="xl71">
    <w:name w:val="xl71"/>
    <w:basedOn w:val="Normal"/>
    <w:rsid w:val="00746C94"/>
    <w:pPr>
      <w:pBdr>
        <w:left w:val="single" w:sz="4" w:space="0" w:color="auto"/>
      </w:pBdr>
      <w:shd w:val="clear" w:color="000000" w:fill="FFFFFF"/>
      <w:spacing w:before="100" w:beforeAutospacing="1" w:after="100" w:afterAutospacing="1" w:line="240" w:lineRule="auto"/>
    </w:pPr>
    <w:rPr>
      <w:rFonts w:ascii="Times New Roman" w:eastAsia="Times New Roman" w:hAnsi="Times New Roman"/>
      <w:lang w:eastAsia="en-GB"/>
    </w:rPr>
  </w:style>
  <w:style w:type="paragraph" w:customStyle="1" w:styleId="xl72">
    <w:name w:val="xl72"/>
    <w:basedOn w:val="Normal"/>
    <w:rsid w:val="00746C94"/>
    <w:pPr>
      <w:shd w:val="clear" w:color="000000" w:fill="FFFFFF"/>
      <w:spacing w:before="100" w:beforeAutospacing="1" w:after="100" w:afterAutospacing="1" w:line="240" w:lineRule="auto"/>
      <w:jc w:val="center"/>
    </w:pPr>
    <w:rPr>
      <w:rFonts w:ascii="Times New Roman" w:eastAsia="Times New Roman" w:hAnsi="Times New Roman"/>
      <w:lang w:eastAsia="en-GB"/>
    </w:rPr>
  </w:style>
  <w:style w:type="paragraph" w:customStyle="1" w:styleId="xl73">
    <w:name w:val="xl73"/>
    <w:basedOn w:val="Normal"/>
    <w:rsid w:val="00746C94"/>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lang w:eastAsia="en-GB"/>
    </w:rPr>
  </w:style>
  <w:style w:type="paragraph" w:customStyle="1" w:styleId="xl74">
    <w:name w:val="xl74"/>
    <w:basedOn w:val="Normal"/>
    <w:rsid w:val="00746C94"/>
    <w:pPr>
      <w:shd w:val="clear" w:color="000000" w:fill="FFFFFF"/>
      <w:spacing w:before="100" w:beforeAutospacing="1" w:after="100" w:afterAutospacing="1" w:line="240" w:lineRule="auto"/>
    </w:pPr>
    <w:rPr>
      <w:rFonts w:ascii="Times New Roman" w:eastAsia="Times New Roman" w:hAnsi="Times New Roman"/>
      <w:lang w:eastAsia="en-GB"/>
    </w:rPr>
  </w:style>
  <w:style w:type="paragraph" w:customStyle="1" w:styleId="xl75">
    <w:name w:val="xl75"/>
    <w:basedOn w:val="Normal"/>
    <w:rsid w:val="00746C94"/>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lang w:eastAsia="en-GB"/>
    </w:rPr>
  </w:style>
  <w:style w:type="paragraph" w:customStyle="1" w:styleId="xl76">
    <w:name w:val="xl76"/>
    <w:basedOn w:val="Normal"/>
    <w:rsid w:val="00746C94"/>
    <w:pPr>
      <w:pBdr>
        <w:lef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7">
    <w:name w:val="xl77"/>
    <w:basedOn w:val="Normal"/>
    <w:rsid w:val="00746C94"/>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8">
    <w:name w:val="xl78"/>
    <w:basedOn w:val="Normal"/>
    <w:rsid w:val="00746C94"/>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9">
    <w:name w:val="xl79"/>
    <w:basedOn w:val="Normal"/>
    <w:rsid w:val="00746C94"/>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lang w:eastAsia="en-GB"/>
    </w:rPr>
  </w:style>
  <w:style w:type="paragraph" w:customStyle="1" w:styleId="xl80">
    <w:name w:val="xl80"/>
    <w:basedOn w:val="Normal"/>
    <w:rsid w:val="00746C94"/>
    <w:pPr>
      <w:shd w:val="clear" w:color="000000" w:fill="FFFFFF"/>
      <w:spacing w:before="100" w:beforeAutospacing="1" w:after="100" w:afterAutospacing="1" w:line="240" w:lineRule="auto"/>
      <w:jc w:val="center"/>
    </w:pPr>
    <w:rPr>
      <w:rFonts w:ascii="Times New Roman" w:eastAsia="Times New Roman" w:hAnsi="Times New Roman"/>
      <w:lang w:eastAsia="en-GB"/>
    </w:rPr>
  </w:style>
  <w:style w:type="paragraph" w:customStyle="1" w:styleId="xl81">
    <w:name w:val="xl81"/>
    <w:basedOn w:val="Normal"/>
    <w:rsid w:val="00746C94"/>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lang w:eastAsia="en-GB"/>
    </w:rPr>
  </w:style>
  <w:style w:type="paragraph" w:customStyle="1" w:styleId="xl82">
    <w:name w:val="xl82"/>
    <w:basedOn w:val="Normal"/>
    <w:rsid w:val="00746C94"/>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lang w:eastAsia="en-GB"/>
    </w:rPr>
  </w:style>
  <w:style w:type="paragraph" w:customStyle="1" w:styleId="xl83">
    <w:name w:val="xl83"/>
    <w:basedOn w:val="Normal"/>
    <w:rsid w:val="00746C94"/>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lang w:eastAsia="en-GB"/>
    </w:rPr>
  </w:style>
  <w:style w:type="paragraph" w:customStyle="1" w:styleId="xl84">
    <w:name w:val="xl84"/>
    <w:basedOn w:val="Normal"/>
    <w:rsid w:val="00746C94"/>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lang w:eastAsia="en-GB"/>
    </w:rPr>
  </w:style>
  <w:style w:type="paragraph" w:customStyle="1" w:styleId="xl85">
    <w:name w:val="xl85"/>
    <w:basedOn w:val="Normal"/>
    <w:rsid w:val="00746C94"/>
    <w:pPr>
      <w:shd w:val="clear" w:color="000000" w:fill="FFFFFF"/>
      <w:spacing w:before="100" w:beforeAutospacing="1" w:after="100" w:afterAutospacing="1" w:line="240" w:lineRule="auto"/>
      <w:jc w:val="center"/>
    </w:pPr>
    <w:rPr>
      <w:rFonts w:ascii="Times New Roman" w:eastAsia="Times New Roman" w:hAnsi="Times New Roman"/>
      <w:lang w:eastAsia="en-GB"/>
    </w:rPr>
  </w:style>
  <w:style w:type="paragraph" w:customStyle="1" w:styleId="xl86">
    <w:name w:val="xl86"/>
    <w:basedOn w:val="Normal"/>
    <w:rsid w:val="00746C94"/>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en-GB"/>
    </w:rPr>
  </w:style>
  <w:style w:type="paragraph" w:customStyle="1" w:styleId="xl87">
    <w:name w:val="xl87"/>
    <w:basedOn w:val="Normal"/>
    <w:rsid w:val="00746C94"/>
    <w:pPr>
      <w:shd w:val="clear" w:color="000000" w:fill="FFFFFF"/>
      <w:spacing w:before="100" w:beforeAutospacing="1" w:after="100" w:afterAutospacing="1" w:line="240" w:lineRule="auto"/>
      <w:textAlignment w:val="center"/>
    </w:pPr>
    <w:rPr>
      <w:rFonts w:ascii="Times New Roman" w:eastAsia="Times New Roman" w:hAnsi="Times New Roman"/>
      <w:lang w:eastAsia="en-GB"/>
    </w:rPr>
  </w:style>
  <w:style w:type="paragraph" w:customStyle="1" w:styleId="xl88">
    <w:name w:val="xl88"/>
    <w:basedOn w:val="Normal"/>
    <w:rsid w:val="00746C94"/>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en-GB"/>
    </w:rPr>
  </w:style>
  <w:style w:type="paragraph" w:customStyle="1" w:styleId="xl89">
    <w:name w:val="xl89"/>
    <w:basedOn w:val="Normal"/>
    <w:rsid w:val="00746C94"/>
    <w:pPr>
      <w:pBdr>
        <w:left w:val="single" w:sz="4" w:space="0" w:color="auto"/>
      </w:pBdr>
      <w:shd w:val="clear" w:color="000000" w:fill="FFFFFF"/>
      <w:spacing w:before="100" w:beforeAutospacing="1" w:after="100" w:afterAutospacing="1" w:line="240" w:lineRule="auto"/>
    </w:pPr>
    <w:rPr>
      <w:rFonts w:ascii="Times New Roman" w:eastAsia="Times New Roman" w:hAnsi="Times New Roman"/>
      <w:u w:val="single"/>
      <w:lang w:eastAsia="en-GB"/>
    </w:rPr>
  </w:style>
  <w:style w:type="paragraph" w:customStyle="1" w:styleId="xl90">
    <w:name w:val="xl90"/>
    <w:basedOn w:val="Normal"/>
    <w:rsid w:val="00746C94"/>
    <w:pPr>
      <w:shd w:val="clear" w:color="000000" w:fill="FFFFFF"/>
      <w:spacing w:before="100" w:beforeAutospacing="1" w:after="100" w:afterAutospacing="1" w:line="240" w:lineRule="auto"/>
    </w:pPr>
    <w:rPr>
      <w:rFonts w:ascii="Times New Roman" w:eastAsia="Times New Roman" w:hAnsi="Times New Roman"/>
      <w:u w:val="single"/>
      <w:lang w:eastAsia="en-GB"/>
    </w:rPr>
  </w:style>
  <w:style w:type="paragraph" w:customStyle="1" w:styleId="xl91">
    <w:name w:val="xl91"/>
    <w:basedOn w:val="Normal"/>
    <w:rsid w:val="00746C94"/>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u w:val="single"/>
      <w:lang w:eastAsia="en-GB"/>
    </w:rPr>
  </w:style>
  <w:style w:type="paragraph" w:customStyle="1" w:styleId="xl92">
    <w:name w:val="xl92"/>
    <w:basedOn w:val="Normal"/>
    <w:rsid w:val="00746C94"/>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BFBFBF"/>
      <w:u w:val="single"/>
      <w:lang w:eastAsia="en-GB"/>
    </w:rPr>
  </w:style>
  <w:style w:type="paragraph" w:customStyle="1" w:styleId="xl93">
    <w:name w:val="xl93"/>
    <w:basedOn w:val="Normal"/>
    <w:rsid w:val="00746C94"/>
    <w:pPr>
      <w:shd w:val="clear" w:color="000000" w:fill="FFFFFF"/>
      <w:spacing w:before="100" w:beforeAutospacing="1" w:after="100" w:afterAutospacing="1" w:line="240" w:lineRule="auto"/>
      <w:jc w:val="center"/>
    </w:pPr>
    <w:rPr>
      <w:rFonts w:ascii="Times New Roman" w:eastAsia="Times New Roman" w:hAnsi="Times New Roman"/>
      <w:color w:val="BFBFBF"/>
      <w:u w:val="single"/>
      <w:lang w:eastAsia="en-GB"/>
    </w:rPr>
  </w:style>
  <w:style w:type="paragraph" w:customStyle="1" w:styleId="xl94">
    <w:name w:val="xl94"/>
    <w:basedOn w:val="Normal"/>
    <w:rsid w:val="00746C94"/>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BFBFBF"/>
      <w:u w:val="single"/>
      <w:lang w:eastAsia="en-GB"/>
    </w:rPr>
  </w:style>
  <w:style w:type="paragraph" w:customStyle="1" w:styleId="xl95">
    <w:name w:val="xl95"/>
    <w:basedOn w:val="Normal"/>
    <w:rsid w:val="00746C94"/>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olor w:val="BFBFBF"/>
      <w:lang w:eastAsia="en-GB"/>
    </w:rPr>
  </w:style>
  <w:style w:type="paragraph" w:customStyle="1" w:styleId="xl96">
    <w:name w:val="xl96"/>
    <w:basedOn w:val="Normal"/>
    <w:rsid w:val="00746C94"/>
    <w:pPr>
      <w:shd w:val="clear" w:color="000000" w:fill="FFFFFF"/>
      <w:spacing w:before="100" w:beforeAutospacing="1" w:after="100" w:afterAutospacing="1" w:line="240" w:lineRule="auto"/>
      <w:jc w:val="center"/>
    </w:pPr>
    <w:rPr>
      <w:rFonts w:ascii="Times New Roman" w:eastAsia="Times New Roman" w:hAnsi="Times New Roman"/>
      <w:color w:val="BFBFBF"/>
      <w:lang w:eastAsia="en-GB"/>
    </w:rPr>
  </w:style>
  <w:style w:type="paragraph" w:customStyle="1" w:styleId="xl97">
    <w:name w:val="xl97"/>
    <w:basedOn w:val="Normal"/>
    <w:rsid w:val="00746C94"/>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BFBFBF"/>
      <w:lang w:eastAsia="en-GB"/>
    </w:rPr>
  </w:style>
  <w:style w:type="paragraph" w:customStyle="1" w:styleId="xl98">
    <w:name w:val="xl98"/>
    <w:basedOn w:val="Normal"/>
    <w:rsid w:val="00746C94"/>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en-GB"/>
    </w:rPr>
  </w:style>
  <w:style w:type="paragraph" w:customStyle="1" w:styleId="xl99">
    <w:name w:val="xl99"/>
    <w:basedOn w:val="Normal"/>
    <w:rsid w:val="00746C94"/>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en-GB"/>
    </w:rPr>
  </w:style>
  <w:style w:type="paragraph" w:customStyle="1" w:styleId="xl100">
    <w:name w:val="xl100"/>
    <w:basedOn w:val="Normal"/>
    <w:rsid w:val="00746C94"/>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en-GB"/>
    </w:rPr>
  </w:style>
  <w:style w:type="paragraph" w:customStyle="1" w:styleId="xl101">
    <w:name w:val="xl101"/>
    <w:basedOn w:val="Normal"/>
    <w:rsid w:val="00746C94"/>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02">
    <w:name w:val="xl102"/>
    <w:basedOn w:val="Normal"/>
    <w:rsid w:val="00746C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lang w:eastAsia="en-GB"/>
    </w:rPr>
  </w:style>
  <w:style w:type="paragraph" w:customStyle="1" w:styleId="xl103">
    <w:name w:val="xl103"/>
    <w:basedOn w:val="Normal"/>
    <w:rsid w:val="00746C9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lang w:eastAsia="en-GB"/>
    </w:rPr>
  </w:style>
  <w:style w:type="paragraph" w:customStyle="1" w:styleId="xl104">
    <w:name w:val="xl104"/>
    <w:basedOn w:val="Normal"/>
    <w:rsid w:val="00746C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lang w:eastAsia="en-GB"/>
    </w:rPr>
  </w:style>
  <w:style w:type="paragraph" w:customStyle="1" w:styleId="xl105">
    <w:name w:val="xl105"/>
    <w:basedOn w:val="Normal"/>
    <w:rsid w:val="00746C94"/>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lang w:eastAsia="en-GB"/>
    </w:rPr>
  </w:style>
  <w:style w:type="paragraph" w:customStyle="1" w:styleId="xl106">
    <w:name w:val="xl106"/>
    <w:basedOn w:val="Normal"/>
    <w:rsid w:val="00746C94"/>
    <w:pPr>
      <w:shd w:val="clear" w:color="000000" w:fill="FFFFFF"/>
      <w:spacing w:before="100" w:beforeAutospacing="1" w:after="100" w:afterAutospacing="1" w:line="240" w:lineRule="auto"/>
      <w:jc w:val="center"/>
      <w:textAlignment w:val="center"/>
    </w:pPr>
    <w:rPr>
      <w:rFonts w:ascii="Times New Roman" w:eastAsia="Times New Roman" w:hAnsi="Times New Roman"/>
      <w:b/>
      <w:bCs/>
      <w:lang w:eastAsia="en-GB"/>
    </w:rPr>
  </w:style>
  <w:style w:type="paragraph" w:customStyle="1" w:styleId="xl107">
    <w:name w:val="xl107"/>
    <w:basedOn w:val="Normal"/>
    <w:rsid w:val="00746C94"/>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lang w:eastAsia="en-GB"/>
    </w:rPr>
  </w:style>
  <w:style w:type="paragraph" w:customStyle="1" w:styleId="xl108">
    <w:name w:val="xl108"/>
    <w:basedOn w:val="Normal"/>
    <w:rsid w:val="00746C94"/>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u w:val="single"/>
      <w:lang w:eastAsia="en-GB"/>
    </w:rPr>
  </w:style>
  <w:style w:type="paragraph" w:customStyle="1" w:styleId="xl109">
    <w:name w:val="xl109"/>
    <w:basedOn w:val="Normal"/>
    <w:rsid w:val="00746C94"/>
    <w:pPr>
      <w:shd w:val="clear" w:color="000000" w:fill="FFFFFF"/>
      <w:spacing w:before="100" w:beforeAutospacing="1" w:after="100" w:afterAutospacing="1" w:line="240" w:lineRule="auto"/>
      <w:jc w:val="center"/>
      <w:textAlignment w:val="center"/>
    </w:pPr>
    <w:rPr>
      <w:rFonts w:ascii="Times New Roman" w:eastAsia="Times New Roman" w:hAnsi="Times New Roman"/>
      <w:b/>
      <w:bCs/>
      <w:u w:val="single"/>
      <w:lang w:eastAsia="en-GB"/>
    </w:rPr>
  </w:style>
  <w:style w:type="paragraph" w:customStyle="1" w:styleId="xl110">
    <w:name w:val="xl110"/>
    <w:basedOn w:val="Normal"/>
    <w:rsid w:val="00746C94"/>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u w:val="single"/>
      <w:lang w:eastAsia="en-GB"/>
    </w:rPr>
  </w:style>
  <w:style w:type="paragraph" w:customStyle="1" w:styleId="xl111">
    <w:name w:val="xl111"/>
    <w:basedOn w:val="Normal"/>
    <w:rsid w:val="00746C94"/>
    <w:pPr>
      <w:pBdr>
        <w:top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styleId="Title">
    <w:name w:val="Title"/>
    <w:basedOn w:val="Normal"/>
    <w:next w:val="Normal"/>
    <w:link w:val="TitleChar"/>
    <w:uiPriority w:val="10"/>
    <w:qFormat/>
    <w:rsid w:val="00487D8D"/>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487D8D"/>
    <w:rPr>
      <w:rFonts w:ascii="Cambria" w:eastAsia="Times New Roman" w:hAnsi="Cambria" w:cs="Times New Roman"/>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8857">
      <w:bodyDiv w:val="1"/>
      <w:marLeft w:val="0"/>
      <w:marRight w:val="0"/>
      <w:marTop w:val="0"/>
      <w:marBottom w:val="0"/>
      <w:divBdr>
        <w:top w:val="none" w:sz="0" w:space="0" w:color="auto"/>
        <w:left w:val="none" w:sz="0" w:space="0" w:color="auto"/>
        <w:bottom w:val="none" w:sz="0" w:space="0" w:color="auto"/>
        <w:right w:val="none" w:sz="0" w:space="0" w:color="auto"/>
      </w:divBdr>
    </w:div>
    <w:div w:id="60640104">
      <w:bodyDiv w:val="1"/>
      <w:marLeft w:val="0"/>
      <w:marRight w:val="0"/>
      <w:marTop w:val="0"/>
      <w:marBottom w:val="0"/>
      <w:divBdr>
        <w:top w:val="none" w:sz="0" w:space="0" w:color="auto"/>
        <w:left w:val="none" w:sz="0" w:space="0" w:color="auto"/>
        <w:bottom w:val="none" w:sz="0" w:space="0" w:color="auto"/>
        <w:right w:val="none" w:sz="0" w:space="0" w:color="auto"/>
      </w:divBdr>
    </w:div>
    <w:div w:id="114300749">
      <w:bodyDiv w:val="1"/>
      <w:marLeft w:val="0"/>
      <w:marRight w:val="0"/>
      <w:marTop w:val="0"/>
      <w:marBottom w:val="0"/>
      <w:divBdr>
        <w:top w:val="none" w:sz="0" w:space="0" w:color="auto"/>
        <w:left w:val="none" w:sz="0" w:space="0" w:color="auto"/>
        <w:bottom w:val="none" w:sz="0" w:space="0" w:color="auto"/>
        <w:right w:val="none" w:sz="0" w:space="0" w:color="auto"/>
      </w:divBdr>
    </w:div>
    <w:div w:id="138160168">
      <w:bodyDiv w:val="1"/>
      <w:marLeft w:val="0"/>
      <w:marRight w:val="0"/>
      <w:marTop w:val="0"/>
      <w:marBottom w:val="0"/>
      <w:divBdr>
        <w:top w:val="none" w:sz="0" w:space="0" w:color="auto"/>
        <w:left w:val="none" w:sz="0" w:space="0" w:color="auto"/>
        <w:bottom w:val="none" w:sz="0" w:space="0" w:color="auto"/>
        <w:right w:val="none" w:sz="0" w:space="0" w:color="auto"/>
      </w:divBdr>
    </w:div>
    <w:div w:id="178354568">
      <w:bodyDiv w:val="1"/>
      <w:marLeft w:val="0"/>
      <w:marRight w:val="0"/>
      <w:marTop w:val="0"/>
      <w:marBottom w:val="0"/>
      <w:divBdr>
        <w:top w:val="none" w:sz="0" w:space="0" w:color="auto"/>
        <w:left w:val="none" w:sz="0" w:space="0" w:color="auto"/>
        <w:bottom w:val="none" w:sz="0" w:space="0" w:color="auto"/>
        <w:right w:val="none" w:sz="0" w:space="0" w:color="auto"/>
      </w:divBdr>
    </w:div>
    <w:div w:id="210773216">
      <w:bodyDiv w:val="1"/>
      <w:marLeft w:val="0"/>
      <w:marRight w:val="0"/>
      <w:marTop w:val="0"/>
      <w:marBottom w:val="0"/>
      <w:divBdr>
        <w:top w:val="none" w:sz="0" w:space="0" w:color="auto"/>
        <w:left w:val="none" w:sz="0" w:space="0" w:color="auto"/>
        <w:bottom w:val="none" w:sz="0" w:space="0" w:color="auto"/>
        <w:right w:val="none" w:sz="0" w:space="0" w:color="auto"/>
      </w:divBdr>
    </w:div>
    <w:div w:id="221258987">
      <w:bodyDiv w:val="1"/>
      <w:marLeft w:val="0"/>
      <w:marRight w:val="0"/>
      <w:marTop w:val="0"/>
      <w:marBottom w:val="0"/>
      <w:divBdr>
        <w:top w:val="none" w:sz="0" w:space="0" w:color="auto"/>
        <w:left w:val="none" w:sz="0" w:space="0" w:color="auto"/>
        <w:bottom w:val="none" w:sz="0" w:space="0" w:color="auto"/>
        <w:right w:val="none" w:sz="0" w:space="0" w:color="auto"/>
      </w:divBdr>
    </w:div>
    <w:div w:id="227037262">
      <w:bodyDiv w:val="1"/>
      <w:marLeft w:val="0"/>
      <w:marRight w:val="0"/>
      <w:marTop w:val="0"/>
      <w:marBottom w:val="0"/>
      <w:divBdr>
        <w:top w:val="none" w:sz="0" w:space="0" w:color="auto"/>
        <w:left w:val="none" w:sz="0" w:space="0" w:color="auto"/>
        <w:bottom w:val="none" w:sz="0" w:space="0" w:color="auto"/>
        <w:right w:val="none" w:sz="0" w:space="0" w:color="auto"/>
      </w:divBdr>
    </w:div>
    <w:div w:id="372313361">
      <w:bodyDiv w:val="1"/>
      <w:marLeft w:val="0"/>
      <w:marRight w:val="0"/>
      <w:marTop w:val="0"/>
      <w:marBottom w:val="0"/>
      <w:divBdr>
        <w:top w:val="none" w:sz="0" w:space="0" w:color="auto"/>
        <w:left w:val="none" w:sz="0" w:space="0" w:color="auto"/>
        <w:bottom w:val="none" w:sz="0" w:space="0" w:color="auto"/>
        <w:right w:val="none" w:sz="0" w:space="0" w:color="auto"/>
      </w:divBdr>
    </w:div>
    <w:div w:id="450510940">
      <w:bodyDiv w:val="1"/>
      <w:marLeft w:val="0"/>
      <w:marRight w:val="0"/>
      <w:marTop w:val="0"/>
      <w:marBottom w:val="0"/>
      <w:divBdr>
        <w:top w:val="none" w:sz="0" w:space="0" w:color="auto"/>
        <w:left w:val="none" w:sz="0" w:space="0" w:color="auto"/>
        <w:bottom w:val="none" w:sz="0" w:space="0" w:color="auto"/>
        <w:right w:val="none" w:sz="0" w:space="0" w:color="auto"/>
      </w:divBdr>
    </w:div>
    <w:div w:id="496463255">
      <w:bodyDiv w:val="1"/>
      <w:marLeft w:val="0"/>
      <w:marRight w:val="0"/>
      <w:marTop w:val="0"/>
      <w:marBottom w:val="0"/>
      <w:divBdr>
        <w:top w:val="none" w:sz="0" w:space="0" w:color="auto"/>
        <w:left w:val="none" w:sz="0" w:space="0" w:color="auto"/>
        <w:bottom w:val="none" w:sz="0" w:space="0" w:color="auto"/>
        <w:right w:val="none" w:sz="0" w:space="0" w:color="auto"/>
      </w:divBdr>
    </w:div>
    <w:div w:id="561134306">
      <w:bodyDiv w:val="1"/>
      <w:marLeft w:val="0"/>
      <w:marRight w:val="0"/>
      <w:marTop w:val="0"/>
      <w:marBottom w:val="0"/>
      <w:divBdr>
        <w:top w:val="none" w:sz="0" w:space="0" w:color="auto"/>
        <w:left w:val="none" w:sz="0" w:space="0" w:color="auto"/>
        <w:bottom w:val="none" w:sz="0" w:space="0" w:color="auto"/>
        <w:right w:val="none" w:sz="0" w:space="0" w:color="auto"/>
      </w:divBdr>
    </w:div>
    <w:div w:id="630669116">
      <w:bodyDiv w:val="1"/>
      <w:marLeft w:val="0"/>
      <w:marRight w:val="0"/>
      <w:marTop w:val="0"/>
      <w:marBottom w:val="0"/>
      <w:divBdr>
        <w:top w:val="none" w:sz="0" w:space="0" w:color="auto"/>
        <w:left w:val="none" w:sz="0" w:space="0" w:color="auto"/>
        <w:bottom w:val="none" w:sz="0" w:space="0" w:color="auto"/>
        <w:right w:val="none" w:sz="0" w:space="0" w:color="auto"/>
      </w:divBdr>
    </w:div>
    <w:div w:id="631209510">
      <w:bodyDiv w:val="1"/>
      <w:marLeft w:val="0"/>
      <w:marRight w:val="0"/>
      <w:marTop w:val="0"/>
      <w:marBottom w:val="0"/>
      <w:divBdr>
        <w:top w:val="none" w:sz="0" w:space="0" w:color="auto"/>
        <w:left w:val="none" w:sz="0" w:space="0" w:color="auto"/>
        <w:bottom w:val="none" w:sz="0" w:space="0" w:color="auto"/>
        <w:right w:val="none" w:sz="0" w:space="0" w:color="auto"/>
      </w:divBdr>
    </w:div>
    <w:div w:id="663630621">
      <w:bodyDiv w:val="1"/>
      <w:marLeft w:val="0"/>
      <w:marRight w:val="0"/>
      <w:marTop w:val="0"/>
      <w:marBottom w:val="0"/>
      <w:divBdr>
        <w:top w:val="none" w:sz="0" w:space="0" w:color="auto"/>
        <w:left w:val="none" w:sz="0" w:space="0" w:color="auto"/>
        <w:bottom w:val="none" w:sz="0" w:space="0" w:color="auto"/>
        <w:right w:val="none" w:sz="0" w:space="0" w:color="auto"/>
      </w:divBdr>
    </w:div>
    <w:div w:id="686715925">
      <w:bodyDiv w:val="1"/>
      <w:marLeft w:val="0"/>
      <w:marRight w:val="0"/>
      <w:marTop w:val="0"/>
      <w:marBottom w:val="0"/>
      <w:divBdr>
        <w:top w:val="none" w:sz="0" w:space="0" w:color="auto"/>
        <w:left w:val="none" w:sz="0" w:space="0" w:color="auto"/>
        <w:bottom w:val="none" w:sz="0" w:space="0" w:color="auto"/>
        <w:right w:val="none" w:sz="0" w:space="0" w:color="auto"/>
      </w:divBdr>
    </w:div>
    <w:div w:id="697659034">
      <w:bodyDiv w:val="1"/>
      <w:marLeft w:val="0"/>
      <w:marRight w:val="0"/>
      <w:marTop w:val="0"/>
      <w:marBottom w:val="0"/>
      <w:divBdr>
        <w:top w:val="none" w:sz="0" w:space="0" w:color="auto"/>
        <w:left w:val="none" w:sz="0" w:space="0" w:color="auto"/>
        <w:bottom w:val="none" w:sz="0" w:space="0" w:color="auto"/>
        <w:right w:val="none" w:sz="0" w:space="0" w:color="auto"/>
      </w:divBdr>
    </w:div>
    <w:div w:id="766581870">
      <w:bodyDiv w:val="1"/>
      <w:marLeft w:val="0"/>
      <w:marRight w:val="0"/>
      <w:marTop w:val="0"/>
      <w:marBottom w:val="0"/>
      <w:divBdr>
        <w:top w:val="none" w:sz="0" w:space="0" w:color="auto"/>
        <w:left w:val="none" w:sz="0" w:space="0" w:color="auto"/>
        <w:bottom w:val="none" w:sz="0" w:space="0" w:color="auto"/>
        <w:right w:val="none" w:sz="0" w:space="0" w:color="auto"/>
      </w:divBdr>
    </w:div>
    <w:div w:id="793523863">
      <w:bodyDiv w:val="1"/>
      <w:marLeft w:val="0"/>
      <w:marRight w:val="0"/>
      <w:marTop w:val="0"/>
      <w:marBottom w:val="0"/>
      <w:divBdr>
        <w:top w:val="none" w:sz="0" w:space="0" w:color="auto"/>
        <w:left w:val="none" w:sz="0" w:space="0" w:color="auto"/>
        <w:bottom w:val="none" w:sz="0" w:space="0" w:color="auto"/>
        <w:right w:val="none" w:sz="0" w:space="0" w:color="auto"/>
      </w:divBdr>
    </w:div>
    <w:div w:id="999390255">
      <w:bodyDiv w:val="1"/>
      <w:marLeft w:val="0"/>
      <w:marRight w:val="0"/>
      <w:marTop w:val="0"/>
      <w:marBottom w:val="0"/>
      <w:divBdr>
        <w:top w:val="none" w:sz="0" w:space="0" w:color="auto"/>
        <w:left w:val="none" w:sz="0" w:space="0" w:color="auto"/>
        <w:bottom w:val="none" w:sz="0" w:space="0" w:color="auto"/>
        <w:right w:val="none" w:sz="0" w:space="0" w:color="auto"/>
      </w:divBdr>
    </w:div>
    <w:div w:id="1008483211">
      <w:bodyDiv w:val="1"/>
      <w:marLeft w:val="0"/>
      <w:marRight w:val="0"/>
      <w:marTop w:val="0"/>
      <w:marBottom w:val="0"/>
      <w:divBdr>
        <w:top w:val="none" w:sz="0" w:space="0" w:color="auto"/>
        <w:left w:val="none" w:sz="0" w:space="0" w:color="auto"/>
        <w:bottom w:val="none" w:sz="0" w:space="0" w:color="auto"/>
        <w:right w:val="none" w:sz="0" w:space="0" w:color="auto"/>
      </w:divBdr>
    </w:div>
    <w:div w:id="1009260551">
      <w:bodyDiv w:val="1"/>
      <w:marLeft w:val="0"/>
      <w:marRight w:val="0"/>
      <w:marTop w:val="0"/>
      <w:marBottom w:val="0"/>
      <w:divBdr>
        <w:top w:val="none" w:sz="0" w:space="0" w:color="auto"/>
        <w:left w:val="none" w:sz="0" w:space="0" w:color="auto"/>
        <w:bottom w:val="none" w:sz="0" w:space="0" w:color="auto"/>
        <w:right w:val="none" w:sz="0" w:space="0" w:color="auto"/>
      </w:divBdr>
    </w:div>
    <w:div w:id="1162163525">
      <w:bodyDiv w:val="1"/>
      <w:marLeft w:val="0"/>
      <w:marRight w:val="0"/>
      <w:marTop w:val="0"/>
      <w:marBottom w:val="0"/>
      <w:divBdr>
        <w:top w:val="none" w:sz="0" w:space="0" w:color="auto"/>
        <w:left w:val="none" w:sz="0" w:space="0" w:color="auto"/>
        <w:bottom w:val="none" w:sz="0" w:space="0" w:color="auto"/>
        <w:right w:val="none" w:sz="0" w:space="0" w:color="auto"/>
      </w:divBdr>
    </w:div>
    <w:div w:id="1176919620">
      <w:bodyDiv w:val="1"/>
      <w:marLeft w:val="0"/>
      <w:marRight w:val="0"/>
      <w:marTop w:val="0"/>
      <w:marBottom w:val="0"/>
      <w:divBdr>
        <w:top w:val="none" w:sz="0" w:space="0" w:color="auto"/>
        <w:left w:val="none" w:sz="0" w:space="0" w:color="auto"/>
        <w:bottom w:val="none" w:sz="0" w:space="0" w:color="auto"/>
        <w:right w:val="none" w:sz="0" w:space="0" w:color="auto"/>
      </w:divBdr>
    </w:div>
    <w:div w:id="1187062400">
      <w:bodyDiv w:val="1"/>
      <w:marLeft w:val="0"/>
      <w:marRight w:val="0"/>
      <w:marTop w:val="0"/>
      <w:marBottom w:val="0"/>
      <w:divBdr>
        <w:top w:val="none" w:sz="0" w:space="0" w:color="auto"/>
        <w:left w:val="none" w:sz="0" w:space="0" w:color="auto"/>
        <w:bottom w:val="none" w:sz="0" w:space="0" w:color="auto"/>
        <w:right w:val="none" w:sz="0" w:space="0" w:color="auto"/>
      </w:divBdr>
    </w:div>
    <w:div w:id="1318147883">
      <w:bodyDiv w:val="1"/>
      <w:marLeft w:val="0"/>
      <w:marRight w:val="0"/>
      <w:marTop w:val="0"/>
      <w:marBottom w:val="0"/>
      <w:divBdr>
        <w:top w:val="none" w:sz="0" w:space="0" w:color="auto"/>
        <w:left w:val="none" w:sz="0" w:space="0" w:color="auto"/>
        <w:bottom w:val="none" w:sz="0" w:space="0" w:color="auto"/>
        <w:right w:val="none" w:sz="0" w:space="0" w:color="auto"/>
      </w:divBdr>
    </w:div>
    <w:div w:id="1330988111">
      <w:bodyDiv w:val="1"/>
      <w:marLeft w:val="0"/>
      <w:marRight w:val="0"/>
      <w:marTop w:val="0"/>
      <w:marBottom w:val="0"/>
      <w:divBdr>
        <w:top w:val="none" w:sz="0" w:space="0" w:color="auto"/>
        <w:left w:val="none" w:sz="0" w:space="0" w:color="auto"/>
        <w:bottom w:val="none" w:sz="0" w:space="0" w:color="auto"/>
        <w:right w:val="none" w:sz="0" w:space="0" w:color="auto"/>
      </w:divBdr>
    </w:div>
    <w:div w:id="1347832266">
      <w:bodyDiv w:val="1"/>
      <w:marLeft w:val="0"/>
      <w:marRight w:val="0"/>
      <w:marTop w:val="0"/>
      <w:marBottom w:val="0"/>
      <w:divBdr>
        <w:top w:val="none" w:sz="0" w:space="0" w:color="auto"/>
        <w:left w:val="none" w:sz="0" w:space="0" w:color="auto"/>
        <w:bottom w:val="none" w:sz="0" w:space="0" w:color="auto"/>
        <w:right w:val="none" w:sz="0" w:space="0" w:color="auto"/>
      </w:divBdr>
    </w:div>
    <w:div w:id="1353263604">
      <w:bodyDiv w:val="1"/>
      <w:marLeft w:val="0"/>
      <w:marRight w:val="0"/>
      <w:marTop w:val="0"/>
      <w:marBottom w:val="0"/>
      <w:divBdr>
        <w:top w:val="none" w:sz="0" w:space="0" w:color="auto"/>
        <w:left w:val="none" w:sz="0" w:space="0" w:color="auto"/>
        <w:bottom w:val="none" w:sz="0" w:space="0" w:color="auto"/>
        <w:right w:val="none" w:sz="0" w:space="0" w:color="auto"/>
      </w:divBdr>
    </w:div>
    <w:div w:id="1373650987">
      <w:bodyDiv w:val="1"/>
      <w:marLeft w:val="0"/>
      <w:marRight w:val="0"/>
      <w:marTop w:val="0"/>
      <w:marBottom w:val="0"/>
      <w:divBdr>
        <w:top w:val="none" w:sz="0" w:space="0" w:color="auto"/>
        <w:left w:val="none" w:sz="0" w:space="0" w:color="auto"/>
        <w:bottom w:val="none" w:sz="0" w:space="0" w:color="auto"/>
        <w:right w:val="none" w:sz="0" w:space="0" w:color="auto"/>
      </w:divBdr>
    </w:div>
    <w:div w:id="1399815549">
      <w:bodyDiv w:val="1"/>
      <w:marLeft w:val="0"/>
      <w:marRight w:val="0"/>
      <w:marTop w:val="0"/>
      <w:marBottom w:val="0"/>
      <w:divBdr>
        <w:top w:val="none" w:sz="0" w:space="0" w:color="auto"/>
        <w:left w:val="none" w:sz="0" w:space="0" w:color="auto"/>
        <w:bottom w:val="none" w:sz="0" w:space="0" w:color="auto"/>
        <w:right w:val="none" w:sz="0" w:space="0" w:color="auto"/>
      </w:divBdr>
    </w:div>
    <w:div w:id="1435442287">
      <w:bodyDiv w:val="1"/>
      <w:marLeft w:val="0"/>
      <w:marRight w:val="0"/>
      <w:marTop w:val="0"/>
      <w:marBottom w:val="0"/>
      <w:divBdr>
        <w:top w:val="none" w:sz="0" w:space="0" w:color="auto"/>
        <w:left w:val="none" w:sz="0" w:space="0" w:color="auto"/>
        <w:bottom w:val="none" w:sz="0" w:space="0" w:color="auto"/>
        <w:right w:val="none" w:sz="0" w:space="0" w:color="auto"/>
      </w:divBdr>
    </w:div>
    <w:div w:id="1436752016">
      <w:bodyDiv w:val="1"/>
      <w:marLeft w:val="0"/>
      <w:marRight w:val="0"/>
      <w:marTop w:val="0"/>
      <w:marBottom w:val="0"/>
      <w:divBdr>
        <w:top w:val="none" w:sz="0" w:space="0" w:color="auto"/>
        <w:left w:val="none" w:sz="0" w:space="0" w:color="auto"/>
        <w:bottom w:val="none" w:sz="0" w:space="0" w:color="auto"/>
        <w:right w:val="none" w:sz="0" w:space="0" w:color="auto"/>
      </w:divBdr>
    </w:div>
    <w:div w:id="1542397681">
      <w:bodyDiv w:val="1"/>
      <w:marLeft w:val="0"/>
      <w:marRight w:val="0"/>
      <w:marTop w:val="0"/>
      <w:marBottom w:val="0"/>
      <w:divBdr>
        <w:top w:val="none" w:sz="0" w:space="0" w:color="auto"/>
        <w:left w:val="none" w:sz="0" w:space="0" w:color="auto"/>
        <w:bottom w:val="none" w:sz="0" w:space="0" w:color="auto"/>
        <w:right w:val="none" w:sz="0" w:space="0" w:color="auto"/>
      </w:divBdr>
    </w:div>
    <w:div w:id="1607467796">
      <w:bodyDiv w:val="1"/>
      <w:marLeft w:val="0"/>
      <w:marRight w:val="0"/>
      <w:marTop w:val="0"/>
      <w:marBottom w:val="0"/>
      <w:divBdr>
        <w:top w:val="none" w:sz="0" w:space="0" w:color="auto"/>
        <w:left w:val="none" w:sz="0" w:space="0" w:color="auto"/>
        <w:bottom w:val="none" w:sz="0" w:space="0" w:color="auto"/>
        <w:right w:val="none" w:sz="0" w:space="0" w:color="auto"/>
      </w:divBdr>
    </w:div>
    <w:div w:id="1699966587">
      <w:bodyDiv w:val="1"/>
      <w:marLeft w:val="0"/>
      <w:marRight w:val="0"/>
      <w:marTop w:val="0"/>
      <w:marBottom w:val="0"/>
      <w:divBdr>
        <w:top w:val="none" w:sz="0" w:space="0" w:color="auto"/>
        <w:left w:val="none" w:sz="0" w:space="0" w:color="auto"/>
        <w:bottom w:val="none" w:sz="0" w:space="0" w:color="auto"/>
        <w:right w:val="none" w:sz="0" w:space="0" w:color="auto"/>
      </w:divBdr>
    </w:div>
    <w:div w:id="1781875126">
      <w:bodyDiv w:val="1"/>
      <w:marLeft w:val="0"/>
      <w:marRight w:val="0"/>
      <w:marTop w:val="0"/>
      <w:marBottom w:val="0"/>
      <w:divBdr>
        <w:top w:val="none" w:sz="0" w:space="0" w:color="auto"/>
        <w:left w:val="none" w:sz="0" w:space="0" w:color="auto"/>
        <w:bottom w:val="none" w:sz="0" w:space="0" w:color="auto"/>
        <w:right w:val="none" w:sz="0" w:space="0" w:color="auto"/>
      </w:divBdr>
    </w:div>
    <w:div w:id="1807042641">
      <w:bodyDiv w:val="1"/>
      <w:marLeft w:val="0"/>
      <w:marRight w:val="0"/>
      <w:marTop w:val="0"/>
      <w:marBottom w:val="0"/>
      <w:divBdr>
        <w:top w:val="none" w:sz="0" w:space="0" w:color="auto"/>
        <w:left w:val="none" w:sz="0" w:space="0" w:color="auto"/>
        <w:bottom w:val="none" w:sz="0" w:space="0" w:color="auto"/>
        <w:right w:val="none" w:sz="0" w:space="0" w:color="auto"/>
      </w:divBdr>
    </w:div>
    <w:div w:id="1849563383">
      <w:bodyDiv w:val="1"/>
      <w:marLeft w:val="0"/>
      <w:marRight w:val="0"/>
      <w:marTop w:val="0"/>
      <w:marBottom w:val="0"/>
      <w:divBdr>
        <w:top w:val="none" w:sz="0" w:space="0" w:color="auto"/>
        <w:left w:val="none" w:sz="0" w:space="0" w:color="auto"/>
        <w:bottom w:val="none" w:sz="0" w:space="0" w:color="auto"/>
        <w:right w:val="none" w:sz="0" w:space="0" w:color="auto"/>
      </w:divBdr>
    </w:div>
    <w:div w:id="1881088065">
      <w:bodyDiv w:val="1"/>
      <w:marLeft w:val="0"/>
      <w:marRight w:val="0"/>
      <w:marTop w:val="0"/>
      <w:marBottom w:val="0"/>
      <w:divBdr>
        <w:top w:val="none" w:sz="0" w:space="0" w:color="auto"/>
        <w:left w:val="none" w:sz="0" w:space="0" w:color="auto"/>
        <w:bottom w:val="none" w:sz="0" w:space="0" w:color="auto"/>
        <w:right w:val="none" w:sz="0" w:space="0" w:color="auto"/>
      </w:divBdr>
    </w:div>
    <w:div w:id="1902708408">
      <w:bodyDiv w:val="1"/>
      <w:marLeft w:val="0"/>
      <w:marRight w:val="0"/>
      <w:marTop w:val="0"/>
      <w:marBottom w:val="0"/>
      <w:divBdr>
        <w:top w:val="none" w:sz="0" w:space="0" w:color="auto"/>
        <w:left w:val="none" w:sz="0" w:space="0" w:color="auto"/>
        <w:bottom w:val="none" w:sz="0" w:space="0" w:color="auto"/>
        <w:right w:val="none" w:sz="0" w:space="0" w:color="auto"/>
      </w:divBdr>
    </w:div>
    <w:div w:id="1937443505">
      <w:bodyDiv w:val="1"/>
      <w:marLeft w:val="0"/>
      <w:marRight w:val="0"/>
      <w:marTop w:val="0"/>
      <w:marBottom w:val="0"/>
      <w:divBdr>
        <w:top w:val="none" w:sz="0" w:space="0" w:color="auto"/>
        <w:left w:val="none" w:sz="0" w:space="0" w:color="auto"/>
        <w:bottom w:val="none" w:sz="0" w:space="0" w:color="auto"/>
        <w:right w:val="none" w:sz="0" w:space="0" w:color="auto"/>
      </w:divBdr>
    </w:div>
    <w:div w:id="1969697900">
      <w:bodyDiv w:val="1"/>
      <w:marLeft w:val="0"/>
      <w:marRight w:val="0"/>
      <w:marTop w:val="0"/>
      <w:marBottom w:val="0"/>
      <w:divBdr>
        <w:top w:val="none" w:sz="0" w:space="0" w:color="auto"/>
        <w:left w:val="none" w:sz="0" w:space="0" w:color="auto"/>
        <w:bottom w:val="none" w:sz="0" w:space="0" w:color="auto"/>
        <w:right w:val="none" w:sz="0" w:space="0" w:color="auto"/>
      </w:divBdr>
    </w:div>
    <w:div w:id="1998532923">
      <w:bodyDiv w:val="1"/>
      <w:marLeft w:val="0"/>
      <w:marRight w:val="0"/>
      <w:marTop w:val="0"/>
      <w:marBottom w:val="0"/>
      <w:divBdr>
        <w:top w:val="none" w:sz="0" w:space="0" w:color="auto"/>
        <w:left w:val="none" w:sz="0" w:space="0" w:color="auto"/>
        <w:bottom w:val="none" w:sz="0" w:space="0" w:color="auto"/>
        <w:right w:val="none" w:sz="0" w:space="0" w:color="auto"/>
      </w:divBdr>
    </w:div>
    <w:div w:id="20621675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hyperlink" Target="http://www.hscic.gov.uk/hes" TargetMode="External"/><Relationship Id="rId55" Type="http://schemas.openxmlformats.org/officeDocument/2006/relationships/image" Target="media/image4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image" Target="media/image30.emf"/><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0.png"/><Relationship Id="rId58" Type="http://schemas.openxmlformats.org/officeDocument/2006/relationships/image" Target="media/image45.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4.pn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3.png"/><Relationship Id="rId8" Type="http://schemas.openxmlformats.org/officeDocument/2006/relationships/footnotes" Target="footnotes.xml"/><Relationship Id="rId51" Type="http://schemas.openxmlformats.org/officeDocument/2006/relationships/hyperlink" Target="http://www.bnf.org/bnf/org_450080.htm"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D678E-EDA8-47FF-A5BD-25A35F6F3C7D}">
  <ds:schemaRefs>
    <ds:schemaRef ds:uri="http://schemas.openxmlformats.org/officeDocument/2006/bibliography"/>
  </ds:schemaRefs>
</ds:datastoreItem>
</file>

<file path=customXml/itemProps2.xml><?xml version="1.0" encoding="utf-8"?>
<ds:datastoreItem xmlns:ds="http://schemas.openxmlformats.org/officeDocument/2006/customXml" ds:itemID="{F106B495-FC15-40AD-B7F1-E90B936C1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256</Pages>
  <Words>107433</Words>
  <Characters>612371</Characters>
  <Application>Microsoft Office Word</Application>
  <DocSecurity>4</DocSecurity>
  <Lines>5103</Lines>
  <Paragraphs>1436</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718368</CharactersWithSpaces>
  <SharedDoc>false</SharedDoc>
  <HLinks>
    <vt:vector size="3744" baseType="variant">
      <vt:variant>
        <vt:i4>5046396</vt:i4>
      </vt:variant>
      <vt:variant>
        <vt:i4>4190</vt:i4>
      </vt:variant>
      <vt:variant>
        <vt:i4>0</vt:i4>
      </vt:variant>
      <vt:variant>
        <vt:i4>5</vt:i4>
      </vt:variant>
      <vt:variant>
        <vt:lpwstr>http://www.bnf.org/bnf/org_450080.htm</vt:lpwstr>
      </vt:variant>
      <vt:variant>
        <vt:lpwstr/>
      </vt:variant>
      <vt:variant>
        <vt:i4>7143462</vt:i4>
      </vt:variant>
      <vt:variant>
        <vt:i4>4187</vt:i4>
      </vt:variant>
      <vt:variant>
        <vt:i4>0</vt:i4>
      </vt:variant>
      <vt:variant>
        <vt:i4>5</vt:i4>
      </vt:variant>
      <vt:variant>
        <vt:lpwstr>http://www.hscic.gov.uk/hes</vt:lpwstr>
      </vt:variant>
      <vt:variant>
        <vt:lpwstr/>
      </vt:variant>
      <vt:variant>
        <vt:i4>7798846</vt:i4>
      </vt:variant>
      <vt:variant>
        <vt:i4>4179</vt:i4>
      </vt:variant>
      <vt:variant>
        <vt:i4>0</vt:i4>
      </vt:variant>
      <vt:variant>
        <vt:i4>5</vt:i4>
      </vt:variant>
      <vt:variant>
        <vt:lpwstr/>
      </vt:variant>
      <vt:variant>
        <vt:lpwstr>_ENREF_157</vt:lpwstr>
      </vt:variant>
      <vt:variant>
        <vt:i4>7340090</vt:i4>
      </vt:variant>
      <vt:variant>
        <vt:i4>4173</vt:i4>
      </vt:variant>
      <vt:variant>
        <vt:i4>0</vt:i4>
      </vt:variant>
      <vt:variant>
        <vt:i4>5</vt:i4>
      </vt:variant>
      <vt:variant>
        <vt:lpwstr/>
      </vt:variant>
      <vt:variant>
        <vt:lpwstr>_ENREF_110</vt:lpwstr>
      </vt:variant>
      <vt:variant>
        <vt:i4>4194315</vt:i4>
      </vt:variant>
      <vt:variant>
        <vt:i4>4169</vt:i4>
      </vt:variant>
      <vt:variant>
        <vt:i4>0</vt:i4>
      </vt:variant>
      <vt:variant>
        <vt:i4>5</vt:i4>
      </vt:variant>
      <vt:variant>
        <vt:lpwstr/>
      </vt:variant>
      <vt:variant>
        <vt:lpwstr>_ENREF_11</vt:lpwstr>
      </vt:variant>
      <vt:variant>
        <vt:i4>4194315</vt:i4>
      </vt:variant>
      <vt:variant>
        <vt:i4>4166</vt:i4>
      </vt:variant>
      <vt:variant>
        <vt:i4>0</vt:i4>
      </vt:variant>
      <vt:variant>
        <vt:i4>5</vt:i4>
      </vt:variant>
      <vt:variant>
        <vt:lpwstr/>
      </vt:variant>
      <vt:variant>
        <vt:lpwstr>_ENREF_1</vt:lpwstr>
      </vt:variant>
      <vt:variant>
        <vt:i4>4390923</vt:i4>
      </vt:variant>
      <vt:variant>
        <vt:i4>4145</vt:i4>
      </vt:variant>
      <vt:variant>
        <vt:i4>0</vt:i4>
      </vt:variant>
      <vt:variant>
        <vt:i4>5</vt:i4>
      </vt:variant>
      <vt:variant>
        <vt:lpwstr/>
      </vt:variant>
      <vt:variant>
        <vt:lpwstr>_ENREF_25</vt:lpwstr>
      </vt:variant>
      <vt:variant>
        <vt:i4>4390923</vt:i4>
      </vt:variant>
      <vt:variant>
        <vt:i4>4137</vt:i4>
      </vt:variant>
      <vt:variant>
        <vt:i4>0</vt:i4>
      </vt:variant>
      <vt:variant>
        <vt:i4>5</vt:i4>
      </vt:variant>
      <vt:variant>
        <vt:lpwstr/>
      </vt:variant>
      <vt:variant>
        <vt:lpwstr>_ENREF_21</vt:lpwstr>
      </vt:variant>
      <vt:variant>
        <vt:i4>4390923</vt:i4>
      </vt:variant>
      <vt:variant>
        <vt:i4>4131</vt:i4>
      </vt:variant>
      <vt:variant>
        <vt:i4>0</vt:i4>
      </vt:variant>
      <vt:variant>
        <vt:i4>5</vt:i4>
      </vt:variant>
      <vt:variant>
        <vt:lpwstr/>
      </vt:variant>
      <vt:variant>
        <vt:lpwstr>_ENREF_24</vt:lpwstr>
      </vt:variant>
      <vt:variant>
        <vt:i4>7405626</vt:i4>
      </vt:variant>
      <vt:variant>
        <vt:i4>4125</vt:i4>
      </vt:variant>
      <vt:variant>
        <vt:i4>0</vt:i4>
      </vt:variant>
      <vt:variant>
        <vt:i4>5</vt:i4>
      </vt:variant>
      <vt:variant>
        <vt:lpwstr/>
      </vt:variant>
      <vt:variant>
        <vt:lpwstr>_ENREF_111</vt:lpwstr>
      </vt:variant>
      <vt:variant>
        <vt:i4>7340090</vt:i4>
      </vt:variant>
      <vt:variant>
        <vt:i4>4119</vt:i4>
      </vt:variant>
      <vt:variant>
        <vt:i4>0</vt:i4>
      </vt:variant>
      <vt:variant>
        <vt:i4>5</vt:i4>
      </vt:variant>
      <vt:variant>
        <vt:lpwstr/>
      </vt:variant>
      <vt:variant>
        <vt:lpwstr>_ENREF_110</vt:lpwstr>
      </vt:variant>
      <vt:variant>
        <vt:i4>7471162</vt:i4>
      </vt:variant>
      <vt:variant>
        <vt:i4>4115</vt:i4>
      </vt:variant>
      <vt:variant>
        <vt:i4>0</vt:i4>
      </vt:variant>
      <vt:variant>
        <vt:i4>5</vt:i4>
      </vt:variant>
      <vt:variant>
        <vt:lpwstr/>
      </vt:variant>
      <vt:variant>
        <vt:lpwstr>_ENREF_112</vt:lpwstr>
      </vt:variant>
      <vt:variant>
        <vt:i4>4718603</vt:i4>
      </vt:variant>
      <vt:variant>
        <vt:i4>4112</vt:i4>
      </vt:variant>
      <vt:variant>
        <vt:i4>0</vt:i4>
      </vt:variant>
      <vt:variant>
        <vt:i4>5</vt:i4>
      </vt:variant>
      <vt:variant>
        <vt:lpwstr/>
      </vt:variant>
      <vt:variant>
        <vt:lpwstr>_ENREF_98</vt:lpwstr>
      </vt:variant>
      <vt:variant>
        <vt:i4>7471162</vt:i4>
      </vt:variant>
      <vt:variant>
        <vt:i4>4104</vt:i4>
      </vt:variant>
      <vt:variant>
        <vt:i4>0</vt:i4>
      </vt:variant>
      <vt:variant>
        <vt:i4>5</vt:i4>
      </vt:variant>
      <vt:variant>
        <vt:lpwstr/>
      </vt:variant>
      <vt:variant>
        <vt:lpwstr>_ENREF_112</vt:lpwstr>
      </vt:variant>
      <vt:variant>
        <vt:i4>4718603</vt:i4>
      </vt:variant>
      <vt:variant>
        <vt:i4>4101</vt:i4>
      </vt:variant>
      <vt:variant>
        <vt:i4>0</vt:i4>
      </vt:variant>
      <vt:variant>
        <vt:i4>5</vt:i4>
      </vt:variant>
      <vt:variant>
        <vt:lpwstr/>
      </vt:variant>
      <vt:variant>
        <vt:lpwstr>_ENREF_98</vt:lpwstr>
      </vt:variant>
      <vt:variant>
        <vt:i4>4718603</vt:i4>
      </vt:variant>
      <vt:variant>
        <vt:i4>4098</vt:i4>
      </vt:variant>
      <vt:variant>
        <vt:i4>0</vt:i4>
      </vt:variant>
      <vt:variant>
        <vt:i4>5</vt:i4>
      </vt:variant>
      <vt:variant>
        <vt:lpwstr/>
      </vt:variant>
      <vt:variant>
        <vt:lpwstr>_ENREF_91</vt:lpwstr>
      </vt:variant>
      <vt:variant>
        <vt:i4>4390923</vt:i4>
      </vt:variant>
      <vt:variant>
        <vt:i4>4088</vt:i4>
      </vt:variant>
      <vt:variant>
        <vt:i4>0</vt:i4>
      </vt:variant>
      <vt:variant>
        <vt:i4>5</vt:i4>
      </vt:variant>
      <vt:variant>
        <vt:lpwstr/>
      </vt:variant>
      <vt:variant>
        <vt:lpwstr>_ENREF_20</vt:lpwstr>
      </vt:variant>
      <vt:variant>
        <vt:i4>4390923</vt:i4>
      </vt:variant>
      <vt:variant>
        <vt:i4>4080</vt:i4>
      </vt:variant>
      <vt:variant>
        <vt:i4>0</vt:i4>
      </vt:variant>
      <vt:variant>
        <vt:i4>5</vt:i4>
      </vt:variant>
      <vt:variant>
        <vt:lpwstr/>
      </vt:variant>
      <vt:variant>
        <vt:lpwstr>_ENREF_21</vt:lpwstr>
      </vt:variant>
      <vt:variant>
        <vt:i4>4718603</vt:i4>
      </vt:variant>
      <vt:variant>
        <vt:i4>4072</vt:i4>
      </vt:variant>
      <vt:variant>
        <vt:i4>0</vt:i4>
      </vt:variant>
      <vt:variant>
        <vt:i4>5</vt:i4>
      </vt:variant>
      <vt:variant>
        <vt:lpwstr/>
      </vt:variant>
      <vt:variant>
        <vt:lpwstr>_ENREF_94</vt:lpwstr>
      </vt:variant>
      <vt:variant>
        <vt:i4>7733310</vt:i4>
      </vt:variant>
      <vt:variant>
        <vt:i4>4064</vt:i4>
      </vt:variant>
      <vt:variant>
        <vt:i4>0</vt:i4>
      </vt:variant>
      <vt:variant>
        <vt:i4>5</vt:i4>
      </vt:variant>
      <vt:variant>
        <vt:lpwstr/>
      </vt:variant>
      <vt:variant>
        <vt:lpwstr>_ENREF_156</vt:lpwstr>
      </vt:variant>
      <vt:variant>
        <vt:i4>4390923</vt:i4>
      </vt:variant>
      <vt:variant>
        <vt:i4>4061</vt:i4>
      </vt:variant>
      <vt:variant>
        <vt:i4>0</vt:i4>
      </vt:variant>
      <vt:variant>
        <vt:i4>5</vt:i4>
      </vt:variant>
      <vt:variant>
        <vt:lpwstr/>
      </vt:variant>
      <vt:variant>
        <vt:lpwstr>_ENREF_26</vt:lpwstr>
      </vt:variant>
      <vt:variant>
        <vt:i4>4390923</vt:i4>
      </vt:variant>
      <vt:variant>
        <vt:i4>4057</vt:i4>
      </vt:variant>
      <vt:variant>
        <vt:i4>0</vt:i4>
      </vt:variant>
      <vt:variant>
        <vt:i4>5</vt:i4>
      </vt:variant>
      <vt:variant>
        <vt:lpwstr/>
      </vt:variant>
      <vt:variant>
        <vt:lpwstr>_ENREF_26</vt:lpwstr>
      </vt:variant>
      <vt:variant>
        <vt:i4>4390923</vt:i4>
      </vt:variant>
      <vt:variant>
        <vt:i4>4054</vt:i4>
      </vt:variant>
      <vt:variant>
        <vt:i4>0</vt:i4>
      </vt:variant>
      <vt:variant>
        <vt:i4>5</vt:i4>
      </vt:variant>
      <vt:variant>
        <vt:lpwstr/>
      </vt:variant>
      <vt:variant>
        <vt:lpwstr>_ENREF_21</vt:lpwstr>
      </vt:variant>
      <vt:variant>
        <vt:i4>4390923</vt:i4>
      </vt:variant>
      <vt:variant>
        <vt:i4>4042</vt:i4>
      </vt:variant>
      <vt:variant>
        <vt:i4>0</vt:i4>
      </vt:variant>
      <vt:variant>
        <vt:i4>5</vt:i4>
      </vt:variant>
      <vt:variant>
        <vt:lpwstr/>
      </vt:variant>
      <vt:variant>
        <vt:lpwstr>_ENREF_25</vt:lpwstr>
      </vt:variant>
      <vt:variant>
        <vt:i4>4325387</vt:i4>
      </vt:variant>
      <vt:variant>
        <vt:i4>4035</vt:i4>
      </vt:variant>
      <vt:variant>
        <vt:i4>0</vt:i4>
      </vt:variant>
      <vt:variant>
        <vt:i4>5</vt:i4>
      </vt:variant>
      <vt:variant>
        <vt:lpwstr/>
      </vt:variant>
      <vt:variant>
        <vt:lpwstr>_ENREF_35</vt:lpwstr>
      </vt:variant>
      <vt:variant>
        <vt:i4>4390923</vt:i4>
      </vt:variant>
      <vt:variant>
        <vt:i4>4032</vt:i4>
      </vt:variant>
      <vt:variant>
        <vt:i4>0</vt:i4>
      </vt:variant>
      <vt:variant>
        <vt:i4>5</vt:i4>
      </vt:variant>
      <vt:variant>
        <vt:lpwstr/>
      </vt:variant>
      <vt:variant>
        <vt:lpwstr>_ENREF_24</vt:lpwstr>
      </vt:variant>
      <vt:variant>
        <vt:i4>4194315</vt:i4>
      </vt:variant>
      <vt:variant>
        <vt:i4>4022</vt:i4>
      </vt:variant>
      <vt:variant>
        <vt:i4>0</vt:i4>
      </vt:variant>
      <vt:variant>
        <vt:i4>5</vt:i4>
      </vt:variant>
      <vt:variant>
        <vt:lpwstr/>
      </vt:variant>
      <vt:variant>
        <vt:lpwstr>_ENREF_1</vt:lpwstr>
      </vt:variant>
      <vt:variant>
        <vt:i4>4194315</vt:i4>
      </vt:variant>
      <vt:variant>
        <vt:i4>4016</vt:i4>
      </vt:variant>
      <vt:variant>
        <vt:i4>0</vt:i4>
      </vt:variant>
      <vt:variant>
        <vt:i4>5</vt:i4>
      </vt:variant>
      <vt:variant>
        <vt:lpwstr/>
      </vt:variant>
      <vt:variant>
        <vt:lpwstr>_ENREF_10</vt:lpwstr>
      </vt:variant>
      <vt:variant>
        <vt:i4>4325387</vt:i4>
      </vt:variant>
      <vt:variant>
        <vt:i4>4010</vt:i4>
      </vt:variant>
      <vt:variant>
        <vt:i4>0</vt:i4>
      </vt:variant>
      <vt:variant>
        <vt:i4>5</vt:i4>
      </vt:variant>
      <vt:variant>
        <vt:lpwstr/>
      </vt:variant>
      <vt:variant>
        <vt:lpwstr>_ENREF_3</vt:lpwstr>
      </vt:variant>
      <vt:variant>
        <vt:i4>4194315</vt:i4>
      </vt:variant>
      <vt:variant>
        <vt:i4>4004</vt:i4>
      </vt:variant>
      <vt:variant>
        <vt:i4>0</vt:i4>
      </vt:variant>
      <vt:variant>
        <vt:i4>5</vt:i4>
      </vt:variant>
      <vt:variant>
        <vt:lpwstr/>
      </vt:variant>
      <vt:variant>
        <vt:lpwstr>_ENREF_1</vt:lpwstr>
      </vt:variant>
      <vt:variant>
        <vt:i4>4325387</vt:i4>
      </vt:variant>
      <vt:variant>
        <vt:i4>3998</vt:i4>
      </vt:variant>
      <vt:variant>
        <vt:i4>0</vt:i4>
      </vt:variant>
      <vt:variant>
        <vt:i4>5</vt:i4>
      </vt:variant>
      <vt:variant>
        <vt:lpwstr/>
      </vt:variant>
      <vt:variant>
        <vt:lpwstr>_ENREF_34</vt:lpwstr>
      </vt:variant>
      <vt:variant>
        <vt:i4>4325387</vt:i4>
      </vt:variant>
      <vt:variant>
        <vt:i4>3994</vt:i4>
      </vt:variant>
      <vt:variant>
        <vt:i4>0</vt:i4>
      </vt:variant>
      <vt:variant>
        <vt:i4>5</vt:i4>
      </vt:variant>
      <vt:variant>
        <vt:lpwstr/>
      </vt:variant>
      <vt:variant>
        <vt:lpwstr>_ENREF_32</vt:lpwstr>
      </vt:variant>
      <vt:variant>
        <vt:i4>4390923</vt:i4>
      </vt:variant>
      <vt:variant>
        <vt:i4>3991</vt:i4>
      </vt:variant>
      <vt:variant>
        <vt:i4>0</vt:i4>
      </vt:variant>
      <vt:variant>
        <vt:i4>5</vt:i4>
      </vt:variant>
      <vt:variant>
        <vt:lpwstr/>
      </vt:variant>
      <vt:variant>
        <vt:lpwstr>_ENREF_22</vt:lpwstr>
      </vt:variant>
      <vt:variant>
        <vt:i4>4194315</vt:i4>
      </vt:variant>
      <vt:variant>
        <vt:i4>3988</vt:i4>
      </vt:variant>
      <vt:variant>
        <vt:i4>0</vt:i4>
      </vt:variant>
      <vt:variant>
        <vt:i4>5</vt:i4>
      </vt:variant>
      <vt:variant>
        <vt:lpwstr/>
      </vt:variant>
      <vt:variant>
        <vt:lpwstr>_ENREF_15</vt:lpwstr>
      </vt:variant>
      <vt:variant>
        <vt:i4>4194315</vt:i4>
      </vt:variant>
      <vt:variant>
        <vt:i4>3985</vt:i4>
      </vt:variant>
      <vt:variant>
        <vt:i4>0</vt:i4>
      </vt:variant>
      <vt:variant>
        <vt:i4>5</vt:i4>
      </vt:variant>
      <vt:variant>
        <vt:lpwstr/>
      </vt:variant>
      <vt:variant>
        <vt:lpwstr>_ENREF_14</vt:lpwstr>
      </vt:variant>
      <vt:variant>
        <vt:i4>4194315</vt:i4>
      </vt:variant>
      <vt:variant>
        <vt:i4>3982</vt:i4>
      </vt:variant>
      <vt:variant>
        <vt:i4>0</vt:i4>
      </vt:variant>
      <vt:variant>
        <vt:i4>5</vt:i4>
      </vt:variant>
      <vt:variant>
        <vt:lpwstr/>
      </vt:variant>
      <vt:variant>
        <vt:lpwstr>_ENREF_1</vt:lpwstr>
      </vt:variant>
      <vt:variant>
        <vt:i4>7667774</vt:i4>
      </vt:variant>
      <vt:variant>
        <vt:i4>3972</vt:i4>
      </vt:variant>
      <vt:variant>
        <vt:i4>0</vt:i4>
      </vt:variant>
      <vt:variant>
        <vt:i4>5</vt:i4>
      </vt:variant>
      <vt:variant>
        <vt:lpwstr/>
      </vt:variant>
      <vt:variant>
        <vt:lpwstr>_ENREF_155</vt:lpwstr>
      </vt:variant>
      <vt:variant>
        <vt:i4>4718603</vt:i4>
      </vt:variant>
      <vt:variant>
        <vt:i4>3964</vt:i4>
      </vt:variant>
      <vt:variant>
        <vt:i4>0</vt:i4>
      </vt:variant>
      <vt:variant>
        <vt:i4>5</vt:i4>
      </vt:variant>
      <vt:variant>
        <vt:lpwstr/>
      </vt:variant>
      <vt:variant>
        <vt:lpwstr>_ENREF_94</vt:lpwstr>
      </vt:variant>
      <vt:variant>
        <vt:i4>4390923</vt:i4>
      </vt:variant>
      <vt:variant>
        <vt:i4>3958</vt:i4>
      </vt:variant>
      <vt:variant>
        <vt:i4>0</vt:i4>
      </vt:variant>
      <vt:variant>
        <vt:i4>5</vt:i4>
      </vt:variant>
      <vt:variant>
        <vt:lpwstr/>
      </vt:variant>
      <vt:variant>
        <vt:lpwstr>_ENREF_20</vt:lpwstr>
      </vt:variant>
      <vt:variant>
        <vt:i4>4718603</vt:i4>
      </vt:variant>
      <vt:variant>
        <vt:i4>3954</vt:i4>
      </vt:variant>
      <vt:variant>
        <vt:i4>0</vt:i4>
      </vt:variant>
      <vt:variant>
        <vt:i4>5</vt:i4>
      </vt:variant>
      <vt:variant>
        <vt:lpwstr/>
      </vt:variant>
      <vt:variant>
        <vt:lpwstr>_ENREF_94</vt:lpwstr>
      </vt:variant>
      <vt:variant>
        <vt:i4>4390923</vt:i4>
      </vt:variant>
      <vt:variant>
        <vt:i4>3951</vt:i4>
      </vt:variant>
      <vt:variant>
        <vt:i4>0</vt:i4>
      </vt:variant>
      <vt:variant>
        <vt:i4>5</vt:i4>
      </vt:variant>
      <vt:variant>
        <vt:lpwstr/>
      </vt:variant>
      <vt:variant>
        <vt:lpwstr>_ENREF_21</vt:lpwstr>
      </vt:variant>
      <vt:variant>
        <vt:i4>4390923</vt:i4>
      </vt:variant>
      <vt:variant>
        <vt:i4>3948</vt:i4>
      </vt:variant>
      <vt:variant>
        <vt:i4>0</vt:i4>
      </vt:variant>
      <vt:variant>
        <vt:i4>5</vt:i4>
      </vt:variant>
      <vt:variant>
        <vt:lpwstr/>
      </vt:variant>
      <vt:variant>
        <vt:lpwstr>_ENREF_20</vt:lpwstr>
      </vt:variant>
      <vt:variant>
        <vt:i4>7536702</vt:i4>
      </vt:variant>
      <vt:variant>
        <vt:i4>3878</vt:i4>
      </vt:variant>
      <vt:variant>
        <vt:i4>0</vt:i4>
      </vt:variant>
      <vt:variant>
        <vt:i4>5</vt:i4>
      </vt:variant>
      <vt:variant>
        <vt:lpwstr/>
      </vt:variant>
      <vt:variant>
        <vt:lpwstr>_ENREF_153</vt:lpwstr>
      </vt:variant>
      <vt:variant>
        <vt:i4>7536702</vt:i4>
      </vt:variant>
      <vt:variant>
        <vt:i4>3872</vt:i4>
      </vt:variant>
      <vt:variant>
        <vt:i4>0</vt:i4>
      </vt:variant>
      <vt:variant>
        <vt:i4>5</vt:i4>
      </vt:variant>
      <vt:variant>
        <vt:lpwstr/>
      </vt:variant>
      <vt:variant>
        <vt:lpwstr>_ENREF_153</vt:lpwstr>
      </vt:variant>
      <vt:variant>
        <vt:i4>7602238</vt:i4>
      </vt:variant>
      <vt:variant>
        <vt:i4>3866</vt:i4>
      </vt:variant>
      <vt:variant>
        <vt:i4>0</vt:i4>
      </vt:variant>
      <vt:variant>
        <vt:i4>5</vt:i4>
      </vt:variant>
      <vt:variant>
        <vt:lpwstr/>
      </vt:variant>
      <vt:variant>
        <vt:lpwstr>_ENREF_154</vt:lpwstr>
      </vt:variant>
      <vt:variant>
        <vt:i4>7536702</vt:i4>
      </vt:variant>
      <vt:variant>
        <vt:i4>3860</vt:i4>
      </vt:variant>
      <vt:variant>
        <vt:i4>0</vt:i4>
      </vt:variant>
      <vt:variant>
        <vt:i4>5</vt:i4>
      </vt:variant>
      <vt:variant>
        <vt:lpwstr/>
      </vt:variant>
      <vt:variant>
        <vt:lpwstr>_ENREF_153</vt:lpwstr>
      </vt:variant>
      <vt:variant>
        <vt:i4>7471166</vt:i4>
      </vt:variant>
      <vt:variant>
        <vt:i4>3854</vt:i4>
      </vt:variant>
      <vt:variant>
        <vt:i4>0</vt:i4>
      </vt:variant>
      <vt:variant>
        <vt:i4>5</vt:i4>
      </vt:variant>
      <vt:variant>
        <vt:lpwstr/>
      </vt:variant>
      <vt:variant>
        <vt:lpwstr>_ENREF_152</vt:lpwstr>
      </vt:variant>
      <vt:variant>
        <vt:i4>7667768</vt:i4>
      </vt:variant>
      <vt:variant>
        <vt:i4>3836</vt:i4>
      </vt:variant>
      <vt:variant>
        <vt:i4>0</vt:i4>
      </vt:variant>
      <vt:variant>
        <vt:i4>5</vt:i4>
      </vt:variant>
      <vt:variant>
        <vt:lpwstr/>
      </vt:variant>
      <vt:variant>
        <vt:lpwstr>_ENREF_135</vt:lpwstr>
      </vt:variant>
      <vt:variant>
        <vt:i4>7798840</vt:i4>
      </vt:variant>
      <vt:variant>
        <vt:i4>3815</vt:i4>
      </vt:variant>
      <vt:variant>
        <vt:i4>0</vt:i4>
      </vt:variant>
      <vt:variant>
        <vt:i4>5</vt:i4>
      </vt:variant>
      <vt:variant>
        <vt:lpwstr/>
      </vt:variant>
      <vt:variant>
        <vt:lpwstr>_ENREF_137</vt:lpwstr>
      </vt:variant>
      <vt:variant>
        <vt:i4>7733304</vt:i4>
      </vt:variant>
      <vt:variant>
        <vt:i4>3809</vt:i4>
      </vt:variant>
      <vt:variant>
        <vt:i4>0</vt:i4>
      </vt:variant>
      <vt:variant>
        <vt:i4>5</vt:i4>
      </vt:variant>
      <vt:variant>
        <vt:lpwstr/>
      </vt:variant>
      <vt:variant>
        <vt:lpwstr>_ENREF_136</vt:lpwstr>
      </vt:variant>
      <vt:variant>
        <vt:i4>7602232</vt:i4>
      </vt:variant>
      <vt:variant>
        <vt:i4>3801</vt:i4>
      </vt:variant>
      <vt:variant>
        <vt:i4>0</vt:i4>
      </vt:variant>
      <vt:variant>
        <vt:i4>5</vt:i4>
      </vt:variant>
      <vt:variant>
        <vt:lpwstr/>
      </vt:variant>
      <vt:variant>
        <vt:lpwstr>_ENREF_134</vt:lpwstr>
      </vt:variant>
      <vt:variant>
        <vt:i4>7667768</vt:i4>
      </vt:variant>
      <vt:variant>
        <vt:i4>3795</vt:i4>
      </vt:variant>
      <vt:variant>
        <vt:i4>0</vt:i4>
      </vt:variant>
      <vt:variant>
        <vt:i4>5</vt:i4>
      </vt:variant>
      <vt:variant>
        <vt:lpwstr/>
      </vt:variant>
      <vt:variant>
        <vt:lpwstr>_ENREF_135</vt:lpwstr>
      </vt:variant>
      <vt:variant>
        <vt:i4>4194315</vt:i4>
      </vt:variant>
      <vt:variant>
        <vt:i4>3780</vt:i4>
      </vt:variant>
      <vt:variant>
        <vt:i4>0</vt:i4>
      </vt:variant>
      <vt:variant>
        <vt:i4>5</vt:i4>
      </vt:variant>
      <vt:variant>
        <vt:lpwstr/>
      </vt:variant>
      <vt:variant>
        <vt:lpwstr>_ENREF_17</vt:lpwstr>
      </vt:variant>
      <vt:variant>
        <vt:i4>4194315</vt:i4>
      </vt:variant>
      <vt:variant>
        <vt:i4>3768</vt:i4>
      </vt:variant>
      <vt:variant>
        <vt:i4>0</vt:i4>
      </vt:variant>
      <vt:variant>
        <vt:i4>5</vt:i4>
      </vt:variant>
      <vt:variant>
        <vt:lpwstr/>
      </vt:variant>
      <vt:variant>
        <vt:lpwstr>_ENREF_17</vt:lpwstr>
      </vt:variant>
      <vt:variant>
        <vt:i4>7405630</vt:i4>
      </vt:variant>
      <vt:variant>
        <vt:i4>3744</vt:i4>
      </vt:variant>
      <vt:variant>
        <vt:i4>0</vt:i4>
      </vt:variant>
      <vt:variant>
        <vt:i4>5</vt:i4>
      </vt:variant>
      <vt:variant>
        <vt:lpwstr/>
      </vt:variant>
      <vt:variant>
        <vt:lpwstr>_ENREF_151</vt:lpwstr>
      </vt:variant>
      <vt:variant>
        <vt:i4>7340094</vt:i4>
      </vt:variant>
      <vt:variant>
        <vt:i4>3738</vt:i4>
      </vt:variant>
      <vt:variant>
        <vt:i4>0</vt:i4>
      </vt:variant>
      <vt:variant>
        <vt:i4>5</vt:i4>
      </vt:variant>
      <vt:variant>
        <vt:lpwstr/>
      </vt:variant>
      <vt:variant>
        <vt:lpwstr>_ENREF_150</vt:lpwstr>
      </vt:variant>
      <vt:variant>
        <vt:i4>7929919</vt:i4>
      </vt:variant>
      <vt:variant>
        <vt:i4>3732</vt:i4>
      </vt:variant>
      <vt:variant>
        <vt:i4>0</vt:i4>
      </vt:variant>
      <vt:variant>
        <vt:i4>5</vt:i4>
      </vt:variant>
      <vt:variant>
        <vt:lpwstr/>
      </vt:variant>
      <vt:variant>
        <vt:lpwstr>_ENREF_149</vt:lpwstr>
      </vt:variant>
      <vt:variant>
        <vt:i4>7864383</vt:i4>
      </vt:variant>
      <vt:variant>
        <vt:i4>3714</vt:i4>
      </vt:variant>
      <vt:variant>
        <vt:i4>0</vt:i4>
      </vt:variant>
      <vt:variant>
        <vt:i4>5</vt:i4>
      </vt:variant>
      <vt:variant>
        <vt:lpwstr/>
      </vt:variant>
      <vt:variant>
        <vt:lpwstr>_ENREF_148</vt:lpwstr>
      </vt:variant>
      <vt:variant>
        <vt:i4>4390923</vt:i4>
      </vt:variant>
      <vt:variant>
        <vt:i4>3696</vt:i4>
      </vt:variant>
      <vt:variant>
        <vt:i4>0</vt:i4>
      </vt:variant>
      <vt:variant>
        <vt:i4>5</vt:i4>
      </vt:variant>
      <vt:variant>
        <vt:lpwstr/>
      </vt:variant>
      <vt:variant>
        <vt:lpwstr>_ENREF_20</vt:lpwstr>
      </vt:variant>
      <vt:variant>
        <vt:i4>4390923</vt:i4>
      </vt:variant>
      <vt:variant>
        <vt:i4>3688</vt:i4>
      </vt:variant>
      <vt:variant>
        <vt:i4>0</vt:i4>
      </vt:variant>
      <vt:variant>
        <vt:i4>5</vt:i4>
      </vt:variant>
      <vt:variant>
        <vt:lpwstr/>
      </vt:variant>
      <vt:variant>
        <vt:lpwstr>_ENREF_21</vt:lpwstr>
      </vt:variant>
      <vt:variant>
        <vt:i4>4718603</vt:i4>
      </vt:variant>
      <vt:variant>
        <vt:i4>3680</vt:i4>
      </vt:variant>
      <vt:variant>
        <vt:i4>0</vt:i4>
      </vt:variant>
      <vt:variant>
        <vt:i4>5</vt:i4>
      </vt:variant>
      <vt:variant>
        <vt:lpwstr/>
      </vt:variant>
      <vt:variant>
        <vt:lpwstr>_ENREF_94</vt:lpwstr>
      </vt:variant>
      <vt:variant>
        <vt:i4>4390923</vt:i4>
      </vt:variant>
      <vt:variant>
        <vt:i4>3672</vt:i4>
      </vt:variant>
      <vt:variant>
        <vt:i4>0</vt:i4>
      </vt:variant>
      <vt:variant>
        <vt:i4>5</vt:i4>
      </vt:variant>
      <vt:variant>
        <vt:lpwstr/>
      </vt:variant>
      <vt:variant>
        <vt:lpwstr>_ENREF_21</vt:lpwstr>
      </vt:variant>
      <vt:variant>
        <vt:i4>4718603</vt:i4>
      </vt:variant>
      <vt:variant>
        <vt:i4>3664</vt:i4>
      </vt:variant>
      <vt:variant>
        <vt:i4>0</vt:i4>
      </vt:variant>
      <vt:variant>
        <vt:i4>5</vt:i4>
      </vt:variant>
      <vt:variant>
        <vt:lpwstr/>
      </vt:variant>
      <vt:variant>
        <vt:lpwstr>_ENREF_94</vt:lpwstr>
      </vt:variant>
      <vt:variant>
        <vt:i4>4390923</vt:i4>
      </vt:variant>
      <vt:variant>
        <vt:i4>3658</vt:i4>
      </vt:variant>
      <vt:variant>
        <vt:i4>0</vt:i4>
      </vt:variant>
      <vt:variant>
        <vt:i4>5</vt:i4>
      </vt:variant>
      <vt:variant>
        <vt:lpwstr/>
      </vt:variant>
      <vt:variant>
        <vt:lpwstr>_ENREF_20</vt:lpwstr>
      </vt:variant>
      <vt:variant>
        <vt:i4>4325387</vt:i4>
      </vt:variant>
      <vt:variant>
        <vt:i4>3652</vt:i4>
      </vt:variant>
      <vt:variant>
        <vt:i4>0</vt:i4>
      </vt:variant>
      <vt:variant>
        <vt:i4>5</vt:i4>
      </vt:variant>
      <vt:variant>
        <vt:lpwstr/>
      </vt:variant>
      <vt:variant>
        <vt:lpwstr>_ENREF_36</vt:lpwstr>
      </vt:variant>
      <vt:variant>
        <vt:i4>4390923</vt:i4>
      </vt:variant>
      <vt:variant>
        <vt:i4>3646</vt:i4>
      </vt:variant>
      <vt:variant>
        <vt:i4>0</vt:i4>
      </vt:variant>
      <vt:variant>
        <vt:i4>5</vt:i4>
      </vt:variant>
      <vt:variant>
        <vt:lpwstr/>
      </vt:variant>
      <vt:variant>
        <vt:lpwstr>_ENREF_29</vt:lpwstr>
      </vt:variant>
      <vt:variant>
        <vt:i4>4194315</vt:i4>
      </vt:variant>
      <vt:variant>
        <vt:i4>3640</vt:i4>
      </vt:variant>
      <vt:variant>
        <vt:i4>0</vt:i4>
      </vt:variant>
      <vt:variant>
        <vt:i4>5</vt:i4>
      </vt:variant>
      <vt:variant>
        <vt:lpwstr/>
      </vt:variant>
      <vt:variant>
        <vt:lpwstr>_ENREF_1</vt:lpwstr>
      </vt:variant>
      <vt:variant>
        <vt:i4>7798847</vt:i4>
      </vt:variant>
      <vt:variant>
        <vt:i4>3632</vt:i4>
      </vt:variant>
      <vt:variant>
        <vt:i4>0</vt:i4>
      </vt:variant>
      <vt:variant>
        <vt:i4>5</vt:i4>
      </vt:variant>
      <vt:variant>
        <vt:lpwstr/>
      </vt:variant>
      <vt:variant>
        <vt:lpwstr>_ENREF_147</vt:lpwstr>
      </vt:variant>
      <vt:variant>
        <vt:i4>4194315</vt:i4>
      </vt:variant>
      <vt:variant>
        <vt:i4>3626</vt:i4>
      </vt:variant>
      <vt:variant>
        <vt:i4>0</vt:i4>
      </vt:variant>
      <vt:variant>
        <vt:i4>5</vt:i4>
      </vt:variant>
      <vt:variant>
        <vt:lpwstr/>
      </vt:variant>
      <vt:variant>
        <vt:lpwstr>_ENREF_17</vt:lpwstr>
      </vt:variant>
      <vt:variant>
        <vt:i4>4194315</vt:i4>
      </vt:variant>
      <vt:variant>
        <vt:i4>3620</vt:i4>
      </vt:variant>
      <vt:variant>
        <vt:i4>0</vt:i4>
      </vt:variant>
      <vt:variant>
        <vt:i4>5</vt:i4>
      </vt:variant>
      <vt:variant>
        <vt:lpwstr/>
      </vt:variant>
      <vt:variant>
        <vt:lpwstr>_ENREF_17</vt:lpwstr>
      </vt:variant>
      <vt:variant>
        <vt:i4>4194315</vt:i4>
      </vt:variant>
      <vt:variant>
        <vt:i4>3614</vt:i4>
      </vt:variant>
      <vt:variant>
        <vt:i4>0</vt:i4>
      </vt:variant>
      <vt:variant>
        <vt:i4>5</vt:i4>
      </vt:variant>
      <vt:variant>
        <vt:lpwstr/>
      </vt:variant>
      <vt:variant>
        <vt:lpwstr>_ENREF_17</vt:lpwstr>
      </vt:variant>
      <vt:variant>
        <vt:i4>7733311</vt:i4>
      </vt:variant>
      <vt:variant>
        <vt:i4>3608</vt:i4>
      </vt:variant>
      <vt:variant>
        <vt:i4>0</vt:i4>
      </vt:variant>
      <vt:variant>
        <vt:i4>5</vt:i4>
      </vt:variant>
      <vt:variant>
        <vt:lpwstr/>
      </vt:variant>
      <vt:variant>
        <vt:lpwstr>_ENREF_146</vt:lpwstr>
      </vt:variant>
      <vt:variant>
        <vt:i4>4325387</vt:i4>
      </vt:variant>
      <vt:variant>
        <vt:i4>3602</vt:i4>
      </vt:variant>
      <vt:variant>
        <vt:i4>0</vt:i4>
      </vt:variant>
      <vt:variant>
        <vt:i4>5</vt:i4>
      </vt:variant>
      <vt:variant>
        <vt:lpwstr/>
      </vt:variant>
      <vt:variant>
        <vt:lpwstr>_ENREF_36</vt:lpwstr>
      </vt:variant>
      <vt:variant>
        <vt:i4>7667775</vt:i4>
      </vt:variant>
      <vt:variant>
        <vt:i4>3594</vt:i4>
      </vt:variant>
      <vt:variant>
        <vt:i4>0</vt:i4>
      </vt:variant>
      <vt:variant>
        <vt:i4>5</vt:i4>
      </vt:variant>
      <vt:variant>
        <vt:lpwstr/>
      </vt:variant>
      <vt:variant>
        <vt:lpwstr>_ENREF_145</vt:lpwstr>
      </vt:variant>
      <vt:variant>
        <vt:i4>7536703</vt:i4>
      </vt:variant>
      <vt:variant>
        <vt:i4>3590</vt:i4>
      </vt:variant>
      <vt:variant>
        <vt:i4>0</vt:i4>
      </vt:variant>
      <vt:variant>
        <vt:i4>5</vt:i4>
      </vt:variant>
      <vt:variant>
        <vt:lpwstr/>
      </vt:variant>
      <vt:variant>
        <vt:lpwstr>_ENREF_143</vt:lpwstr>
      </vt:variant>
      <vt:variant>
        <vt:i4>7929913</vt:i4>
      </vt:variant>
      <vt:variant>
        <vt:i4>3587</vt:i4>
      </vt:variant>
      <vt:variant>
        <vt:i4>0</vt:i4>
      </vt:variant>
      <vt:variant>
        <vt:i4>5</vt:i4>
      </vt:variant>
      <vt:variant>
        <vt:lpwstr/>
      </vt:variant>
      <vt:variant>
        <vt:lpwstr>_ENREF_129</vt:lpwstr>
      </vt:variant>
      <vt:variant>
        <vt:i4>7929913</vt:i4>
      </vt:variant>
      <vt:variant>
        <vt:i4>3577</vt:i4>
      </vt:variant>
      <vt:variant>
        <vt:i4>0</vt:i4>
      </vt:variant>
      <vt:variant>
        <vt:i4>5</vt:i4>
      </vt:variant>
      <vt:variant>
        <vt:lpwstr/>
      </vt:variant>
      <vt:variant>
        <vt:lpwstr>_ENREF_129</vt:lpwstr>
      </vt:variant>
      <vt:variant>
        <vt:i4>7536703</vt:i4>
      </vt:variant>
      <vt:variant>
        <vt:i4>3573</vt:i4>
      </vt:variant>
      <vt:variant>
        <vt:i4>0</vt:i4>
      </vt:variant>
      <vt:variant>
        <vt:i4>5</vt:i4>
      </vt:variant>
      <vt:variant>
        <vt:lpwstr/>
      </vt:variant>
      <vt:variant>
        <vt:lpwstr>_ENREF_143</vt:lpwstr>
      </vt:variant>
      <vt:variant>
        <vt:i4>7929913</vt:i4>
      </vt:variant>
      <vt:variant>
        <vt:i4>3570</vt:i4>
      </vt:variant>
      <vt:variant>
        <vt:i4>0</vt:i4>
      </vt:variant>
      <vt:variant>
        <vt:i4>5</vt:i4>
      </vt:variant>
      <vt:variant>
        <vt:lpwstr/>
      </vt:variant>
      <vt:variant>
        <vt:lpwstr>_ENREF_129</vt:lpwstr>
      </vt:variant>
      <vt:variant>
        <vt:i4>7602239</vt:i4>
      </vt:variant>
      <vt:variant>
        <vt:i4>3562</vt:i4>
      </vt:variant>
      <vt:variant>
        <vt:i4>0</vt:i4>
      </vt:variant>
      <vt:variant>
        <vt:i4>5</vt:i4>
      </vt:variant>
      <vt:variant>
        <vt:lpwstr/>
      </vt:variant>
      <vt:variant>
        <vt:lpwstr>_ENREF_144</vt:lpwstr>
      </vt:variant>
      <vt:variant>
        <vt:i4>7340088</vt:i4>
      </vt:variant>
      <vt:variant>
        <vt:i4>3559</vt:i4>
      </vt:variant>
      <vt:variant>
        <vt:i4>0</vt:i4>
      </vt:variant>
      <vt:variant>
        <vt:i4>5</vt:i4>
      </vt:variant>
      <vt:variant>
        <vt:lpwstr/>
      </vt:variant>
      <vt:variant>
        <vt:lpwstr>_ENREF_130</vt:lpwstr>
      </vt:variant>
      <vt:variant>
        <vt:i4>7929913</vt:i4>
      </vt:variant>
      <vt:variant>
        <vt:i4>3549</vt:i4>
      </vt:variant>
      <vt:variant>
        <vt:i4>0</vt:i4>
      </vt:variant>
      <vt:variant>
        <vt:i4>5</vt:i4>
      </vt:variant>
      <vt:variant>
        <vt:lpwstr/>
      </vt:variant>
      <vt:variant>
        <vt:lpwstr>_ENREF_129</vt:lpwstr>
      </vt:variant>
      <vt:variant>
        <vt:i4>7536703</vt:i4>
      </vt:variant>
      <vt:variant>
        <vt:i4>3543</vt:i4>
      </vt:variant>
      <vt:variant>
        <vt:i4>0</vt:i4>
      </vt:variant>
      <vt:variant>
        <vt:i4>5</vt:i4>
      </vt:variant>
      <vt:variant>
        <vt:lpwstr/>
      </vt:variant>
      <vt:variant>
        <vt:lpwstr>_ENREF_143</vt:lpwstr>
      </vt:variant>
      <vt:variant>
        <vt:i4>7733304</vt:i4>
      </vt:variant>
      <vt:variant>
        <vt:i4>3495</vt:i4>
      </vt:variant>
      <vt:variant>
        <vt:i4>0</vt:i4>
      </vt:variant>
      <vt:variant>
        <vt:i4>5</vt:i4>
      </vt:variant>
      <vt:variant>
        <vt:lpwstr/>
      </vt:variant>
      <vt:variant>
        <vt:lpwstr>_ENREF_136</vt:lpwstr>
      </vt:variant>
      <vt:variant>
        <vt:i4>7471167</vt:i4>
      </vt:variant>
      <vt:variant>
        <vt:i4>3453</vt:i4>
      </vt:variant>
      <vt:variant>
        <vt:i4>0</vt:i4>
      </vt:variant>
      <vt:variant>
        <vt:i4>5</vt:i4>
      </vt:variant>
      <vt:variant>
        <vt:lpwstr/>
      </vt:variant>
      <vt:variant>
        <vt:lpwstr>_ENREF_142</vt:lpwstr>
      </vt:variant>
      <vt:variant>
        <vt:i4>7405631</vt:i4>
      </vt:variant>
      <vt:variant>
        <vt:i4>3447</vt:i4>
      </vt:variant>
      <vt:variant>
        <vt:i4>0</vt:i4>
      </vt:variant>
      <vt:variant>
        <vt:i4>5</vt:i4>
      </vt:variant>
      <vt:variant>
        <vt:lpwstr/>
      </vt:variant>
      <vt:variant>
        <vt:lpwstr>_ENREF_141</vt:lpwstr>
      </vt:variant>
      <vt:variant>
        <vt:i4>7340095</vt:i4>
      </vt:variant>
      <vt:variant>
        <vt:i4>3441</vt:i4>
      </vt:variant>
      <vt:variant>
        <vt:i4>0</vt:i4>
      </vt:variant>
      <vt:variant>
        <vt:i4>5</vt:i4>
      </vt:variant>
      <vt:variant>
        <vt:lpwstr/>
      </vt:variant>
      <vt:variant>
        <vt:lpwstr>_ENREF_140</vt:lpwstr>
      </vt:variant>
      <vt:variant>
        <vt:i4>7798841</vt:i4>
      </vt:variant>
      <vt:variant>
        <vt:i4>3433</vt:i4>
      </vt:variant>
      <vt:variant>
        <vt:i4>0</vt:i4>
      </vt:variant>
      <vt:variant>
        <vt:i4>5</vt:i4>
      </vt:variant>
      <vt:variant>
        <vt:lpwstr/>
      </vt:variant>
      <vt:variant>
        <vt:lpwstr>_ENREF_127</vt:lpwstr>
      </vt:variant>
      <vt:variant>
        <vt:i4>7929912</vt:i4>
      </vt:variant>
      <vt:variant>
        <vt:i4>3427</vt:i4>
      </vt:variant>
      <vt:variant>
        <vt:i4>0</vt:i4>
      </vt:variant>
      <vt:variant>
        <vt:i4>5</vt:i4>
      </vt:variant>
      <vt:variant>
        <vt:lpwstr/>
      </vt:variant>
      <vt:variant>
        <vt:lpwstr>_ENREF_139</vt:lpwstr>
      </vt:variant>
      <vt:variant>
        <vt:i4>7864376</vt:i4>
      </vt:variant>
      <vt:variant>
        <vt:i4>3421</vt:i4>
      </vt:variant>
      <vt:variant>
        <vt:i4>0</vt:i4>
      </vt:variant>
      <vt:variant>
        <vt:i4>5</vt:i4>
      </vt:variant>
      <vt:variant>
        <vt:lpwstr/>
      </vt:variant>
      <vt:variant>
        <vt:lpwstr>_ENREF_138</vt:lpwstr>
      </vt:variant>
      <vt:variant>
        <vt:i4>7798840</vt:i4>
      </vt:variant>
      <vt:variant>
        <vt:i4>3412</vt:i4>
      </vt:variant>
      <vt:variant>
        <vt:i4>0</vt:i4>
      </vt:variant>
      <vt:variant>
        <vt:i4>5</vt:i4>
      </vt:variant>
      <vt:variant>
        <vt:lpwstr/>
      </vt:variant>
      <vt:variant>
        <vt:lpwstr>_ENREF_137</vt:lpwstr>
      </vt:variant>
      <vt:variant>
        <vt:i4>7733304</vt:i4>
      </vt:variant>
      <vt:variant>
        <vt:i4>3406</vt:i4>
      </vt:variant>
      <vt:variant>
        <vt:i4>0</vt:i4>
      </vt:variant>
      <vt:variant>
        <vt:i4>5</vt:i4>
      </vt:variant>
      <vt:variant>
        <vt:lpwstr/>
      </vt:variant>
      <vt:variant>
        <vt:lpwstr>_ENREF_136</vt:lpwstr>
      </vt:variant>
      <vt:variant>
        <vt:i4>7667768</vt:i4>
      </vt:variant>
      <vt:variant>
        <vt:i4>3400</vt:i4>
      </vt:variant>
      <vt:variant>
        <vt:i4>0</vt:i4>
      </vt:variant>
      <vt:variant>
        <vt:i4>5</vt:i4>
      </vt:variant>
      <vt:variant>
        <vt:lpwstr/>
      </vt:variant>
      <vt:variant>
        <vt:lpwstr>_ENREF_135</vt:lpwstr>
      </vt:variant>
      <vt:variant>
        <vt:i4>7602232</vt:i4>
      </vt:variant>
      <vt:variant>
        <vt:i4>3389</vt:i4>
      </vt:variant>
      <vt:variant>
        <vt:i4>0</vt:i4>
      </vt:variant>
      <vt:variant>
        <vt:i4>5</vt:i4>
      </vt:variant>
      <vt:variant>
        <vt:lpwstr/>
      </vt:variant>
      <vt:variant>
        <vt:lpwstr>_ENREF_134</vt:lpwstr>
      </vt:variant>
      <vt:variant>
        <vt:i4>7536696</vt:i4>
      </vt:variant>
      <vt:variant>
        <vt:i4>3383</vt:i4>
      </vt:variant>
      <vt:variant>
        <vt:i4>0</vt:i4>
      </vt:variant>
      <vt:variant>
        <vt:i4>5</vt:i4>
      </vt:variant>
      <vt:variant>
        <vt:lpwstr/>
      </vt:variant>
      <vt:variant>
        <vt:lpwstr>_ENREF_133</vt:lpwstr>
      </vt:variant>
      <vt:variant>
        <vt:i4>7471160</vt:i4>
      </vt:variant>
      <vt:variant>
        <vt:i4>3374</vt:i4>
      </vt:variant>
      <vt:variant>
        <vt:i4>0</vt:i4>
      </vt:variant>
      <vt:variant>
        <vt:i4>5</vt:i4>
      </vt:variant>
      <vt:variant>
        <vt:lpwstr/>
      </vt:variant>
      <vt:variant>
        <vt:lpwstr>_ENREF_132</vt:lpwstr>
      </vt:variant>
      <vt:variant>
        <vt:i4>7405624</vt:i4>
      </vt:variant>
      <vt:variant>
        <vt:i4>3366</vt:i4>
      </vt:variant>
      <vt:variant>
        <vt:i4>0</vt:i4>
      </vt:variant>
      <vt:variant>
        <vt:i4>5</vt:i4>
      </vt:variant>
      <vt:variant>
        <vt:lpwstr/>
      </vt:variant>
      <vt:variant>
        <vt:lpwstr>_ENREF_131</vt:lpwstr>
      </vt:variant>
      <vt:variant>
        <vt:i4>7340088</vt:i4>
      </vt:variant>
      <vt:variant>
        <vt:i4>3358</vt:i4>
      </vt:variant>
      <vt:variant>
        <vt:i4>0</vt:i4>
      </vt:variant>
      <vt:variant>
        <vt:i4>5</vt:i4>
      </vt:variant>
      <vt:variant>
        <vt:lpwstr/>
      </vt:variant>
      <vt:variant>
        <vt:lpwstr>_ENREF_130</vt:lpwstr>
      </vt:variant>
      <vt:variant>
        <vt:i4>7929913</vt:i4>
      </vt:variant>
      <vt:variant>
        <vt:i4>3352</vt:i4>
      </vt:variant>
      <vt:variant>
        <vt:i4>0</vt:i4>
      </vt:variant>
      <vt:variant>
        <vt:i4>5</vt:i4>
      </vt:variant>
      <vt:variant>
        <vt:lpwstr/>
      </vt:variant>
      <vt:variant>
        <vt:lpwstr>_ENREF_129</vt:lpwstr>
      </vt:variant>
      <vt:variant>
        <vt:i4>7864377</vt:i4>
      </vt:variant>
      <vt:variant>
        <vt:i4>3345</vt:i4>
      </vt:variant>
      <vt:variant>
        <vt:i4>0</vt:i4>
      </vt:variant>
      <vt:variant>
        <vt:i4>5</vt:i4>
      </vt:variant>
      <vt:variant>
        <vt:lpwstr/>
      </vt:variant>
      <vt:variant>
        <vt:lpwstr>_ENREF_128</vt:lpwstr>
      </vt:variant>
      <vt:variant>
        <vt:i4>7798841</vt:i4>
      </vt:variant>
      <vt:variant>
        <vt:i4>3342</vt:i4>
      </vt:variant>
      <vt:variant>
        <vt:i4>0</vt:i4>
      </vt:variant>
      <vt:variant>
        <vt:i4>5</vt:i4>
      </vt:variant>
      <vt:variant>
        <vt:lpwstr/>
      </vt:variant>
      <vt:variant>
        <vt:lpwstr>_ENREF_127</vt:lpwstr>
      </vt:variant>
      <vt:variant>
        <vt:i4>7798841</vt:i4>
      </vt:variant>
      <vt:variant>
        <vt:i4>3330</vt:i4>
      </vt:variant>
      <vt:variant>
        <vt:i4>0</vt:i4>
      </vt:variant>
      <vt:variant>
        <vt:i4>5</vt:i4>
      </vt:variant>
      <vt:variant>
        <vt:lpwstr/>
      </vt:variant>
      <vt:variant>
        <vt:lpwstr>_ENREF_127</vt:lpwstr>
      </vt:variant>
      <vt:variant>
        <vt:i4>7798841</vt:i4>
      </vt:variant>
      <vt:variant>
        <vt:i4>3322</vt:i4>
      </vt:variant>
      <vt:variant>
        <vt:i4>0</vt:i4>
      </vt:variant>
      <vt:variant>
        <vt:i4>5</vt:i4>
      </vt:variant>
      <vt:variant>
        <vt:lpwstr/>
      </vt:variant>
      <vt:variant>
        <vt:lpwstr>_ENREF_127</vt:lpwstr>
      </vt:variant>
      <vt:variant>
        <vt:i4>7733305</vt:i4>
      </vt:variant>
      <vt:variant>
        <vt:i4>3316</vt:i4>
      </vt:variant>
      <vt:variant>
        <vt:i4>0</vt:i4>
      </vt:variant>
      <vt:variant>
        <vt:i4>5</vt:i4>
      </vt:variant>
      <vt:variant>
        <vt:lpwstr/>
      </vt:variant>
      <vt:variant>
        <vt:lpwstr>_ENREF_126</vt:lpwstr>
      </vt:variant>
      <vt:variant>
        <vt:i4>4390923</vt:i4>
      </vt:variant>
      <vt:variant>
        <vt:i4>3310</vt:i4>
      </vt:variant>
      <vt:variant>
        <vt:i4>0</vt:i4>
      </vt:variant>
      <vt:variant>
        <vt:i4>5</vt:i4>
      </vt:variant>
      <vt:variant>
        <vt:lpwstr/>
      </vt:variant>
      <vt:variant>
        <vt:lpwstr>_ENREF_29</vt:lpwstr>
      </vt:variant>
      <vt:variant>
        <vt:i4>7667769</vt:i4>
      </vt:variant>
      <vt:variant>
        <vt:i4>3301</vt:i4>
      </vt:variant>
      <vt:variant>
        <vt:i4>0</vt:i4>
      </vt:variant>
      <vt:variant>
        <vt:i4>5</vt:i4>
      </vt:variant>
      <vt:variant>
        <vt:lpwstr/>
      </vt:variant>
      <vt:variant>
        <vt:lpwstr>_ENREF_125</vt:lpwstr>
      </vt:variant>
      <vt:variant>
        <vt:i4>7602233</vt:i4>
      </vt:variant>
      <vt:variant>
        <vt:i4>3295</vt:i4>
      </vt:variant>
      <vt:variant>
        <vt:i4>0</vt:i4>
      </vt:variant>
      <vt:variant>
        <vt:i4>5</vt:i4>
      </vt:variant>
      <vt:variant>
        <vt:lpwstr/>
      </vt:variant>
      <vt:variant>
        <vt:lpwstr>_ENREF_124</vt:lpwstr>
      </vt:variant>
      <vt:variant>
        <vt:i4>7536697</vt:i4>
      </vt:variant>
      <vt:variant>
        <vt:i4>3289</vt:i4>
      </vt:variant>
      <vt:variant>
        <vt:i4>0</vt:i4>
      </vt:variant>
      <vt:variant>
        <vt:i4>5</vt:i4>
      </vt:variant>
      <vt:variant>
        <vt:lpwstr/>
      </vt:variant>
      <vt:variant>
        <vt:lpwstr>_ENREF_123</vt:lpwstr>
      </vt:variant>
      <vt:variant>
        <vt:i4>7536697</vt:i4>
      </vt:variant>
      <vt:variant>
        <vt:i4>3163</vt:i4>
      </vt:variant>
      <vt:variant>
        <vt:i4>0</vt:i4>
      </vt:variant>
      <vt:variant>
        <vt:i4>5</vt:i4>
      </vt:variant>
      <vt:variant>
        <vt:lpwstr/>
      </vt:variant>
      <vt:variant>
        <vt:lpwstr>_ENREF_123</vt:lpwstr>
      </vt:variant>
      <vt:variant>
        <vt:i4>4194315</vt:i4>
      </vt:variant>
      <vt:variant>
        <vt:i4>3151</vt:i4>
      </vt:variant>
      <vt:variant>
        <vt:i4>0</vt:i4>
      </vt:variant>
      <vt:variant>
        <vt:i4>5</vt:i4>
      </vt:variant>
      <vt:variant>
        <vt:lpwstr/>
      </vt:variant>
      <vt:variant>
        <vt:lpwstr>_ENREF_13</vt:lpwstr>
      </vt:variant>
      <vt:variant>
        <vt:i4>4194315</vt:i4>
      </vt:variant>
      <vt:variant>
        <vt:i4>3145</vt:i4>
      </vt:variant>
      <vt:variant>
        <vt:i4>0</vt:i4>
      </vt:variant>
      <vt:variant>
        <vt:i4>5</vt:i4>
      </vt:variant>
      <vt:variant>
        <vt:lpwstr/>
      </vt:variant>
      <vt:variant>
        <vt:lpwstr>_ENREF_1</vt:lpwstr>
      </vt:variant>
      <vt:variant>
        <vt:i4>4325387</vt:i4>
      </vt:variant>
      <vt:variant>
        <vt:i4>3139</vt:i4>
      </vt:variant>
      <vt:variant>
        <vt:i4>0</vt:i4>
      </vt:variant>
      <vt:variant>
        <vt:i4>5</vt:i4>
      </vt:variant>
      <vt:variant>
        <vt:lpwstr/>
      </vt:variant>
      <vt:variant>
        <vt:lpwstr>_ENREF_33</vt:lpwstr>
      </vt:variant>
      <vt:variant>
        <vt:i4>4194315</vt:i4>
      </vt:variant>
      <vt:variant>
        <vt:i4>3133</vt:i4>
      </vt:variant>
      <vt:variant>
        <vt:i4>0</vt:i4>
      </vt:variant>
      <vt:variant>
        <vt:i4>5</vt:i4>
      </vt:variant>
      <vt:variant>
        <vt:lpwstr/>
      </vt:variant>
      <vt:variant>
        <vt:lpwstr>_ENREF_15</vt:lpwstr>
      </vt:variant>
      <vt:variant>
        <vt:i4>4325387</vt:i4>
      </vt:variant>
      <vt:variant>
        <vt:i4>3127</vt:i4>
      </vt:variant>
      <vt:variant>
        <vt:i4>0</vt:i4>
      </vt:variant>
      <vt:variant>
        <vt:i4>5</vt:i4>
      </vt:variant>
      <vt:variant>
        <vt:lpwstr/>
      </vt:variant>
      <vt:variant>
        <vt:lpwstr>_ENREF_38</vt:lpwstr>
      </vt:variant>
      <vt:variant>
        <vt:i4>4194315</vt:i4>
      </vt:variant>
      <vt:variant>
        <vt:i4>3121</vt:i4>
      </vt:variant>
      <vt:variant>
        <vt:i4>0</vt:i4>
      </vt:variant>
      <vt:variant>
        <vt:i4>5</vt:i4>
      </vt:variant>
      <vt:variant>
        <vt:lpwstr/>
      </vt:variant>
      <vt:variant>
        <vt:lpwstr>_ENREF_18</vt:lpwstr>
      </vt:variant>
      <vt:variant>
        <vt:i4>4325387</vt:i4>
      </vt:variant>
      <vt:variant>
        <vt:i4>3115</vt:i4>
      </vt:variant>
      <vt:variant>
        <vt:i4>0</vt:i4>
      </vt:variant>
      <vt:variant>
        <vt:i4>5</vt:i4>
      </vt:variant>
      <vt:variant>
        <vt:lpwstr/>
      </vt:variant>
      <vt:variant>
        <vt:lpwstr>_ENREF_38</vt:lpwstr>
      </vt:variant>
      <vt:variant>
        <vt:i4>4194315</vt:i4>
      </vt:variant>
      <vt:variant>
        <vt:i4>3109</vt:i4>
      </vt:variant>
      <vt:variant>
        <vt:i4>0</vt:i4>
      </vt:variant>
      <vt:variant>
        <vt:i4>5</vt:i4>
      </vt:variant>
      <vt:variant>
        <vt:lpwstr/>
      </vt:variant>
      <vt:variant>
        <vt:lpwstr>_ENREF_15</vt:lpwstr>
      </vt:variant>
      <vt:variant>
        <vt:i4>4194315</vt:i4>
      </vt:variant>
      <vt:variant>
        <vt:i4>3103</vt:i4>
      </vt:variant>
      <vt:variant>
        <vt:i4>0</vt:i4>
      </vt:variant>
      <vt:variant>
        <vt:i4>5</vt:i4>
      </vt:variant>
      <vt:variant>
        <vt:lpwstr/>
      </vt:variant>
      <vt:variant>
        <vt:lpwstr>_ENREF_13</vt:lpwstr>
      </vt:variant>
      <vt:variant>
        <vt:i4>4194315</vt:i4>
      </vt:variant>
      <vt:variant>
        <vt:i4>3099</vt:i4>
      </vt:variant>
      <vt:variant>
        <vt:i4>0</vt:i4>
      </vt:variant>
      <vt:variant>
        <vt:i4>5</vt:i4>
      </vt:variant>
      <vt:variant>
        <vt:lpwstr/>
      </vt:variant>
      <vt:variant>
        <vt:lpwstr>_ENREF_15</vt:lpwstr>
      </vt:variant>
      <vt:variant>
        <vt:i4>4194315</vt:i4>
      </vt:variant>
      <vt:variant>
        <vt:i4>3096</vt:i4>
      </vt:variant>
      <vt:variant>
        <vt:i4>0</vt:i4>
      </vt:variant>
      <vt:variant>
        <vt:i4>5</vt:i4>
      </vt:variant>
      <vt:variant>
        <vt:lpwstr/>
      </vt:variant>
      <vt:variant>
        <vt:lpwstr>_ENREF_13</vt:lpwstr>
      </vt:variant>
      <vt:variant>
        <vt:i4>4194315</vt:i4>
      </vt:variant>
      <vt:variant>
        <vt:i4>3088</vt:i4>
      </vt:variant>
      <vt:variant>
        <vt:i4>0</vt:i4>
      </vt:variant>
      <vt:variant>
        <vt:i4>5</vt:i4>
      </vt:variant>
      <vt:variant>
        <vt:lpwstr/>
      </vt:variant>
      <vt:variant>
        <vt:lpwstr>_ENREF_14</vt:lpwstr>
      </vt:variant>
      <vt:variant>
        <vt:i4>4194315</vt:i4>
      </vt:variant>
      <vt:variant>
        <vt:i4>3082</vt:i4>
      </vt:variant>
      <vt:variant>
        <vt:i4>0</vt:i4>
      </vt:variant>
      <vt:variant>
        <vt:i4>5</vt:i4>
      </vt:variant>
      <vt:variant>
        <vt:lpwstr/>
      </vt:variant>
      <vt:variant>
        <vt:lpwstr>_ENREF_1</vt:lpwstr>
      </vt:variant>
      <vt:variant>
        <vt:i4>4194315</vt:i4>
      </vt:variant>
      <vt:variant>
        <vt:i4>3076</vt:i4>
      </vt:variant>
      <vt:variant>
        <vt:i4>0</vt:i4>
      </vt:variant>
      <vt:variant>
        <vt:i4>5</vt:i4>
      </vt:variant>
      <vt:variant>
        <vt:lpwstr/>
      </vt:variant>
      <vt:variant>
        <vt:lpwstr>_ENREF_1</vt:lpwstr>
      </vt:variant>
      <vt:variant>
        <vt:i4>7471161</vt:i4>
      </vt:variant>
      <vt:variant>
        <vt:i4>3070</vt:i4>
      </vt:variant>
      <vt:variant>
        <vt:i4>0</vt:i4>
      </vt:variant>
      <vt:variant>
        <vt:i4>5</vt:i4>
      </vt:variant>
      <vt:variant>
        <vt:lpwstr/>
      </vt:variant>
      <vt:variant>
        <vt:lpwstr>_ENREF_122</vt:lpwstr>
      </vt:variant>
      <vt:variant>
        <vt:i4>4194315</vt:i4>
      </vt:variant>
      <vt:variant>
        <vt:i4>3064</vt:i4>
      </vt:variant>
      <vt:variant>
        <vt:i4>0</vt:i4>
      </vt:variant>
      <vt:variant>
        <vt:i4>5</vt:i4>
      </vt:variant>
      <vt:variant>
        <vt:lpwstr/>
      </vt:variant>
      <vt:variant>
        <vt:lpwstr>_ENREF_17</vt:lpwstr>
      </vt:variant>
      <vt:variant>
        <vt:i4>4390923</vt:i4>
      </vt:variant>
      <vt:variant>
        <vt:i4>3058</vt:i4>
      </vt:variant>
      <vt:variant>
        <vt:i4>0</vt:i4>
      </vt:variant>
      <vt:variant>
        <vt:i4>5</vt:i4>
      </vt:variant>
      <vt:variant>
        <vt:lpwstr/>
      </vt:variant>
      <vt:variant>
        <vt:lpwstr>_ENREF_26</vt:lpwstr>
      </vt:variant>
      <vt:variant>
        <vt:i4>4718603</vt:i4>
      </vt:variant>
      <vt:variant>
        <vt:i4>3050</vt:i4>
      </vt:variant>
      <vt:variant>
        <vt:i4>0</vt:i4>
      </vt:variant>
      <vt:variant>
        <vt:i4>5</vt:i4>
      </vt:variant>
      <vt:variant>
        <vt:lpwstr/>
      </vt:variant>
      <vt:variant>
        <vt:lpwstr>_ENREF_98</vt:lpwstr>
      </vt:variant>
      <vt:variant>
        <vt:i4>4718603</vt:i4>
      </vt:variant>
      <vt:variant>
        <vt:i4>3044</vt:i4>
      </vt:variant>
      <vt:variant>
        <vt:i4>0</vt:i4>
      </vt:variant>
      <vt:variant>
        <vt:i4>5</vt:i4>
      </vt:variant>
      <vt:variant>
        <vt:lpwstr/>
      </vt:variant>
      <vt:variant>
        <vt:lpwstr>_ENREF_93</vt:lpwstr>
      </vt:variant>
      <vt:variant>
        <vt:i4>7405625</vt:i4>
      </vt:variant>
      <vt:variant>
        <vt:i4>3038</vt:i4>
      </vt:variant>
      <vt:variant>
        <vt:i4>0</vt:i4>
      </vt:variant>
      <vt:variant>
        <vt:i4>5</vt:i4>
      </vt:variant>
      <vt:variant>
        <vt:lpwstr/>
      </vt:variant>
      <vt:variant>
        <vt:lpwstr>_ENREF_121</vt:lpwstr>
      </vt:variant>
      <vt:variant>
        <vt:i4>7340089</vt:i4>
      </vt:variant>
      <vt:variant>
        <vt:i4>3030</vt:i4>
      </vt:variant>
      <vt:variant>
        <vt:i4>0</vt:i4>
      </vt:variant>
      <vt:variant>
        <vt:i4>5</vt:i4>
      </vt:variant>
      <vt:variant>
        <vt:lpwstr/>
      </vt:variant>
      <vt:variant>
        <vt:lpwstr>_ENREF_120</vt:lpwstr>
      </vt:variant>
      <vt:variant>
        <vt:i4>7929914</vt:i4>
      </vt:variant>
      <vt:variant>
        <vt:i4>3024</vt:i4>
      </vt:variant>
      <vt:variant>
        <vt:i4>0</vt:i4>
      </vt:variant>
      <vt:variant>
        <vt:i4>5</vt:i4>
      </vt:variant>
      <vt:variant>
        <vt:lpwstr/>
      </vt:variant>
      <vt:variant>
        <vt:lpwstr>_ENREF_119</vt:lpwstr>
      </vt:variant>
      <vt:variant>
        <vt:i4>7864378</vt:i4>
      </vt:variant>
      <vt:variant>
        <vt:i4>3016</vt:i4>
      </vt:variant>
      <vt:variant>
        <vt:i4>0</vt:i4>
      </vt:variant>
      <vt:variant>
        <vt:i4>5</vt:i4>
      </vt:variant>
      <vt:variant>
        <vt:lpwstr/>
      </vt:variant>
      <vt:variant>
        <vt:lpwstr>_ENREF_118</vt:lpwstr>
      </vt:variant>
      <vt:variant>
        <vt:i4>7340090</vt:i4>
      </vt:variant>
      <vt:variant>
        <vt:i4>3010</vt:i4>
      </vt:variant>
      <vt:variant>
        <vt:i4>0</vt:i4>
      </vt:variant>
      <vt:variant>
        <vt:i4>5</vt:i4>
      </vt:variant>
      <vt:variant>
        <vt:lpwstr/>
      </vt:variant>
      <vt:variant>
        <vt:lpwstr>_ENREF_110</vt:lpwstr>
      </vt:variant>
      <vt:variant>
        <vt:i4>7798842</vt:i4>
      </vt:variant>
      <vt:variant>
        <vt:i4>3004</vt:i4>
      </vt:variant>
      <vt:variant>
        <vt:i4>0</vt:i4>
      </vt:variant>
      <vt:variant>
        <vt:i4>5</vt:i4>
      </vt:variant>
      <vt:variant>
        <vt:lpwstr/>
      </vt:variant>
      <vt:variant>
        <vt:lpwstr>_ENREF_117</vt:lpwstr>
      </vt:variant>
      <vt:variant>
        <vt:i4>7733306</vt:i4>
      </vt:variant>
      <vt:variant>
        <vt:i4>2996</vt:i4>
      </vt:variant>
      <vt:variant>
        <vt:i4>0</vt:i4>
      </vt:variant>
      <vt:variant>
        <vt:i4>5</vt:i4>
      </vt:variant>
      <vt:variant>
        <vt:lpwstr/>
      </vt:variant>
      <vt:variant>
        <vt:lpwstr>_ENREF_116</vt:lpwstr>
      </vt:variant>
      <vt:variant>
        <vt:i4>4194315</vt:i4>
      </vt:variant>
      <vt:variant>
        <vt:i4>2990</vt:i4>
      </vt:variant>
      <vt:variant>
        <vt:i4>0</vt:i4>
      </vt:variant>
      <vt:variant>
        <vt:i4>5</vt:i4>
      </vt:variant>
      <vt:variant>
        <vt:lpwstr/>
      </vt:variant>
      <vt:variant>
        <vt:lpwstr>_ENREF_10</vt:lpwstr>
      </vt:variant>
      <vt:variant>
        <vt:i4>4194315</vt:i4>
      </vt:variant>
      <vt:variant>
        <vt:i4>2984</vt:i4>
      </vt:variant>
      <vt:variant>
        <vt:i4>0</vt:i4>
      </vt:variant>
      <vt:variant>
        <vt:i4>5</vt:i4>
      </vt:variant>
      <vt:variant>
        <vt:lpwstr/>
      </vt:variant>
      <vt:variant>
        <vt:lpwstr>_ENREF_1</vt:lpwstr>
      </vt:variant>
      <vt:variant>
        <vt:i4>4784139</vt:i4>
      </vt:variant>
      <vt:variant>
        <vt:i4>2978</vt:i4>
      </vt:variant>
      <vt:variant>
        <vt:i4>0</vt:i4>
      </vt:variant>
      <vt:variant>
        <vt:i4>5</vt:i4>
      </vt:variant>
      <vt:variant>
        <vt:lpwstr/>
      </vt:variant>
      <vt:variant>
        <vt:lpwstr>_ENREF_8</vt:lpwstr>
      </vt:variant>
      <vt:variant>
        <vt:i4>7667770</vt:i4>
      </vt:variant>
      <vt:variant>
        <vt:i4>2969</vt:i4>
      </vt:variant>
      <vt:variant>
        <vt:i4>0</vt:i4>
      </vt:variant>
      <vt:variant>
        <vt:i4>5</vt:i4>
      </vt:variant>
      <vt:variant>
        <vt:lpwstr/>
      </vt:variant>
      <vt:variant>
        <vt:lpwstr>_ENREF_115</vt:lpwstr>
      </vt:variant>
      <vt:variant>
        <vt:i4>7602234</vt:i4>
      </vt:variant>
      <vt:variant>
        <vt:i4>2965</vt:i4>
      </vt:variant>
      <vt:variant>
        <vt:i4>0</vt:i4>
      </vt:variant>
      <vt:variant>
        <vt:i4>5</vt:i4>
      </vt:variant>
      <vt:variant>
        <vt:lpwstr/>
      </vt:variant>
      <vt:variant>
        <vt:lpwstr>_ENREF_114</vt:lpwstr>
      </vt:variant>
      <vt:variant>
        <vt:i4>7536698</vt:i4>
      </vt:variant>
      <vt:variant>
        <vt:i4>2962</vt:i4>
      </vt:variant>
      <vt:variant>
        <vt:i4>0</vt:i4>
      </vt:variant>
      <vt:variant>
        <vt:i4>5</vt:i4>
      </vt:variant>
      <vt:variant>
        <vt:lpwstr/>
      </vt:variant>
      <vt:variant>
        <vt:lpwstr>_ENREF_113</vt:lpwstr>
      </vt:variant>
      <vt:variant>
        <vt:i4>4718603</vt:i4>
      </vt:variant>
      <vt:variant>
        <vt:i4>2950</vt:i4>
      </vt:variant>
      <vt:variant>
        <vt:i4>0</vt:i4>
      </vt:variant>
      <vt:variant>
        <vt:i4>5</vt:i4>
      </vt:variant>
      <vt:variant>
        <vt:lpwstr/>
      </vt:variant>
      <vt:variant>
        <vt:lpwstr>_ENREF_98</vt:lpwstr>
      </vt:variant>
      <vt:variant>
        <vt:i4>7471162</vt:i4>
      </vt:variant>
      <vt:variant>
        <vt:i4>2946</vt:i4>
      </vt:variant>
      <vt:variant>
        <vt:i4>0</vt:i4>
      </vt:variant>
      <vt:variant>
        <vt:i4>5</vt:i4>
      </vt:variant>
      <vt:variant>
        <vt:lpwstr/>
      </vt:variant>
      <vt:variant>
        <vt:lpwstr>_ENREF_112</vt:lpwstr>
      </vt:variant>
      <vt:variant>
        <vt:i4>4718603</vt:i4>
      </vt:variant>
      <vt:variant>
        <vt:i4>2943</vt:i4>
      </vt:variant>
      <vt:variant>
        <vt:i4>0</vt:i4>
      </vt:variant>
      <vt:variant>
        <vt:i4>5</vt:i4>
      </vt:variant>
      <vt:variant>
        <vt:lpwstr/>
      </vt:variant>
      <vt:variant>
        <vt:lpwstr>_ENREF_98</vt:lpwstr>
      </vt:variant>
      <vt:variant>
        <vt:i4>7405626</vt:i4>
      </vt:variant>
      <vt:variant>
        <vt:i4>2933</vt:i4>
      </vt:variant>
      <vt:variant>
        <vt:i4>0</vt:i4>
      </vt:variant>
      <vt:variant>
        <vt:i4>5</vt:i4>
      </vt:variant>
      <vt:variant>
        <vt:lpwstr/>
      </vt:variant>
      <vt:variant>
        <vt:lpwstr>_ENREF_111</vt:lpwstr>
      </vt:variant>
      <vt:variant>
        <vt:i4>7405626</vt:i4>
      </vt:variant>
      <vt:variant>
        <vt:i4>2927</vt:i4>
      </vt:variant>
      <vt:variant>
        <vt:i4>0</vt:i4>
      </vt:variant>
      <vt:variant>
        <vt:i4>5</vt:i4>
      </vt:variant>
      <vt:variant>
        <vt:lpwstr/>
      </vt:variant>
      <vt:variant>
        <vt:lpwstr>_ENREF_111</vt:lpwstr>
      </vt:variant>
      <vt:variant>
        <vt:i4>7340090</vt:i4>
      </vt:variant>
      <vt:variant>
        <vt:i4>2921</vt:i4>
      </vt:variant>
      <vt:variant>
        <vt:i4>0</vt:i4>
      </vt:variant>
      <vt:variant>
        <vt:i4>5</vt:i4>
      </vt:variant>
      <vt:variant>
        <vt:lpwstr/>
      </vt:variant>
      <vt:variant>
        <vt:lpwstr>_ENREF_110</vt:lpwstr>
      </vt:variant>
      <vt:variant>
        <vt:i4>4194315</vt:i4>
      </vt:variant>
      <vt:variant>
        <vt:i4>2915</vt:i4>
      </vt:variant>
      <vt:variant>
        <vt:i4>0</vt:i4>
      </vt:variant>
      <vt:variant>
        <vt:i4>5</vt:i4>
      </vt:variant>
      <vt:variant>
        <vt:lpwstr/>
      </vt:variant>
      <vt:variant>
        <vt:lpwstr>_ENREF_1</vt:lpwstr>
      </vt:variant>
      <vt:variant>
        <vt:i4>4325387</vt:i4>
      </vt:variant>
      <vt:variant>
        <vt:i4>2909</vt:i4>
      </vt:variant>
      <vt:variant>
        <vt:i4>0</vt:i4>
      </vt:variant>
      <vt:variant>
        <vt:i4>5</vt:i4>
      </vt:variant>
      <vt:variant>
        <vt:lpwstr/>
      </vt:variant>
      <vt:variant>
        <vt:lpwstr>_ENREF_3</vt:lpwstr>
      </vt:variant>
      <vt:variant>
        <vt:i4>7929915</vt:i4>
      </vt:variant>
      <vt:variant>
        <vt:i4>2903</vt:i4>
      </vt:variant>
      <vt:variant>
        <vt:i4>0</vt:i4>
      </vt:variant>
      <vt:variant>
        <vt:i4>5</vt:i4>
      </vt:variant>
      <vt:variant>
        <vt:lpwstr/>
      </vt:variant>
      <vt:variant>
        <vt:lpwstr>_ENREF_109</vt:lpwstr>
      </vt:variant>
      <vt:variant>
        <vt:i4>7864379</vt:i4>
      </vt:variant>
      <vt:variant>
        <vt:i4>2895</vt:i4>
      </vt:variant>
      <vt:variant>
        <vt:i4>0</vt:i4>
      </vt:variant>
      <vt:variant>
        <vt:i4>5</vt:i4>
      </vt:variant>
      <vt:variant>
        <vt:lpwstr/>
      </vt:variant>
      <vt:variant>
        <vt:lpwstr>_ENREF_108</vt:lpwstr>
      </vt:variant>
      <vt:variant>
        <vt:i4>4718603</vt:i4>
      </vt:variant>
      <vt:variant>
        <vt:i4>2887</vt:i4>
      </vt:variant>
      <vt:variant>
        <vt:i4>0</vt:i4>
      </vt:variant>
      <vt:variant>
        <vt:i4>5</vt:i4>
      </vt:variant>
      <vt:variant>
        <vt:lpwstr/>
      </vt:variant>
      <vt:variant>
        <vt:lpwstr>_ENREF_91</vt:lpwstr>
      </vt:variant>
      <vt:variant>
        <vt:i4>7798843</vt:i4>
      </vt:variant>
      <vt:variant>
        <vt:i4>2881</vt:i4>
      </vt:variant>
      <vt:variant>
        <vt:i4>0</vt:i4>
      </vt:variant>
      <vt:variant>
        <vt:i4>5</vt:i4>
      </vt:variant>
      <vt:variant>
        <vt:lpwstr/>
      </vt:variant>
      <vt:variant>
        <vt:lpwstr>_ENREF_107</vt:lpwstr>
      </vt:variant>
      <vt:variant>
        <vt:i4>7733307</vt:i4>
      </vt:variant>
      <vt:variant>
        <vt:i4>2875</vt:i4>
      </vt:variant>
      <vt:variant>
        <vt:i4>0</vt:i4>
      </vt:variant>
      <vt:variant>
        <vt:i4>5</vt:i4>
      </vt:variant>
      <vt:variant>
        <vt:lpwstr/>
      </vt:variant>
      <vt:variant>
        <vt:lpwstr>_ENREF_106</vt:lpwstr>
      </vt:variant>
      <vt:variant>
        <vt:i4>7667771</vt:i4>
      </vt:variant>
      <vt:variant>
        <vt:i4>2867</vt:i4>
      </vt:variant>
      <vt:variant>
        <vt:i4>0</vt:i4>
      </vt:variant>
      <vt:variant>
        <vt:i4>5</vt:i4>
      </vt:variant>
      <vt:variant>
        <vt:lpwstr/>
      </vt:variant>
      <vt:variant>
        <vt:lpwstr>_ENREF_105</vt:lpwstr>
      </vt:variant>
      <vt:variant>
        <vt:i4>7602235</vt:i4>
      </vt:variant>
      <vt:variant>
        <vt:i4>2863</vt:i4>
      </vt:variant>
      <vt:variant>
        <vt:i4>0</vt:i4>
      </vt:variant>
      <vt:variant>
        <vt:i4>5</vt:i4>
      </vt:variant>
      <vt:variant>
        <vt:lpwstr/>
      </vt:variant>
      <vt:variant>
        <vt:lpwstr>_ENREF_104</vt:lpwstr>
      </vt:variant>
      <vt:variant>
        <vt:i4>7536699</vt:i4>
      </vt:variant>
      <vt:variant>
        <vt:i4>2860</vt:i4>
      </vt:variant>
      <vt:variant>
        <vt:i4>0</vt:i4>
      </vt:variant>
      <vt:variant>
        <vt:i4>5</vt:i4>
      </vt:variant>
      <vt:variant>
        <vt:lpwstr/>
      </vt:variant>
      <vt:variant>
        <vt:lpwstr>_ENREF_103</vt:lpwstr>
      </vt:variant>
      <vt:variant>
        <vt:i4>7471163</vt:i4>
      </vt:variant>
      <vt:variant>
        <vt:i4>2850</vt:i4>
      </vt:variant>
      <vt:variant>
        <vt:i4>0</vt:i4>
      </vt:variant>
      <vt:variant>
        <vt:i4>5</vt:i4>
      </vt:variant>
      <vt:variant>
        <vt:lpwstr/>
      </vt:variant>
      <vt:variant>
        <vt:lpwstr>_ENREF_102</vt:lpwstr>
      </vt:variant>
      <vt:variant>
        <vt:i4>7405627</vt:i4>
      </vt:variant>
      <vt:variant>
        <vt:i4>2811</vt:i4>
      </vt:variant>
      <vt:variant>
        <vt:i4>0</vt:i4>
      </vt:variant>
      <vt:variant>
        <vt:i4>5</vt:i4>
      </vt:variant>
      <vt:variant>
        <vt:lpwstr/>
      </vt:variant>
      <vt:variant>
        <vt:lpwstr>_ENREF_101</vt:lpwstr>
      </vt:variant>
      <vt:variant>
        <vt:i4>7340091</vt:i4>
      </vt:variant>
      <vt:variant>
        <vt:i4>2803</vt:i4>
      </vt:variant>
      <vt:variant>
        <vt:i4>0</vt:i4>
      </vt:variant>
      <vt:variant>
        <vt:i4>5</vt:i4>
      </vt:variant>
      <vt:variant>
        <vt:lpwstr/>
      </vt:variant>
      <vt:variant>
        <vt:lpwstr>_ENREF_100</vt:lpwstr>
      </vt:variant>
      <vt:variant>
        <vt:i4>4718603</vt:i4>
      </vt:variant>
      <vt:variant>
        <vt:i4>2795</vt:i4>
      </vt:variant>
      <vt:variant>
        <vt:i4>0</vt:i4>
      </vt:variant>
      <vt:variant>
        <vt:i4>5</vt:i4>
      </vt:variant>
      <vt:variant>
        <vt:lpwstr/>
      </vt:variant>
      <vt:variant>
        <vt:lpwstr>_ENREF_98</vt:lpwstr>
      </vt:variant>
      <vt:variant>
        <vt:i4>4521995</vt:i4>
      </vt:variant>
      <vt:variant>
        <vt:i4>2786</vt:i4>
      </vt:variant>
      <vt:variant>
        <vt:i4>0</vt:i4>
      </vt:variant>
      <vt:variant>
        <vt:i4>5</vt:i4>
      </vt:variant>
      <vt:variant>
        <vt:lpwstr/>
      </vt:variant>
      <vt:variant>
        <vt:lpwstr>_ENREF_40</vt:lpwstr>
      </vt:variant>
      <vt:variant>
        <vt:i4>4456459</vt:i4>
      </vt:variant>
      <vt:variant>
        <vt:i4>2777</vt:i4>
      </vt:variant>
      <vt:variant>
        <vt:i4>0</vt:i4>
      </vt:variant>
      <vt:variant>
        <vt:i4>5</vt:i4>
      </vt:variant>
      <vt:variant>
        <vt:lpwstr/>
      </vt:variant>
      <vt:variant>
        <vt:lpwstr>_ENREF_57</vt:lpwstr>
      </vt:variant>
      <vt:variant>
        <vt:i4>4718603</vt:i4>
      </vt:variant>
      <vt:variant>
        <vt:i4>2767</vt:i4>
      </vt:variant>
      <vt:variant>
        <vt:i4>0</vt:i4>
      </vt:variant>
      <vt:variant>
        <vt:i4>5</vt:i4>
      </vt:variant>
      <vt:variant>
        <vt:lpwstr/>
      </vt:variant>
      <vt:variant>
        <vt:lpwstr>_ENREF_99</vt:lpwstr>
      </vt:variant>
      <vt:variant>
        <vt:i4>4390923</vt:i4>
      </vt:variant>
      <vt:variant>
        <vt:i4>2764</vt:i4>
      </vt:variant>
      <vt:variant>
        <vt:i4>0</vt:i4>
      </vt:variant>
      <vt:variant>
        <vt:i4>5</vt:i4>
      </vt:variant>
      <vt:variant>
        <vt:lpwstr/>
      </vt:variant>
      <vt:variant>
        <vt:lpwstr>_ENREF_26</vt:lpwstr>
      </vt:variant>
      <vt:variant>
        <vt:i4>4718603</vt:i4>
      </vt:variant>
      <vt:variant>
        <vt:i4>2756</vt:i4>
      </vt:variant>
      <vt:variant>
        <vt:i4>0</vt:i4>
      </vt:variant>
      <vt:variant>
        <vt:i4>5</vt:i4>
      </vt:variant>
      <vt:variant>
        <vt:lpwstr/>
      </vt:variant>
      <vt:variant>
        <vt:lpwstr>_ENREF_95</vt:lpwstr>
      </vt:variant>
      <vt:variant>
        <vt:i4>4390923</vt:i4>
      </vt:variant>
      <vt:variant>
        <vt:i4>2753</vt:i4>
      </vt:variant>
      <vt:variant>
        <vt:i4>0</vt:i4>
      </vt:variant>
      <vt:variant>
        <vt:i4>5</vt:i4>
      </vt:variant>
      <vt:variant>
        <vt:lpwstr/>
      </vt:variant>
      <vt:variant>
        <vt:lpwstr>_ENREF_20</vt:lpwstr>
      </vt:variant>
      <vt:variant>
        <vt:i4>4390923</vt:i4>
      </vt:variant>
      <vt:variant>
        <vt:i4>2745</vt:i4>
      </vt:variant>
      <vt:variant>
        <vt:i4>0</vt:i4>
      </vt:variant>
      <vt:variant>
        <vt:i4>5</vt:i4>
      </vt:variant>
      <vt:variant>
        <vt:lpwstr/>
      </vt:variant>
      <vt:variant>
        <vt:lpwstr>_ENREF_25</vt:lpwstr>
      </vt:variant>
      <vt:variant>
        <vt:i4>4390923</vt:i4>
      </vt:variant>
      <vt:variant>
        <vt:i4>2742</vt:i4>
      </vt:variant>
      <vt:variant>
        <vt:i4>0</vt:i4>
      </vt:variant>
      <vt:variant>
        <vt:i4>5</vt:i4>
      </vt:variant>
      <vt:variant>
        <vt:lpwstr/>
      </vt:variant>
      <vt:variant>
        <vt:lpwstr>_ENREF_20</vt:lpwstr>
      </vt:variant>
      <vt:variant>
        <vt:i4>4718603</vt:i4>
      </vt:variant>
      <vt:variant>
        <vt:i4>2730</vt:i4>
      </vt:variant>
      <vt:variant>
        <vt:i4>0</vt:i4>
      </vt:variant>
      <vt:variant>
        <vt:i4>5</vt:i4>
      </vt:variant>
      <vt:variant>
        <vt:lpwstr/>
      </vt:variant>
      <vt:variant>
        <vt:lpwstr>_ENREF_94</vt:lpwstr>
      </vt:variant>
      <vt:variant>
        <vt:i4>4718603</vt:i4>
      </vt:variant>
      <vt:variant>
        <vt:i4>2726</vt:i4>
      </vt:variant>
      <vt:variant>
        <vt:i4>0</vt:i4>
      </vt:variant>
      <vt:variant>
        <vt:i4>5</vt:i4>
      </vt:variant>
      <vt:variant>
        <vt:lpwstr/>
      </vt:variant>
      <vt:variant>
        <vt:lpwstr>_ENREF_92</vt:lpwstr>
      </vt:variant>
      <vt:variant>
        <vt:i4>4325387</vt:i4>
      </vt:variant>
      <vt:variant>
        <vt:i4>2723</vt:i4>
      </vt:variant>
      <vt:variant>
        <vt:i4>0</vt:i4>
      </vt:variant>
      <vt:variant>
        <vt:i4>5</vt:i4>
      </vt:variant>
      <vt:variant>
        <vt:lpwstr/>
      </vt:variant>
      <vt:variant>
        <vt:lpwstr>_ENREF_36</vt:lpwstr>
      </vt:variant>
      <vt:variant>
        <vt:i4>4390923</vt:i4>
      </vt:variant>
      <vt:variant>
        <vt:i4>2720</vt:i4>
      </vt:variant>
      <vt:variant>
        <vt:i4>0</vt:i4>
      </vt:variant>
      <vt:variant>
        <vt:i4>5</vt:i4>
      </vt:variant>
      <vt:variant>
        <vt:lpwstr/>
      </vt:variant>
      <vt:variant>
        <vt:lpwstr>_ENREF_26</vt:lpwstr>
      </vt:variant>
      <vt:variant>
        <vt:i4>4521995</vt:i4>
      </vt:variant>
      <vt:variant>
        <vt:i4>2712</vt:i4>
      </vt:variant>
      <vt:variant>
        <vt:i4>0</vt:i4>
      </vt:variant>
      <vt:variant>
        <vt:i4>5</vt:i4>
      </vt:variant>
      <vt:variant>
        <vt:lpwstr/>
      </vt:variant>
      <vt:variant>
        <vt:lpwstr>_ENREF_40</vt:lpwstr>
      </vt:variant>
      <vt:variant>
        <vt:i4>4325387</vt:i4>
      </vt:variant>
      <vt:variant>
        <vt:i4>2709</vt:i4>
      </vt:variant>
      <vt:variant>
        <vt:i4>0</vt:i4>
      </vt:variant>
      <vt:variant>
        <vt:i4>5</vt:i4>
      </vt:variant>
      <vt:variant>
        <vt:lpwstr/>
      </vt:variant>
      <vt:variant>
        <vt:lpwstr>_ENREF_3</vt:lpwstr>
      </vt:variant>
      <vt:variant>
        <vt:i4>4521995</vt:i4>
      </vt:variant>
      <vt:variant>
        <vt:i4>2699</vt:i4>
      </vt:variant>
      <vt:variant>
        <vt:i4>0</vt:i4>
      </vt:variant>
      <vt:variant>
        <vt:i4>5</vt:i4>
      </vt:variant>
      <vt:variant>
        <vt:lpwstr/>
      </vt:variant>
      <vt:variant>
        <vt:lpwstr>_ENREF_41</vt:lpwstr>
      </vt:variant>
      <vt:variant>
        <vt:i4>4718603</vt:i4>
      </vt:variant>
      <vt:variant>
        <vt:i4>2695</vt:i4>
      </vt:variant>
      <vt:variant>
        <vt:i4>0</vt:i4>
      </vt:variant>
      <vt:variant>
        <vt:i4>5</vt:i4>
      </vt:variant>
      <vt:variant>
        <vt:lpwstr/>
      </vt:variant>
      <vt:variant>
        <vt:lpwstr>_ENREF_98</vt:lpwstr>
      </vt:variant>
      <vt:variant>
        <vt:i4>4390923</vt:i4>
      </vt:variant>
      <vt:variant>
        <vt:i4>2692</vt:i4>
      </vt:variant>
      <vt:variant>
        <vt:i4>0</vt:i4>
      </vt:variant>
      <vt:variant>
        <vt:i4>5</vt:i4>
      </vt:variant>
      <vt:variant>
        <vt:lpwstr/>
      </vt:variant>
      <vt:variant>
        <vt:lpwstr>_ENREF_26</vt:lpwstr>
      </vt:variant>
      <vt:variant>
        <vt:i4>4718603</vt:i4>
      </vt:variant>
      <vt:variant>
        <vt:i4>2682</vt:i4>
      </vt:variant>
      <vt:variant>
        <vt:i4>0</vt:i4>
      </vt:variant>
      <vt:variant>
        <vt:i4>5</vt:i4>
      </vt:variant>
      <vt:variant>
        <vt:lpwstr/>
      </vt:variant>
      <vt:variant>
        <vt:lpwstr>_ENREF_93</vt:lpwstr>
      </vt:variant>
      <vt:variant>
        <vt:i4>4718603</vt:i4>
      </vt:variant>
      <vt:variant>
        <vt:i4>2674</vt:i4>
      </vt:variant>
      <vt:variant>
        <vt:i4>0</vt:i4>
      </vt:variant>
      <vt:variant>
        <vt:i4>5</vt:i4>
      </vt:variant>
      <vt:variant>
        <vt:lpwstr/>
      </vt:variant>
      <vt:variant>
        <vt:lpwstr>_ENREF_98</vt:lpwstr>
      </vt:variant>
      <vt:variant>
        <vt:i4>4718603</vt:i4>
      </vt:variant>
      <vt:variant>
        <vt:i4>2666</vt:i4>
      </vt:variant>
      <vt:variant>
        <vt:i4>0</vt:i4>
      </vt:variant>
      <vt:variant>
        <vt:i4>5</vt:i4>
      </vt:variant>
      <vt:variant>
        <vt:lpwstr/>
      </vt:variant>
      <vt:variant>
        <vt:lpwstr>_ENREF_91</vt:lpwstr>
      </vt:variant>
      <vt:variant>
        <vt:i4>4718603</vt:i4>
      </vt:variant>
      <vt:variant>
        <vt:i4>2660</vt:i4>
      </vt:variant>
      <vt:variant>
        <vt:i4>0</vt:i4>
      </vt:variant>
      <vt:variant>
        <vt:i4>5</vt:i4>
      </vt:variant>
      <vt:variant>
        <vt:lpwstr/>
      </vt:variant>
      <vt:variant>
        <vt:lpwstr>_ENREF_97</vt:lpwstr>
      </vt:variant>
      <vt:variant>
        <vt:i4>4325387</vt:i4>
      </vt:variant>
      <vt:variant>
        <vt:i4>2656</vt:i4>
      </vt:variant>
      <vt:variant>
        <vt:i4>0</vt:i4>
      </vt:variant>
      <vt:variant>
        <vt:i4>5</vt:i4>
      </vt:variant>
      <vt:variant>
        <vt:lpwstr/>
      </vt:variant>
      <vt:variant>
        <vt:lpwstr>_ENREF_36</vt:lpwstr>
      </vt:variant>
      <vt:variant>
        <vt:i4>4194315</vt:i4>
      </vt:variant>
      <vt:variant>
        <vt:i4>2653</vt:i4>
      </vt:variant>
      <vt:variant>
        <vt:i4>0</vt:i4>
      </vt:variant>
      <vt:variant>
        <vt:i4>5</vt:i4>
      </vt:variant>
      <vt:variant>
        <vt:lpwstr/>
      </vt:variant>
      <vt:variant>
        <vt:lpwstr>_ENREF_10</vt:lpwstr>
      </vt:variant>
      <vt:variant>
        <vt:i4>4718603</vt:i4>
      </vt:variant>
      <vt:variant>
        <vt:i4>2645</vt:i4>
      </vt:variant>
      <vt:variant>
        <vt:i4>0</vt:i4>
      </vt:variant>
      <vt:variant>
        <vt:i4>5</vt:i4>
      </vt:variant>
      <vt:variant>
        <vt:lpwstr/>
      </vt:variant>
      <vt:variant>
        <vt:lpwstr>_ENREF_96</vt:lpwstr>
      </vt:variant>
      <vt:variant>
        <vt:i4>4718603</vt:i4>
      </vt:variant>
      <vt:variant>
        <vt:i4>2642</vt:i4>
      </vt:variant>
      <vt:variant>
        <vt:i4>0</vt:i4>
      </vt:variant>
      <vt:variant>
        <vt:i4>5</vt:i4>
      </vt:variant>
      <vt:variant>
        <vt:lpwstr/>
      </vt:variant>
      <vt:variant>
        <vt:lpwstr>_ENREF_92</vt:lpwstr>
      </vt:variant>
      <vt:variant>
        <vt:i4>4390923</vt:i4>
      </vt:variant>
      <vt:variant>
        <vt:i4>2632</vt:i4>
      </vt:variant>
      <vt:variant>
        <vt:i4>0</vt:i4>
      </vt:variant>
      <vt:variant>
        <vt:i4>5</vt:i4>
      </vt:variant>
      <vt:variant>
        <vt:lpwstr/>
      </vt:variant>
      <vt:variant>
        <vt:lpwstr>_ENREF_26</vt:lpwstr>
      </vt:variant>
      <vt:variant>
        <vt:i4>4718603</vt:i4>
      </vt:variant>
      <vt:variant>
        <vt:i4>2624</vt:i4>
      </vt:variant>
      <vt:variant>
        <vt:i4>0</vt:i4>
      </vt:variant>
      <vt:variant>
        <vt:i4>5</vt:i4>
      </vt:variant>
      <vt:variant>
        <vt:lpwstr/>
      </vt:variant>
      <vt:variant>
        <vt:lpwstr>_ENREF_95</vt:lpwstr>
      </vt:variant>
      <vt:variant>
        <vt:i4>4718603</vt:i4>
      </vt:variant>
      <vt:variant>
        <vt:i4>2616</vt:i4>
      </vt:variant>
      <vt:variant>
        <vt:i4>0</vt:i4>
      </vt:variant>
      <vt:variant>
        <vt:i4>5</vt:i4>
      </vt:variant>
      <vt:variant>
        <vt:lpwstr/>
      </vt:variant>
      <vt:variant>
        <vt:lpwstr>_ENREF_94</vt:lpwstr>
      </vt:variant>
      <vt:variant>
        <vt:i4>4390923</vt:i4>
      </vt:variant>
      <vt:variant>
        <vt:i4>2610</vt:i4>
      </vt:variant>
      <vt:variant>
        <vt:i4>0</vt:i4>
      </vt:variant>
      <vt:variant>
        <vt:i4>5</vt:i4>
      </vt:variant>
      <vt:variant>
        <vt:lpwstr/>
      </vt:variant>
      <vt:variant>
        <vt:lpwstr>_ENREF_20</vt:lpwstr>
      </vt:variant>
      <vt:variant>
        <vt:i4>4718603</vt:i4>
      </vt:variant>
      <vt:variant>
        <vt:i4>2604</vt:i4>
      </vt:variant>
      <vt:variant>
        <vt:i4>0</vt:i4>
      </vt:variant>
      <vt:variant>
        <vt:i4>5</vt:i4>
      </vt:variant>
      <vt:variant>
        <vt:lpwstr/>
      </vt:variant>
      <vt:variant>
        <vt:lpwstr>_ENREF_93</vt:lpwstr>
      </vt:variant>
      <vt:variant>
        <vt:i4>4325387</vt:i4>
      </vt:variant>
      <vt:variant>
        <vt:i4>2600</vt:i4>
      </vt:variant>
      <vt:variant>
        <vt:i4>0</vt:i4>
      </vt:variant>
      <vt:variant>
        <vt:i4>5</vt:i4>
      </vt:variant>
      <vt:variant>
        <vt:lpwstr/>
      </vt:variant>
      <vt:variant>
        <vt:lpwstr>_ENREF_32</vt:lpwstr>
      </vt:variant>
      <vt:variant>
        <vt:i4>4194315</vt:i4>
      </vt:variant>
      <vt:variant>
        <vt:i4>2597</vt:i4>
      </vt:variant>
      <vt:variant>
        <vt:i4>0</vt:i4>
      </vt:variant>
      <vt:variant>
        <vt:i4>5</vt:i4>
      </vt:variant>
      <vt:variant>
        <vt:lpwstr/>
      </vt:variant>
      <vt:variant>
        <vt:lpwstr>_ENREF_10</vt:lpwstr>
      </vt:variant>
      <vt:variant>
        <vt:i4>4718603</vt:i4>
      </vt:variant>
      <vt:variant>
        <vt:i4>2587</vt:i4>
      </vt:variant>
      <vt:variant>
        <vt:i4>0</vt:i4>
      </vt:variant>
      <vt:variant>
        <vt:i4>5</vt:i4>
      </vt:variant>
      <vt:variant>
        <vt:lpwstr/>
      </vt:variant>
      <vt:variant>
        <vt:lpwstr>_ENREF_92</vt:lpwstr>
      </vt:variant>
      <vt:variant>
        <vt:i4>4718603</vt:i4>
      </vt:variant>
      <vt:variant>
        <vt:i4>2579</vt:i4>
      </vt:variant>
      <vt:variant>
        <vt:i4>0</vt:i4>
      </vt:variant>
      <vt:variant>
        <vt:i4>5</vt:i4>
      </vt:variant>
      <vt:variant>
        <vt:lpwstr/>
      </vt:variant>
      <vt:variant>
        <vt:lpwstr>_ENREF_91</vt:lpwstr>
      </vt:variant>
      <vt:variant>
        <vt:i4>4718603</vt:i4>
      </vt:variant>
      <vt:variant>
        <vt:i4>2573</vt:i4>
      </vt:variant>
      <vt:variant>
        <vt:i4>0</vt:i4>
      </vt:variant>
      <vt:variant>
        <vt:i4>5</vt:i4>
      </vt:variant>
      <vt:variant>
        <vt:lpwstr/>
      </vt:variant>
      <vt:variant>
        <vt:lpwstr>_ENREF_90</vt:lpwstr>
      </vt:variant>
      <vt:variant>
        <vt:i4>4784139</vt:i4>
      </vt:variant>
      <vt:variant>
        <vt:i4>2567</vt:i4>
      </vt:variant>
      <vt:variant>
        <vt:i4>0</vt:i4>
      </vt:variant>
      <vt:variant>
        <vt:i4>5</vt:i4>
      </vt:variant>
      <vt:variant>
        <vt:lpwstr/>
      </vt:variant>
      <vt:variant>
        <vt:lpwstr>_ENREF_89</vt:lpwstr>
      </vt:variant>
      <vt:variant>
        <vt:i4>4718603</vt:i4>
      </vt:variant>
      <vt:variant>
        <vt:i4>2563</vt:i4>
      </vt:variant>
      <vt:variant>
        <vt:i4>0</vt:i4>
      </vt:variant>
      <vt:variant>
        <vt:i4>5</vt:i4>
      </vt:variant>
      <vt:variant>
        <vt:lpwstr/>
      </vt:variant>
      <vt:variant>
        <vt:lpwstr>_ENREF_90</vt:lpwstr>
      </vt:variant>
      <vt:variant>
        <vt:i4>4784139</vt:i4>
      </vt:variant>
      <vt:variant>
        <vt:i4>2560</vt:i4>
      </vt:variant>
      <vt:variant>
        <vt:i4>0</vt:i4>
      </vt:variant>
      <vt:variant>
        <vt:i4>5</vt:i4>
      </vt:variant>
      <vt:variant>
        <vt:lpwstr/>
      </vt:variant>
      <vt:variant>
        <vt:lpwstr>_ENREF_89</vt:lpwstr>
      </vt:variant>
      <vt:variant>
        <vt:i4>4521995</vt:i4>
      </vt:variant>
      <vt:variant>
        <vt:i4>2538</vt:i4>
      </vt:variant>
      <vt:variant>
        <vt:i4>0</vt:i4>
      </vt:variant>
      <vt:variant>
        <vt:i4>5</vt:i4>
      </vt:variant>
      <vt:variant>
        <vt:lpwstr/>
      </vt:variant>
      <vt:variant>
        <vt:lpwstr>_ENREF_43</vt:lpwstr>
      </vt:variant>
      <vt:variant>
        <vt:i4>4587531</vt:i4>
      </vt:variant>
      <vt:variant>
        <vt:i4>2532</vt:i4>
      </vt:variant>
      <vt:variant>
        <vt:i4>0</vt:i4>
      </vt:variant>
      <vt:variant>
        <vt:i4>5</vt:i4>
      </vt:variant>
      <vt:variant>
        <vt:lpwstr/>
      </vt:variant>
      <vt:variant>
        <vt:lpwstr>_ENREF_74</vt:lpwstr>
      </vt:variant>
      <vt:variant>
        <vt:i4>4521995</vt:i4>
      </vt:variant>
      <vt:variant>
        <vt:i4>2526</vt:i4>
      </vt:variant>
      <vt:variant>
        <vt:i4>0</vt:i4>
      </vt:variant>
      <vt:variant>
        <vt:i4>5</vt:i4>
      </vt:variant>
      <vt:variant>
        <vt:lpwstr/>
      </vt:variant>
      <vt:variant>
        <vt:lpwstr>_ENREF_43</vt:lpwstr>
      </vt:variant>
      <vt:variant>
        <vt:i4>4587531</vt:i4>
      </vt:variant>
      <vt:variant>
        <vt:i4>2520</vt:i4>
      </vt:variant>
      <vt:variant>
        <vt:i4>0</vt:i4>
      </vt:variant>
      <vt:variant>
        <vt:i4>5</vt:i4>
      </vt:variant>
      <vt:variant>
        <vt:lpwstr/>
      </vt:variant>
      <vt:variant>
        <vt:lpwstr>_ENREF_73</vt:lpwstr>
      </vt:variant>
      <vt:variant>
        <vt:i4>4784139</vt:i4>
      </vt:variant>
      <vt:variant>
        <vt:i4>2514</vt:i4>
      </vt:variant>
      <vt:variant>
        <vt:i4>0</vt:i4>
      </vt:variant>
      <vt:variant>
        <vt:i4>5</vt:i4>
      </vt:variant>
      <vt:variant>
        <vt:lpwstr/>
      </vt:variant>
      <vt:variant>
        <vt:lpwstr>_ENREF_88</vt:lpwstr>
      </vt:variant>
      <vt:variant>
        <vt:i4>4587531</vt:i4>
      </vt:variant>
      <vt:variant>
        <vt:i4>2508</vt:i4>
      </vt:variant>
      <vt:variant>
        <vt:i4>0</vt:i4>
      </vt:variant>
      <vt:variant>
        <vt:i4>5</vt:i4>
      </vt:variant>
      <vt:variant>
        <vt:lpwstr/>
      </vt:variant>
      <vt:variant>
        <vt:lpwstr>_ENREF_71</vt:lpwstr>
      </vt:variant>
      <vt:variant>
        <vt:i4>4456459</vt:i4>
      </vt:variant>
      <vt:variant>
        <vt:i4>2502</vt:i4>
      </vt:variant>
      <vt:variant>
        <vt:i4>0</vt:i4>
      </vt:variant>
      <vt:variant>
        <vt:i4>5</vt:i4>
      </vt:variant>
      <vt:variant>
        <vt:lpwstr/>
      </vt:variant>
      <vt:variant>
        <vt:lpwstr>_ENREF_54</vt:lpwstr>
      </vt:variant>
      <vt:variant>
        <vt:i4>4456459</vt:i4>
      </vt:variant>
      <vt:variant>
        <vt:i4>2496</vt:i4>
      </vt:variant>
      <vt:variant>
        <vt:i4>0</vt:i4>
      </vt:variant>
      <vt:variant>
        <vt:i4>5</vt:i4>
      </vt:variant>
      <vt:variant>
        <vt:lpwstr/>
      </vt:variant>
      <vt:variant>
        <vt:lpwstr>_ENREF_54</vt:lpwstr>
      </vt:variant>
      <vt:variant>
        <vt:i4>4456459</vt:i4>
      </vt:variant>
      <vt:variant>
        <vt:i4>2490</vt:i4>
      </vt:variant>
      <vt:variant>
        <vt:i4>0</vt:i4>
      </vt:variant>
      <vt:variant>
        <vt:i4>5</vt:i4>
      </vt:variant>
      <vt:variant>
        <vt:lpwstr/>
      </vt:variant>
      <vt:variant>
        <vt:lpwstr>_ENREF_55</vt:lpwstr>
      </vt:variant>
      <vt:variant>
        <vt:i4>4653067</vt:i4>
      </vt:variant>
      <vt:variant>
        <vt:i4>2484</vt:i4>
      </vt:variant>
      <vt:variant>
        <vt:i4>0</vt:i4>
      </vt:variant>
      <vt:variant>
        <vt:i4>5</vt:i4>
      </vt:variant>
      <vt:variant>
        <vt:lpwstr/>
      </vt:variant>
      <vt:variant>
        <vt:lpwstr>_ENREF_67</vt:lpwstr>
      </vt:variant>
      <vt:variant>
        <vt:i4>4456459</vt:i4>
      </vt:variant>
      <vt:variant>
        <vt:i4>2480</vt:i4>
      </vt:variant>
      <vt:variant>
        <vt:i4>0</vt:i4>
      </vt:variant>
      <vt:variant>
        <vt:i4>5</vt:i4>
      </vt:variant>
      <vt:variant>
        <vt:lpwstr/>
      </vt:variant>
      <vt:variant>
        <vt:lpwstr>_ENREF_55</vt:lpwstr>
      </vt:variant>
      <vt:variant>
        <vt:i4>4456459</vt:i4>
      </vt:variant>
      <vt:variant>
        <vt:i4>2477</vt:i4>
      </vt:variant>
      <vt:variant>
        <vt:i4>0</vt:i4>
      </vt:variant>
      <vt:variant>
        <vt:i4>5</vt:i4>
      </vt:variant>
      <vt:variant>
        <vt:lpwstr/>
      </vt:variant>
      <vt:variant>
        <vt:lpwstr>_ENREF_54</vt:lpwstr>
      </vt:variant>
      <vt:variant>
        <vt:i4>4784139</vt:i4>
      </vt:variant>
      <vt:variant>
        <vt:i4>2471</vt:i4>
      </vt:variant>
      <vt:variant>
        <vt:i4>0</vt:i4>
      </vt:variant>
      <vt:variant>
        <vt:i4>5</vt:i4>
      </vt:variant>
      <vt:variant>
        <vt:lpwstr/>
      </vt:variant>
      <vt:variant>
        <vt:lpwstr>_ENREF_87</vt:lpwstr>
      </vt:variant>
      <vt:variant>
        <vt:i4>4653067</vt:i4>
      </vt:variant>
      <vt:variant>
        <vt:i4>2468</vt:i4>
      </vt:variant>
      <vt:variant>
        <vt:i4>0</vt:i4>
      </vt:variant>
      <vt:variant>
        <vt:i4>5</vt:i4>
      </vt:variant>
      <vt:variant>
        <vt:lpwstr/>
      </vt:variant>
      <vt:variant>
        <vt:lpwstr>_ENREF_67</vt:lpwstr>
      </vt:variant>
      <vt:variant>
        <vt:i4>4456459</vt:i4>
      </vt:variant>
      <vt:variant>
        <vt:i4>2458</vt:i4>
      </vt:variant>
      <vt:variant>
        <vt:i4>0</vt:i4>
      </vt:variant>
      <vt:variant>
        <vt:i4>5</vt:i4>
      </vt:variant>
      <vt:variant>
        <vt:lpwstr/>
      </vt:variant>
      <vt:variant>
        <vt:lpwstr>_ENREF_54</vt:lpwstr>
      </vt:variant>
      <vt:variant>
        <vt:i4>4456459</vt:i4>
      </vt:variant>
      <vt:variant>
        <vt:i4>2452</vt:i4>
      </vt:variant>
      <vt:variant>
        <vt:i4>0</vt:i4>
      </vt:variant>
      <vt:variant>
        <vt:i4>5</vt:i4>
      </vt:variant>
      <vt:variant>
        <vt:lpwstr/>
      </vt:variant>
      <vt:variant>
        <vt:lpwstr>_ENREF_52</vt:lpwstr>
      </vt:variant>
      <vt:variant>
        <vt:i4>4784139</vt:i4>
      </vt:variant>
      <vt:variant>
        <vt:i4>2448</vt:i4>
      </vt:variant>
      <vt:variant>
        <vt:i4>0</vt:i4>
      </vt:variant>
      <vt:variant>
        <vt:i4>5</vt:i4>
      </vt:variant>
      <vt:variant>
        <vt:lpwstr/>
      </vt:variant>
      <vt:variant>
        <vt:lpwstr>_ENREF_86</vt:lpwstr>
      </vt:variant>
      <vt:variant>
        <vt:i4>4784139</vt:i4>
      </vt:variant>
      <vt:variant>
        <vt:i4>2445</vt:i4>
      </vt:variant>
      <vt:variant>
        <vt:i4>0</vt:i4>
      </vt:variant>
      <vt:variant>
        <vt:i4>5</vt:i4>
      </vt:variant>
      <vt:variant>
        <vt:lpwstr/>
      </vt:variant>
      <vt:variant>
        <vt:lpwstr>_ENREF_85</vt:lpwstr>
      </vt:variant>
      <vt:variant>
        <vt:i4>4456459</vt:i4>
      </vt:variant>
      <vt:variant>
        <vt:i4>2435</vt:i4>
      </vt:variant>
      <vt:variant>
        <vt:i4>0</vt:i4>
      </vt:variant>
      <vt:variant>
        <vt:i4>5</vt:i4>
      </vt:variant>
      <vt:variant>
        <vt:lpwstr/>
      </vt:variant>
      <vt:variant>
        <vt:lpwstr>_ENREF_53</vt:lpwstr>
      </vt:variant>
      <vt:variant>
        <vt:i4>4653067</vt:i4>
      </vt:variant>
      <vt:variant>
        <vt:i4>2431</vt:i4>
      </vt:variant>
      <vt:variant>
        <vt:i4>0</vt:i4>
      </vt:variant>
      <vt:variant>
        <vt:i4>5</vt:i4>
      </vt:variant>
      <vt:variant>
        <vt:lpwstr/>
      </vt:variant>
      <vt:variant>
        <vt:lpwstr>_ENREF_63</vt:lpwstr>
      </vt:variant>
      <vt:variant>
        <vt:i4>4653067</vt:i4>
      </vt:variant>
      <vt:variant>
        <vt:i4>2428</vt:i4>
      </vt:variant>
      <vt:variant>
        <vt:i4>0</vt:i4>
      </vt:variant>
      <vt:variant>
        <vt:i4>5</vt:i4>
      </vt:variant>
      <vt:variant>
        <vt:lpwstr/>
      </vt:variant>
      <vt:variant>
        <vt:lpwstr>_ENREF_62</vt:lpwstr>
      </vt:variant>
      <vt:variant>
        <vt:i4>4653067</vt:i4>
      </vt:variant>
      <vt:variant>
        <vt:i4>2418</vt:i4>
      </vt:variant>
      <vt:variant>
        <vt:i4>0</vt:i4>
      </vt:variant>
      <vt:variant>
        <vt:i4>5</vt:i4>
      </vt:variant>
      <vt:variant>
        <vt:lpwstr/>
      </vt:variant>
      <vt:variant>
        <vt:lpwstr>_ENREF_67</vt:lpwstr>
      </vt:variant>
      <vt:variant>
        <vt:i4>4653067</vt:i4>
      </vt:variant>
      <vt:variant>
        <vt:i4>2414</vt:i4>
      </vt:variant>
      <vt:variant>
        <vt:i4>0</vt:i4>
      </vt:variant>
      <vt:variant>
        <vt:i4>5</vt:i4>
      </vt:variant>
      <vt:variant>
        <vt:lpwstr/>
      </vt:variant>
      <vt:variant>
        <vt:lpwstr>_ENREF_67</vt:lpwstr>
      </vt:variant>
      <vt:variant>
        <vt:i4>4653067</vt:i4>
      </vt:variant>
      <vt:variant>
        <vt:i4>2411</vt:i4>
      </vt:variant>
      <vt:variant>
        <vt:i4>0</vt:i4>
      </vt:variant>
      <vt:variant>
        <vt:i4>5</vt:i4>
      </vt:variant>
      <vt:variant>
        <vt:lpwstr/>
      </vt:variant>
      <vt:variant>
        <vt:lpwstr>_ENREF_63</vt:lpwstr>
      </vt:variant>
      <vt:variant>
        <vt:i4>4653067</vt:i4>
      </vt:variant>
      <vt:variant>
        <vt:i4>2408</vt:i4>
      </vt:variant>
      <vt:variant>
        <vt:i4>0</vt:i4>
      </vt:variant>
      <vt:variant>
        <vt:i4>5</vt:i4>
      </vt:variant>
      <vt:variant>
        <vt:lpwstr/>
      </vt:variant>
      <vt:variant>
        <vt:lpwstr>_ENREF_62</vt:lpwstr>
      </vt:variant>
      <vt:variant>
        <vt:i4>4784139</vt:i4>
      </vt:variant>
      <vt:variant>
        <vt:i4>2400</vt:i4>
      </vt:variant>
      <vt:variant>
        <vt:i4>0</vt:i4>
      </vt:variant>
      <vt:variant>
        <vt:i4>5</vt:i4>
      </vt:variant>
      <vt:variant>
        <vt:lpwstr/>
      </vt:variant>
      <vt:variant>
        <vt:lpwstr>_ENREF_85</vt:lpwstr>
      </vt:variant>
      <vt:variant>
        <vt:i4>4653067</vt:i4>
      </vt:variant>
      <vt:variant>
        <vt:i4>2397</vt:i4>
      </vt:variant>
      <vt:variant>
        <vt:i4>0</vt:i4>
      </vt:variant>
      <vt:variant>
        <vt:i4>5</vt:i4>
      </vt:variant>
      <vt:variant>
        <vt:lpwstr/>
      </vt:variant>
      <vt:variant>
        <vt:lpwstr>_ENREF_67</vt:lpwstr>
      </vt:variant>
      <vt:variant>
        <vt:i4>4653067</vt:i4>
      </vt:variant>
      <vt:variant>
        <vt:i4>2387</vt:i4>
      </vt:variant>
      <vt:variant>
        <vt:i4>0</vt:i4>
      </vt:variant>
      <vt:variant>
        <vt:i4>5</vt:i4>
      </vt:variant>
      <vt:variant>
        <vt:lpwstr/>
      </vt:variant>
      <vt:variant>
        <vt:lpwstr>_ENREF_67</vt:lpwstr>
      </vt:variant>
      <vt:variant>
        <vt:i4>4456459</vt:i4>
      </vt:variant>
      <vt:variant>
        <vt:i4>2381</vt:i4>
      </vt:variant>
      <vt:variant>
        <vt:i4>0</vt:i4>
      </vt:variant>
      <vt:variant>
        <vt:i4>5</vt:i4>
      </vt:variant>
      <vt:variant>
        <vt:lpwstr/>
      </vt:variant>
      <vt:variant>
        <vt:lpwstr>_ENREF_54</vt:lpwstr>
      </vt:variant>
      <vt:variant>
        <vt:i4>4784139</vt:i4>
      </vt:variant>
      <vt:variant>
        <vt:i4>2375</vt:i4>
      </vt:variant>
      <vt:variant>
        <vt:i4>0</vt:i4>
      </vt:variant>
      <vt:variant>
        <vt:i4>5</vt:i4>
      </vt:variant>
      <vt:variant>
        <vt:lpwstr/>
      </vt:variant>
      <vt:variant>
        <vt:lpwstr>_ENREF_84</vt:lpwstr>
      </vt:variant>
      <vt:variant>
        <vt:i4>4784139</vt:i4>
      </vt:variant>
      <vt:variant>
        <vt:i4>2369</vt:i4>
      </vt:variant>
      <vt:variant>
        <vt:i4>0</vt:i4>
      </vt:variant>
      <vt:variant>
        <vt:i4>5</vt:i4>
      </vt:variant>
      <vt:variant>
        <vt:lpwstr/>
      </vt:variant>
      <vt:variant>
        <vt:lpwstr>_ENREF_83</vt:lpwstr>
      </vt:variant>
      <vt:variant>
        <vt:i4>4456459</vt:i4>
      </vt:variant>
      <vt:variant>
        <vt:i4>2363</vt:i4>
      </vt:variant>
      <vt:variant>
        <vt:i4>0</vt:i4>
      </vt:variant>
      <vt:variant>
        <vt:i4>5</vt:i4>
      </vt:variant>
      <vt:variant>
        <vt:lpwstr/>
      </vt:variant>
      <vt:variant>
        <vt:lpwstr>_ENREF_53</vt:lpwstr>
      </vt:variant>
      <vt:variant>
        <vt:i4>4194315</vt:i4>
      </vt:variant>
      <vt:variant>
        <vt:i4>2357</vt:i4>
      </vt:variant>
      <vt:variant>
        <vt:i4>0</vt:i4>
      </vt:variant>
      <vt:variant>
        <vt:i4>5</vt:i4>
      </vt:variant>
      <vt:variant>
        <vt:lpwstr/>
      </vt:variant>
      <vt:variant>
        <vt:lpwstr>_ENREF_19</vt:lpwstr>
      </vt:variant>
      <vt:variant>
        <vt:i4>4325387</vt:i4>
      </vt:variant>
      <vt:variant>
        <vt:i4>2351</vt:i4>
      </vt:variant>
      <vt:variant>
        <vt:i4>0</vt:i4>
      </vt:variant>
      <vt:variant>
        <vt:i4>5</vt:i4>
      </vt:variant>
      <vt:variant>
        <vt:lpwstr/>
      </vt:variant>
      <vt:variant>
        <vt:lpwstr>_ENREF_32</vt:lpwstr>
      </vt:variant>
      <vt:variant>
        <vt:i4>4784139</vt:i4>
      </vt:variant>
      <vt:variant>
        <vt:i4>2345</vt:i4>
      </vt:variant>
      <vt:variant>
        <vt:i4>0</vt:i4>
      </vt:variant>
      <vt:variant>
        <vt:i4>5</vt:i4>
      </vt:variant>
      <vt:variant>
        <vt:lpwstr/>
      </vt:variant>
      <vt:variant>
        <vt:lpwstr>_ENREF_82</vt:lpwstr>
      </vt:variant>
      <vt:variant>
        <vt:i4>4194315</vt:i4>
      </vt:variant>
      <vt:variant>
        <vt:i4>2339</vt:i4>
      </vt:variant>
      <vt:variant>
        <vt:i4>0</vt:i4>
      </vt:variant>
      <vt:variant>
        <vt:i4>5</vt:i4>
      </vt:variant>
      <vt:variant>
        <vt:lpwstr/>
      </vt:variant>
      <vt:variant>
        <vt:lpwstr>_ENREF_1</vt:lpwstr>
      </vt:variant>
      <vt:variant>
        <vt:i4>4194315</vt:i4>
      </vt:variant>
      <vt:variant>
        <vt:i4>2333</vt:i4>
      </vt:variant>
      <vt:variant>
        <vt:i4>0</vt:i4>
      </vt:variant>
      <vt:variant>
        <vt:i4>5</vt:i4>
      </vt:variant>
      <vt:variant>
        <vt:lpwstr/>
      </vt:variant>
      <vt:variant>
        <vt:lpwstr>_ENREF_1</vt:lpwstr>
      </vt:variant>
      <vt:variant>
        <vt:i4>4784139</vt:i4>
      </vt:variant>
      <vt:variant>
        <vt:i4>2327</vt:i4>
      </vt:variant>
      <vt:variant>
        <vt:i4>0</vt:i4>
      </vt:variant>
      <vt:variant>
        <vt:i4>5</vt:i4>
      </vt:variant>
      <vt:variant>
        <vt:lpwstr/>
      </vt:variant>
      <vt:variant>
        <vt:lpwstr>_ENREF_81</vt:lpwstr>
      </vt:variant>
      <vt:variant>
        <vt:i4>4784139</vt:i4>
      </vt:variant>
      <vt:variant>
        <vt:i4>2321</vt:i4>
      </vt:variant>
      <vt:variant>
        <vt:i4>0</vt:i4>
      </vt:variant>
      <vt:variant>
        <vt:i4>5</vt:i4>
      </vt:variant>
      <vt:variant>
        <vt:lpwstr/>
      </vt:variant>
      <vt:variant>
        <vt:lpwstr>_ENREF_80</vt:lpwstr>
      </vt:variant>
      <vt:variant>
        <vt:i4>4587531</vt:i4>
      </vt:variant>
      <vt:variant>
        <vt:i4>2313</vt:i4>
      </vt:variant>
      <vt:variant>
        <vt:i4>0</vt:i4>
      </vt:variant>
      <vt:variant>
        <vt:i4>5</vt:i4>
      </vt:variant>
      <vt:variant>
        <vt:lpwstr/>
      </vt:variant>
      <vt:variant>
        <vt:lpwstr>_ENREF_77</vt:lpwstr>
      </vt:variant>
      <vt:variant>
        <vt:i4>4325387</vt:i4>
      </vt:variant>
      <vt:variant>
        <vt:i4>2307</vt:i4>
      </vt:variant>
      <vt:variant>
        <vt:i4>0</vt:i4>
      </vt:variant>
      <vt:variant>
        <vt:i4>5</vt:i4>
      </vt:variant>
      <vt:variant>
        <vt:lpwstr/>
      </vt:variant>
      <vt:variant>
        <vt:lpwstr>_ENREF_32</vt:lpwstr>
      </vt:variant>
      <vt:variant>
        <vt:i4>4194315</vt:i4>
      </vt:variant>
      <vt:variant>
        <vt:i4>2301</vt:i4>
      </vt:variant>
      <vt:variant>
        <vt:i4>0</vt:i4>
      </vt:variant>
      <vt:variant>
        <vt:i4>5</vt:i4>
      </vt:variant>
      <vt:variant>
        <vt:lpwstr/>
      </vt:variant>
      <vt:variant>
        <vt:lpwstr>_ENREF_1</vt:lpwstr>
      </vt:variant>
      <vt:variant>
        <vt:i4>4325387</vt:i4>
      </vt:variant>
      <vt:variant>
        <vt:i4>2297</vt:i4>
      </vt:variant>
      <vt:variant>
        <vt:i4>0</vt:i4>
      </vt:variant>
      <vt:variant>
        <vt:i4>5</vt:i4>
      </vt:variant>
      <vt:variant>
        <vt:lpwstr/>
      </vt:variant>
      <vt:variant>
        <vt:lpwstr>_ENREF_34</vt:lpwstr>
      </vt:variant>
      <vt:variant>
        <vt:i4>4325387</vt:i4>
      </vt:variant>
      <vt:variant>
        <vt:i4>2294</vt:i4>
      </vt:variant>
      <vt:variant>
        <vt:i4>0</vt:i4>
      </vt:variant>
      <vt:variant>
        <vt:i4>5</vt:i4>
      </vt:variant>
      <vt:variant>
        <vt:lpwstr/>
      </vt:variant>
      <vt:variant>
        <vt:lpwstr>_ENREF_32</vt:lpwstr>
      </vt:variant>
      <vt:variant>
        <vt:i4>4194315</vt:i4>
      </vt:variant>
      <vt:variant>
        <vt:i4>2291</vt:i4>
      </vt:variant>
      <vt:variant>
        <vt:i4>0</vt:i4>
      </vt:variant>
      <vt:variant>
        <vt:i4>5</vt:i4>
      </vt:variant>
      <vt:variant>
        <vt:lpwstr/>
      </vt:variant>
      <vt:variant>
        <vt:lpwstr>_ENREF_10</vt:lpwstr>
      </vt:variant>
      <vt:variant>
        <vt:i4>4521995</vt:i4>
      </vt:variant>
      <vt:variant>
        <vt:i4>2281</vt:i4>
      </vt:variant>
      <vt:variant>
        <vt:i4>0</vt:i4>
      </vt:variant>
      <vt:variant>
        <vt:i4>5</vt:i4>
      </vt:variant>
      <vt:variant>
        <vt:lpwstr/>
      </vt:variant>
      <vt:variant>
        <vt:lpwstr>_ENREF_43</vt:lpwstr>
      </vt:variant>
      <vt:variant>
        <vt:i4>4587531</vt:i4>
      </vt:variant>
      <vt:variant>
        <vt:i4>2263</vt:i4>
      </vt:variant>
      <vt:variant>
        <vt:i4>0</vt:i4>
      </vt:variant>
      <vt:variant>
        <vt:i4>5</vt:i4>
      </vt:variant>
      <vt:variant>
        <vt:lpwstr/>
      </vt:variant>
      <vt:variant>
        <vt:lpwstr>_ENREF_76</vt:lpwstr>
      </vt:variant>
      <vt:variant>
        <vt:i4>4587531</vt:i4>
      </vt:variant>
      <vt:variant>
        <vt:i4>2257</vt:i4>
      </vt:variant>
      <vt:variant>
        <vt:i4>0</vt:i4>
      </vt:variant>
      <vt:variant>
        <vt:i4>5</vt:i4>
      </vt:variant>
      <vt:variant>
        <vt:lpwstr/>
      </vt:variant>
      <vt:variant>
        <vt:lpwstr>_ENREF_75</vt:lpwstr>
      </vt:variant>
      <vt:variant>
        <vt:i4>4587531</vt:i4>
      </vt:variant>
      <vt:variant>
        <vt:i4>2251</vt:i4>
      </vt:variant>
      <vt:variant>
        <vt:i4>0</vt:i4>
      </vt:variant>
      <vt:variant>
        <vt:i4>5</vt:i4>
      </vt:variant>
      <vt:variant>
        <vt:lpwstr/>
      </vt:variant>
      <vt:variant>
        <vt:lpwstr>_ENREF_74</vt:lpwstr>
      </vt:variant>
      <vt:variant>
        <vt:i4>4587531</vt:i4>
      </vt:variant>
      <vt:variant>
        <vt:i4>2245</vt:i4>
      </vt:variant>
      <vt:variant>
        <vt:i4>0</vt:i4>
      </vt:variant>
      <vt:variant>
        <vt:i4>5</vt:i4>
      </vt:variant>
      <vt:variant>
        <vt:lpwstr/>
      </vt:variant>
      <vt:variant>
        <vt:lpwstr>_ENREF_75</vt:lpwstr>
      </vt:variant>
      <vt:variant>
        <vt:i4>4587531</vt:i4>
      </vt:variant>
      <vt:variant>
        <vt:i4>2239</vt:i4>
      </vt:variant>
      <vt:variant>
        <vt:i4>0</vt:i4>
      </vt:variant>
      <vt:variant>
        <vt:i4>5</vt:i4>
      </vt:variant>
      <vt:variant>
        <vt:lpwstr/>
      </vt:variant>
      <vt:variant>
        <vt:lpwstr>_ENREF_74</vt:lpwstr>
      </vt:variant>
      <vt:variant>
        <vt:i4>4587531</vt:i4>
      </vt:variant>
      <vt:variant>
        <vt:i4>2233</vt:i4>
      </vt:variant>
      <vt:variant>
        <vt:i4>0</vt:i4>
      </vt:variant>
      <vt:variant>
        <vt:i4>5</vt:i4>
      </vt:variant>
      <vt:variant>
        <vt:lpwstr/>
      </vt:variant>
      <vt:variant>
        <vt:lpwstr>_ENREF_73</vt:lpwstr>
      </vt:variant>
      <vt:variant>
        <vt:i4>4587531</vt:i4>
      </vt:variant>
      <vt:variant>
        <vt:i4>2227</vt:i4>
      </vt:variant>
      <vt:variant>
        <vt:i4>0</vt:i4>
      </vt:variant>
      <vt:variant>
        <vt:i4>5</vt:i4>
      </vt:variant>
      <vt:variant>
        <vt:lpwstr/>
      </vt:variant>
      <vt:variant>
        <vt:lpwstr>_ENREF_72</vt:lpwstr>
      </vt:variant>
      <vt:variant>
        <vt:i4>4325387</vt:i4>
      </vt:variant>
      <vt:variant>
        <vt:i4>2221</vt:i4>
      </vt:variant>
      <vt:variant>
        <vt:i4>0</vt:i4>
      </vt:variant>
      <vt:variant>
        <vt:i4>5</vt:i4>
      </vt:variant>
      <vt:variant>
        <vt:lpwstr/>
      </vt:variant>
      <vt:variant>
        <vt:lpwstr>_ENREF_34</vt:lpwstr>
      </vt:variant>
      <vt:variant>
        <vt:i4>4587531</vt:i4>
      </vt:variant>
      <vt:variant>
        <vt:i4>2215</vt:i4>
      </vt:variant>
      <vt:variant>
        <vt:i4>0</vt:i4>
      </vt:variant>
      <vt:variant>
        <vt:i4>5</vt:i4>
      </vt:variant>
      <vt:variant>
        <vt:lpwstr/>
      </vt:variant>
      <vt:variant>
        <vt:lpwstr>_ENREF_71</vt:lpwstr>
      </vt:variant>
      <vt:variant>
        <vt:i4>4587531</vt:i4>
      </vt:variant>
      <vt:variant>
        <vt:i4>2209</vt:i4>
      </vt:variant>
      <vt:variant>
        <vt:i4>0</vt:i4>
      </vt:variant>
      <vt:variant>
        <vt:i4>5</vt:i4>
      </vt:variant>
      <vt:variant>
        <vt:lpwstr/>
      </vt:variant>
      <vt:variant>
        <vt:lpwstr>_ENREF_70</vt:lpwstr>
      </vt:variant>
      <vt:variant>
        <vt:i4>4653067</vt:i4>
      </vt:variant>
      <vt:variant>
        <vt:i4>2203</vt:i4>
      </vt:variant>
      <vt:variant>
        <vt:i4>0</vt:i4>
      </vt:variant>
      <vt:variant>
        <vt:i4>5</vt:i4>
      </vt:variant>
      <vt:variant>
        <vt:lpwstr/>
      </vt:variant>
      <vt:variant>
        <vt:lpwstr>_ENREF_69</vt:lpwstr>
      </vt:variant>
      <vt:variant>
        <vt:i4>4653067</vt:i4>
      </vt:variant>
      <vt:variant>
        <vt:i4>2197</vt:i4>
      </vt:variant>
      <vt:variant>
        <vt:i4>0</vt:i4>
      </vt:variant>
      <vt:variant>
        <vt:i4>5</vt:i4>
      </vt:variant>
      <vt:variant>
        <vt:lpwstr/>
      </vt:variant>
      <vt:variant>
        <vt:lpwstr>_ENREF_68</vt:lpwstr>
      </vt:variant>
      <vt:variant>
        <vt:i4>4653067</vt:i4>
      </vt:variant>
      <vt:variant>
        <vt:i4>2191</vt:i4>
      </vt:variant>
      <vt:variant>
        <vt:i4>0</vt:i4>
      </vt:variant>
      <vt:variant>
        <vt:i4>5</vt:i4>
      </vt:variant>
      <vt:variant>
        <vt:lpwstr/>
      </vt:variant>
      <vt:variant>
        <vt:lpwstr>_ENREF_67</vt:lpwstr>
      </vt:variant>
      <vt:variant>
        <vt:i4>4653067</vt:i4>
      </vt:variant>
      <vt:variant>
        <vt:i4>2187</vt:i4>
      </vt:variant>
      <vt:variant>
        <vt:i4>0</vt:i4>
      </vt:variant>
      <vt:variant>
        <vt:i4>5</vt:i4>
      </vt:variant>
      <vt:variant>
        <vt:lpwstr/>
      </vt:variant>
      <vt:variant>
        <vt:lpwstr>_ENREF_66</vt:lpwstr>
      </vt:variant>
      <vt:variant>
        <vt:i4>4653067</vt:i4>
      </vt:variant>
      <vt:variant>
        <vt:i4>2184</vt:i4>
      </vt:variant>
      <vt:variant>
        <vt:i4>0</vt:i4>
      </vt:variant>
      <vt:variant>
        <vt:i4>5</vt:i4>
      </vt:variant>
      <vt:variant>
        <vt:lpwstr/>
      </vt:variant>
      <vt:variant>
        <vt:lpwstr>_ENREF_65</vt:lpwstr>
      </vt:variant>
      <vt:variant>
        <vt:i4>4653067</vt:i4>
      </vt:variant>
      <vt:variant>
        <vt:i4>2176</vt:i4>
      </vt:variant>
      <vt:variant>
        <vt:i4>0</vt:i4>
      </vt:variant>
      <vt:variant>
        <vt:i4>5</vt:i4>
      </vt:variant>
      <vt:variant>
        <vt:lpwstr/>
      </vt:variant>
      <vt:variant>
        <vt:lpwstr>_ENREF_64</vt:lpwstr>
      </vt:variant>
      <vt:variant>
        <vt:i4>4456459</vt:i4>
      </vt:variant>
      <vt:variant>
        <vt:i4>2173</vt:i4>
      </vt:variant>
      <vt:variant>
        <vt:i4>0</vt:i4>
      </vt:variant>
      <vt:variant>
        <vt:i4>5</vt:i4>
      </vt:variant>
      <vt:variant>
        <vt:lpwstr/>
      </vt:variant>
      <vt:variant>
        <vt:lpwstr>_ENREF_59</vt:lpwstr>
      </vt:variant>
      <vt:variant>
        <vt:i4>4653067</vt:i4>
      </vt:variant>
      <vt:variant>
        <vt:i4>2165</vt:i4>
      </vt:variant>
      <vt:variant>
        <vt:i4>0</vt:i4>
      </vt:variant>
      <vt:variant>
        <vt:i4>5</vt:i4>
      </vt:variant>
      <vt:variant>
        <vt:lpwstr/>
      </vt:variant>
      <vt:variant>
        <vt:lpwstr>_ENREF_63</vt:lpwstr>
      </vt:variant>
      <vt:variant>
        <vt:i4>4653067</vt:i4>
      </vt:variant>
      <vt:variant>
        <vt:i4>2162</vt:i4>
      </vt:variant>
      <vt:variant>
        <vt:i4>0</vt:i4>
      </vt:variant>
      <vt:variant>
        <vt:i4>5</vt:i4>
      </vt:variant>
      <vt:variant>
        <vt:lpwstr/>
      </vt:variant>
      <vt:variant>
        <vt:lpwstr>_ENREF_62</vt:lpwstr>
      </vt:variant>
      <vt:variant>
        <vt:i4>4456459</vt:i4>
      </vt:variant>
      <vt:variant>
        <vt:i4>2159</vt:i4>
      </vt:variant>
      <vt:variant>
        <vt:i4>0</vt:i4>
      </vt:variant>
      <vt:variant>
        <vt:i4>5</vt:i4>
      </vt:variant>
      <vt:variant>
        <vt:lpwstr/>
      </vt:variant>
      <vt:variant>
        <vt:lpwstr>_ENREF_58</vt:lpwstr>
      </vt:variant>
      <vt:variant>
        <vt:i4>4653067</vt:i4>
      </vt:variant>
      <vt:variant>
        <vt:i4>2151</vt:i4>
      </vt:variant>
      <vt:variant>
        <vt:i4>0</vt:i4>
      </vt:variant>
      <vt:variant>
        <vt:i4>5</vt:i4>
      </vt:variant>
      <vt:variant>
        <vt:lpwstr/>
      </vt:variant>
      <vt:variant>
        <vt:lpwstr>_ENREF_61</vt:lpwstr>
      </vt:variant>
      <vt:variant>
        <vt:i4>4653067</vt:i4>
      </vt:variant>
      <vt:variant>
        <vt:i4>2148</vt:i4>
      </vt:variant>
      <vt:variant>
        <vt:i4>0</vt:i4>
      </vt:variant>
      <vt:variant>
        <vt:i4>5</vt:i4>
      </vt:variant>
      <vt:variant>
        <vt:lpwstr/>
      </vt:variant>
      <vt:variant>
        <vt:lpwstr>_ENREF_60</vt:lpwstr>
      </vt:variant>
      <vt:variant>
        <vt:i4>4456459</vt:i4>
      </vt:variant>
      <vt:variant>
        <vt:i4>2140</vt:i4>
      </vt:variant>
      <vt:variant>
        <vt:i4>0</vt:i4>
      </vt:variant>
      <vt:variant>
        <vt:i4>5</vt:i4>
      </vt:variant>
      <vt:variant>
        <vt:lpwstr/>
      </vt:variant>
      <vt:variant>
        <vt:lpwstr>_ENREF_59</vt:lpwstr>
      </vt:variant>
      <vt:variant>
        <vt:i4>4456459</vt:i4>
      </vt:variant>
      <vt:variant>
        <vt:i4>2137</vt:i4>
      </vt:variant>
      <vt:variant>
        <vt:i4>0</vt:i4>
      </vt:variant>
      <vt:variant>
        <vt:i4>5</vt:i4>
      </vt:variant>
      <vt:variant>
        <vt:lpwstr/>
      </vt:variant>
      <vt:variant>
        <vt:lpwstr>_ENREF_58</vt:lpwstr>
      </vt:variant>
      <vt:variant>
        <vt:i4>4456459</vt:i4>
      </vt:variant>
      <vt:variant>
        <vt:i4>2127</vt:i4>
      </vt:variant>
      <vt:variant>
        <vt:i4>0</vt:i4>
      </vt:variant>
      <vt:variant>
        <vt:i4>5</vt:i4>
      </vt:variant>
      <vt:variant>
        <vt:lpwstr/>
      </vt:variant>
      <vt:variant>
        <vt:lpwstr>_ENREF_57</vt:lpwstr>
      </vt:variant>
      <vt:variant>
        <vt:i4>4325387</vt:i4>
      </vt:variant>
      <vt:variant>
        <vt:i4>2121</vt:i4>
      </vt:variant>
      <vt:variant>
        <vt:i4>0</vt:i4>
      </vt:variant>
      <vt:variant>
        <vt:i4>5</vt:i4>
      </vt:variant>
      <vt:variant>
        <vt:lpwstr/>
      </vt:variant>
      <vt:variant>
        <vt:lpwstr>_ENREF_32</vt:lpwstr>
      </vt:variant>
      <vt:variant>
        <vt:i4>4456459</vt:i4>
      </vt:variant>
      <vt:variant>
        <vt:i4>2115</vt:i4>
      </vt:variant>
      <vt:variant>
        <vt:i4>0</vt:i4>
      </vt:variant>
      <vt:variant>
        <vt:i4>5</vt:i4>
      </vt:variant>
      <vt:variant>
        <vt:lpwstr/>
      </vt:variant>
      <vt:variant>
        <vt:lpwstr>_ENREF_56</vt:lpwstr>
      </vt:variant>
      <vt:variant>
        <vt:i4>4456459</vt:i4>
      </vt:variant>
      <vt:variant>
        <vt:i4>2109</vt:i4>
      </vt:variant>
      <vt:variant>
        <vt:i4>0</vt:i4>
      </vt:variant>
      <vt:variant>
        <vt:i4>5</vt:i4>
      </vt:variant>
      <vt:variant>
        <vt:lpwstr/>
      </vt:variant>
      <vt:variant>
        <vt:lpwstr>_ENREF_56</vt:lpwstr>
      </vt:variant>
      <vt:variant>
        <vt:i4>4456459</vt:i4>
      </vt:variant>
      <vt:variant>
        <vt:i4>2103</vt:i4>
      </vt:variant>
      <vt:variant>
        <vt:i4>0</vt:i4>
      </vt:variant>
      <vt:variant>
        <vt:i4>5</vt:i4>
      </vt:variant>
      <vt:variant>
        <vt:lpwstr/>
      </vt:variant>
      <vt:variant>
        <vt:lpwstr>_ENREF_55</vt:lpwstr>
      </vt:variant>
      <vt:variant>
        <vt:i4>4456459</vt:i4>
      </vt:variant>
      <vt:variant>
        <vt:i4>2099</vt:i4>
      </vt:variant>
      <vt:variant>
        <vt:i4>0</vt:i4>
      </vt:variant>
      <vt:variant>
        <vt:i4>5</vt:i4>
      </vt:variant>
      <vt:variant>
        <vt:lpwstr/>
      </vt:variant>
      <vt:variant>
        <vt:lpwstr>_ENREF_54</vt:lpwstr>
      </vt:variant>
      <vt:variant>
        <vt:i4>4325387</vt:i4>
      </vt:variant>
      <vt:variant>
        <vt:i4>2096</vt:i4>
      </vt:variant>
      <vt:variant>
        <vt:i4>0</vt:i4>
      </vt:variant>
      <vt:variant>
        <vt:i4>5</vt:i4>
      </vt:variant>
      <vt:variant>
        <vt:lpwstr/>
      </vt:variant>
      <vt:variant>
        <vt:lpwstr>_ENREF_32</vt:lpwstr>
      </vt:variant>
      <vt:variant>
        <vt:i4>4456459</vt:i4>
      </vt:variant>
      <vt:variant>
        <vt:i4>2088</vt:i4>
      </vt:variant>
      <vt:variant>
        <vt:i4>0</vt:i4>
      </vt:variant>
      <vt:variant>
        <vt:i4>5</vt:i4>
      </vt:variant>
      <vt:variant>
        <vt:lpwstr/>
      </vt:variant>
      <vt:variant>
        <vt:lpwstr>_ENREF_53</vt:lpwstr>
      </vt:variant>
      <vt:variant>
        <vt:i4>4456459</vt:i4>
      </vt:variant>
      <vt:variant>
        <vt:i4>2082</vt:i4>
      </vt:variant>
      <vt:variant>
        <vt:i4>0</vt:i4>
      </vt:variant>
      <vt:variant>
        <vt:i4>5</vt:i4>
      </vt:variant>
      <vt:variant>
        <vt:lpwstr/>
      </vt:variant>
      <vt:variant>
        <vt:lpwstr>_ENREF_52</vt:lpwstr>
      </vt:variant>
      <vt:variant>
        <vt:i4>4194315</vt:i4>
      </vt:variant>
      <vt:variant>
        <vt:i4>2076</vt:i4>
      </vt:variant>
      <vt:variant>
        <vt:i4>0</vt:i4>
      </vt:variant>
      <vt:variant>
        <vt:i4>5</vt:i4>
      </vt:variant>
      <vt:variant>
        <vt:lpwstr/>
      </vt:variant>
      <vt:variant>
        <vt:lpwstr>_ENREF_1</vt:lpwstr>
      </vt:variant>
      <vt:variant>
        <vt:i4>4456459</vt:i4>
      </vt:variant>
      <vt:variant>
        <vt:i4>2070</vt:i4>
      </vt:variant>
      <vt:variant>
        <vt:i4>0</vt:i4>
      </vt:variant>
      <vt:variant>
        <vt:i4>5</vt:i4>
      </vt:variant>
      <vt:variant>
        <vt:lpwstr/>
      </vt:variant>
      <vt:variant>
        <vt:lpwstr>_ENREF_51</vt:lpwstr>
      </vt:variant>
      <vt:variant>
        <vt:i4>4456459</vt:i4>
      </vt:variant>
      <vt:variant>
        <vt:i4>2064</vt:i4>
      </vt:variant>
      <vt:variant>
        <vt:i4>0</vt:i4>
      </vt:variant>
      <vt:variant>
        <vt:i4>5</vt:i4>
      </vt:variant>
      <vt:variant>
        <vt:lpwstr/>
      </vt:variant>
      <vt:variant>
        <vt:lpwstr>_ENREF_50</vt:lpwstr>
      </vt:variant>
      <vt:variant>
        <vt:i4>4325387</vt:i4>
      </vt:variant>
      <vt:variant>
        <vt:i4>2058</vt:i4>
      </vt:variant>
      <vt:variant>
        <vt:i4>0</vt:i4>
      </vt:variant>
      <vt:variant>
        <vt:i4>5</vt:i4>
      </vt:variant>
      <vt:variant>
        <vt:lpwstr/>
      </vt:variant>
      <vt:variant>
        <vt:lpwstr>_ENREF_32</vt:lpwstr>
      </vt:variant>
      <vt:variant>
        <vt:i4>4521995</vt:i4>
      </vt:variant>
      <vt:variant>
        <vt:i4>2046</vt:i4>
      </vt:variant>
      <vt:variant>
        <vt:i4>0</vt:i4>
      </vt:variant>
      <vt:variant>
        <vt:i4>5</vt:i4>
      </vt:variant>
      <vt:variant>
        <vt:lpwstr/>
      </vt:variant>
      <vt:variant>
        <vt:lpwstr>_ENREF_43</vt:lpwstr>
      </vt:variant>
      <vt:variant>
        <vt:i4>4521995</vt:i4>
      </vt:variant>
      <vt:variant>
        <vt:i4>2042</vt:i4>
      </vt:variant>
      <vt:variant>
        <vt:i4>0</vt:i4>
      </vt:variant>
      <vt:variant>
        <vt:i4>5</vt:i4>
      </vt:variant>
      <vt:variant>
        <vt:lpwstr/>
      </vt:variant>
      <vt:variant>
        <vt:lpwstr>_ENREF_49</vt:lpwstr>
      </vt:variant>
      <vt:variant>
        <vt:i4>4521995</vt:i4>
      </vt:variant>
      <vt:variant>
        <vt:i4>2039</vt:i4>
      </vt:variant>
      <vt:variant>
        <vt:i4>0</vt:i4>
      </vt:variant>
      <vt:variant>
        <vt:i4>5</vt:i4>
      </vt:variant>
      <vt:variant>
        <vt:lpwstr/>
      </vt:variant>
      <vt:variant>
        <vt:lpwstr>_ENREF_48</vt:lpwstr>
      </vt:variant>
      <vt:variant>
        <vt:i4>4521995</vt:i4>
      </vt:variant>
      <vt:variant>
        <vt:i4>2031</vt:i4>
      </vt:variant>
      <vt:variant>
        <vt:i4>0</vt:i4>
      </vt:variant>
      <vt:variant>
        <vt:i4>5</vt:i4>
      </vt:variant>
      <vt:variant>
        <vt:lpwstr/>
      </vt:variant>
      <vt:variant>
        <vt:lpwstr>_ENREF_47</vt:lpwstr>
      </vt:variant>
      <vt:variant>
        <vt:i4>4521995</vt:i4>
      </vt:variant>
      <vt:variant>
        <vt:i4>2028</vt:i4>
      </vt:variant>
      <vt:variant>
        <vt:i4>0</vt:i4>
      </vt:variant>
      <vt:variant>
        <vt:i4>5</vt:i4>
      </vt:variant>
      <vt:variant>
        <vt:lpwstr/>
      </vt:variant>
      <vt:variant>
        <vt:lpwstr>_ENREF_46</vt:lpwstr>
      </vt:variant>
      <vt:variant>
        <vt:i4>4521995</vt:i4>
      </vt:variant>
      <vt:variant>
        <vt:i4>2020</vt:i4>
      </vt:variant>
      <vt:variant>
        <vt:i4>0</vt:i4>
      </vt:variant>
      <vt:variant>
        <vt:i4>5</vt:i4>
      </vt:variant>
      <vt:variant>
        <vt:lpwstr/>
      </vt:variant>
      <vt:variant>
        <vt:lpwstr>_ENREF_45</vt:lpwstr>
      </vt:variant>
      <vt:variant>
        <vt:i4>4521995</vt:i4>
      </vt:variant>
      <vt:variant>
        <vt:i4>2014</vt:i4>
      </vt:variant>
      <vt:variant>
        <vt:i4>0</vt:i4>
      </vt:variant>
      <vt:variant>
        <vt:i4>5</vt:i4>
      </vt:variant>
      <vt:variant>
        <vt:lpwstr/>
      </vt:variant>
      <vt:variant>
        <vt:lpwstr>_ENREF_44</vt:lpwstr>
      </vt:variant>
      <vt:variant>
        <vt:i4>4521995</vt:i4>
      </vt:variant>
      <vt:variant>
        <vt:i4>2008</vt:i4>
      </vt:variant>
      <vt:variant>
        <vt:i4>0</vt:i4>
      </vt:variant>
      <vt:variant>
        <vt:i4>5</vt:i4>
      </vt:variant>
      <vt:variant>
        <vt:lpwstr/>
      </vt:variant>
      <vt:variant>
        <vt:lpwstr>_ENREF_43</vt:lpwstr>
      </vt:variant>
      <vt:variant>
        <vt:i4>4521995</vt:i4>
      </vt:variant>
      <vt:variant>
        <vt:i4>2002</vt:i4>
      </vt:variant>
      <vt:variant>
        <vt:i4>0</vt:i4>
      </vt:variant>
      <vt:variant>
        <vt:i4>5</vt:i4>
      </vt:variant>
      <vt:variant>
        <vt:lpwstr/>
      </vt:variant>
      <vt:variant>
        <vt:lpwstr>_ENREF_42</vt:lpwstr>
      </vt:variant>
      <vt:variant>
        <vt:i4>4521995</vt:i4>
      </vt:variant>
      <vt:variant>
        <vt:i4>1996</vt:i4>
      </vt:variant>
      <vt:variant>
        <vt:i4>0</vt:i4>
      </vt:variant>
      <vt:variant>
        <vt:i4>5</vt:i4>
      </vt:variant>
      <vt:variant>
        <vt:lpwstr/>
      </vt:variant>
      <vt:variant>
        <vt:lpwstr>_ENREF_41</vt:lpwstr>
      </vt:variant>
      <vt:variant>
        <vt:i4>4325387</vt:i4>
      </vt:variant>
      <vt:variant>
        <vt:i4>1990</vt:i4>
      </vt:variant>
      <vt:variant>
        <vt:i4>0</vt:i4>
      </vt:variant>
      <vt:variant>
        <vt:i4>5</vt:i4>
      </vt:variant>
      <vt:variant>
        <vt:lpwstr/>
      </vt:variant>
      <vt:variant>
        <vt:lpwstr>_ENREF_36</vt:lpwstr>
      </vt:variant>
      <vt:variant>
        <vt:i4>4521995</vt:i4>
      </vt:variant>
      <vt:variant>
        <vt:i4>1984</vt:i4>
      </vt:variant>
      <vt:variant>
        <vt:i4>0</vt:i4>
      </vt:variant>
      <vt:variant>
        <vt:i4>5</vt:i4>
      </vt:variant>
      <vt:variant>
        <vt:lpwstr/>
      </vt:variant>
      <vt:variant>
        <vt:lpwstr>_ENREF_40</vt:lpwstr>
      </vt:variant>
      <vt:variant>
        <vt:i4>4325387</vt:i4>
      </vt:variant>
      <vt:variant>
        <vt:i4>1980</vt:i4>
      </vt:variant>
      <vt:variant>
        <vt:i4>0</vt:i4>
      </vt:variant>
      <vt:variant>
        <vt:i4>5</vt:i4>
      </vt:variant>
      <vt:variant>
        <vt:lpwstr/>
      </vt:variant>
      <vt:variant>
        <vt:lpwstr>_ENREF_39</vt:lpwstr>
      </vt:variant>
      <vt:variant>
        <vt:i4>4194315</vt:i4>
      </vt:variant>
      <vt:variant>
        <vt:i4>1977</vt:i4>
      </vt:variant>
      <vt:variant>
        <vt:i4>0</vt:i4>
      </vt:variant>
      <vt:variant>
        <vt:i4>5</vt:i4>
      </vt:variant>
      <vt:variant>
        <vt:lpwstr/>
      </vt:variant>
      <vt:variant>
        <vt:lpwstr>_ENREF_15</vt:lpwstr>
      </vt:variant>
      <vt:variant>
        <vt:i4>4194315</vt:i4>
      </vt:variant>
      <vt:variant>
        <vt:i4>1974</vt:i4>
      </vt:variant>
      <vt:variant>
        <vt:i4>0</vt:i4>
      </vt:variant>
      <vt:variant>
        <vt:i4>5</vt:i4>
      </vt:variant>
      <vt:variant>
        <vt:lpwstr/>
      </vt:variant>
      <vt:variant>
        <vt:lpwstr>_ENREF_13</vt:lpwstr>
      </vt:variant>
      <vt:variant>
        <vt:i4>4194315</vt:i4>
      </vt:variant>
      <vt:variant>
        <vt:i4>1971</vt:i4>
      </vt:variant>
      <vt:variant>
        <vt:i4>0</vt:i4>
      </vt:variant>
      <vt:variant>
        <vt:i4>5</vt:i4>
      </vt:variant>
      <vt:variant>
        <vt:lpwstr/>
      </vt:variant>
      <vt:variant>
        <vt:lpwstr>_ENREF_1</vt:lpwstr>
      </vt:variant>
      <vt:variant>
        <vt:i4>4194315</vt:i4>
      </vt:variant>
      <vt:variant>
        <vt:i4>1951</vt:i4>
      </vt:variant>
      <vt:variant>
        <vt:i4>0</vt:i4>
      </vt:variant>
      <vt:variant>
        <vt:i4>5</vt:i4>
      </vt:variant>
      <vt:variant>
        <vt:lpwstr/>
      </vt:variant>
      <vt:variant>
        <vt:lpwstr>_ENREF_13</vt:lpwstr>
      </vt:variant>
      <vt:variant>
        <vt:i4>4194315</vt:i4>
      </vt:variant>
      <vt:variant>
        <vt:i4>1939</vt:i4>
      </vt:variant>
      <vt:variant>
        <vt:i4>0</vt:i4>
      </vt:variant>
      <vt:variant>
        <vt:i4>5</vt:i4>
      </vt:variant>
      <vt:variant>
        <vt:lpwstr/>
      </vt:variant>
      <vt:variant>
        <vt:lpwstr>_ENREF_13</vt:lpwstr>
      </vt:variant>
      <vt:variant>
        <vt:i4>4194315</vt:i4>
      </vt:variant>
      <vt:variant>
        <vt:i4>1921</vt:i4>
      </vt:variant>
      <vt:variant>
        <vt:i4>0</vt:i4>
      </vt:variant>
      <vt:variant>
        <vt:i4>5</vt:i4>
      </vt:variant>
      <vt:variant>
        <vt:lpwstr/>
      </vt:variant>
      <vt:variant>
        <vt:lpwstr>_ENREF_17</vt:lpwstr>
      </vt:variant>
      <vt:variant>
        <vt:i4>4194315</vt:i4>
      </vt:variant>
      <vt:variant>
        <vt:i4>1909</vt:i4>
      </vt:variant>
      <vt:variant>
        <vt:i4>0</vt:i4>
      </vt:variant>
      <vt:variant>
        <vt:i4>5</vt:i4>
      </vt:variant>
      <vt:variant>
        <vt:lpwstr/>
      </vt:variant>
      <vt:variant>
        <vt:lpwstr>_ENREF_17</vt:lpwstr>
      </vt:variant>
      <vt:variant>
        <vt:i4>4325387</vt:i4>
      </vt:variant>
      <vt:variant>
        <vt:i4>1903</vt:i4>
      </vt:variant>
      <vt:variant>
        <vt:i4>0</vt:i4>
      </vt:variant>
      <vt:variant>
        <vt:i4>5</vt:i4>
      </vt:variant>
      <vt:variant>
        <vt:lpwstr/>
      </vt:variant>
      <vt:variant>
        <vt:lpwstr>_ENREF_34</vt:lpwstr>
      </vt:variant>
      <vt:variant>
        <vt:i4>4194315</vt:i4>
      </vt:variant>
      <vt:variant>
        <vt:i4>1897</vt:i4>
      </vt:variant>
      <vt:variant>
        <vt:i4>0</vt:i4>
      </vt:variant>
      <vt:variant>
        <vt:i4>5</vt:i4>
      </vt:variant>
      <vt:variant>
        <vt:lpwstr/>
      </vt:variant>
      <vt:variant>
        <vt:lpwstr>_ENREF_17</vt:lpwstr>
      </vt:variant>
      <vt:variant>
        <vt:i4>4325387</vt:i4>
      </vt:variant>
      <vt:variant>
        <vt:i4>1893</vt:i4>
      </vt:variant>
      <vt:variant>
        <vt:i4>0</vt:i4>
      </vt:variant>
      <vt:variant>
        <vt:i4>5</vt:i4>
      </vt:variant>
      <vt:variant>
        <vt:lpwstr/>
      </vt:variant>
      <vt:variant>
        <vt:lpwstr>_ENREF_38</vt:lpwstr>
      </vt:variant>
      <vt:variant>
        <vt:i4>4325387</vt:i4>
      </vt:variant>
      <vt:variant>
        <vt:i4>1890</vt:i4>
      </vt:variant>
      <vt:variant>
        <vt:i4>0</vt:i4>
      </vt:variant>
      <vt:variant>
        <vt:i4>5</vt:i4>
      </vt:variant>
      <vt:variant>
        <vt:lpwstr/>
      </vt:variant>
      <vt:variant>
        <vt:lpwstr>_ENREF_37</vt:lpwstr>
      </vt:variant>
      <vt:variant>
        <vt:i4>4194315</vt:i4>
      </vt:variant>
      <vt:variant>
        <vt:i4>1887</vt:i4>
      </vt:variant>
      <vt:variant>
        <vt:i4>0</vt:i4>
      </vt:variant>
      <vt:variant>
        <vt:i4>5</vt:i4>
      </vt:variant>
      <vt:variant>
        <vt:lpwstr/>
      </vt:variant>
      <vt:variant>
        <vt:lpwstr>_ENREF_17</vt:lpwstr>
      </vt:variant>
      <vt:variant>
        <vt:i4>4194315</vt:i4>
      </vt:variant>
      <vt:variant>
        <vt:i4>1884</vt:i4>
      </vt:variant>
      <vt:variant>
        <vt:i4>0</vt:i4>
      </vt:variant>
      <vt:variant>
        <vt:i4>5</vt:i4>
      </vt:variant>
      <vt:variant>
        <vt:lpwstr/>
      </vt:variant>
      <vt:variant>
        <vt:lpwstr>_ENREF_16</vt:lpwstr>
      </vt:variant>
      <vt:variant>
        <vt:i4>4390923</vt:i4>
      </vt:variant>
      <vt:variant>
        <vt:i4>1874</vt:i4>
      </vt:variant>
      <vt:variant>
        <vt:i4>0</vt:i4>
      </vt:variant>
      <vt:variant>
        <vt:i4>5</vt:i4>
      </vt:variant>
      <vt:variant>
        <vt:lpwstr/>
      </vt:variant>
      <vt:variant>
        <vt:lpwstr>_ENREF_29</vt:lpwstr>
      </vt:variant>
      <vt:variant>
        <vt:i4>4325387</vt:i4>
      </vt:variant>
      <vt:variant>
        <vt:i4>1868</vt:i4>
      </vt:variant>
      <vt:variant>
        <vt:i4>0</vt:i4>
      </vt:variant>
      <vt:variant>
        <vt:i4>5</vt:i4>
      </vt:variant>
      <vt:variant>
        <vt:lpwstr/>
      </vt:variant>
      <vt:variant>
        <vt:lpwstr>_ENREF_33</vt:lpwstr>
      </vt:variant>
      <vt:variant>
        <vt:i4>4194315</vt:i4>
      </vt:variant>
      <vt:variant>
        <vt:i4>1862</vt:i4>
      </vt:variant>
      <vt:variant>
        <vt:i4>0</vt:i4>
      </vt:variant>
      <vt:variant>
        <vt:i4>5</vt:i4>
      </vt:variant>
      <vt:variant>
        <vt:lpwstr/>
      </vt:variant>
      <vt:variant>
        <vt:lpwstr>_ENREF_14</vt:lpwstr>
      </vt:variant>
      <vt:variant>
        <vt:i4>4194315</vt:i4>
      </vt:variant>
      <vt:variant>
        <vt:i4>1856</vt:i4>
      </vt:variant>
      <vt:variant>
        <vt:i4>0</vt:i4>
      </vt:variant>
      <vt:variant>
        <vt:i4>5</vt:i4>
      </vt:variant>
      <vt:variant>
        <vt:lpwstr/>
      </vt:variant>
      <vt:variant>
        <vt:lpwstr>_ENREF_1</vt:lpwstr>
      </vt:variant>
      <vt:variant>
        <vt:i4>4194315</vt:i4>
      </vt:variant>
      <vt:variant>
        <vt:i4>1850</vt:i4>
      </vt:variant>
      <vt:variant>
        <vt:i4>0</vt:i4>
      </vt:variant>
      <vt:variant>
        <vt:i4>5</vt:i4>
      </vt:variant>
      <vt:variant>
        <vt:lpwstr/>
      </vt:variant>
      <vt:variant>
        <vt:lpwstr>_ENREF_1</vt:lpwstr>
      </vt:variant>
      <vt:variant>
        <vt:i4>4194315</vt:i4>
      </vt:variant>
      <vt:variant>
        <vt:i4>1844</vt:i4>
      </vt:variant>
      <vt:variant>
        <vt:i4>0</vt:i4>
      </vt:variant>
      <vt:variant>
        <vt:i4>5</vt:i4>
      </vt:variant>
      <vt:variant>
        <vt:lpwstr/>
      </vt:variant>
      <vt:variant>
        <vt:lpwstr>_ENREF_1</vt:lpwstr>
      </vt:variant>
      <vt:variant>
        <vt:i4>4325387</vt:i4>
      </vt:variant>
      <vt:variant>
        <vt:i4>1840</vt:i4>
      </vt:variant>
      <vt:variant>
        <vt:i4>0</vt:i4>
      </vt:variant>
      <vt:variant>
        <vt:i4>5</vt:i4>
      </vt:variant>
      <vt:variant>
        <vt:lpwstr/>
      </vt:variant>
      <vt:variant>
        <vt:lpwstr>_ENREF_36</vt:lpwstr>
      </vt:variant>
      <vt:variant>
        <vt:i4>4325387</vt:i4>
      </vt:variant>
      <vt:variant>
        <vt:i4>1837</vt:i4>
      </vt:variant>
      <vt:variant>
        <vt:i4>0</vt:i4>
      </vt:variant>
      <vt:variant>
        <vt:i4>5</vt:i4>
      </vt:variant>
      <vt:variant>
        <vt:lpwstr/>
      </vt:variant>
      <vt:variant>
        <vt:lpwstr>_ENREF_35</vt:lpwstr>
      </vt:variant>
      <vt:variant>
        <vt:i4>4194315</vt:i4>
      </vt:variant>
      <vt:variant>
        <vt:i4>1827</vt:i4>
      </vt:variant>
      <vt:variant>
        <vt:i4>0</vt:i4>
      </vt:variant>
      <vt:variant>
        <vt:i4>5</vt:i4>
      </vt:variant>
      <vt:variant>
        <vt:lpwstr/>
      </vt:variant>
      <vt:variant>
        <vt:lpwstr>_ENREF_19</vt:lpwstr>
      </vt:variant>
      <vt:variant>
        <vt:i4>4194315</vt:i4>
      </vt:variant>
      <vt:variant>
        <vt:i4>1821</vt:i4>
      </vt:variant>
      <vt:variant>
        <vt:i4>0</vt:i4>
      </vt:variant>
      <vt:variant>
        <vt:i4>5</vt:i4>
      </vt:variant>
      <vt:variant>
        <vt:lpwstr/>
      </vt:variant>
      <vt:variant>
        <vt:lpwstr>_ENREF_10</vt:lpwstr>
      </vt:variant>
      <vt:variant>
        <vt:i4>4325387</vt:i4>
      </vt:variant>
      <vt:variant>
        <vt:i4>1815</vt:i4>
      </vt:variant>
      <vt:variant>
        <vt:i4>0</vt:i4>
      </vt:variant>
      <vt:variant>
        <vt:i4>5</vt:i4>
      </vt:variant>
      <vt:variant>
        <vt:lpwstr/>
      </vt:variant>
      <vt:variant>
        <vt:lpwstr>_ENREF_3</vt:lpwstr>
      </vt:variant>
      <vt:variant>
        <vt:i4>4325387</vt:i4>
      </vt:variant>
      <vt:variant>
        <vt:i4>1809</vt:i4>
      </vt:variant>
      <vt:variant>
        <vt:i4>0</vt:i4>
      </vt:variant>
      <vt:variant>
        <vt:i4>5</vt:i4>
      </vt:variant>
      <vt:variant>
        <vt:lpwstr/>
      </vt:variant>
      <vt:variant>
        <vt:lpwstr>_ENREF_34</vt:lpwstr>
      </vt:variant>
      <vt:variant>
        <vt:i4>4325387</vt:i4>
      </vt:variant>
      <vt:variant>
        <vt:i4>1805</vt:i4>
      </vt:variant>
      <vt:variant>
        <vt:i4>0</vt:i4>
      </vt:variant>
      <vt:variant>
        <vt:i4>5</vt:i4>
      </vt:variant>
      <vt:variant>
        <vt:lpwstr/>
      </vt:variant>
      <vt:variant>
        <vt:lpwstr>_ENREF_33</vt:lpwstr>
      </vt:variant>
      <vt:variant>
        <vt:i4>4194315</vt:i4>
      </vt:variant>
      <vt:variant>
        <vt:i4>1802</vt:i4>
      </vt:variant>
      <vt:variant>
        <vt:i4>0</vt:i4>
      </vt:variant>
      <vt:variant>
        <vt:i4>5</vt:i4>
      </vt:variant>
      <vt:variant>
        <vt:lpwstr/>
      </vt:variant>
      <vt:variant>
        <vt:lpwstr>_ENREF_15</vt:lpwstr>
      </vt:variant>
      <vt:variant>
        <vt:i4>4194315</vt:i4>
      </vt:variant>
      <vt:variant>
        <vt:i4>1799</vt:i4>
      </vt:variant>
      <vt:variant>
        <vt:i4>0</vt:i4>
      </vt:variant>
      <vt:variant>
        <vt:i4>5</vt:i4>
      </vt:variant>
      <vt:variant>
        <vt:lpwstr/>
      </vt:variant>
      <vt:variant>
        <vt:lpwstr>_ENREF_14</vt:lpwstr>
      </vt:variant>
      <vt:variant>
        <vt:i4>4194315</vt:i4>
      </vt:variant>
      <vt:variant>
        <vt:i4>1796</vt:i4>
      </vt:variant>
      <vt:variant>
        <vt:i4>0</vt:i4>
      </vt:variant>
      <vt:variant>
        <vt:i4>5</vt:i4>
      </vt:variant>
      <vt:variant>
        <vt:lpwstr/>
      </vt:variant>
      <vt:variant>
        <vt:lpwstr>_ENREF_1</vt:lpwstr>
      </vt:variant>
      <vt:variant>
        <vt:i4>4325387</vt:i4>
      </vt:variant>
      <vt:variant>
        <vt:i4>1786</vt:i4>
      </vt:variant>
      <vt:variant>
        <vt:i4>0</vt:i4>
      </vt:variant>
      <vt:variant>
        <vt:i4>5</vt:i4>
      </vt:variant>
      <vt:variant>
        <vt:lpwstr/>
      </vt:variant>
      <vt:variant>
        <vt:lpwstr>_ENREF_32</vt:lpwstr>
      </vt:variant>
      <vt:variant>
        <vt:i4>4325387</vt:i4>
      </vt:variant>
      <vt:variant>
        <vt:i4>1782</vt:i4>
      </vt:variant>
      <vt:variant>
        <vt:i4>0</vt:i4>
      </vt:variant>
      <vt:variant>
        <vt:i4>5</vt:i4>
      </vt:variant>
      <vt:variant>
        <vt:lpwstr/>
      </vt:variant>
      <vt:variant>
        <vt:lpwstr>_ENREF_31</vt:lpwstr>
      </vt:variant>
      <vt:variant>
        <vt:i4>4325387</vt:i4>
      </vt:variant>
      <vt:variant>
        <vt:i4>1779</vt:i4>
      </vt:variant>
      <vt:variant>
        <vt:i4>0</vt:i4>
      </vt:variant>
      <vt:variant>
        <vt:i4>5</vt:i4>
      </vt:variant>
      <vt:variant>
        <vt:lpwstr/>
      </vt:variant>
      <vt:variant>
        <vt:lpwstr>_ENREF_30</vt:lpwstr>
      </vt:variant>
      <vt:variant>
        <vt:i4>4390923</vt:i4>
      </vt:variant>
      <vt:variant>
        <vt:i4>1776</vt:i4>
      </vt:variant>
      <vt:variant>
        <vt:i4>0</vt:i4>
      </vt:variant>
      <vt:variant>
        <vt:i4>5</vt:i4>
      </vt:variant>
      <vt:variant>
        <vt:lpwstr/>
      </vt:variant>
      <vt:variant>
        <vt:lpwstr>_ENREF_22</vt:lpwstr>
      </vt:variant>
      <vt:variant>
        <vt:i4>4390923</vt:i4>
      </vt:variant>
      <vt:variant>
        <vt:i4>1766</vt:i4>
      </vt:variant>
      <vt:variant>
        <vt:i4>0</vt:i4>
      </vt:variant>
      <vt:variant>
        <vt:i4>5</vt:i4>
      </vt:variant>
      <vt:variant>
        <vt:lpwstr/>
      </vt:variant>
      <vt:variant>
        <vt:lpwstr>_ENREF_29</vt:lpwstr>
      </vt:variant>
      <vt:variant>
        <vt:i4>4194315</vt:i4>
      </vt:variant>
      <vt:variant>
        <vt:i4>1754</vt:i4>
      </vt:variant>
      <vt:variant>
        <vt:i4>0</vt:i4>
      </vt:variant>
      <vt:variant>
        <vt:i4>5</vt:i4>
      </vt:variant>
      <vt:variant>
        <vt:lpwstr/>
      </vt:variant>
      <vt:variant>
        <vt:lpwstr>_ENREF_17</vt:lpwstr>
      </vt:variant>
      <vt:variant>
        <vt:i4>4390923</vt:i4>
      </vt:variant>
      <vt:variant>
        <vt:i4>1748</vt:i4>
      </vt:variant>
      <vt:variant>
        <vt:i4>0</vt:i4>
      </vt:variant>
      <vt:variant>
        <vt:i4>5</vt:i4>
      </vt:variant>
      <vt:variant>
        <vt:lpwstr/>
      </vt:variant>
      <vt:variant>
        <vt:lpwstr>_ENREF_28</vt:lpwstr>
      </vt:variant>
      <vt:variant>
        <vt:i4>4390923</vt:i4>
      </vt:variant>
      <vt:variant>
        <vt:i4>1742</vt:i4>
      </vt:variant>
      <vt:variant>
        <vt:i4>0</vt:i4>
      </vt:variant>
      <vt:variant>
        <vt:i4>5</vt:i4>
      </vt:variant>
      <vt:variant>
        <vt:lpwstr/>
      </vt:variant>
      <vt:variant>
        <vt:lpwstr>_ENREF_27</vt:lpwstr>
      </vt:variant>
      <vt:variant>
        <vt:i4>4390923</vt:i4>
      </vt:variant>
      <vt:variant>
        <vt:i4>1736</vt:i4>
      </vt:variant>
      <vt:variant>
        <vt:i4>0</vt:i4>
      </vt:variant>
      <vt:variant>
        <vt:i4>5</vt:i4>
      </vt:variant>
      <vt:variant>
        <vt:lpwstr/>
      </vt:variant>
      <vt:variant>
        <vt:lpwstr>_ENREF_26</vt:lpwstr>
      </vt:variant>
      <vt:variant>
        <vt:i4>4390923</vt:i4>
      </vt:variant>
      <vt:variant>
        <vt:i4>1728</vt:i4>
      </vt:variant>
      <vt:variant>
        <vt:i4>0</vt:i4>
      </vt:variant>
      <vt:variant>
        <vt:i4>5</vt:i4>
      </vt:variant>
      <vt:variant>
        <vt:lpwstr/>
      </vt:variant>
      <vt:variant>
        <vt:lpwstr>_ENREF_25</vt:lpwstr>
      </vt:variant>
      <vt:variant>
        <vt:i4>4390923</vt:i4>
      </vt:variant>
      <vt:variant>
        <vt:i4>1724</vt:i4>
      </vt:variant>
      <vt:variant>
        <vt:i4>0</vt:i4>
      </vt:variant>
      <vt:variant>
        <vt:i4>5</vt:i4>
      </vt:variant>
      <vt:variant>
        <vt:lpwstr/>
      </vt:variant>
      <vt:variant>
        <vt:lpwstr>_ENREF_24</vt:lpwstr>
      </vt:variant>
      <vt:variant>
        <vt:i4>4194315</vt:i4>
      </vt:variant>
      <vt:variant>
        <vt:i4>1721</vt:i4>
      </vt:variant>
      <vt:variant>
        <vt:i4>0</vt:i4>
      </vt:variant>
      <vt:variant>
        <vt:i4>5</vt:i4>
      </vt:variant>
      <vt:variant>
        <vt:lpwstr/>
      </vt:variant>
      <vt:variant>
        <vt:lpwstr>_ENREF_19</vt:lpwstr>
      </vt:variant>
      <vt:variant>
        <vt:i4>4390923</vt:i4>
      </vt:variant>
      <vt:variant>
        <vt:i4>1715</vt:i4>
      </vt:variant>
      <vt:variant>
        <vt:i4>0</vt:i4>
      </vt:variant>
      <vt:variant>
        <vt:i4>5</vt:i4>
      </vt:variant>
      <vt:variant>
        <vt:lpwstr/>
      </vt:variant>
      <vt:variant>
        <vt:lpwstr>_ENREF_23</vt:lpwstr>
      </vt:variant>
      <vt:variant>
        <vt:i4>4390923</vt:i4>
      </vt:variant>
      <vt:variant>
        <vt:i4>1712</vt:i4>
      </vt:variant>
      <vt:variant>
        <vt:i4>0</vt:i4>
      </vt:variant>
      <vt:variant>
        <vt:i4>5</vt:i4>
      </vt:variant>
      <vt:variant>
        <vt:lpwstr/>
      </vt:variant>
      <vt:variant>
        <vt:lpwstr>_ENREF_22</vt:lpwstr>
      </vt:variant>
      <vt:variant>
        <vt:i4>4194315</vt:i4>
      </vt:variant>
      <vt:variant>
        <vt:i4>1709</vt:i4>
      </vt:variant>
      <vt:variant>
        <vt:i4>0</vt:i4>
      </vt:variant>
      <vt:variant>
        <vt:i4>5</vt:i4>
      </vt:variant>
      <vt:variant>
        <vt:lpwstr/>
      </vt:variant>
      <vt:variant>
        <vt:lpwstr>_ENREF_10</vt:lpwstr>
      </vt:variant>
      <vt:variant>
        <vt:i4>4521995</vt:i4>
      </vt:variant>
      <vt:variant>
        <vt:i4>1706</vt:i4>
      </vt:variant>
      <vt:variant>
        <vt:i4>0</vt:i4>
      </vt:variant>
      <vt:variant>
        <vt:i4>5</vt:i4>
      </vt:variant>
      <vt:variant>
        <vt:lpwstr/>
      </vt:variant>
      <vt:variant>
        <vt:lpwstr>_ENREF_4</vt:lpwstr>
      </vt:variant>
      <vt:variant>
        <vt:i4>4390923</vt:i4>
      </vt:variant>
      <vt:variant>
        <vt:i4>1698</vt:i4>
      </vt:variant>
      <vt:variant>
        <vt:i4>0</vt:i4>
      </vt:variant>
      <vt:variant>
        <vt:i4>5</vt:i4>
      </vt:variant>
      <vt:variant>
        <vt:lpwstr/>
      </vt:variant>
      <vt:variant>
        <vt:lpwstr>_ENREF_21</vt:lpwstr>
      </vt:variant>
      <vt:variant>
        <vt:i4>4390923</vt:i4>
      </vt:variant>
      <vt:variant>
        <vt:i4>1695</vt:i4>
      </vt:variant>
      <vt:variant>
        <vt:i4>0</vt:i4>
      </vt:variant>
      <vt:variant>
        <vt:i4>5</vt:i4>
      </vt:variant>
      <vt:variant>
        <vt:lpwstr/>
      </vt:variant>
      <vt:variant>
        <vt:lpwstr>_ENREF_20</vt:lpwstr>
      </vt:variant>
      <vt:variant>
        <vt:i4>4194315</vt:i4>
      </vt:variant>
      <vt:variant>
        <vt:i4>1685</vt:i4>
      </vt:variant>
      <vt:variant>
        <vt:i4>0</vt:i4>
      </vt:variant>
      <vt:variant>
        <vt:i4>5</vt:i4>
      </vt:variant>
      <vt:variant>
        <vt:lpwstr/>
      </vt:variant>
      <vt:variant>
        <vt:lpwstr>_ENREF_10</vt:lpwstr>
      </vt:variant>
      <vt:variant>
        <vt:i4>4521995</vt:i4>
      </vt:variant>
      <vt:variant>
        <vt:i4>1679</vt:i4>
      </vt:variant>
      <vt:variant>
        <vt:i4>0</vt:i4>
      </vt:variant>
      <vt:variant>
        <vt:i4>5</vt:i4>
      </vt:variant>
      <vt:variant>
        <vt:lpwstr/>
      </vt:variant>
      <vt:variant>
        <vt:lpwstr>_ENREF_4</vt:lpwstr>
      </vt:variant>
      <vt:variant>
        <vt:i4>4194315</vt:i4>
      </vt:variant>
      <vt:variant>
        <vt:i4>1673</vt:i4>
      </vt:variant>
      <vt:variant>
        <vt:i4>0</vt:i4>
      </vt:variant>
      <vt:variant>
        <vt:i4>5</vt:i4>
      </vt:variant>
      <vt:variant>
        <vt:lpwstr/>
      </vt:variant>
      <vt:variant>
        <vt:lpwstr>_ENREF_17</vt:lpwstr>
      </vt:variant>
      <vt:variant>
        <vt:i4>4194315</vt:i4>
      </vt:variant>
      <vt:variant>
        <vt:i4>1667</vt:i4>
      </vt:variant>
      <vt:variant>
        <vt:i4>0</vt:i4>
      </vt:variant>
      <vt:variant>
        <vt:i4>5</vt:i4>
      </vt:variant>
      <vt:variant>
        <vt:lpwstr/>
      </vt:variant>
      <vt:variant>
        <vt:lpwstr>_ENREF_19</vt:lpwstr>
      </vt:variant>
      <vt:variant>
        <vt:i4>4194315</vt:i4>
      </vt:variant>
      <vt:variant>
        <vt:i4>1661</vt:i4>
      </vt:variant>
      <vt:variant>
        <vt:i4>0</vt:i4>
      </vt:variant>
      <vt:variant>
        <vt:i4>5</vt:i4>
      </vt:variant>
      <vt:variant>
        <vt:lpwstr/>
      </vt:variant>
      <vt:variant>
        <vt:lpwstr>_ENREF_1</vt:lpwstr>
      </vt:variant>
      <vt:variant>
        <vt:i4>4325387</vt:i4>
      </vt:variant>
      <vt:variant>
        <vt:i4>1655</vt:i4>
      </vt:variant>
      <vt:variant>
        <vt:i4>0</vt:i4>
      </vt:variant>
      <vt:variant>
        <vt:i4>5</vt:i4>
      </vt:variant>
      <vt:variant>
        <vt:lpwstr/>
      </vt:variant>
      <vt:variant>
        <vt:lpwstr>_ENREF_3</vt:lpwstr>
      </vt:variant>
      <vt:variant>
        <vt:i4>4194315</vt:i4>
      </vt:variant>
      <vt:variant>
        <vt:i4>1649</vt:i4>
      </vt:variant>
      <vt:variant>
        <vt:i4>0</vt:i4>
      </vt:variant>
      <vt:variant>
        <vt:i4>5</vt:i4>
      </vt:variant>
      <vt:variant>
        <vt:lpwstr/>
      </vt:variant>
      <vt:variant>
        <vt:lpwstr>_ENREF_1</vt:lpwstr>
      </vt:variant>
      <vt:variant>
        <vt:i4>4521995</vt:i4>
      </vt:variant>
      <vt:variant>
        <vt:i4>1643</vt:i4>
      </vt:variant>
      <vt:variant>
        <vt:i4>0</vt:i4>
      </vt:variant>
      <vt:variant>
        <vt:i4>5</vt:i4>
      </vt:variant>
      <vt:variant>
        <vt:lpwstr/>
      </vt:variant>
      <vt:variant>
        <vt:lpwstr>_ENREF_4</vt:lpwstr>
      </vt:variant>
      <vt:variant>
        <vt:i4>4194315</vt:i4>
      </vt:variant>
      <vt:variant>
        <vt:i4>1637</vt:i4>
      </vt:variant>
      <vt:variant>
        <vt:i4>0</vt:i4>
      </vt:variant>
      <vt:variant>
        <vt:i4>5</vt:i4>
      </vt:variant>
      <vt:variant>
        <vt:lpwstr/>
      </vt:variant>
      <vt:variant>
        <vt:lpwstr>_ENREF_17</vt:lpwstr>
      </vt:variant>
      <vt:variant>
        <vt:i4>4194315</vt:i4>
      </vt:variant>
      <vt:variant>
        <vt:i4>1631</vt:i4>
      </vt:variant>
      <vt:variant>
        <vt:i4>0</vt:i4>
      </vt:variant>
      <vt:variant>
        <vt:i4>5</vt:i4>
      </vt:variant>
      <vt:variant>
        <vt:lpwstr/>
      </vt:variant>
      <vt:variant>
        <vt:lpwstr>_ENREF_18</vt:lpwstr>
      </vt:variant>
      <vt:variant>
        <vt:i4>4194315</vt:i4>
      </vt:variant>
      <vt:variant>
        <vt:i4>1627</vt:i4>
      </vt:variant>
      <vt:variant>
        <vt:i4>0</vt:i4>
      </vt:variant>
      <vt:variant>
        <vt:i4>5</vt:i4>
      </vt:variant>
      <vt:variant>
        <vt:lpwstr/>
      </vt:variant>
      <vt:variant>
        <vt:lpwstr>_ENREF_17</vt:lpwstr>
      </vt:variant>
      <vt:variant>
        <vt:i4>4194315</vt:i4>
      </vt:variant>
      <vt:variant>
        <vt:i4>1624</vt:i4>
      </vt:variant>
      <vt:variant>
        <vt:i4>0</vt:i4>
      </vt:variant>
      <vt:variant>
        <vt:i4>5</vt:i4>
      </vt:variant>
      <vt:variant>
        <vt:lpwstr/>
      </vt:variant>
      <vt:variant>
        <vt:lpwstr>_ENREF_16</vt:lpwstr>
      </vt:variant>
      <vt:variant>
        <vt:i4>4194315</vt:i4>
      </vt:variant>
      <vt:variant>
        <vt:i4>1616</vt:i4>
      </vt:variant>
      <vt:variant>
        <vt:i4>0</vt:i4>
      </vt:variant>
      <vt:variant>
        <vt:i4>5</vt:i4>
      </vt:variant>
      <vt:variant>
        <vt:lpwstr/>
      </vt:variant>
      <vt:variant>
        <vt:lpwstr>_ENREF_15</vt:lpwstr>
      </vt:variant>
      <vt:variant>
        <vt:i4>4194315</vt:i4>
      </vt:variant>
      <vt:variant>
        <vt:i4>1610</vt:i4>
      </vt:variant>
      <vt:variant>
        <vt:i4>0</vt:i4>
      </vt:variant>
      <vt:variant>
        <vt:i4>5</vt:i4>
      </vt:variant>
      <vt:variant>
        <vt:lpwstr/>
      </vt:variant>
      <vt:variant>
        <vt:lpwstr>_ENREF_13</vt:lpwstr>
      </vt:variant>
      <vt:variant>
        <vt:i4>4194315</vt:i4>
      </vt:variant>
      <vt:variant>
        <vt:i4>1604</vt:i4>
      </vt:variant>
      <vt:variant>
        <vt:i4>0</vt:i4>
      </vt:variant>
      <vt:variant>
        <vt:i4>5</vt:i4>
      </vt:variant>
      <vt:variant>
        <vt:lpwstr/>
      </vt:variant>
      <vt:variant>
        <vt:lpwstr>_ENREF_1</vt:lpwstr>
      </vt:variant>
      <vt:variant>
        <vt:i4>4194315</vt:i4>
      </vt:variant>
      <vt:variant>
        <vt:i4>1598</vt:i4>
      </vt:variant>
      <vt:variant>
        <vt:i4>0</vt:i4>
      </vt:variant>
      <vt:variant>
        <vt:i4>5</vt:i4>
      </vt:variant>
      <vt:variant>
        <vt:lpwstr/>
      </vt:variant>
      <vt:variant>
        <vt:lpwstr>_ENREF_15</vt:lpwstr>
      </vt:variant>
      <vt:variant>
        <vt:i4>4194315</vt:i4>
      </vt:variant>
      <vt:variant>
        <vt:i4>1592</vt:i4>
      </vt:variant>
      <vt:variant>
        <vt:i4>0</vt:i4>
      </vt:variant>
      <vt:variant>
        <vt:i4>5</vt:i4>
      </vt:variant>
      <vt:variant>
        <vt:lpwstr/>
      </vt:variant>
      <vt:variant>
        <vt:lpwstr>_ENREF_13</vt:lpwstr>
      </vt:variant>
      <vt:variant>
        <vt:i4>4194315</vt:i4>
      </vt:variant>
      <vt:variant>
        <vt:i4>1588</vt:i4>
      </vt:variant>
      <vt:variant>
        <vt:i4>0</vt:i4>
      </vt:variant>
      <vt:variant>
        <vt:i4>5</vt:i4>
      </vt:variant>
      <vt:variant>
        <vt:lpwstr/>
      </vt:variant>
      <vt:variant>
        <vt:lpwstr>_ENREF_15</vt:lpwstr>
      </vt:variant>
      <vt:variant>
        <vt:i4>4194315</vt:i4>
      </vt:variant>
      <vt:variant>
        <vt:i4>1585</vt:i4>
      </vt:variant>
      <vt:variant>
        <vt:i4>0</vt:i4>
      </vt:variant>
      <vt:variant>
        <vt:i4>5</vt:i4>
      </vt:variant>
      <vt:variant>
        <vt:lpwstr/>
      </vt:variant>
      <vt:variant>
        <vt:lpwstr>_ENREF_13</vt:lpwstr>
      </vt:variant>
      <vt:variant>
        <vt:i4>4194315</vt:i4>
      </vt:variant>
      <vt:variant>
        <vt:i4>1577</vt:i4>
      </vt:variant>
      <vt:variant>
        <vt:i4>0</vt:i4>
      </vt:variant>
      <vt:variant>
        <vt:i4>5</vt:i4>
      </vt:variant>
      <vt:variant>
        <vt:lpwstr/>
      </vt:variant>
      <vt:variant>
        <vt:lpwstr>_ENREF_14</vt:lpwstr>
      </vt:variant>
      <vt:variant>
        <vt:i4>4194315</vt:i4>
      </vt:variant>
      <vt:variant>
        <vt:i4>1571</vt:i4>
      </vt:variant>
      <vt:variant>
        <vt:i4>0</vt:i4>
      </vt:variant>
      <vt:variant>
        <vt:i4>5</vt:i4>
      </vt:variant>
      <vt:variant>
        <vt:lpwstr/>
      </vt:variant>
      <vt:variant>
        <vt:lpwstr>_ENREF_1</vt:lpwstr>
      </vt:variant>
      <vt:variant>
        <vt:i4>4194315</vt:i4>
      </vt:variant>
      <vt:variant>
        <vt:i4>1567</vt:i4>
      </vt:variant>
      <vt:variant>
        <vt:i4>0</vt:i4>
      </vt:variant>
      <vt:variant>
        <vt:i4>5</vt:i4>
      </vt:variant>
      <vt:variant>
        <vt:lpwstr/>
      </vt:variant>
      <vt:variant>
        <vt:lpwstr>_ENREF_11</vt:lpwstr>
      </vt:variant>
      <vt:variant>
        <vt:i4>4194315</vt:i4>
      </vt:variant>
      <vt:variant>
        <vt:i4>1564</vt:i4>
      </vt:variant>
      <vt:variant>
        <vt:i4>0</vt:i4>
      </vt:variant>
      <vt:variant>
        <vt:i4>5</vt:i4>
      </vt:variant>
      <vt:variant>
        <vt:lpwstr/>
      </vt:variant>
      <vt:variant>
        <vt:lpwstr>_ENREF_1</vt:lpwstr>
      </vt:variant>
      <vt:variant>
        <vt:i4>4194315</vt:i4>
      </vt:variant>
      <vt:variant>
        <vt:i4>1556</vt:i4>
      </vt:variant>
      <vt:variant>
        <vt:i4>0</vt:i4>
      </vt:variant>
      <vt:variant>
        <vt:i4>5</vt:i4>
      </vt:variant>
      <vt:variant>
        <vt:lpwstr/>
      </vt:variant>
      <vt:variant>
        <vt:lpwstr>_ENREF_10</vt:lpwstr>
      </vt:variant>
      <vt:variant>
        <vt:i4>4521995</vt:i4>
      </vt:variant>
      <vt:variant>
        <vt:i4>1553</vt:i4>
      </vt:variant>
      <vt:variant>
        <vt:i4>0</vt:i4>
      </vt:variant>
      <vt:variant>
        <vt:i4>5</vt:i4>
      </vt:variant>
      <vt:variant>
        <vt:lpwstr/>
      </vt:variant>
      <vt:variant>
        <vt:lpwstr>_ENREF_4</vt:lpwstr>
      </vt:variant>
      <vt:variant>
        <vt:i4>4194315</vt:i4>
      </vt:variant>
      <vt:variant>
        <vt:i4>1550</vt:i4>
      </vt:variant>
      <vt:variant>
        <vt:i4>0</vt:i4>
      </vt:variant>
      <vt:variant>
        <vt:i4>5</vt:i4>
      </vt:variant>
      <vt:variant>
        <vt:lpwstr/>
      </vt:variant>
      <vt:variant>
        <vt:lpwstr>_ENREF_1</vt:lpwstr>
      </vt:variant>
      <vt:variant>
        <vt:i4>4521995</vt:i4>
      </vt:variant>
      <vt:variant>
        <vt:i4>1540</vt:i4>
      </vt:variant>
      <vt:variant>
        <vt:i4>0</vt:i4>
      </vt:variant>
      <vt:variant>
        <vt:i4>5</vt:i4>
      </vt:variant>
      <vt:variant>
        <vt:lpwstr/>
      </vt:variant>
      <vt:variant>
        <vt:lpwstr>_ENREF_4</vt:lpwstr>
      </vt:variant>
      <vt:variant>
        <vt:i4>4718603</vt:i4>
      </vt:variant>
      <vt:variant>
        <vt:i4>1532</vt:i4>
      </vt:variant>
      <vt:variant>
        <vt:i4>0</vt:i4>
      </vt:variant>
      <vt:variant>
        <vt:i4>5</vt:i4>
      </vt:variant>
      <vt:variant>
        <vt:lpwstr/>
      </vt:variant>
      <vt:variant>
        <vt:lpwstr>_ENREF_9</vt:lpwstr>
      </vt:variant>
      <vt:variant>
        <vt:i4>4784139</vt:i4>
      </vt:variant>
      <vt:variant>
        <vt:i4>1528</vt:i4>
      </vt:variant>
      <vt:variant>
        <vt:i4>0</vt:i4>
      </vt:variant>
      <vt:variant>
        <vt:i4>5</vt:i4>
      </vt:variant>
      <vt:variant>
        <vt:lpwstr/>
      </vt:variant>
      <vt:variant>
        <vt:lpwstr>_ENREF_8</vt:lpwstr>
      </vt:variant>
      <vt:variant>
        <vt:i4>4587531</vt:i4>
      </vt:variant>
      <vt:variant>
        <vt:i4>1525</vt:i4>
      </vt:variant>
      <vt:variant>
        <vt:i4>0</vt:i4>
      </vt:variant>
      <vt:variant>
        <vt:i4>5</vt:i4>
      </vt:variant>
      <vt:variant>
        <vt:lpwstr/>
      </vt:variant>
      <vt:variant>
        <vt:lpwstr>_ENREF_7</vt:lpwstr>
      </vt:variant>
      <vt:variant>
        <vt:i4>4521995</vt:i4>
      </vt:variant>
      <vt:variant>
        <vt:i4>1515</vt:i4>
      </vt:variant>
      <vt:variant>
        <vt:i4>0</vt:i4>
      </vt:variant>
      <vt:variant>
        <vt:i4>5</vt:i4>
      </vt:variant>
      <vt:variant>
        <vt:lpwstr/>
      </vt:variant>
      <vt:variant>
        <vt:lpwstr>_ENREF_4</vt:lpwstr>
      </vt:variant>
      <vt:variant>
        <vt:i4>4194315</vt:i4>
      </vt:variant>
      <vt:variant>
        <vt:i4>1509</vt:i4>
      </vt:variant>
      <vt:variant>
        <vt:i4>0</vt:i4>
      </vt:variant>
      <vt:variant>
        <vt:i4>5</vt:i4>
      </vt:variant>
      <vt:variant>
        <vt:lpwstr/>
      </vt:variant>
      <vt:variant>
        <vt:lpwstr>_ENREF_1</vt:lpwstr>
      </vt:variant>
      <vt:variant>
        <vt:i4>4194315</vt:i4>
      </vt:variant>
      <vt:variant>
        <vt:i4>1503</vt:i4>
      </vt:variant>
      <vt:variant>
        <vt:i4>0</vt:i4>
      </vt:variant>
      <vt:variant>
        <vt:i4>5</vt:i4>
      </vt:variant>
      <vt:variant>
        <vt:lpwstr/>
      </vt:variant>
      <vt:variant>
        <vt:lpwstr>_ENREF_1</vt:lpwstr>
      </vt:variant>
      <vt:variant>
        <vt:i4>4325387</vt:i4>
      </vt:variant>
      <vt:variant>
        <vt:i4>1497</vt:i4>
      </vt:variant>
      <vt:variant>
        <vt:i4>0</vt:i4>
      </vt:variant>
      <vt:variant>
        <vt:i4>5</vt:i4>
      </vt:variant>
      <vt:variant>
        <vt:lpwstr/>
      </vt:variant>
      <vt:variant>
        <vt:lpwstr>_ENREF_3</vt:lpwstr>
      </vt:variant>
      <vt:variant>
        <vt:i4>4194315</vt:i4>
      </vt:variant>
      <vt:variant>
        <vt:i4>1491</vt:i4>
      </vt:variant>
      <vt:variant>
        <vt:i4>0</vt:i4>
      </vt:variant>
      <vt:variant>
        <vt:i4>5</vt:i4>
      </vt:variant>
      <vt:variant>
        <vt:lpwstr/>
      </vt:variant>
      <vt:variant>
        <vt:lpwstr>_ENREF_1</vt:lpwstr>
      </vt:variant>
      <vt:variant>
        <vt:i4>4325387</vt:i4>
      </vt:variant>
      <vt:variant>
        <vt:i4>1485</vt:i4>
      </vt:variant>
      <vt:variant>
        <vt:i4>0</vt:i4>
      </vt:variant>
      <vt:variant>
        <vt:i4>5</vt:i4>
      </vt:variant>
      <vt:variant>
        <vt:lpwstr/>
      </vt:variant>
      <vt:variant>
        <vt:lpwstr>_ENREF_3</vt:lpwstr>
      </vt:variant>
      <vt:variant>
        <vt:i4>4390923</vt:i4>
      </vt:variant>
      <vt:variant>
        <vt:i4>1479</vt:i4>
      </vt:variant>
      <vt:variant>
        <vt:i4>0</vt:i4>
      </vt:variant>
      <vt:variant>
        <vt:i4>5</vt:i4>
      </vt:variant>
      <vt:variant>
        <vt:lpwstr/>
      </vt:variant>
      <vt:variant>
        <vt:lpwstr>_ENREF_2</vt:lpwstr>
      </vt:variant>
      <vt:variant>
        <vt:i4>4194315</vt:i4>
      </vt:variant>
      <vt:variant>
        <vt:i4>1473</vt:i4>
      </vt:variant>
      <vt:variant>
        <vt:i4>0</vt:i4>
      </vt:variant>
      <vt:variant>
        <vt:i4>5</vt:i4>
      </vt:variant>
      <vt:variant>
        <vt:lpwstr/>
      </vt:variant>
      <vt:variant>
        <vt:lpwstr>_ENREF_1</vt:lpwstr>
      </vt:variant>
      <vt:variant>
        <vt:i4>1507382</vt:i4>
      </vt:variant>
      <vt:variant>
        <vt:i4>1466</vt:i4>
      </vt:variant>
      <vt:variant>
        <vt:i4>0</vt:i4>
      </vt:variant>
      <vt:variant>
        <vt:i4>5</vt:i4>
      </vt:variant>
      <vt:variant>
        <vt:lpwstr/>
      </vt:variant>
      <vt:variant>
        <vt:lpwstr>_Toc424650343</vt:lpwstr>
      </vt:variant>
      <vt:variant>
        <vt:i4>1507382</vt:i4>
      </vt:variant>
      <vt:variant>
        <vt:i4>1460</vt:i4>
      </vt:variant>
      <vt:variant>
        <vt:i4>0</vt:i4>
      </vt:variant>
      <vt:variant>
        <vt:i4>5</vt:i4>
      </vt:variant>
      <vt:variant>
        <vt:lpwstr/>
      </vt:variant>
      <vt:variant>
        <vt:lpwstr>_Toc424650342</vt:lpwstr>
      </vt:variant>
      <vt:variant>
        <vt:i4>1507382</vt:i4>
      </vt:variant>
      <vt:variant>
        <vt:i4>1454</vt:i4>
      </vt:variant>
      <vt:variant>
        <vt:i4>0</vt:i4>
      </vt:variant>
      <vt:variant>
        <vt:i4>5</vt:i4>
      </vt:variant>
      <vt:variant>
        <vt:lpwstr/>
      </vt:variant>
      <vt:variant>
        <vt:lpwstr>_Toc424650341</vt:lpwstr>
      </vt:variant>
      <vt:variant>
        <vt:i4>1507382</vt:i4>
      </vt:variant>
      <vt:variant>
        <vt:i4>1448</vt:i4>
      </vt:variant>
      <vt:variant>
        <vt:i4>0</vt:i4>
      </vt:variant>
      <vt:variant>
        <vt:i4>5</vt:i4>
      </vt:variant>
      <vt:variant>
        <vt:lpwstr/>
      </vt:variant>
      <vt:variant>
        <vt:lpwstr>_Toc424650340</vt:lpwstr>
      </vt:variant>
      <vt:variant>
        <vt:i4>1048630</vt:i4>
      </vt:variant>
      <vt:variant>
        <vt:i4>1442</vt:i4>
      </vt:variant>
      <vt:variant>
        <vt:i4>0</vt:i4>
      </vt:variant>
      <vt:variant>
        <vt:i4>5</vt:i4>
      </vt:variant>
      <vt:variant>
        <vt:lpwstr/>
      </vt:variant>
      <vt:variant>
        <vt:lpwstr>_Toc424650339</vt:lpwstr>
      </vt:variant>
      <vt:variant>
        <vt:i4>1048630</vt:i4>
      </vt:variant>
      <vt:variant>
        <vt:i4>1436</vt:i4>
      </vt:variant>
      <vt:variant>
        <vt:i4>0</vt:i4>
      </vt:variant>
      <vt:variant>
        <vt:i4>5</vt:i4>
      </vt:variant>
      <vt:variant>
        <vt:lpwstr/>
      </vt:variant>
      <vt:variant>
        <vt:lpwstr>_Toc424650338</vt:lpwstr>
      </vt:variant>
      <vt:variant>
        <vt:i4>1048630</vt:i4>
      </vt:variant>
      <vt:variant>
        <vt:i4>1430</vt:i4>
      </vt:variant>
      <vt:variant>
        <vt:i4>0</vt:i4>
      </vt:variant>
      <vt:variant>
        <vt:i4>5</vt:i4>
      </vt:variant>
      <vt:variant>
        <vt:lpwstr/>
      </vt:variant>
      <vt:variant>
        <vt:lpwstr>_Toc424650337</vt:lpwstr>
      </vt:variant>
      <vt:variant>
        <vt:i4>1048630</vt:i4>
      </vt:variant>
      <vt:variant>
        <vt:i4>1424</vt:i4>
      </vt:variant>
      <vt:variant>
        <vt:i4>0</vt:i4>
      </vt:variant>
      <vt:variant>
        <vt:i4>5</vt:i4>
      </vt:variant>
      <vt:variant>
        <vt:lpwstr/>
      </vt:variant>
      <vt:variant>
        <vt:lpwstr>_Toc424650336</vt:lpwstr>
      </vt:variant>
      <vt:variant>
        <vt:i4>1048630</vt:i4>
      </vt:variant>
      <vt:variant>
        <vt:i4>1418</vt:i4>
      </vt:variant>
      <vt:variant>
        <vt:i4>0</vt:i4>
      </vt:variant>
      <vt:variant>
        <vt:i4>5</vt:i4>
      </vt:variant>
      <vt:variant>
        <vt:lpwstr/>
      </vt:variant>
      <vt:variant>
        <vt:lpwstr>_Toc424650335</vt:lpwstr>
      </vt:variant>
      <vt:variant>
        <vt:i4>1048630</vt:i4>
      </vt:variant>
      <vt:variant>
        <vt:i4>1412</vt:i4>
      </vt:variant>
      <vt:variant>
        <vt:i4>0</vt:i4>
      </vt:variant>
      <vt:variant>
        <vt:i4>5</vt:i4>
      </vt:variant>
      <vt:variant>
        <vt:lpwstr/>
      </vt:variant>
      <vt:variant>
        <vt:lpwstr>_Toc424650334</vt:lpwstr>
      </vt:variant>
      <vt:variant>
        <vt:i4>786444</vt:i4>
      </vt:variant>
      <vt:variant>
        <vt:i4>1406</vt:i4>
      </vt:variant>
      <vt:variant>
        <vt:i4>0</vt:i4>
      </vt:variant>
      <vt:variant>
        <vt:i4>5</vt:i4>
      </vt:variant>
      <vt:variant>
        <vt:lpwstr>\\RADIUS2\NDORMS\NDORMS epidemiology\SDO\Final report\2015_06_26 REFReSH report v0.8.doc</vt:lpwstr>
      </vt:variant>
      <vt:variant>
        <vt:lpwstr>_Toc424650333</vt:lpwstr>
      </vt:variant>
      <vt:variant>
        <vt:i4>786444</vt:i4>
      </vt:variant>
      <vt:variant>
        <vt:i4>1400</vt:i4>
      </vt:variant>
      <vt:variant>
        <vt:i4>0</vt:i4>
      </vt:variant>
      <vt:variant>
        <vt:i4>5</vt:i4>
      </vt:variant>
      <vt:variant>
        <vt:lpwstr>\\RADIUS2\NDORMS\NDORMS epidemiology\SDO\Final report\2015_06_26 REFReSH report v0.8.doc</vt:lpwstr>
      </vt:variant>
      <vt:variant>
        <vt:lpwstr>_Toc424650332</vt:lpwstr>
      </vt:variant>
      <vt:variant>
        <vt:i4>786444</vt:i4>
      </vt:variant>
      <vt:variant>
        <vt:i4>1394</vt:i4>
      </vt:variant>
      <vt:variant>
        <vt:i4>0</vt:i4>
      </vt:variant>
      <vt:variant>
        <vt:i4>5</vt:i4>
      </vt:variant>
      <vt:variant>
        <vt:lpwstr>\\RADIUS2\NDORMS\NDORMS epidemiology\SDO\Final report\2015_06_26 REFReSH report v0.8.doc</vt:lpwstr>
      </vt:variant>
      <vt:variant>
        <vt:lpwstr>_Toc424650331</vt:lpwstr>
      </vt:variant>
      <vt:variant>
        <vt:i4>786444</vt:i4>
      </vt:variant>
      <vt:variant>
        <vt:i4>1388</vt:i4>
      </vt:variant>
      <vt:variant>
        <vt:i4>0</vt:i4>
      </vt:variant>
      <vt:variant>
        <vt:i4>5</vt:i4>
      </vt:variant>
      <vt:variant>
        <vt:lpwstr>\\RADIUS2\NDORMS\NDORMS epidemiology\SDO\Final report\2015_06_26 REFReSH report v0.8.doc</vt:lpwstr>
      </vt:variant>
      <vt:variant>
        <vt:lpwstr>_Toc424650330</vt:lpwstr>
      </vt:variant>
      <vt:variant>
        <vt:i4>851980</vt:i4>
      </vt:variant>
      <vt:variant>
        <vt:i4>1382</vt:i4>
      </vt:variant>
      <vt:variant>
        <vt:i4>0</vt:i4>
      </vt:variant>
      <vt:variant>
        <vt:i4>5</vt:i4>
      </vt:variant>
      <vt:variant>
        <vt:lpwstr>\\RADIUS2\NDORMS\NDORMS epidemiology\SDO\Final report\2015_06_26 REFReSH report v0.8.doc</vt:lpwstr>
      </vt:variant>
      <vt:variant>
        <vt:lpwstr>_Toc424650329</vt:lpwstr>
      </vt:variant>
      <vt:variant>
        <vt:i4>1114166</vt:i4>
      </vt:variant>
      <vt:variant>
        <vt:i4>1376</vt:i4>
      </vt:variant>
      <vt:variant>
        <vt:i4>0</vt:i4>
      </vt:variant>
      <vt:variant>
        <vt:i4>5</vt:i4>
      </vt:variant>
      <vt:variant>
        <vt:lpwstr/>
      </vt:variant>
      <vt:variant>
        <vt:lpwstr>_Toc424650328</vt:lpwstr>
      </vt:variant>
      <vt:variant>
        <vt:i4>1114166</vt:i4>
      </vt:variant>
      <vt:variant>
        <vt:i4>1370</vt:i4>
      </vt:variant>
      <vt:variant>
        <vt:i4>0</vt:i4>
      </vt:variant>
      <vt:variant>
        <vt:i4>5</vt:i4>
      </vt:variant>
      <vt:variant>
        <vt:lpwstr/>
      </vt:variant>
      <vt:variant>
        <vt:lpwstr>_Toc424650327</vt:lpwstr>
      </vt:variant>
      <vt:variant>
        <vt:i4>1114166</vt:i4>
      </vt:variant>
      <vt:variant>
        <vt:i4>1364</vt:i4>
      </vt:variant>
      <vt:variant>
        <vt:i4>0</vt:i4>
      </vt:variant>
      <vt:variant>
        <vt:i4>5</vt:i4>
      </vt:variant>
      <vt:variant>
        <vt:lpwstr/>
      </vt:variant>
      <vt:variant>
        <vt:lpwstr>_Toc424650326</vt:lpwstr>
      </vt:variant>
      <vt:variant>
        <vt:i4>1114166</vt:i4>
      </vt:variant>
      <vt:variant>
        <vt:i4>1358</vt:i4>
      </vt:variant>
      <vt:variant>
        <vt:i4>0</vt:i4>
      </vt:variant>
      <vt:variant>
        <vt:i4>5</vt:i4>
      </vt:variant>
      <vt:variant>
        <vt:lpwstr/>
      </vt:variant>
      <vt:variant>
        <vt:lpwstr>_Toc424650325</vt:lpwstr>
      </vt:variant>
      <vt:variant>
        <vt:i4>1114166</vt:i4>
      </vt:variant>
      <vt:variant>
        <vt:i4>1352</vt:i4>
      </vt:variant>
      <vt:variant>
        <vt:i4>0</vt:i4>
      </vt:variant>
      <vt:variant>
        <vt:i4>5</vt:i4>
      </vt:variant>
      <vt:variant>
        <vt:lpwstr/>
      </vt:variant>
      <vt:variant>
        <vt:lpwstr>_Toc424650324</vt:lpwstr>
      </vt:variant>
      <vt:variant>
        <vt:i4>851980</vt:i4>
      </vt:variant>
      <vt:variant>
        <vt:i4>1346</vt:i4>
      </vt:variant>
      <vt:variant>
        <vt:i4>0</vt:i4>
      </vt:variant>
      <vt:variant>
        <vt:i4>5</vt:i4>
      </vt:variant>
      <vt:variant>
        <vt:lpwstr>\\RADIUS2\NDORMS\NDORMS epidemiology\SDO\Final report\2015_06_26 REFReSH report v0.8.doc</vt:lpwstr>
      </vt:variant>
      <vt:variant>
        <vt:lpwstr>_Toc424650323</vt:lpwstr>
      </vt:variant>
      <vt:variant>
        <vt:i4>1114166</vt:i4>
      </vt:variant>
      <vt:variant>
        <vt:i4>1340</vt:i4>
      </vt:variant>
      <vt:variant>
        <vt:i4>0</vt:i4>
      </vt:variant>
      <vt:variant>
        <vt:i4>5</vt:i4>
      </vt:variant>
      <vt:variant>
        <vt:lpwstr/>
      </vt:variant>
      <vt:variant>
        <vt:lpwstr>_Toc424650322</vt:lpwstr>
      </vt:variant>
      <vt:variant>
        <vt:i4>1114166</vt:i4>
      </vt:variant>
      <vt:variant>
        <vt:i4>1334</vt:i4>
      </vt:variant>
      <vt:variant>
        <vt:i4>0</vt:i4>
      </vt:variant>
      <vt:variant>
        <vt:i4>5</vt:i4>
      </vt:variant>
      <vt:variant>
        <vt:lpwstr/>
      </vt:variant>
      <vt:variant>
        <vt:lpwstr>_Toc424650321</vt:lpwstr>
      </vt:variant>
      <vt:variant>
        <vt:i4>1114166</vt:i4>
      </vt:variant>
      <vt:variant>
        <vt:i4>1328</vt:i4>
      </vt:variant>
      <vt:variant>
        <vt:i4>0</vt:i4>
      </vt:variant>
      <vt:variant>
        <vt:i4>5</vt:i4>
      </vt:variant>
      <vt:variant>
        <vt:lpwstr/>
      </vt:variant>
      <vt:variant>
        <vt:lpwstr>_Toc424650320</vt:lpwstr>
      </vt:variant>
      <vt:variant>
        <vt:i4>1179702</vt:i4>
      </vt:variant>
      <vt:variant>
        <vt:i4>1322</vt:i4>
      </vt:variant>
      <vt:variant>
        <vt:i4>0</vt:i4>
      </vt:variant>
      <vt:variant>
        <vt:i4>5</vt:i4>
      </vt:variant>
      <vt:variant>
        <vt:lpwstr/>
      </vt:variant>
      <vt:variant>
        <vt:lpwstr>_Toc424650319</vt:lpwstr>
      </vt:variant>
      <vt:variant>
        <vt:i4>1179702</vt:i4>
      </vt:variant>
      <vt:variant>
        <vt:i4>1316</vt:i4>
      </vt:variant>
      <vt:variant>
        <vt:i4>0</vt:i4>
      </vt:variant>
      <vt:variant>
        <vt:i4>5</vt:i4>
      </vt:variant>
      <vt:variant>
        <vt:lpwstr/>
      </vt:variant>
      <vt:variant>
        <vt:lpwstr>_Toc424650318</vt:lpwstr>
      </vt:variant>
      <vt:variant>
        <vt:i4>1179702</vt:i4>
      </vt:variant>
      <vt:variant>
        <vt:i4>1310</vt:i4>
      </vt:variant>
      <vt:variant>
        <vt:i4>0</vt:i4>
      </vt:variant>
      <vt:variant>
        <vt:i4>5</vt:i4>
      </vt:variant>
      <vt:variant>
        <vt:lpwstr/>
      </vt:variant>
      <vt:variant>
        <vt:lpwstr>_Toc424650317</vt:lpwstr>
      </vt:variant>
      <vt:variant>
        <vt:i4>1179702</vt:i4>
      </vt:variant>
      <vt:variant>
        <vt:i4>1304</vt:i4>
      </vt:variant>
      <vt:variant>
        <vt:i4>0</vt:i4>
      </vt:variant>
      <vt:variant>
        <vt:i4>5</vt:i4>
      </vt:variant>
      <vt:variant>
        <vt:lpwstr/>
      </vt:variant>
      <vt:variant>
        <vt:lpwstr>_Toc424650316</vt:lpwstr>
      </vt:variant>
      <vt:variant>
        <vt:i4>1179702</vt:i4>
      </vt:variant>
      <vt:variant>
        <vt:i4>1298</vt:i4>
      </vt:variant>
      <vt:variant>
        <vt:i4>0</vt:i4>
      </vt:variant>
      <vt:variant>
        <vt:i4>5</vt:i4>
      </vt:variant>
      <vt:variant>
        <vt:lpwstr/>
      </vt:variant>
      <vt:variant>
        <vt:lpwstr>_Toc424650315</vt:lpwstr>
      </vt:variant>
      <vt:variant>
        <vt:i4>1179702</vt:i4>
      </vt:variant>
      <vt:variant>
        <vt:i4>1292</vt:i4>
      </vt:variant>
      <vt:variant>
        <vt:i4>0</vt:i4>
      </vt:variant>
      <vt:variant>
        <vt:i4>5</vt:i4>
      </vt:variant>
      <vt:variant>
        <vt:lpwstr/>
      </vt:variant>
      <vt:variant>
        <vt:lpwstr>_Toc424650314</vt:lpwstr>
      </vt:variant>
      <vt:variant>
        <vt:i4>1769526</vt:i4>
      </vt:variant>
      <vt:variant>
        <vt:i4>1283</vt:i4>
      </vt:variant>
      <vt:variant>
        <vt:i4>0</vt:i4>
      </vt:variant>
      <vt:variant>
        <vt:i4>5</vt:i4>
      </vt:variant>
      <vt:variant>
        <vt:lpwstr/>
      </vt:variant>
      <vt:variant>
        <vt:lpwstr>_Toc424650380</vt:lpwstr>
      </vt:variant>
      <vt:variant>
        <vt:i4>1310774</vt:i4>
      </vt:variant>
      <vt:variant>
        <vt:i4>1277</vt:i4>
      </vt:variant>
      <vt:variant>
        <vt:i4>0</vt:i4>
      </vt:variant>
      <vt:variant>
        <vt:i4>5</vt:i4>
      </vt:variant>
      <vt:variant>
        <vt:lpwstr/>
      </vt:variant>
      <vt:variant>
        <vt:lpwstr>_Toc424650379</vt:lpwstr>
      </vt:variant>
      <vt:variant>
        <vt:i4>1310774</vt:i4>
      </vt:variant>
      <vt:variant>
        <vt:i4>1271</vt:i4>
      </vt:variant>
      <vt:variant>
        <vt:i4>0</vt:i4>
      </vt:variant>
      <vt:variant>
        <vt:i4>5</vt:i4>
      </vt:variant>
      <vt:variant>
        <vt:lpwstr/>
      </vt:variant>
      <vt:variant>
        <vt:lpwstr>_Toc424650378</vt:lpwstr>
      </vt:variant>
      <vt:variant>
        <vt:i4>1310774</vt:i4>
      </vt:variant>
      <vt:variant>
        <vt:i4>1265</vt:i4>
      </vt:variant>
      <vt:variant>
        <vt:i4>0</vt:i4>
      </vt:variant>
      <vt:variant>
        <vt:i4>5</vt:i4>
      </vt:variant>
      <vt:variant>
        <vt:lpwstr/>
      </vt:variant>
      <vt:variant>
        <vt:lpwstr>_Toc424650377</vt:lpwstr>
      </vt:variant>
      <vt:variant>
        <vt:i4>1310774</vt:i4>
      </vt:variant>
      <vt:variant>
        <vt:i4>1259</vt:i4>
      </vt:variant>
      <vt:variant>
        <vt:i4>0</vt:i4>
      </vt:variant>
      <vt:variant>
        <vt:i4>5</vt:i4>
      </vt:variant>
      <vt:variant>
        <vt:lpwstr/>
      </vt:variant>
      <vt:variant>
        <vt:lpwstr>_Toc424650376</vt:lpwstr>
      </vt:variant>
      <vt:variant>
        <vt:i4>1310774</vt:i4>
      </vt:variant>
      <vt:variant>
        <vt:i4>1253</vt:i4>
      </vt:variant>
      <vt:variant>
        <vt:i4>0</vt:i4>
      </vt:variant>
      <vt:variant>
        <vt:i4>5</vt:i4>
      </vt:variant>
      <vt:variant>
        <vt:lpwstr/>
      </vt:variant>
      <vt:variant>
        <vt:lpwstr>_Toc424650375</vt:lpwstr>
      </vt:variant>
      <vt:variant>
        <vt:i4>1310774</vt:i4>
      </vt:variant>
      <vt:variant>
        <vt:i4>1247</vt:i4>
      </vt:variant>
      <vt:variant>
        <vt:i4>0</vt:i4>
      </vt:variant>
      <vt:variant>
        <vt:i4>5</vt:i4>
      </vt:variant>
      <vt:variant>
        <vt:lpwstr/>
      </vt:variant>
      <vt:variant>
        <vt:lpwstr>_Toc424650374</vt:lpwstr>
      </vt:variant>
      <vt:variant>
        <vt:i4>1310774</vt:i4>
      </vt:variant>
      <vt:variant>
        <vt:i4>1241</vt:i4>
      </vt:variant>
      <vt:variant>
        <vt:i4>0</vt:i4>
      </vt:variant>
      <vt:variant>
        <vt:i4>5</vt:i4>
      </vt:variant>
      <vt:variant>
        <vt:lpwstr/>
      </vt:variant>
      <vt:variant>
        <vt:lpwstr>_Toc424650373</vt:lpwstr>
      </vt:variant>
      <vt:variant>
        <vt:i4>1310774</vt:i4>
      </vt:variant>
      <vt:variant>
        <vt:i4>1235</vt:i4>
      </vt:variant>
      <vt:variant>
        <vt:i4>0</vt:i4>
      </vt:variant>
      <vt:variant>
        <vt:i4>5</vt:i4>
      </vt:variant>
      <vt:variant>
        <vt:lpwstr/>
      </vt:variant>
      <vt:variant>
        <vt:lpwstr>_Toc424650372</vt:lpwstr>
      </vt:variant>
      <vt:variant>
        <vt:i4>1310774</vt:i4>
      </vt:variant>
      <vt:variant>
        <vt:i4>1229</vt:i4>
      </vt:variant>
      <vt:variant>
        <vt:i4>0</vt:i4>
      </vt:variant>
      <vt:variant>
        <vt:i4>5</vt:i4>
      </vt:variant>
      <vt:variant>
        <vt:lpwstr/>
      </vt:variant>
      <vt:variant>
        <vt:lpwstr>_Toc424650371</vt:lpwstr>
      </vt:variant>
      <vt:variant>
        <vt:i4>1310774</vt:i4>
      </vt:variant>
      <vt:variant>
        <vt:i4>1223</vt:i4>
      </vt:variant>
      <vt:variant>
        <vt:i4>0</vt:i4>
      </vt:variant>
      <vt:variant>
        <vt:i4>5</vt:i4>
      </vt:variant>
      <vt:variant>
        <vt:lpwstr/>
      </vt:variant>
      <vt:variant>
        <vt:lpwstr>_Toc424650370</vt:lpwstr>
      </vt:variant>
      <vt:variant>
        <vt:i4>1376310</vt:i4>
      </vt:variant>
      <vt:variant>
        <vt:i4>1217</vt:i4>
      </vt:variant>
      <vt:variant>
        <vt:i4>0</vt:i4>
      </vt:variant>
      <vt:variant>
        <vt:i4>5</vt:i4>
      </vt:variant>
      <vt:variant>
        <vt:lpwstr/>
      </vt:variant>
      <vt:variant>
        <vt:lpwstr>_Toc424650369</vt:lpwstr>
      </vt:variant>
      <vt:variant>
        <vt:i4>1376310</vt:i4>
      </vt:variant>
      <vt:variant>
        <vt:i4>1211</vt:i4>
      </vt:variant>
      <vt:variant>
        <vt:i4>0</vt:i4>
      </vt:variant>
      <vt:variant>
        <vt:i4>5</vt:i4>
      </vt:variant>
      <vt:variant>
        <vt:lpwstr/>
      </vt:variant>
      <vt:variant>
        <vt:lpwstr>_Toc424650368</vt:lpwstr>
      </vt:variant>
      <vt:variant>
        <vt:i4>1376310</vt:i4>
      </vt:variant>
      <vt:variant>
        <vt:i4>1205</vt:i4>
      </vt:variant>
      <vt:variant>
        <vt:i4>0</vt:i4>
      </vt:variant>
      <vt:variant>
        <vt:i4>5</vt:i4>
      </vt:variant>
      <vt:variant>
        <vt:lpwstr/>
      </vt:variant>
      <vt:variant>
        <vt:lpwstr>_Toc424650367</vt:lpwstr>
      </vt:variant>
      <vt:variant>
        <vt:i4>1376310</vt:i4>
      </vt:variant>
      <vt:variant>
        <vt:i4>1199</vt:i4>
      </vt:variant>
      <vt:variant>
        <vt:i4>0</vt:i4>
      </vt:variant>
      <vt:variant>
        <vt:i4>5</vt:i4>
      </vt:variant>
      <vt:variant>
        <vt:lpwstr/>
      </vt:variant>
      <vt:variant>
        <vt:lpwstr>_Toc424650366</vt:lpwstr>
      </vt:variant>
      <vt:variant>
        <vt:i4>1376310</vt:i4>
      </vt:variant>
      <vt:variant>
        <vt:i4>1193</vt:i4>
      </vt:variant>
      <vt:variant>
        <vt:i4>0</vt:i4>
      </vt:variant>
      <vt:variant>
        <vt:i4>5</vt:i4>
      </vt:variant>
      <vt:variant>
        <vt:lpwstr/>
      </vt:variant>
      <vt:variant>
        <vt:lpwstr>_Toc424650365</vt:lpwstr>
      </vt:variant>
      <vt:variant>
        <vt:i4>1376310</vt:i4>
      </vt:variant>
      <vt:variant>
        <vt:i4>1187</vt:i4>
      </vt:variant>
      <vt:variant>
        <vt:i4>0</vt:i4>
      </vt:variant>
      <vt:variant>
        <vt:i4>5</vt:i4>
      </vt:variant>
      <vt:variant>
        <vt:lpwstr/>
      </vt:variant>
      <vt:variant>
        <vt:lpwstr>_Toc424650364</vt:lpwstr>
      </vt:variant>
      <vt:variant>
        <vt:i4>1376310</vt:i4>
      </vt:variant>
      <vt:variant>
        <vt:i4>1181</vt:i4>
      </vt:variant>
      <vt:variant>
        <vt:i4>0</vt:i4>
      </vt:variant>
      <vt:variant>
        <vt:i4>5</vt:i4>
      </vt:variant>
      <vt:variant>
        <vt:lpwstr/>
      </vt:variant>
      <vt:variant>
        <vt:lpwstr>_Toc424650363</vt:lpwstr>
      </vt:variant>
      <vt:variant>
        <vt:i4>1376310</vt:i4>
      </vt:variant>
      <vt:variant>
        <vt:i4>1175</vt:i4>
      </vt:variant>
      <vt:variant>
        <vt:i4>0</vt:i4>
      </vt:variant>
      <vt:variant>
        <vt:i4>5</vt:i4>
      </vt:variant>
      <vt:variant>
        <vt:lpwstr/>
      </vt:variant>
      <vt:variant>
        <vt:lpwstr>_Toc424650362</vt:lpwstr>
      </vt:variant>
      <vt:variant>
        <vt:i4>1376310</vt:i4>
      </vt:variant>
      <vt:variant>
        <vt:i4>1169</vt:i4>
      </vt:variant>
      <vt:variant>
        <vt:i4>0</vt:i4>
      </vt:variant>
      <vt:variant>
        <vt:i4>5</vt:i4>
      </vt:variant>
      <vt:variant>
        <vt:lpwstr/>
      </vt:variant>
      <vt:variant>
        <vt:lpwstr>_Toc424650361</vt:lpwstr>
      </vt:variant>
      <vt:variant>
        <vt:i4>1376310</vt:i4>
      </vt:variant>
      <vt:variant>
        <vt:i4>1163</vt:i4>
      </vt:variant>
      <vt:variant>
        <vt:i4>0</vt:i4>
      </vt:variant>
      <vt:variant>
        <vt:i4>5</vt:i4>
      </vt:variant>
      <vt:variant>
        <vt:lpwstr/>
      </vt:variant>
      <vt:variant>
        <vt:lpwstr>_Toc424650360</vt:lpwstr>
      </vt:variant>
      <vt:variant>
        <vt:i4>1441846</vt:i4>
      </vt:variant>
      <vt:variant>
        <vt:i4>1157</vt:i4>
      </vt:variant>
      <vt:variant>
        <vt:i4>0</vt:i4>
      </vt:variant>
      <vt:variant>
        <vt:i4>5</vt:i4>
      </vt:variant>
      <vt:variant>
        <vt:lpwstr/>
      </vt:variant>
      <vt:variant>
        <vt:lpwstr>_Toc424650359</vt:lpwstr>
      </vt:variant>
      <vt:variant>
        <vt:i4>1441846</vt:i4>
      </vt:variant>
      <vt:variant>
        <vt:i4>1151</vt:i4>
      </vt:variant>
      <vt:variant>
        <vt:i4>0</vt:i4>
      </vt:variant>
      <vt:variant>
        <vt:i4>5</vt:i4>
      </vt:variant>
      <vt:variant>
        <vt:lpwstr/>
      </vt:variant>
      <vt:variant>
        <vt:lpwstr>_Toc424650358</vt:lpwstr>
      </vt:variant>
      <vt:variant>
        <vt:i4>1441846</vt:i4>
      </vt:variant>
      <vt:variant>
        <vt:i4>1145</vt:i4>
      </vt:variant>
      <vt:variant>
        <vt:i4>0</vt:i4>
      </vt:variant>
      <vt:variant>
        <vt:i4>5</vt:i4>
      </vt:variant>
      <vt:variant>
        <vt:lpwstr/>
      </vt:variant>
      <vt:variant>
        <vt:lpwstr>_Toc424650357</vt:lpwstr>
      </vt:variant>
      <vt:variant>
        <vt:i4>1441846</vt:i4>
      </vt:variant>
      <vt:variant>
        <vt:i4>1139</vt:i4>
      </vt:variant>
      <vt:variant>
        <vt:i4>0</vt:i4>
      </vt:variant>
      <vt:variant>
        <vt:i4>5</vt:i4>
      </vt:variant>
      <vt:variant>
        <vt:lpwstr/>
      </vt:variant>
      <vt:variant>
        <vt:lpwstr>_Toc424650356</vt:lpwstr>
      </vt:variant>
      <vt:variant>
        <vt:i4>1441846</vt:i4>
      </vt:variant>
      <vt:variant>
        <vt:i4>1133</vt:i4>
      </vt:variant>
      <vt:variant>
        <vt:i4>0</vt:i4>
      </vt:variant>
      <vt:variant>
        <vt:i4>5</vt:i4>
      </vt:variant>
      <vt:variant>
        <vt:lpwstr/>
      </vt:variant>
      <vt:variant>
        <vt:lpwstr>_Toc424650355</vt:lpwstr>
      </vt:variant>
      <vt:variant>
        <vt:i4>1441846</vt:i4>
      </vt:variant>
      <vt:variant>
        <vt:i4>1127</vt:i4>
      </vt:variant>
      <vt:variant>
        <vt:i4>0</vt:i4>
      </vt:variant>
      <vt:variant>
        <vt:i4>5</vt:i4>
      </vt:variant>
      <vt:variant>
        <vt:lpwstr/>
      </vt:variant>
      <vt:variant>
        <vt:lpwstr>_Toc424650354</vt:lpwstr>
      </vt:variant>
      <vt:variant>
        <vt:i4>1441846</vt:i4>
      </vt:variant>
      <vt:variant>
        <vt:i4>1121</vt:i4>
      </vt:variant>
      <vt:variant>
        <vt:i4>0</vt:i4>
      </vt:variant>
      <vt:variant>
        <vt:i4>5</vt:i4>
      </vt:variant>
      <vt:variant>
        <vt:lpwstr/>
      </vt:variant>
      <vt:variant>
        <vt:lpwstr>_Toc424650353</vt:lpwstr>
      </vt:variant>
      <vt:variant>
        <vt:i4>1441846</vt:i4>
      </vt:variant>
      <vt:variant>
        <vt:i4>1115</vt:i4>
      </vt:variant>
      <vt:variant>
        <vt:i4>0</vt:i4>
      </vt:variant>
      <vt:variant>
        <vt:i4>5</vt:i4>
      </vt:variant>
      <vt:variant>
        <vt:lpwstr/>
      </vt:variant>
      <vt:variant>
        <vt:lpwstr>_Toc424650352</vt:lpwstr>
      </vt:variant>
      <vt:variant>
        <vt:i4>1441846</vt:i4>
      </vt:variant>
      <vt:variant>
        <vt:i4>1109</vt:i4>
      </vt:variant>
      <vt:variant>
        <vt:i4>0</vt:i4>
      </vt:variant>
      <vt:variant>
        <vt:i4>5</vt:i4>
      </vt:variant>
      <vt:variant>
        <vt:lpwstr/>
      </vt:variant>
      <vt:variant>
        <vt:lpwstr>_Toc424650351</vt:lpwstr>
      </vt:variant>
      <vt:variant>
        <vt:i4>1441846</vt:i4>
      </vt:variant>
      <vt:variant>
        <vt:i4>1103</vt:i4>
      </vt:variant>
      <vt:variant>
        <vt:i4>0</vt:i4>
      </vt:variant>
      <vt:variant>
        <vt:i4>5</vt:i4>
      </vt:variant>
      <vt:variant>
        <vt:lpwstr/>
      </vt:variant>
      <vt:variant>
        <vt:lpwstr>_Toc424650350</vt:lpwstr>
      </vt:variant>
      <vt:variant>
        <vt:i4>1507382</vt:i4>
      </vt:variant>
      <vt:variant>
        <vt:i4>1097</vt:i4>
      </vt:variant>
      <vt:variant>
        <vt:i4>0</vt:i4>
      </vt:variant>
      <vt:variant>
        <vt:i4>5</vt:i4>
      </vt:variant>
      <vt:variant>
        <vt:lpwstr/>
      </vt:variant>
      <vt:variant>
        <vt:lpwstr>_Toc424650349</vt:lpwstr>
      </vt:variant>
      <vt:variant>
        <vt:i4>1507382</vt:i4>
      </vt:variant>
      <vt:variant>
        <vt:i4>1091</vt:i4>
      </vt:variant>
      <vt:variant>
        <vt:i4>0</vt:i4>
      </vt:variant>
      <vt:variant>
        <vt:i4>5</vt:i4>
      </vt:variant>
      <vt:variant>
        <vt:lpwstr/>
      </vt:variant>
      <vt:variant>
        <vt:lpwstr>_Toc424650348</vt:lpwstr>
      </vt:variant>
      <vt:variant>
        <vt:i4>1507382</vt:i4>
      </vt:variant>
      <vt:variant>
        <vt:i4>1085</vt:i4>
      </vt:variant>
      <vt:variant>
        <vt:i4>0</vt:i4>
      </vt:variant>
      <vt:variant>
        <vt:i4>5</vt:i4>
      </vt:variant>
      <vt:variant>
        <vt:lpwstr/>
      </vt:variant>
      <vt:variant>
        <vt:lpwstr>_Toc424650347</vt:lpwstr>
      </vt:variant>
      <vt:variant>
        <vt:i4>1507382</vt:i4>
      </vt:variant>
      <vt:variant>
        <vt:i4>1079</vt:i4>
      </vt:variant>
      <vt:variant>
        <vt:i4>0</vt:i4>
      </vt:variant>
      <vt:variant>
        <vt:i4>5</vt:i4>
      </vt:variant>
      <vt:variant>
        <vt:lpwstr/>
      </vt:variant>
      <vt:variant>
        <vt:lpwstr>_Toc424650346</vt:lpwstr>
      </vt:variant>
      <vt:variant>
        <vt:i4>1507382</vt:i4>
      </vt:variant>
      <vt:variant>
        <vt:i4>1073</vt:i4>
      </vt:variant>
      <vt:variant>
        <vt:i4>0</vt:i4>
      </vt:variant>
      <vt:variant>
        <vt:i4>5</vt:i4>
      </vt:variant>
      <vt:variant>
        <vt:lpwstr/>
      </vt:variant>
      <vt:variant>
        <vt:lpwstr>_Toc424650345</vt:lpwstr>
      </vt:variant>
      <vt:variant>
        <vt:i4>1507382</vt:i4>
      </vt:variant>
      <vt:variant>
        <vt:i4>1067</vt:i4>
      </vt:variant>
      <vt:variant>
        <vt:i4>0</vt:i4>
      </vt:variant>
      <vt:variant>
        <vt:i4>5</vt:i4>
      </vt:variant>
      <vt:variant>
        <vt:lpwstr/>
      </vt:variant>
      <vt:variant>
        <vt:lpwstr>_Toc424650344</vt:lpwstr>
      </vt:variant>
      <vt:variant>
        <vt:i4>1179708</vt:i4>
      </vt:variant>
      <vt:variant>
        <vt:i4>1058</vt:i4>
      </vt:variant>
      <vt:variant>
        <vt:i4>0</vt:i4>
      </vt:variant>
      <vt:variant>
        <vt:i4>5</vt:i4>
      </vt:variant>
      <vt:variant>
        <vt:lpwstr/>
      </vt:variant>
      <vt:variant>
        <vt:lpwstr>_Toc424650917</vt:lpwstr>
      </vt:variant>
      <vt:variant>
        <vt:i4>1179708</vt:i4>
      </vt:variant>
      <vt:variant>
        <vt:i4>1052</vt:i4>
      </vt:variant>
      <vt:variant>
        <vt:i4>0</vt:i4>
      </vt:variant>
      <vt:variant>
        <vt:i4>5</vt:i4>
      </vt:variant>
      <vt:variant>
        <vt:lpwstr/>
      </vt:variant>
      <vt:variant>
        <vt:lpwstr>_Toc424650916</vt:lpwstr>
      </vt:variant>
      <vt:variant>
        <vt:i4>1179708</vt:i4>
      </vt:variant>
      <vt:variant>
        <vt:i4>1046</vt:i4>
      </vt:variant>
      <vt:variant>
        <vt:i4>0</vt:i4>
      </vt:variant>
      <vt:variant>
        <vt:i4>5</vt:i4>
      </vt:variant>
      <vt:variant>
        <vt:lpwstr/>
      </vt:variant>
      <vt:variant>
        <vt:lpwstr>_Toc424650915</vt:lpwstr>
      </vt:variant>
      <vt:variant>
        <vt:i4>1179708</vt:i4>
      </vt:variant>
      <vt:variant>
        <vt:i4>1040</vt:i4>
      </vt:variant>
      <vt:variant>
        <vt:i4>0</vt:i4>
      </vt:variant>
      <vt:variant>
        <vt:i4>5</vt:i4>
      </vt:variant>
      <vt:variant>
        <vt:lpwstr/>
      </vt:variant>
      <vt:variant>
        <vt:lpwstr>_Toc424650914</vt:lpwstr>
      </vt:variant>
      <vt:variant>
        <vt:i4>1179708</vt:i4>
      </vt:variant>
      <vt:variant>
        <vt:i4>1034</vt:i4>
      </vt:variant>
      <vt:variant>
        <vt:i4>0</vt:i4>
      </vt:variant>
      <vt:variant>
        <vt:i4>5</vt:i4>
      </vt:variant>
      <vt:variant>
        <vt:lpwstr/>
      </vt:variant>
      <vt:variant>
        <vt:lpwstr>_Toc424650913</vt:lpwstr>
      </vt:variant>
      <vt:variant>
        <vt:i4>1179708</vt:i4>
      </vt:variant>
      <vt:variant>
        <vt:i4>1028</vt:i4>
      </vt:variant>
      <vt:variant>
        <vt:i4>0</vt:i4>
      </vt:variant>
      <vt:variant>
        <vt:i4>5</vt:i4>
      </vt:variant>
      <vt:variant>
        <vt:lpwstr/>
      </vt:variant>
      <vt:variant>
        <vt:lpwstr>_Toc424650912</vt:lpwstr>
      </vt:variant>
      <vt:variant>
        <vt:i4>1179708</vt:i4>
      </vt:variant>
      <vt:variant>
        <vt:i4>1022</vt:i4>
      </vt:variant>
      <vt:variant>
        <vt:i4>0</vt:i4>
      </vt:variant>
      <vt:variant>
        <vt:i4>5</vt:i4>
      </vt:variant>
      <vt:variant>
        <vt:lpwstr/>
      </vt:variant>
      <vt:variant>
        <vt:lpwstr>_Toc424650911</vt:lpwstr>
      </vt:variant>
      <vt:variant>
        <vt:i4>1179708</vt:i4>
      </vt:variant>
      <vt:variant>
        <vt:i4>1016</vt:i4>
      </vt:variant>
      <vt:variant>
        <vt:i4>0</vt:i4>
      </vt:variant>
      <vt:variant>
        <vt:i4>5</vt:i4>
      </vt:variant>
      <vt:variant>
        <vt:lpwstr/>
      </vt:variant>
      <vt:variant>
        <vt:lpwstr>_Toc424650910</vt:lpwstr>
      </vt:variant>
      <vt:variant>
        <vt:i4>1245244</vt:i4>
      </vt:variant>
      <vt:variant>
        <vt:i4>1010</vt:i4>
      </vt:variant>
      <vt:variant>
        <vt:i4>0</vt:i4>
      </vt:variant>
      <vt:variant>
        <vt:i4>5</vt:i4>
      </vt:variant>
      <vt:variant>
        <vt:lpwstr/>
      </vt:variant>
      <vt:variant>
        <vt:lpwstr>_Toc424650909</vt:lpwstr>
      </vt:variant>
      <vt:variant>
        <vt:i4>1245244</vt:i4>
      </vt:variant>
      <vt:variant>
        <vt:i4>1004</vt:i4>
      </vt:variant>
      <vt:variant>
        <vt:i4>0</vt:i4>
      </vt:variant>
      <vt:variant>
        <vt:i4>5</vt:i4>
      </vt:variant>
      <vt:variant>
        <vt:lpwstr/>
      </vt:variant>
      <vt:variant>
        <vt:lpwstr>_Toc424650908</vt:lpwstr>
      </vt:variant>
      <vt:variant>
        <vt:i4>1245244</vt:i4>
      </vt:variant>
      <vt:variant>
        <vt:i4>998</vt:i4>
      </vt:variant>
      <vt:variant>
        <vt:i4>0</vt:i4>
      </vt:variant>
      <vt:variant>
        <vt:i4>5</vt:i4>
      </vt:variant>
      <vt:variant>
        <vt:lpwstr/>
      </vt:variant>
      <vt:variant>
        <vt:lpwstr>_Toc424650907</vt:lpwstr>
      </vt:variant>
      <vt:variant>
        <vt:i4>1245244</vt:i4>
      </vt:variant>
      <vt:variant>
        <vt:i4>992</vt:i4>
      </vt:variant>
      <vt:variant>
        <vt:i4>0</vt:i4>
      </vt:variant>
      <vt:variant>
        <vt:i4>5</vt:i4>
      </vt:variant>
      <vt:variant>
        <vt:lpwstr/>
      </vt:variant>
      <vt:variant>
        <vt:lpwstr>_Toc424650906</vt:lpwstr>
      </vt:variant>
      <vt:variant>
        <vt:i4>1245244</vt:i4>
      </vt:variant>
      <vt:variant>
        <vt:i4>986</vt:i4>
      </vt:variant>
      <vt:variant>
        <vt:i4>0</vt:i4>
      </vt:variant>
      <vt:variant>
        <vt:i4>5</vt:i4>
      </vt:variant>
      <vt:variant>
        <vt:lpwstr/>
      </vt:variant>
      <vt:variant>
        <vt:lpwstr>_Toc424650905</vt:lpwstr>
      </vt:variant>
      <vt:variant>
        <vt:i4>1245244</vt:i4>
      </vt:variant>
      <vt:variant>
        <vt:i4>980</vt:i4>
      </vt:variant>
      <vt:variant>
        <vt:i4>0</vt:i4>
      </vt:variant>
      <vt:variant>
        <vt:i4>5</vt:i4>
      </vt:variant>
      <vt:variant>
        <vt:lpwstr/>
      </vt:variant>
      <vt:variant>
        <vt:lpwstr>_Toc424650904</vt:lpwstr>
      </vt:variant>
      <vt:variant>
        <vt:i4>1245244</vt:i4>
      </vt:variant>
      <vt:variant>
        <vt:i4>974</vt:i4>
      </vt:variant>
      <vt:variant>
        <vt:i4>0</vt:i4>
      </vt:variant>
      <vt:variant>
        <vt:i4>5</vt:i4>
      </vt:variant>
      <vt:variant>
        <vt:lpwstr/>
      </vt:variant>
      <vt:variant>
        <vt:lpwstr>_Toc424650903</vt:lpwstr>
      </vt:variant>
      <vt:variant>
        <vt:i4>1245244</vt:i4>
      </vt:variant>
      <vt:variant>
        <vt:i4>968</vt:i4>
      </vt:variant>
      <vt:variant>
        <vt:i4>0</vt:i4>
      </vt:variant>
      <vt:variant>
        <vt:i4>5</vt:i4>
      </vt:variant>
      <vt:variant>
        <vt:lpwstr/>
      </vt:variant>
      <vt:variant>
        <vt:lpwstr>_Toc424650902</vt:lpwstr>
      </vt:variant>
      <vt:variant>
        <vt:i4>1245244</vt:i4>
      </vt:variant>
      <vt:variant>
        <vt:i4>962</vt:i4>
      </vt:variant>
      <vt:variant>
        <vt:i4>0</vt:i4>
      </vt:variant>
      <vt:variant>
        <vt:i4>5</vt:i4>
      </vt:variant>
      <vt:variant>
        <vt:lpwstr/>
      </vt:variant>
      <vt:variant>
        <vt:lpwstr>_Toc424650901</vt:lpwstr>
      </vt:variant>
      <vt:variant>
        <vt:i4>1245244</vt:i4>
      </vt:variant>
      <vt:variant>
        <vt:i4>956</vt:i4>
      </vt:variant>
      <vt:variant>
        <vt:i4>0</vt:i4>
      </vt:variant>
      <vt:variant>
        <vt:i4>5</vt:i4>
      </vt:variant>
      <vt:variant>
        <vt:lpwstr/>
      </vt:variant>
      <vt:variant>
        <vt:lpwstr>_Toc424650900</vt:lpwstr>
      </vt:variant>
      <vt:variant>
        <vt:i4>1703997</vt:i4>
      </vt:variant>
      <vt:variant>
        <vt:i4>950</vt:i4>
      </vt:variant>
      <vt:variant>
        <vt:i4>0</vt:i4>
      </vt:variant>
      <vt:variant>
        <vt:i4>5</vt:i4>
      </vt:variant>
      <vt:variant>
        <vt:lpwstr/>
      </vt:variant>
      <vt:variant>
        <vt:lpwstr>_Toc424650899</vt:lpwstr>
      </vt:variant>
      <vt:variant>
        <vt:i4>1703997</vt:i4>
      </vt:variant>
      <vt:variant>
        <vt:i4>944</vt:i4>
      </vt:variant>
      <vt:variant>
        <vt:i4>0</vt:i4>
      </vt:variant>
      <vt:variant>
        <vt:i4>5</vt:i4>
      </vt:variant>
      <vt:variant>
        <vt:lpwstr/>
      </vt:variant>
      <vt:variant>
        <vt:lpwstr>_Toc424650898</vt:lpwstr>
      </vt:variant>
      <vt:variant>
        <vt:i4>1703997</vt:i4>
      </vt:variant>
      <vt:variant>
        <vt:i4>938</vt:i4>
      </vt:variant>
      <vt:variant>
        <vt:i4>0</vt:i4>
      </vt:variant>
      <vt:variant>
        <vt:i4>5</vt:i4>
      </vt:variant>
      <vt:variant>
        <vt:lpwstr/>
      </vt:variant>
      <vt:variant>
        <vt:lpwstr>_Toc424650897</vt:lpwstr>
      </vt:variant>
      <vt:variant>
        <vt:i4>1703997</vt:i4>
      </vt:variant>
      <vt:variant>
        <vt:i4>932</vt:i4>
      </vt:variant>
      <vt:variant>
        <vt:i4>0</vt:i4>
      </vt:variant>
      <vt:variant>
        <vt:i4>5</vt:i4>
      </vt:variant>
      <vt:variant>
        <vt:lpwstr/>
      </vt:variant>
      <vt:variant>
        <vt:lpwstr>_Toc424650896</vt:lpwstr>
      </vt:variant>
      <vt:variant>
        <vt:i4>1703997</vt:i4>
      </vt:variant>
      <vt:variant>
        <vt:i4>926</vt:i4>
      </vt:variant>
      <vt:variant>
        <vt:i4>0</vt:i4>
      </vt:variant>
      <vt:variant>
        <vt:i4>5</vt:i4>
      </vt:variant>
      <vt:variant>
        <vt:lpwstr/>
      </vt:variant>
      <vt:variant>
        <vt:lpwstr>_Toc424650895</vt:lpwstr>
      </vt:variant>
      <vt:variant>
        <vt:i4>1703997</vt:i4>
      </vt:variant>
      <vt:variant>
        <vt:i4>920</vt:i4>
      </vt:variant>
      <vt:variant>
        <vt:i4>0</vt:i4>
      </vt:variant>
      <vt:variant>
        <vt:i4>5</vt:i4>
      </vt:variant>
      <vt:variant>
        <vt:lpwstr/>
      </vt:variant>
      <vt:variant>
        <vt:lpwstr>_Toc424650894</vt:lpwstr>
      </vt:variant>
      <vt:variant>
        <vt:i4>1703997</vt:i4>
      </vt:variant>
      <vt:variant>
        <vt:i4>914</vt:i4>
      </vt:variant>
      <vt:variant>
        <vt:i4>0</vt:i4>
      </vt:variant>
      <vt:variant>
        <vt:i4>5</vt:i4>
      </vt:variant>
      <vt:variant>
        <vt:lpwstr/>
      </vt:variant>
      <vt:variant>
        <vt:lpwstr>_Toc424650893</vt:lpwstr>
      </vt:variant>
      <vt:variant>
        <vt:i4>1703997</vt:i4>
      </vt:variant>
      <vt:variant>
        <vt:i4>908</vt:i4>
      </vt:variant>
      <vt:variant>
        <vt:i4>0</vt:i4>
      </vt:variant>
      <vt:variant>
        <vt:i4>5</vt:i4>
      </vt:variant>
      <vt:variant>
        <vt:lpwstr/>
      </vt:variant>
      <vt:variant>
        <vt:lpwstr>_Toc424650892</vt:lpwstr>
      </vt:variant>
      <vt:variant>
        <vt:i4>1703997</vt:i4>
      </vt:variant>
      <vt:variant>
        <vt:i4>902</vt:i4>
      </vt:variant>
      <vt:variant>
        <vt:i4>0</vt:i4>
      </vt:variant>
      <vt:variant>
        <vt:i4>5</vt:i4>
      </vt:variant>
      <vt:variant>
        <vt:lpwstr/>
      </vt:variant>
      <vt:variant>
        <vt:lpwstr>_Toc424650891</vt:lpwstr>
      </vt:variant>
      <vt:variant>
        <vt:i4>1703997</vt:i4>
      </vt:variant>
      <vt:variant>
        <vt:i4>896</vt:i4>
      </vt:variant>
      <vt:variant>
        <vt:i4>0</vt:i4>
      </vt:variant>
      <vt:variant>
        <vt:i4>5</vt:i4>
      </vt:variant>
      <vt:variant>
        <vt:lpwstr/>
      </vt:variant>
      <vt:variant>
        <vt:lpwstr>_Toc424650890</vt:lpwstr>
      </vt:variant>
      <vt:variant>
        <vt:i4>1769533</vt:i4>
      </vt:variant>
      <vt:variant>
        <vt:i4>890</vt:i4>
      </vt:variant>
      <vt:variant>
        <vt:i4>0</vt:i4>
      </vt:variant>
      <vt:variant>
        <vt:i4>5</vt:i4>
      </vt:variant>
      <vt:variant>
        <vt:lpwstr/>
      </vt:variant>
      <vt:variant>
        <vt:lpwstr>_Toc424650889</vt:lpwstr>
      </vt:variant>
      <vt:variant>
        <vt:i4>1769533</vt:i4>
      </vt:variant>
      <vt:variant>
        <vt:i4>884</vt:i4>
      </vt:variant>
      <vt:variant>
        <vt:i4>0</vt:i4>
      </vt:variant>
      <vt:variant>
        <vt:i4>5</vt:i4>
      </vt:variant>
      <vt:variant>
        <vt:lpwstr/>
      </vt:variant>
      <vt:variant>
        <vt:lpwstr>_Toc424650888</vt:lpwstr>
      </vt:variant>
      <vt:variant>
        <vt:i4>1769533</vt:i4>
      </vt:variant>
      <vt:variant>
        <vt:i4>878</vt:i4>
      </vt:variant>
      <vt:variant>
        <vt:i4>0</vt:i4>
      </vt:variant>
      <vt:variant>
        <vt:i4>5</vt:i4>
      </vt:variant>
      <vt:variant>
        <vt:lpwstr/>
      </vt:variant>
      <vt:variant>
        <vt:lpwstr>_Toc424650887</vt:lpwstr>
      </vt:variant>
      <vt:variant>
        <vt:i4>1769533</vt:i4>
      </vt:variant>
      <vt:variant>
        <vt:i4>872</vt:i4>
      </vt:variant>
      <vt:variant>
        <vt:i4>0</vt:i4>
      </vt:variant>
      <vt:variant>
        <vt:i4>5</vt:i4>
      </vt:variant>
      <vt:variant>
        <vt:lpwstr/>
      </vt:variant>
      <vt:variant>
        <vt:lpwstr>_Toc424650886</vt:lpwstr>
      </vt:variant>
      <vt:variant>
        <vt:i4>1769533</vt:i4>
      </vt:variant>
      <vt:variant>
        <vt:i4>866</vt:i4>
      </vt:variant>
      <vt:variant>
        <vt:i4>0</vt:i4>
      </vt:variant>
      <vt:variant>
        <vt:i4>5</vt:i4>
      </vt:variant>
      <vt:variant>
        <vt:lpwstr/>
      </vt:variant>
      <vt:variant>
        <vt:lpwstr>_Toc424650885</vt:lpwstr>
      </vt:variant>
      <vt:variant>
        <vt:i4>1769533</vt:i4>
      </vt:variant>
      <vt:variant>
        <vt:i4>860</vt:i4>
      </vt:variant>
      <vt:variant>
        <vt:i4>0</vt:i4>
      </vt:variant>
      <vt:variant>
        <vt:i4>5</vt:i4>
      </vt:variant>
      <vt:variant>
        <vt:lpwstr/>
      </vt:variant>
      <vt:variant>
        <vt:lpwstr>_Toc424650884</vt:lpwstr>
      </vt:variant>
      <vt:variant>
        <vt:i4>1769533</vt:i4>
      </vt:variant>
      <vt:variant>
        <vt:i4>854</vt:i4>
      </vt:variant>
      <vt:variant>
        <vt:i4>0</vt:i4>
      </vt:variant>
      <vt:variant>
        <vt:i4>5</vt:i4>
      </vt:variant>
      <vt:variant>
        <vt:lpwstr/>
      </vt:variant>
      <vt:variant>
        <vt:lpwstr>_Toc424650883</vt:lpwstr>
      </vt:variant>
      <vt:variant>
        <vt:i4>1769533</vt:i4>
      </vt:variant>
      <vt:variant>
        <vt:i4>848</vt:i4>
      </vt:variant>
      <vt:variant>
        <vt:i4>0</vt:i4>
      </vt:variant>
      <vt:variant>
        <vt:i4>5</vt:i4>
      </vt:variant>
      <vt:variant>
        <vt:lpwstr/>
      </vt:variant>
      <vt:variant>
        <vt:lpwstr>_Toc424650882</vt:lpwstr>
      </vt:variant>
      <vt:variant>
        <vt:i4>1769533</vt:i4>
      </vt:variant>
      <vt:variant>
        <vt:i4>842</vt:i4>
      </vt:variant>
      <vt:variant>
        <vt:i4>0</vt:i4>
      </vt:variant>
      <vt:variant>
        <vt:i4>5</vt:i4>
      </vt:variant>
      <vt:variant>
        <vt:lpwstr/>
      </vt:variant>
      <vt:variant>
        <vt:lpwstr>_Toc424650881</vt:lpwstr>
      </vt:variant>
      <vt:variant>
        <vt:i4>1769533</vt:i4>
      </vt:variant>
      <vt:variant>
        <vt:i4>836</vt:i4>
      </vt:variant>
      <vt:variant>
        <vt:i4>0</vt:i4>
      </vt:variant>
      <vt:variant>
        <vt:i4>5</vt:i4>
      </vt:variant>
      <vt:variant>
        <vt:lpwstr/>
      </vt:variant>
      <vt:variant>
        <vt:lpwstr>_Toc424650880</vt:lpwstr>
      </vt:variant>
      <vt:variant>
        <vt:i4>1310781</vt:i4>
      </vt:variant>
      <vt:variant>
        <vt:i4>830</vt:i4>
      </vt:variant>
      <vt:variant>
        <vt:i4>0</vt:i4>
      </vt:variant>
      <vt:variant>
        <vt:i4>5</vt:i4>
      </vt:variant>
      <vt:variant>
        <vt:lpwstr/>
      </vt:variant>
      <vt:variant>
        <vt:lpwstr>_Toc424650879</vt:lpwstr>
      </vt:variant>
      <vt:variant>
        <vt:i4>1310781</vt:i4>
      </vt:variant>
      <vt:variant>
        <vt:i4>824</vt:i4>
      </vt:variant>
      <vt:variant>
        <vt:i4>0</vt:i4>
      </vt:variant>
      <vt:variant>
        <vt:i4>5</vt:i4>
      </vt:variant>
      <vt:variant>
        <vt:lpwstr/>
      </vt:variant>
      <vt:variant>
        <vt:lpwstr>_Toc424650878</vt:lpwstr>
      </vt:variant>
      <vt:variant>
        <vt:i4>1310781</vt:i4>
      </vt:variant>
      <vt:variant>
        <vt:i4>818</vt:i4>
      </vt:variant>
      <vt:variant>
        <vt:i4>0</vt:i4>
      </vt:variant>
      <vt:variant>
        <vt:i4>5</vt:i4>
      </vt:variant>
      <vt:variant>
        <vt:lpwstr/>
      </vt:variant>
      <vt:variant>
        <vt:lpwstr>_Toc424650877</vt:lpwstr>
      </vt:variant>
      <vt:variant>
        <vt:i4>1310781</vt:i4>
      </vt:variant>
      <vt:variant>
        <vt:i4>812</vt:i4>
      </vt:variant>
      <vt:variant>
        <vt:i4>0</vt:i4>
      </vt:variant>
      <vt:variant>
        <vt:i4>5</vt:i4>
      </vt:variant>
      <vt:variant>
        <vt:lpwstr/>
      </vt:variant>
      <vt:variant>
        <vt:lpwstr>_Toc424650876</vt:lpwstr>
      </vt:variant>
      <vt:variant>
        <vt:i4>1310781</vt:i4>
      </vt:variant>
      <vt:variant>
        <vt:i4>806</vt:i4>
      </vt:variant>
      <vt:variant>
        <vt:i4>0</vt:i4>
      </vt:variant>
      <vt:variant>
        <vt:i4>5</vt:i4>
      </vt:variant>
      <vt:variant>
        <vt:lpwstr/>
      </vt:variant>
      <vt:variant>
        <vt:lpwstr>_Toc424650875</vt:lpwstr>
      </vt:variant>
      <vt:variant>
        <vt:i4>1310781</vt:i4>
      </vt:variant>
      <vt:variant>
        <vt:i4>800</vt:i4>
      </vt:variant>
      <vt:variant>
        <vt:i4>0</vt:i4>
      </vt:variant>
      <vt:variant>
        <vt:i4>5</vt:i4>
      </vt:variant>
      <vt:variant>
        <vt:lpwstr/>
      </vt:variant>
      <vt:variant>
        <vt:lpwstr>_Toc424650874</vt:lpwstr>
      </vt:variant>
      <vt:variant>
        <vt:i4>1310781</vt:i4>
      </vt:variant>
      <vt:variant>
        <vt:i4>794</vt:i4>
      </vt:variant>
      <vt:variant>
        <vt:i4>0</vt:i4>
      </vt:variant>
      <vt:variant>
        <vt:i4>5</vt:i4>
      </vt:variant>
      <vt:variant>
        <vt:lpwstr/>
      </vt:variant>
      <vt:variant>
        <vt:lpwstr>_Toc424650873</vt:lpwstr>
      </vt:variant>
      <vt:variant>
        <vt:i4>1310781</vt:i4>
      </vt:variant>
      <vt:variant>
        <vt:i4>788</vt:i4>
      </vt:variant>
      <vt:variant>
        <vt:i4>0</vt:i4>
      </vt:variant>
      <vt:variant>
        <vt:i4>5</vt:i4>
      </vt:variant>
      <vt:variant>
        <vt:lpwstr/>
      </vt:variant>
      <vt:variant>
        <vt:lpwstr>_Toc424650872</vt:lpwstr>
      </vt:variant>
      <vt:variant>
        <vt:i4>1310781</vt:i4>
      </vt:variant>
      <vt:variant>
        <vt:i4>782</vt:i4>
      </vt:variant>
      <vt:variant>
        <vt:i4>0</vt:i4>
      </vt:variant>
      <vt:variant>
        <vt:i4>5</vt:i4>
      </vt:variant>
      <vt:variant>
        <vt:lpwstr/>
      </vt:variant>
      <vt:variant>
        <vt:lpwstr>_Toc424650871</vt:lpwstr>
      </vt:variant>
      <vt:variant>
        <vt:i4>1310781</vt:i4>
      </vt:variant>
      <vt:variant>
        <vt:i4>776</vt:i4>
      </vt:variant>
      <vt:variant>
        <vt:i4>0</vt:i4>
      </vt:variant>
      <vt:variant>
        <vt:i4>5</vt:i4>
      </vt:variant>
      <vt:variant>
        <vt:lpwstr/>
      </vt:variant>
      <vt:variant>
        <vt:lpwstr>_Toc424650870</vt:lpwstr>
      </vt:variant>
      <vt:variant>
        <vt:i4>1376317</vt:i4>
      </vt:variant>
      <vt:variant>
        <vt:i4>770</vt:i4>
      </vt:variant>
      <vt:variant>
        <vt:i4>0</vt:i4>
      </vt:variant>
      <vt:variant>
        <vt:i4>5</vt:i4>
      </vt:variant>
      <vt:variant>
        <vt:lpwstr/>
      </vt:variant>
      <vt:variant>
        <vt:lpwstr>_Toc424650869</vt:lpwstr>
      </vt:variant>
      <vt:variant>
        <vt:i4>1376317</vt:i4>
      </vt:variant>
      <vt:variant>
        <vt:i4>764</vt:i4>
      </vt:variant>
      <vt:variant>
        <vt:i4>0</vt:i4>
      </vt:variant>
      <vt:variant>
        <vt:i4>5</vt:i4>
      </vt:variant>
      <vt:variant>
        <vt:lpwstr/>
      </vt:variant>
      <vt:variant>
        <vt:lpwstr>_Toc424650868</vt:lpwstr>
      </vt:variant>
      <vt:variant>
        <vt:i4>1376317</vt:i4>
      </vt:variant>
      <vt:variant>
        <vt:i4>758</vt:i4>
      </vt:variant>
      <vt:variant>
        <vt:i4>0</vt:i4>
      </vt:variant>
      <vt:variant>
        <vt:i4>5</vt:i4>
      </vt:variant>
      <vt:variant>
        <vt:lpwstr/>
      </vt:variant>
      <vt:variant>
        <vt:lpwstr>_Toc424650867</vt:lpwstr>
      </vt:variant>
      <vt:variant>
        <vt:i4>1376317</vt:i4>
      </vt:variant>
      <vt:variant>
        <vt:i4>752</vt:i4>
      </vt:variant>
      <vt:variant>
        <vt:i4>0</vt:i4>
      </vt:variant>
      <vt:variant>
        <vt:i4>5</vt:i4>
      </vt:variant>
      <vt:variant>
        <vt:lpwstr/>
      </vt:variant>
      <vt:variant>
        <vt:lpwstr>_Toc424650866</vt:lpwstr>
      </vt:variant>
      <vt:variant>
        <vt:i4>1376317</vt:i4>
      </vt:variant>
      <vt:variant>
        <vt:i4>746</vt:i4>
      </vt:variant>
      <vt:variant>
        <vt:i4>0</vt:i4>
      </vt:variant>
      <vt:variant>
        <vt:i4>5</vt:i4>
      </vt:variant>
      <vt:variant>
        <vt:lpwstr/>
      </vt:variant>
      <vt:variant>
        <vt:lpwstr>_Toc424650865</vt:lpwstr>
      </vt:variant>
      <vt:variant>
        <vt:i4>1376317</vt:i4>
      </vt:variant>
      <vt:variant>
        <vt:i4>740</vt:i4>
      </vt:variant>
      <vt:variant>
        <vt:i4>0</vt:i4>
      </vt:variant>
      <vt:variant>
        <vt:i4>5</vt:i4>
      </vt:variant>
      <vt:variant>
        <vt:lpwstr/>
      </vt:variant>
      <vt:variant>
        <vt:lpwstr>_Toc424650864</vt:lpwstr>
      </vt:variant>
      <vt:variant>
        <vt:i4>1376317</vt:i4>
      </vt:variant>
      <vt:variant>
        <vt:i4>734</vt:i4>
      </vt:variant>
      <vt:variant>
        <vt:i4>0</vt:i4>
      </vt:variant>
      <vt:variant>
        <vt:i4>5</vt:i4>
      </vt:variant>
      <vt:variant>
        <vt:lpwstr/>
      </vt:variant>
      <vt:variant>
        <vt:lpwstr>_Toc424650863</vt:lpwstr>
      </vt:variant>
      <vt:variant>
        <vt:i4>1376317</vt:i4>
      </vt:variant>
      <vt:variant>
        <vt:i4>728</vt:i4>
      </vt:variant>
      <vt:variant>
        <vt:i4>0</vt:i4>
      </vt:variant>
      <vt:variant>
        <vt:i4>5</vt:i4>
      </vt:variant>
      <vt:variant>
        <vt:lpwstr/>
      </vt:variant>
      <vt:variant>
        <vt:lpwstr>_Toc424650862</vt:lpwstr>
      </vt:variant>
      <vt:variant>
        <vt:i4>1376317</vt:i4>
      </vt:variant>
      <vt:variant>
        <vt:i4>722</vt:i4>
      </vt:variant>
      <vt:variant>
        <vt:i4>0</vt:i4>
      </vt:variant>
      <vt:variant>
        <vt:i4>5</vt:i4>
      </vt:variant>
      <vt:variant>
        <vt:lpwstr/>
      </vt:variant>
      <vt:variant>
        <vt:lpwstr>_Toc424650861</vt:lpwstr>
      </vt:variant>
      <vt:variant>
        <vt:i4>1376317</vt:i4>
      </vt:variant>
      <vt:variant>
        <vt:i4>716</vt:i4>
      </vt:variant>
      <vt:variant>
        <vt:i4>0</vt:i4>
      </vt:variant>
      <vt:variant>
        <vt:i4>5</vt:i4>
      </vt:variant>
      <vt:variant>
        <vt:lpwstr/>
      </vt:variant>
      <vt:variant>
        <vt:lpwstr>_Toc424650860</vt:lpwstr>
      </vt:variant>
      <vt:variant>
        <vt:i4>1441853</vt:i4>
      </vt:variant>
      <vt:variant>
        <vt:i4>710</vt:i4>
      </vt:variant>
      <vt:variant>
        <vt:i4>0</vt:i4>
      </vt:variant>
      <vt:variant>
        <vt:i4>5</vt:i4>
      </vt:variant>
      <vt:variant>
        <vt:lpwstr/>
      </vt:variant>
      <vt:variant>
        <vt:lpwstr>_Toc424650859</vt:lpwstr>
      </vt:variant>
      <vt:variant>
        <vt:i4>1441853</vt:i4>
      </vt:variant>
      <vt:variant>
        <vt:i4>704</vt:i4>
      </vt:variant>
      <vt:variant>
        <vt:i4>0</vt:i4>
      </vt:variant>
      <vt:variant>
        <vt:i4>5</vt:i4>
      </vt:variant>
      <vt:variant>
        <vt:lpwstr/>
      </vt:variant>
      <vt:variant>
        <vt:lpwstr>_Toc424650858</vt:lpwstr>
      </vt:variant>
      <vt:variant>
        <vt:i4>1441853</vt:i4>
      </vt:variant>
      <vt:variant>
        <vt:i4>698</vt:i4>
      </vt:variant>
      <vt:variant>
        <vt:i4>0</vt:i4>
      </vt:variant>
      <vt:variant>
        <vt:i4>5</vt:i4>
      </vt:variant>
      <vt:variant>
        <vt:lpwstr/>
      </vt:variant>
      <vt:variant>
        <vt:lpwstr>_Toc424650857</vt:lpwstr>
      </vt:variant>
      <vt:variant>
        <vt:i4>1441853</vt:i4>
      </vt:variant>
      <vt:variant>
        <vt:i4>692</vt:i4>
      </vt:variant>
      <vt:variant>
        <vt:i4>0</vt:i4>
      </vt:variant>
      <vt:variant>
        <vt:i4>5</vt:i4>
      </vt:variant>
      <vt:variant>
        <vt:lpwstr/>
      </vt:variant>
      <vt:variant>
        <vt:lpwstr>_Toc424650856</vt:lpwstr>
      </vt:variant>
      <vt:variant>
        <vt:i4>1441853</vt:i4>
      </vt:variant>
      <vt:variant>
        <vt:i4>686</vt:i4>
      </vt:variant>
      <vt:variant>
        <vt:i4>0</vt:i4>
      </vt:variant>
      <vt:variant>
        <vt:i4>5</vt:i4>
      </vt:variant>
      <vt:variant>
        <vt:lpwstr/>
      </vt:variant>
      <vt:variant>
        <vt:lpwstr>_Toc424650855</vt:lpwstr>
      </vt:variant>
      <vt:variant>
        <vt:i4>1441853</vt:i4>
      </vt:variant>
      <vt:variant>
        <vt:i4>680</vt:i4>
      </vt:variant>
      <vt:variant>
        <vt:i4>0</vt:i4>
      </vt:variant>
      <vt:variant>
        <vt:i4>5</vt:i4>
      </vt:variant>
      <vt:variant>
        <vt:lpwstr/>
      </vt:variant>
      <vt:variant>
        <vt:lpwstr>_Toc424650854</vt:lpwstr>
      </vt:variant>
      <vt:variant>
        <vt:i4>1441853</vt:i4>
      </vt:variant>
      <vt:variant>
        <vt:i4>674</vt:i4>
      </vt:variant>
      <vt:variant>
        <vt:i4>0</vt:i4>
      </vt:variant>
      <vt:variant>
        <vt:i4>5</vt:i4>
      </vt:variant>
      <vt:variant>
        <vt:lpwstr/>
      </vt:variant>
      <vt:variant>
        <vt:lpwstr>_Toc424650853</vt:lpwstr>
      </vt:variant>
      <vt:variant>
        <vt:i4>1441853</vt:i4>
      </vt:variant>
      <vt:variant>
        <vt:i4>668</vt:i4>
      </vt:variant>
      <vt:variant>
        <vt:i4>0</vt:i4>
      </vt:variant>
      <vt:variant>
        <vt:i4>5</vt:i4>
      </vt:variant>
      <vt:variant>
        <vt:lpwstr/>
      </vt:variant>
      <vt:variant>
        <vt:lpwstr>_Toc424650852</vt:lpwstr>
      </vt:variant>
      <vt:variant>
        <vt:i4>1441853</vt:i4>
      </vt:variant>
      <vt:variant>
        <vt:i4>662</vt:i4>
      </vt:variant>
      <vt:variant>
        <vt:i4>0</vt:i4>
      </vt:variant>
      <vt:variant>
        <vt:i4>5</vt:i4>
      </vt:variant>
      <vt:variant>
        <vt:lpwstr/>
      </vt:variant>
      <vt:variant>
        <vt:lpwstr>_Toc424650851</vt:lpwstr>
      </vt:variant>
      <vt:variant>
        <vt:i4>1441853</vt:i4>
      </vt:variant>
      <vt:variant>
        <vt:i4>656</vt:i4>
      </vt:variant>
      <vt:variant>
        <vt:i4>0</vt:i4>
      </vt:variant>
      <vt:variant>
        <vt:i4>5</vt:i4>
      </vt:variant>
      <vt:variant>
        <vt:lpwstr/>
      </vt:variant>
      <vt:variant>
        <vt:lpwstr>_Toc424650850</vt:lpwstr>
      </vt:variant>
      <vt:variant>
        <vt:i4>1507389</vt:i4>
      </vt:variant>
      <vt:variant>
        <vt:i4>650</vt:i4>
      </vt:variant>
      <vt:variant>
        <vt:i4>0</vt:i4>
      </vt:variant>
      <vt:variant>
        <vt:i4>5</vt:i4>
      </vt:variant>
      <vt:variant>
        <vt:lpwstr/>
      </vt:variant>
      <vt:variant>
        <vt:lpwstr>_Toc424650849</vt:lpwstr>
      </vt:variant>
      <vt:variant>
        <vt:i4>1507389</vt:i4>
      </vt:variant>
      <vt:variant>
        <vt:i4>644</vt:i4>
      </vt:variant>
      <vt:variant>
        <vt:i4>0</vt:i4>
      </vt:variant>
      <vt:variant>
        <vt:i4>5</vt:i4>
      </vt:variant>
      <vt:variant>
        <vt:lpwstr/>
      </vt:variant>
      <vt:variant>
        <vt:lpwstr>_Toc424650848</vt:lpwstr>
      </vt:variant>
      <vt:variant>
        <vt:i4>1507389</vt:i4>
      </vt:variant>
      <vt:variant>
        <vt:i4>638</vt:i4>
      </vt:variant>
      <vt:variant>
        <vt:i4>0</vt:i4>
      </vt:variant>
      <vt:variant>
        <vt:i4>5</vt:i4>
      </vt:variant>
      <vt:variant>
        <vt:lpwstr/>
      </vt:variant>
      <vt:variant>
        <vt:lpwstr>_Toc424650847</vt:lpwstr>
      </vt:variant>
      <vt:variant>
        <vt:i4>1507389</vt:i4>
      </vt:variant>
      <vt:variant>
        <vt:i4>632</vt:i4>
      </vt:variant>
      <vt:variant>
        <vt:i4>0</vt:i4>
      </vt:variant>
      <vt:variant>
        <vt:i4>5</vt:i4>
      </vt:variant>
      <vt:variant>
        <vt:lpwstr/>
      </vt:variant>
      <vt:variant>
        <vt:lpwstr>_Toc424650846</vt:lpwstr>
      </vt:variant>
      <vt:variant>
        <vt:i4>1507389</vt:i4>
      </vt:variant>
      <vt:variant>
        <vt:i4>626</vt:i4>
      </vt:variant>
      <vt:variant>
        <vt:i4>0</vt:i4>
      </vt:variant>
      <vt:variant>
        <vt:i4>5</vt:i4>
      </vt:variant>
      <vt:variant>
        <vt:lpwstr/>
      </vt:variant>
      <vt:variant>
        <vt:lpwstr>_Toc424650845</vt:lpwstr>
      </vt:variant>
      <vt:variant>
        <vt:i4>1507389</vt:i4>
      </vt:variant>
      <vt:variant>
        <vt:i4>620</vt:i4>
      </vt:variant>
      <vt:variant>
        <vt:i4>0</vt:i4>
      </vt:variant>
      <vt:variant>
        <vt:i4>5</vt:i4>
      </vt:variant>
      <vt:variant>
        <vt:lpwstr/>
      </vt:variant>
      <vt:variant>
        <vt:lpwstr>_Toc424650844</vt:lpwstr>
      </vt:variant>
      <vt:variant>
        <vt:i4>1507389</vt:i4>
      </vt:variant>
      <vt:variant>
        <vt:i4>614</vt:i4>
      </vt:variant>
      <vt:variant>
        <vt:i4>0</vt:i4>
      </vt:variant>
      <vt:variant>
        <vt:i4>5</vt:i4>
      </vt:variant>
      <vt:variant>
        <vt:lpwstr/>
      </vt:variant>
      <vt:variant>
        <vt:lpwstr>_Toc424650843</vt:lpwstr>
      </vt:variant>
      <vt:variant>
        <vt:i4>1507389</vt:i4>
      </vt:variant>
      <vt:variant>
        <vt:i4>608</vt:i4>
      </vt:variant>
      <vt:variant>
        <vt:i4>0</vt:i4>
      </vt:variant>
      <vt:variant>
        <vt:i4>5</vt:i4>
      </vt:variant>
      <vt:variant>
        <vt:lpwstr/>
      </vt:variant>
      <vt:variant>
        <vt:lpwstr>_Toc424650842</vt:lpwstr>
      </vt:variant>
      <vt:variant>
        <vt:i4>1507389</vt:i4>
      </vt:variant>
      <vt:variant>
        <vt:i4>602</vt:i4>
      </vt:variant>
      <vt:variant>
        <vt:i4>0</vt:i4>
      </vt:variant>
      <vt:variant>
        <vt:i4>5</vt:i4>
      </vt:variant>
      <vt:variant>
        <vt:lpwstr/>
      </vt:variant>
      <vt:variant>
        <vt:lpwstr>_Toc424650841</vt:lpwstr>
      </vt:variant>
      <vt:variant>
        <vt:i4>1507389</vt:i4>
      </vt:variant>
      <vt:variant>
        <vt:i4>596</vt:i4>
      </vt:variant>
      <vt:variant>
        <vt:i4>0</vt:i4>
      </vt:variant>
      <vt:variant>
        <vt:i4>5</vt:i4>
      </vt:variant>
      <vt:variant>
        <vt:lpwstr/>
      </vt:variant>
      <vt:variant>
        <vt:lpwstr>_Toc424650840</vt:lpwstr>
      </vt:variant>
      <vt:variant>
        <vt:i4>1048637</vt:i4>
      </vt:variant>
      <vt:variant>
        <vt:i4>590</vt:i4>
      </vt:variant>
      <vt:variant>
        <vt:i4>0</vt:i4>
      </vt:variant>
      <vt:variant>
        <vt:i4>5</vt:i4>
      </vt:variant>
      <vt:variant>
        <vt:lpwstr/>
      </vt:variant>
      <vt:variant>
        <vt:lpwstr>_Toc424650839</vt:lpwstr>
      </vt:variant>
      <vt:variant>
        <vt:i4>1048637</vt:i4>
      </vt:variant>
      <vt:variant>
        <vt:i4>584</vt:i4>
      </vt:variant>
      <vt:variant>
        <vt:i4>0</vt:i4>
      </vt:variant>
      <vt:variant>
        <vt:i4>5</vt:i4>
      </vt:variant>
      <vt:variant>
        <vt:lpwstr/>
      </vt:variant>
      <vt:variant>
        <vt:lpwstr>_Toc424650838</vt:lpwstr>
      </vt:variant>
      <vt:variant>
        <vt:i4>1048637</vt:i4>
      </vt:variant>
      <vt:variant>
        <vt:i4>578</vt:i4>
      </vt:variant>
      <vt:variant>
        <vt:i4>0</vt:i4>
      </vt:variant>
      <vt:variant>
        <vt:i4>5</vt:i4>
      </vt:variant>
      <vt:variant>
        <vt:lpwstr/>
      </vt:variant>
      <vt:variant>
        <vt:lpwstr>_Toc424650837</vt:lpwstr>
      </vt:variant>
      <vt:variant>
        <vt:i4>1048637</vt:i4>
      </vt:variant>
      <vt:variant>
        <vt:i4>572</vt:i4>
      </vt:variant>
      <vt:variant>
        <vt:i4>0</vt:i4>
      </vt:variant>
      <vt:variant>
        <vt:i4>5</vt:i4>
      </vt:variant>
      <vt:variant>
        <vt:lpwstr/>
      </vt:variant>
      <vt:variant>
        <vt:lpwstr>_Toc424650836</vt:lpwstr>
      </vt:variant>
      <vt:variant>
        <vt:i4>1048637</vt:i4>
      </vt:variant>
      <vt:variant>
        <vt:i4>566</vt:i4>
      </vt:variant>
      <vt:variant>
        <vt:i4>0</vt:i4>
      </vt:variant>
      <vt:variant>
        <vt:i4>5</vt:i4>
      </vt:variant>
      <vt:variant>
        <vt:lpwstr/>
      </vt:variant>
      <vt:variant>
        <vt:lpwstr>_Toc424650835</vt:lpwstr>
      </vt:variant>
      <vt:variant>
        <vt:i4>1048637</vt:i4>
      </vt:variant>
      <vt:variant>
        <vt:i4>560</vt:i4>
      </vt:variant>
      <vt:variant>
        <vt:i4>0</vt:i4>
      </vt:variant>
      <vt:variant>
        <vt:i4>5</vt:i4>
      </vt:variant>
      <vt:variant>
        <vt:lpwstr/>
      </vt:variant>
      <vt:variant>
        <vt:lpwstr>_Toc424650834</vt:lpwstr>
      </vt:variant>
      <vt:variant>
        <vt:i4>1048637</vt:i4>
      </vt:variant>
      <vt:variant>
        <vt:i4>554</vt:i4>
      </vt:variant>
      <vt:variant>
        <vt:i4>0</vt:i4>
      </vt:variant>
      <vt:variant>
        <vt:i4>5</vt:i4>
      </vt:variant>
      <vt:variant>
        <vt:lpwstr/>
      </vt:variant>
      <vt:variant>
        <vt:lpwstr>_Toc424650833</vt:lpwstr>
      </vt:variant>
      <vt:variant>
        <vt:i4>1048637</vt:i4>
      </vt:variant>
      <vt:variant>
        <vt:i4>548</vt:i4>
      </vt:variant>
      <vt:variant>
        <vt:i4>0</vt:i4>
      </vt:variant>
      <vt:variant>
        <vt:i4>5</vt:i4>
      </vt:variant>
      <vt:variant>
        <vt:lpwstr/>
      </vt:variant>
      <vt:variant>
        <vt:lpwstr>_Toc424650832</vt:lpwstr>
      </vt:variant>
      <vt:variant>
        <vt:i4>1048637</vt:i4>
      </vt:variant>
      <vt:variant>
        <vt:i4>542</vt:i4>
      </vt:variant>
      <vt:variant>
        <vt:i4>0</vt:i4>
      </vt:variant>
      <vt:variant>
        <vt:i4>5</vt:i4>
      </vt:variant>
      <vt:variant>
        <vt:lpwstr/>
      </vt:variant>
      <vt:variant>
        <vt:lpwstr>_Toc424650831</vt:lpwstr>
      </vt:variant>
      <vt:variant>
        <vt:i4>1048637</vt:i4>
      </vt:variant>
      <vt:variant>
        <vt:i4>536</vt:i4>
      </vt:variant>
      <vt:variant>
        <vt:i4>0</vt:i4>
      </vt:variant>
      <vt:variant>
        <vt:i4>5</vt:i4>
      </vt:variant>
      <vt:variant>
        <vt:lpwstr/>
      </vt:variant>
      <vt:variant>
        <vt:lpwstr>_Toc424650830</vt:lpwstr>
      </vt:variant>
      <vt:variant>
        <vt:i4>1114173</vt:i4>
      </vt:variant>
      <vt:variant>
        <vt:i4>530</vt:i4>
      </vt:variant>
      <vt:variant>
        <vt:i4>0</vt:i4>
      </vt:variant>
      <vt:variant>
        <vt:i4>5</vt:i4>
      </vt:variant>
      <vt:variant>
        <vt:lpwstr/>
      </vt:variant>
      <vt:variant>
        <vt:lpwstr>_Toc424650829</vt:lpwstr>
      </vt:variant>
      <vt:variant>
        <vt:i4>1114173</vt:i4>
      </vt:variant>
      <vt:variant>
        <vt:i4>524</vt:i4>
      </vt:variant>
      <vt:variant>
        <vt:i4>0</vt:i4>
      </vt:variant>
      <vt:variant>
        <vt:i4>5</vt:i4>
      </vt:variant>
      <vt:variant>
        <vt:lpwstr/>
      </vt:variant>
      <vt:variant>
        <vt:lpwstr>_Toc424650828</vt:lpwstr>
      </vt:variant>
      <vt:variant>
        <vt:i4>1114173</vt:i4>
      </vt:variant>
      <vt:variant>
        <vt:i4>518</vt:i4>
      </vt:variant>
      <vt:variant>
        <vt:i4>0</vt:i4>
      </vt:variant>
      <vt:variant>
        <vt:i4>5</vt:i4>
      </vt:variant>
      <vt:variant>
        <vt:lpwstr/>
      </vt:variant>
      <vt:variant>
        <vt:lpwstr>_Toc424650827</vt:lpwstr>
      </vt:variant>
      <vt:variant>
        <vt:i4>1114173</vt:i4>
      </vt:variant>
      <vt:variant>
        <vt:i4>512</vt:i4>
      </vt:variant>
      <vt:variant>
        <vt:i4>0</vt:i4>
      </vt:variant>
      <vt:variant>
        <vt:i4>5</vt:i4>
      </vt:variant>
      <vt:variant>
        <vt:lpwstr/>
      </vt:variant>
      <vt:variant>
        <vt:lpwstr>_Toc424650826</vt:lpwstr>
      </vt:variant>
      <vt:variant>
        <vt:i4>1114173</vt:i4>
      </vt:variant>
      <vt:variant>
        <vt:i4>506</vt:i4>
      </vt:variant>
      <vt:variant>
        <vt:i4>0</vt:i4>
      </vt:variant>
      <vt:variant>
        <vt:i4>5</vt:i4>
      </vt:variant>
      <vt:variant>
        <vt:lpwstr/>
      </vt:variant>
      <vt:variant>
        <vt:lpwstr>_Toc424650825</vt:lpwstr>
      </vt:variant>
      <vt:variant>
        <vt:i4>1114173</vt:i4>
      </vt:variant>
      <vt:variant>
        <vt:i4>500</vt:i4>
      </vt:variant>
      <vt:variant>
        <vt:i4>0</vt:i4>
      </vt:variant>
      <vt:variant>
        <vt:i4>5</vt:i4>
      </vt:variant>
      <vt:variant>
        <vt:lpwstr/>
      </vt:variant>
      <vt:variant>
        <vt:lpwstr>_Toc424650824</vt:lpwstr>
      </vt:variant>
      <vt:variant>
        <vt:i4>1114173</vt:i4>
      </vt:variant>
      <vt:variant>
        <vt:i4>494</vt:i4>
      </vt:variant>
      <vt:variant>
        <vt:i4>0</vt:i4>
      </vt:variant>
      <vt:variant>
        <vt:i4>5</vt:i4>
      </vt:variant>
      <vt:variant>
        <vt:lpwstr/>
      </vt:variant>
      <vt:variant>
        <vt:lpwstr>_Toc424650823</vt:lpwstr>
      </vt:variant>
      <vt:variant>
        <vt:i4>1114173</vt:i4>
      </vt:variant>
      <vt:variant>
        <vt:i4>488</vt:i4>
      </vt:variant>
      <vt:variant>
        <vt:i4>0</vt:i4>
      </vt:variant>
      <vt:variant>
        <vt:i4>5</vt:i4>
      </vt:variant>
      <vt:variant>
        <vt:lpwstr/>
      </vt:variant>
      <vt:variant>
        <vt:lpwstr>_Toc424650822</vt:lpwstr>
      </vt:variant>
      <vt:variant>
        <vt:i4>1114173</vt:i4>
      </vt:variant>
      <vt:variant>
        <vt:i4>482</vt:i4>
      </vt:variant>
      <vt:variant>
        <vt:i4>0</vt:i4>
      </vt:variant>
      <vt:variant>
        <vt:i4>5</vt:i4>
      </vt:variant>
      <vt:variant>
        <vt:lpwstr/>
      </vt:variant>
      <vt:variant>
        <vt:lpwstr>_Toc424650821</vt:lpwstr>
      </vt:variant>
      <vt:variant>
        <vt:i4>1114173</vt:i4>
      </vt:variant>
      <vt:variant>
        <vt:i4>476</vt:i4>
      </vt:variant>
      <vt:variant>
        <vt:i4>0</vt:i4>
      </vt:variant>
      <vt:variant>
        <vt:i4>5</vt:i4>
      </vt:variant>
      <vt:variant>
        <vt:lpwstr/>
      </vt:variant>
      <vt:variant>
        <vt:lpwstr>_Toc424650820</vt:lpwstr>
      </vt:variant>
      <vt:variant>
        <vt:i4>1179709</vt:i4>
      </vt:variant>
      <vt:variant>
        <vt:i4>470</vt:i4>
      </vt:variant>
      <vt:variant>
        <vt:i4>0</vt:i4>
      </vt:variant>
      <vt:variant>
        <vt:i4>5</vt:i4>
      </vt:variant>
      <vt:variant>
        <vt:lpwstr/>
      </vt:variant>
      <vt:variant>
        <vt:lpwstr>_Toc424650819</vt:lpwstr>
      </vt:variant>
      <vt:variant>
        <vt:i4>1179709</vt:i4>
      </vt:variant>
      <vt:variant>
        <vt:i4>464</vt:i4>
      </vt:variant>
      <vt:variant>
        <vt:i4>0</vt:i4>
      </vt:variant>
      <vt:variant>
        <vt:i4>5</vt:i4>
      </vt:variant>
      <vt:variant>
        <vt:lpwstr/>
      </vt:variant>
      <vt:variant>
        <vt:lpwstr>_Toc424650818</vt:lpwstr>
      </vt:variant>
      <vt:variant>
        <vt:i4>1179709</vt:i4>
      </vt:variant>
      <vt:variant>
        <vt:i4>458</vt:i4>
      </vt:variant>
      <vt:variant>
        <vt:i4>0</vt:i4>
      </vt:variant>
      <vt:variant>
        <vt:i4>5</vt:i4>
      </vt:variant>
      <vt:variant>
        <vt:lpwstr/>
      </vt:variant>
      <vt:variant>
        <vt:lpwstr>_Toc424650817</vt:lpwstr>
      </vt:variant>
      <vt:variant>
        <vt:i4>1179709</vt:i4>
      </vt:variant>
      <vt:variant>
        <vt:i4>452</vt:i4>
      </vt:variant>
      <vt:variant>
        <vt:i4>0</vt:i4>
      </vt:variant>
      <vt:variant>
        <vt:i4>5</vt:i4>
      </vt:variant>
      <vt:variant>
        <vt:lpwstr/>
      </vt:variant>
      <vt:variant>
        <vt:lpwstr>_Toc424650816</vt:lpwstr>
      </vt:variant>
      <vt:variant>
        <vt:i4>1179709</vt:i4>
      </vt:variant>
      <vt:variant>
        <vt:i4>446</vt:i4>
      </vt:variant>
      <vt:variant>
        <vt:i4>0</vt:i4>
      </vt:variant>
      <vt:variant>
        <vt:i4>5</vt:i4>
      </vt:variant>
      <vt:variant>
        <vt:lpwstr/>
      </vt:variant>
      <vt:variant>
        <vt:lpwstr>_Toc424650815</vt:lpwstr>
      </vt:variant>
      <vt:variant>
        <vt:i4>1179709</vt:i4>
      </vt:variant>
      <vt:variant>
        <vt:i4>440</vt:i4>
      </vt:variant>
      <vt:variant>
        <vt:i4>0</vt:i4>
      </vt:variant>
      <vt:variant>
        <vt:i4>5</vt:i4>
      </vt:variant>
      <vt:variant>
        <vt:lpwstr/>
      </vt:variant>
      <vt:variant>
        <vt:lpwstr>_Toc424650814</vt:lpwstr>
      </vt:variant>
      <vt:variant>
        <vt:i4>1179709</vt:i4>
      </vt:variant>
      <vt:variant>
        <vt:i4>434</vt:i4>
      </vt:variant>
      <vt:variant>
        <vt:i4>0</vt:i4>
      </vt:variant>
      <vt:variant>
        <vt:i4>5</vt:i4>
      </vt:variant>
      <vt:variant>
        <vt:lpwstr/>
      </vt:variant>
      <vt:variant>
        <vt:lpwstr>_Toc424650813</vt:lpwstr>
      </vt:variant>
      <vt:variant>
        <vt:i4>1179709</vt:i4>
      </vt:variant>
      <vt:variant>
        <vt:i4>428</vt:i4>
      </vt:variant>
      <vt:variant>
        <vt:i4>0</vt:i4>
      </vt:variant>
      <vt:variant>
        <vt:i4>5</vt:i4>
      </vt:variant>
      <vt:variant>
        <vt:lpwstr/>
      </vt:variant>
      <vt:variant>
        <vt:lpwstr>_Toc424650812</vt:lpwstr>
      </vt:variant>
      <vt:variant>
        <vt:i4>1179709</vt:i4>
      </vt:variant>
      <vt:variant>
        <vt:i4>422</vt:i4>
      </vt:variant>
      <vt:variant>
        <vt:i4>0</vt:i4>
      </vt:variant>
      <vt:variant>
        <vt:i4>5</vt:i4>
      </vt:variant>
      <vt:variant>
        <vt:lpwstr/>
      </vt:variant>
      <vt:variant>
        <vt:lpwstr>_Toc424650811</vt:lpwstr>
      </vt:variant>
      <vt:variant>
        <vt:i4>1179709</vt:i4>
      </vt:variant>
      <vt:variant>
        <vt:i4>416</vt:i4>
      </vt:variant>
      <vt:variant>
        <vt:i4>0</vt:i4>
      </vt:variant>
      <vt:variant>
        <vt:i4>5</vt:i4>
      </vt:variant>
      <vt:variant>
        <vt:lpwstr/>
      </vt:variant>
      <vt:variant>
        <vt:lpwstr>_Toc424650810</vt:lpwstr>
      </vt:variant>
      <vt:variant>
        <vt:i4>1245245</vt:i4>
      </vt:variant>
      <vt:variant>
        <vt:i4>410</vt:i4>
      </vt:variant>
      <vt:variant>
        <vt:i4>0</vt:i4>
      </vt:variant>
      <vt:variant>
        <vt:i4>5</vt:i4>
      </vt:variant>
      <vt:variant>
        <vt:lpwstr/>
      </vt:variant>
      <vt:variant>
        <vt:lpwstr>_Toc424650809</vt:lpwstr>
      </vt:variant>
      <vt:variant>
        <vt:i4>1245245</vt:i4>
      </vt:variant>
      <vt:variant>
        <vt:i4>404</vt:i4>
      </vt:variant>
      <vt:variant>
        <vt:i4>0</vt:i4>
      </vt:variant>
      <vt:variant>
        <vt:i4>5</vt:i4>
      </vt:variant>
      <vt:variant>
        <vt:lpwstr/>
      </vt:variant>
      <vt:variant>
        <vt:lpwstr>_Toc424650808</vt:lpwstr>
      </vt:variant>
      <vt:variant>
        <vt:i4>1245245</vt:i4>
      </vt:variant>
      <vt:variant>
        <vt:i4>398</vt:i4>
      </vt:variant>
      <vt:variant>
        <vt:i4>0</vt:i4>
      </vt:variant>
      <vt:variant>
        <vt:i4>5</vt:i4>
      </vt:variant>
      <vt:variant>
        <vt:lpwstr/>
      </vt:variant>
      <vt:variant>
        <vt:lpwstr>_Toc424650807</vt:lpwstr>
      </vt:variant>
      <vt:variant>
        <vt:i4>1245245</vt:i4>
      </vt:variant>
      <vt:variant>
        <vt:i4>392</vt:i4>
      </vt:variant>
      <vt:variant>
        <vt:i4>0</vt:i4>
      </vt:variant>
      <vt:variant>
        <vt:i4>5</vt:i4>
      </vt:variant>
      <vt:variant>
        <vt:lpwstr/>
      </vt:variant>
      <vt:variant>
        <vt:lpwstr>_Toc424650806</vt:lpwstr>
      </vt:variant>
      <vt:variant>
        <vt:i4>1245245</vt:i4>
      </vt:variant>
      <vt:variant>
        <vt:i4>386</vt:i4>
      </vt:variant>
      <vt:variant>
        <vt:i4>0</vt:i4>
      </vt:variant>
      <vt:variant>
        <vt:i4>5</vt:i4>
      </vt:variant>
      <vt:variant>
        <vt:lpwstr/>
      </vt:variant>
      <vt:variant>
        <vt:lpwstr>_Toc424650805</vt:lpwstr>
      </vt:variant>
      <vt:variant>
        <vt:i4>1245245</vt:i4>
      </vt:variant>
      <vt:variant>
        <vt:i4>380</vt:i4>
      </vt:variant>
      <vt:variant>
        <vt:i4>0</vt:i4>
      </vt:variant>
      <vt:variant>
        <vt:i4>5</vt:i4>
      </vt:variant>
      <vt:variant>
        <vt:lpwstr/>
      </vt:variant>
      <vt:variant>
        <vt:lpwstr>_Toc424650804</vt:lpwstr>
      </vt:variant>
      <vt:variant>
        <vt:i4>1245245</vt:i4>
      </vt:variant>
      <vt:variant>
        <vt:i4>374</vt:i4>
      </vt:variant>
      <vt:variant>
        <vt:i4>0</vt:i4>
      </vt:variant>
      <vt:variant>
        <vt:i4>5</vt:i4>
      </vt:variant>
      <vt:variant>
        <vt:lpwstr/>
      </vt:variant>
      <vt:variant>
        <vt:lpwstr>_Toc424650803</vt:lpwstr>
      </vt:variant>
      <vt:variant>
        <vt:i4>1245245</vt:i4>
      </vt:variant>
      <vt:variant>
        <vt:i4>368</vt:i4>
      </vt:variant>
      <vt:variant>
        <vt:i4>0</vt:i4>
      </vt:variant>
      <vt:variant>
        <vt:i4>5</vt:i4>
      </vt:variant>
      <vt:variant>
        <vt:lpwstr/>
      </vt:variant>
      <vt:variant>
        <vt:lpwstr>_Toc424650802</vt:lpwstr>
      </vt:variant>
      <vt:variant>
        <vt:i4>1245245</vt:i4>
      </vt:variant>
      <vt:variant>
        <vt:i4>362</vt:i4>
      </vt:variant>
      <vt:variant>
        <vt:i4>0</vt:i4>
      </vt:variant>
      <vt:variant>
        <vt:i4>5</vt:i4>
      </vt:variant>
      <vt:variant>
        <vt:lpwstr/>
      </vt:variant>
      <vt:variant>
        <vt:lpwstr>_Toc424650801</vt:lpwstr>
      </vt:variant>
      <vt:variant>
        <vt:i4>1245245</vt:i4>
      </vt:variant>
      <vt:variant>
        <vt:i4>356</vt:i4>
      </vt:variant>
      <vt:variant>
        <vt:i4>0</vt:i4>
      </vt:variant>
      <vt:variant>
        <vt:i4>5</vt:i4>
      </vt:variant>
      <vt:variant>
        <vt:lpwstr/>
      </vt:variant>
      <vt:variant>
        <vt:lpwstr>_Toc424650800</vt:lpwstr>
      </vt:variant>
      <vt:variant>
        <vt:i4>1703986</vt:i4>
      </vt:variant>
      <vt:variant>
        <vt:i4>350</vt:i4>
      </vt:variant>
      <vt:variant>
        <vt:i4>0</vt:i4>
      </vt:variant>
      <vt:variant>
        <vt:i4>5</vt:i4>
      </vt:variant>
      <vt:variant>
        <vt:lpwstr/>
      </vt:variant>
      <vt:variant>
        <vt:lpwstr>_Toc424650799</vt:lpwstr>
      </vt:variant>
      <vt:variant>
        <vt:i4>1703986</vt:i4>
      </vt:variant>
      <vt:variant>
        <vt:i4>344</vt:i4>
      </vt:variant>
      <vt:variant>
        <vt:i4>0</vt:i4>
      </vt:variant>
      <vt:variant>
        <vt:i4>5</vt:i4>
      </vt:variant>
      <vt:variant>
        <vt:lpwstr/>
      </vt:variant>
      <vt:variant>
        <vt:lpwstr>_Toc424650798</vt:lpwstr>
      </vt:variant>
      <vt:variant>
        <vt:i4>1703986</vt:i4>
      </vt:variant>
      <vt:variant>
        <vt:i4>338</vt:i4>
      </vt:variant>
      <vt:variant>
        <vt:i4>0</vt:i4>
      </vt:variant>
      <vt:variant>
        <vt:i4>5</vt:i4>
      </vt:variant>
      <vt:variant>
        <vt:lpwstr/>
      </vt:variant>
      <vt:variant>
        <vt:lpwstr>_Toc424650797</vt:lpwstr>
      </vt:variant>
      <vt:variant>
        <vt:i4>1703986</vt:i4>
      </vt:variant>
      <vt:variant>
        <vt:i4>332</vt:i4>
      </vt:variant>
      <vt:variant>
        <vt:i4>0</vt:i4>
      </vt:variant>
      <vt:variant>
        <vt:i4>5</vt:i4>
      </vt:variant>
      <vt:variant>
        <vt:lpwstr/>
      </vt:variant>
      <vt:variant>
        <vt:lpwstr>_Toc424650796</vt:lpwstr>
      </vt:variant>
      <vt:variant>
        <vt:i4>1703986</vt:i4>
      </vt:variant>
      <vt:variant>
        <vt:i4>326</vt:i4>
      </vt:variant>
      <vt:variant>
        <vt:i4>0</vt:i4>
      </vt:variant>
      <vt:variant>
        <vt:i4>5</vt:i4>
      </vt:variant>
      <vt:variant>
        <vt:lpwstr/>
      </vt:variant>
      <vt:variant>
        <vt:lpwstr>_Toc424650795</vt:lpwstr>
      </vt:variant>
      <vt:variant>
        <vt:i4>1703986</vt:i4>
      </vt:variant>
      <vt:variant>
        <vt:i4>320</vt:i4>
      </vt:variant>
      <vt:variant>
        <vt:i4>0</vt:i4>
      </vt:variant>
      <vt:variant>
        <vt:i4>5</vt:i4>
      </vt:variant>
      <vt:variant>
        <vt:lpwstr/>
      </vt:variant>
      <vt:variant>
        <vt:lpwstr>_Toc424650794</vt:lpwstr>
      </vt:variant>
      <vt:variant>
        <vt:i4>1703986</vt:i4>
      </vt:variant>
      <vt:variant>
        <vt:i4>314</vt:i4>
      </vt:variant>
      <vt:variant>
        <vt:i4>0</vt:i4>
      </vt:variant>
      <vt:variant>
        <vt:i4>5</vt:i4>
      </vt:variant>
      <vt:variant>
        <vt:lpwstr/>
      </vt:variant>
      <vt:variant>
        <vt:lpwstr>_Toc424650793</vt:lpwstr>
      </vt:variant>
      <vt:variant>
        <vt:i4>1703986</vt:i4>
      </vt:variant>
      <vt:variant>
        <vt:i4>308</vt:i4>
      </vt:variant>
      <vt:variant>
        <vt:i4>0</vt:i4>
      </vt:variant>
      <vt:variant>
        <vt:i4>5</vt:i4>
      </vt:variant>
      <vt:variant>
        <vt:lpwstr/>
      </vt:variant>
      <vt:variant>
        <vt:lpwstr>_Toc424650792</vt:lpwstr>
      </vt:variant>
      <vt:variant>
        <vt:i4>1703986</vt:i4>
      </vt:variant>
      <vt:variant>
        <vt:i4>302</vt:i4>
      </vt:variant>
      <vt:variant>
        <vt:i4>0</vt:i4>
      </vt:variant>
      <vt:variant>
        <vt:i4>5</vt:i4>
      </vt:variant>
      <vt:variant>
        <vt:lpwstr/>
      </vt:variant>
      <vt:variant>
        <vt:lpwstr>_Toc424650791</vt:lpwstr>
      </vt:variant>
      <vt:variant>
        <vt:i4>1703986</vt:i4>
      </vt:variant>
      <vt:variant>
        <vt:i4>296</vt:i4>
      </vt:variant>
      <vt:variant>
        <vt:i4>0</vt:i4>
      </vt:variant>
      <vt:variant>
        <vt:i4>5</vt:i4>
      </vt:variant>
      <vt:variant>
        <vt:lpwstr/>
      </vt:variant>
      <vt:variant>
        <vt:lpwstr>_Toc424650790</vt:lpwstr>
      </vt:variant>
      <vt:variant>
        <vt:i4>1769522</vt:i4>
      </vt:variant>
      <vt:variant>
        <vt:i4>290</vt:i4>
      </vt:variant>
      <vt:variant>
        <vt:i4>0</vt:i4>
      </vt:variant>
      <vt:variant>
        <vt:i4>5</vt:i4>
      </vt:variant>
      <vt:variant>
        <vt:lpwstr/>
      </vt:variant>
      <vt:variant>
        <vt:lpwstr>_Toc424650789</vt:lpwstr>
      </vt:variant>
      <vt:variant>
        <vt:i4>1769522</vt:i4>
      </vt:variant>
      <vt:variant>
        <vt:i4>284</vt:i4>
      </vt:variant>
      <vt:variant>
        <vt:i4>0</vt:i4>
      </vt:variant>
      <vt:variant>
        <vt:i4>5</vt:i4>
      </vt:variant>
      <vt:variant>
        <vt:lpwstr/>
      </vt:variant>
      <vt:variant>
        <vt:lpwstr>_Toc424650788</vt:lpwstr>
      </vt:variant>
      <vt:variant>
        <vt:i4>1769522</vt:i4>
      </vt:variant>
      <vt:variant>
        <vt:i4>278</vt:i4>
      </vt:variant>
      <vt:variant>
        <vt:i4>0</vt:i4>
      </vt:variant>
      <vt:variant>
        <vt:i4>5</vt:i4>
      </vt:variant>
      <vt:variant>
        <vt:lpwstr/>
      </vt:variant>
      <vt:variant>
        <vt:lpwstr>_Toc424650787</vt:lpwstr>
      </vt:variant>
      <vt:variant>
        <vt:i4>1769522</vt:i4>
      </vt:variant>
      <vt:variant>
        <vt:i4>272</vt:i4>
      </vt:variant>
      <vt:variant>
        <vt:i4>0</vt:i4>
      </vt:variant>
      <vt:variant>
        <vt:i4>5</vt:i4>
      </vt:variant>
      <vt:variant>
        <vt:lpwstr/>
      </vt:variant>
      <vt:variant>
        <vt:lpwstr>_Toc424650786</vt:lpwstr>
      </vt:variant>
      <vt:variant>
        <vt:i4>1769522</vt:i4>
      </vt:variant>
      <vt:variant>
        <vt:i4>266</vt:i4>
      </vt:variant>
      <vt:variant>
        <vt:i4>0</vt:i4>
      </vt:variant>
      <vt:variant>
        <vt:i4>5</vt:i4>
      </vt:variant>
      <vt:variant>
        <vt:lpwstr/>
      </vt:variant>
      <vt:variant>
        <vt:lpwstr>_Toc424650785</vt:lpwstr>
      </vt:variant>
      <vt:variant>
        <vt:i4>1769522</vt:i4>
      </vt:variant>
      <vt:variant>
        <vt:i4>260</vt:i4>
      </vt:variant>
      <vt:variant>
        <vt:i4>0</vt:i4>
      </vt:variant>
      <vt:variant>
        <vt:i4>5</vt:i4>
      </vt:variant>
      <vt:variant>
        <vt:lpwstr/>
      </vt:variant>
      <vt:variant>
        <vt:lpwstr>_Toc424650784</vt:lpwstr>
      </vt:variant>
      <vt:variant>
        <vt:i4>1769522</vt:i4>
      </vt:variant>
      <vt:variant>
        <vt:i4>254</vt:i4>
      </vt:variant>
      <vt:variant>
        <vt:i4>0</vt:i4>
      </vt:variant>
      <vt:variant>
        <vt:i4>5</vt:i4>
      </vt:variant>
      <vt:variant>
        <vt:lpwstr/>
      </vt:variant>
      <vt:variant>
        <vt:lpwstr>_Toc424650783</vt:lpwstr>
      </vt:variant>
      <vt:variant>
        <vt:i4>1769522</vt:i4>
      </vt:variant>
      <vt:variant>
        <vt:i4>248</vt:i4>
      </vt:variant>
      <vt:variant>
        <vt:i4>0</vt:i4>
      </vt:variant>
      <vt:variant>
        <vt:i4>5</vt:i4>
      </vt:variant>
      <vt:variant>
        <vt:lpwstr/>
      </vt:variant>
      <vt:variant>
        <vt:lpwstr>_Toc424650782</vt:lpwstr>
      </vt:variant>
      <vt:variant>
        <vt:i4>1769522</vt:i4>
      </vt:variant>
      <vt:variant>
        <vt:i4>242</vt:i4>
      </vt:variant>
      <vt:variant>
        <vt:i4>0</vt:i4>
      </vt:variant>
      <vt:variant>
        <vt:i4>5</vt:i4>
      </vt:variant>
      <vt:variant>
        <vt:lpwstr/>
      </vt:variant>
      <vt:variant>
        <vt:lpwstr>_Toc424650781</vt:lpwstr>
      </vt:variant>
      <vt:variant>
        <vt:i4>1769522</vt:i4>
      </vt:variant>
      <vt:variant>
        <vt:i4>236</vt:i4>
      </vt:variant>
      <vt:variant>
        <vt:i4>0</vt:i4>
      </vt:variant>
      <vt:variant>
        <vt:i4>5</vt:i4>
      </vt:variant>
      <vt:variant>
        <vt:lpwstr/>
      </vt:variant>
      <vt:variant>
        <vt:lpwstr>_Toc424650780</vt:lpwstr>
      </vt:variant>
      <vt:variant>
        <vt:i4>1310770</vt:i4>
      </vt:variant>
      <vt:variant>
        <vt:i4>230</vt:i4>
      </vt:variant>
      <vt:variant>
        <vt:i4>0</vt:i4>
      </vt:variant>
      <vt:variant>
        <vt:i4>5</vt:i4>
      </vt:variant>
      <vt:variant>
        <vt:lpwstr/>
      </vt:variant>
      <vt:variant>
        <vt:lpwstr>_Toc424650779</vt:lpwstr>
      </vt:variant>
      <vt:variant>
        <vt:i4>1310770</vt:i4>
      </vt:variant>
      <vt:variant>
        <vt:i4>224</vt:i4>
      </vt:variant>
      <vt:variant>
        <vt:i4>0</vt:i4>
      </vt:variant>
      <vt:variant>
        <vt:i4>5</vt:i4>
      </vt:variant>
      <vt:variant>
        <vt:lpwstr/>
      </vt:variant>
      <vt:variant>
        <vt:lpwstr>_Toc424650778</vt:lpwstr>
      </vt:variant>
      <vt:variant>
        <vt:i4>1310770</vt:i4>
      </vt:variant>
      <vt:variant>
        <vt:i4>218</vt:i4>
      </vt:variant>
      <vt:variant>
        <vt:i4>0</vt:i4>
      </vt:variant>
      <vt:variant>
        <vt:i4>5</vt:i4>
      </vt:variant>
      <vt:variant>
        <vt:lpwstr/>
      </vt:variant>
      <vt:variant>
        <vt:lpwstr>_Toc424650777</vt:lpwstr>
      </vt:variant>
      <vt:variant>
        <vt:i4>1310770</vt:i4>
      </vt:variant>
      <vt:variant>
        <vt:i4>212</vt:i4>
      </vt:variant>
      <vt:variant>
        <vt:i4>0</vt:i4>
      </vt:variant>
      <vt:variant>
        <vt:i4>5</vt:i4>
      </vt:variant>
      <vt:variant>
        <vt:lpwstr/>
      </vt:variant>
      <vt:variant>
        <vt:lpwstr>_Toc424650776</vt:lpwstr>
      </vt:variant>
      <vt:variant>
        <vt:i4>1310770</vt:i4>
      </vt:variant>
      <vt:variant>
        <vt:i4>206</vt:i4>
      </vt:variant>
      <vt:variant>
        <vt:i4>0</vt:i4>
      </vt:variant>
      <vt:variant>
        <vt:i4>5</vt:i4>
      </vt:variant>
      <vt:variant>
        <vt:lpwstr/>
      </vt:variant>
      <vt:variant>
        <vt:lpwstr>_Toc424650775</vt:lpwstr>
      </vt:variant>
      <vt:variant>
        <vt:i4>1310770</vt:i4>
      </vt:variant>
      <vt:variant>
        <vt:i4>200</vt:i4>
      </vt:variant>
      <vt:variant>
        <vt:i4>0</vt:i4>
      </vt:variant>
      <vt:variant>
        <vt:i4>5</vt:i4>
      </vt:variant>
      <vt:variant>
        <vt:lpwstr/>
      </vt:variant>
      <vt:variant>
        <vt:lpwstr>_Toc424650774</vt:lpwstr>
      </vt:variant>
      <vt:variant>
        <vt:i4>1310770</vt:i4>
      </vt:variant>
      <vt:variant>
        <vt:i4>194</vt:i4>
      </vt:variant>
      <vt:variant>
        <vt:i4>0</vt:i4>
      </vt:variant>
      <vt:variant>
        <vt:i4>5</vt:i4>
      </vt:variant>
      <vt:variant>
        <vt:lpwstr/>
      </vt:variant>
      <vt:variant>
        <vt:lpwstr>_Toc424650773</vt:lpwstr>
      </vt:variant>
      <vt:variant>
        <vt:i4>1310770</vt:i4>
      </vt:variant>
      <vt:variant>
        <vt:i4>188</vt:i4>
      </vt:variant>
      <vt:variant>
        <vt:i4>0</vt:i4>
      </vt:variant>
      <vt:variant>
        <vt:i4>5</vt:i4>
      </vt:variant>
      <vt:variant>
        <vt:lpwstr/>
      </vt:variant>
      <vt:variant>
        <vt:lpwstr>_Toc424650772</vt:lpwstr>
      </vt:variant>
      <vt:variant>
        <vt:i4>1310770</vt:i4>
      </vt:variant>
      <vt:variant>
        <vt:i4>182</vt:i4>
      </vt:variant>
      <vt:variant>
        <vt:i4>0</vt:i4>
      </vt:variant>
      <vt:variant>
        <vt:i4>5</vt:i4>
      </vt:variant>
      <vt:variant>
        <vt:lpwstr/>
      </vt:variant>
      <vt:variant>
        <vt:lpwstr>_Toc424650771</vt:lpwstr>
      </vt:variant>
      <vt:variant>
        <vt:i4>1310770</vt:i4>
      </vt:variant>
      <vt:variant>
        <vt:i4>176</vt:i4>
      </vt:variant>
      <vt:variant>
        <vt:i4>0</vt:i4>
      </vt:variant>
      <vt:variant>
        <vt:i4>5</vt:i4>
      </vt:variant>
      <vt:variant>
        <vt:lpwstr/>
      </vt:variant>
      <vt:variant>
        <vt:lpwstr>_Toc424650770</vt:lpwstr>
      </vt:variant>
      <vt:variant>
        <vt:i4>1376306</vt:i4>
      </vt:variant>
      <vt:variant>
        <vt:i4>170</vt:i4>
      </vt:variant>
      <vt:variant>
        <vt:i4>0</vt:i4>
      </vt:variant>
      <vt:variant>
        <vt:i4>5</vt:i4>
      </vt:variant>
      <vt:variant>
        <vt:lpwstr/>
      </vt:variant>
      <vt:variant>
        <vt:lpwstr>_Toc424650769</vt:lpwstr>
      </vt:variant>
      <vt:variant>
        <vt:i4>1376306</vt:i4>
      </vt:variant>
      <vt:variant>
        <vt:i4>164</vt:i4>
      </vt:variant>
      <vt:variant>
        <vt:i4>0</vt:i4>
      </vt:variant>
      <vt:variant>
        <vt:i4>5</vt:i4>
      </vt:variant>
      <vt:variant>
        <vt:lpwstr/>
      </vt:variant>
      <vt:variant>
        <vt:lpwstr>_Toc424650768</vt:lpwstr>
      </vt:variant>
      <vt:variant>
        <vt:i4>1376306</vt:i4>
      </vt:variant>
      <vt:variant>
        <vt:i4>158</vt:i4>
      </vt:variant>
      <vt:variant>
        <vt:i4>0</vt:i4>
      </vt:variant>
      <vt:variant>
        <vt:i4>5</vt:i4>
      </vt:variant>
      <vt:variant>
        <vt:lpwstr/>
      </vt:variant>
      <vt:variant>
        <vt:lpwstr>_Toc424650767</vt:lpwstr>
      </vt:variant>
      <vt:variant>
        <vt:i4>1376306</vt:i4>
      </vt:variant>
      <vt:variant>
        <vt:i4>152</vt:i4>
      </vt:variant>
      <vt:variant>
        <vt:i4>0</vt:i4>
      </vt:variant>
      <vt:variant>
        <vt:i4>5</vt:i4>
      </vt:variant>
      <vt:variant>
        <vt:lpwstr/>
      </vt:variant>
      <vt:variant>
        <vt:lpwstr>_Toc424650766</vt:lpwstr>
      </vt:variant>
      <vt:variant>
        <vt:i4>1376306</vt:i4>
      </vt:variant>
      <vt:variant>
        <vt:i4>146</vt:i4>
      </vt:variant>
      <vt:variant>
        <vt:i4>0</vt:i4>
      </vt:variant>
      <vt:variant>
        <vt:i4>5</vt:i4>
      </vt:variant>
      <vt:variant>
        <vt:lpwstr/>
      </vt:variant>
      <vt:variant>
        <vt:lpwstr>_Toc424650765</vt:lpwstr>
      </vt:variant>
      <vt:variant>
        <vt:i4>1376306</vt:i4>
      </vt:variant>
      <vt:variant>
        <vt:i4>140</vt:i4>
      </vt:variant>
      <vt:variant>
        <vt:i4>0</vt:i4>
      </vt:variant>
      <vt:variant>
        <vt:i4>5</vt:i4>
      </vt:variant>
      <vt:variant>
        <vt:lpwstr/>
      </vt:variant>
      <vt:variant>
        <vt:lpwstr>_Toc424650764</vt:lpwstr>
      </vt:variant>
      <vt:variant>
        <vt:i4>1376306</vt:i4>
      </vt:variant>
      <vt:variant>
        <vt:i4>134</vt:i4>
      </vt:variant>
      <vt:variant>
        <vt:i4>0</vt:i4>
      </vt:variant>
      <vt:variant>
        <vt:i4>5</vt:i4>
      </vt:variant>
      <vt:variant>
        <vt:lpwstr/>
      </vt:variant>
      <vt:variant>
        <vt:lpwstr>_Toc424650763</vt:lpwstr>
      </vt:variant>
      <vt:variant>
        <vt:i4>1376306</vt:i4>
      </vt:variant>
      <vt:variant>
        <vt:i4>128</vt:i4>
      </vt:variant>
      <vt:variant>
        <vt:i4>0</vt:i4>
      </vt:variant>
      <vt:variant>
        <vt:i4>5</vt:i4>
      </vt:variant>
      <vt:variant>
        <vt:lpwstr/>
      </vt:variant>
      <vt:variant>
        <vt:lpwstr>_Toc424650762</vt:lpwstr>
      </vt:variant>
      <vt:variant>
        <vt:i4>1376306</vt:i4>
      </vt:variant>
      <vt:variant>
        <vt:i4>122</vt:i4>
      </vt:variant>
      <vt:variant>
        <vt:i4>0</vt:i4>
      </vt:variant>
      <vt:variant>
        <vt:i4>5</vt:i4>
      </vt:variant>
      <vt:variant>
        <vt:lpwstr/>
      </vt:variant>
      <vt:variant>
        <vt:lpwstr>_Toc424650761</vt:lpwstr>
      </vt:variant>
      <vt:variant>
        <vt:i4>1376306</vt:i4>
      </vt:variant>
      <vt:variant>
        <vt:i4>116</vt:i4>
      </vt:variant>
      <vt:variant>
        <vt:i4>0</vt:i4>
      </vt:variant>
      <vt:variant>
        <vt:i4>5</vt:i4>
      </vt:variant>
      <vt:variant>
        <vt:lpwstr/>
      </vt:variant>
      <vt:variant>
        <vt:lpwstr>_Toc424650760</vt:lpwstr>
      </vt:variant>
      <vt:variant>
        <vt:i4>1441842</vt:i4>
      </vt:variant>
      <vt:variant>
        <vt:i4>110</vt:i4>
      </vt:variant>
      <vt:variant>
        <vt:i4>0</vt:i4>
      </vt:variant>
      <vt:variant>
        <vt:i4>5</vt:i4>
      </vt:variant>
      <vt:variant>
        <vt:lpwstr/>
      </vt:variant>
      <vt:variant>
        <vt:lpwstr>_Toc424650759</vt:lpwstr>
      </vt:variant>
      <vt:variant>
        <vt:i4>1441842</vt:i4>
      </vt:variant>
      <vt:variant>
        <vt:i4>104</vt:i4>
      </vt:variant>
      <vt:variant>
        <vt:i4>0</vt:i4>
      </vt:variant>
      <vt:variant>
        <vt:i4>5</vt:i4>
      </vt:variant>
      <vt:variant>
        <vt:lpwstr/>
      </vt:variant>
      <vt:variant>
        <vt:lpwstr>_Toc424650758</vt:lpwstr>
      </vt:variant>
      <vt:variant>
        <vt:i4>1441842</vt:i4>
      </vt:variant>
      <vt:variant>
        <vt:i4>98</vt:i4>
      </vt:variant>
      <vt:variant>
        <vt:i4>0</vt:i4>
      </vt:variant>
      <vt:variant>
        <vt:i4>5</vt:i4>
      </vt:variant>
      <vt:variant>
        <vt:lpwstr/>
      </vt:variant>
      <vt:variant>
        <vt:lpwstr>_Toc424650757</vt:lpwstr>
      </vt:variant>
      <vt:variant>
        <vt:i4>1441842</vt:i4>
      </vt:variant>
      <vt:variant>
        <vt:i4>92</vt:i4>
      </vt:variant>
      <vt:variant>
        <vt:i4>0</vt:i4>
      </vt:variant>
      <vt:variant>
        <vt:i4>5</vt:i4>
      </vt:variant>
      <vt:variant>
        <vt:lpwstr/>
      </vt:variant>
      <vt:variant>
        <vt:lpwstr>_Toc424650756</vt:lpwstr>
      </vt:variant>
      <vt:variant>
        <vt:i4>1441842</vt:i4>
      </vt:variant>
      <vt:variant>
        <vt:i4>86</vt:i4>
      </vt:variant>
      <vt:variant>
        <vt:i4>0</vt:i4>
      </vt:variant>
      <vt:variant>
        <vt:i4>5</vt:i4>
      </vt:variant>
      <vt:variant>
        <vt:lpwstr/>
      </vt:variant>
      <vt:variant>
        <vt:lpwstr>_Toc424650755</vt:lpwstr>
      </vt:variant>
      <vt:variant>
        <vt:i4>1441842</vt:i4>
      </vt:variant>
      <vt:variant>
        <vt:i4>80</vt:i4>
      </vt:variant>
      <vt:variant>
        <vt:i4>0</vt:i4>
      </vt:variant>
      <vt:variant>
        <vt:i4>5</vt:i4>
      </vt:variant>
      <vt:variant>
        <vt:lpwstr/>
      </vt:variant>
      <vt:variant>
        <vt:lpwstr>_Toc424650754</vt:lpwstr>
      </vt:variant>
      <vt:variant>
        <vt:i4>1441842</vt:i4>
      </vt:variant>
      <vt:variant>
        <vt:i4>74</vt:i4>
      </vt:variant>
      <vt:variant>
        <vt:i4>0</vt:i4>
      </vt:variant>
      <vt:variant>
        <vt:i4>5</vt:i4>
      </vt:variant>
      <vt:variant>
        <vt:lpwstr/>
      </vt:variant>
      <vt:variant>
        <vt:lpwstr>_Toc424650753</vt:lpwstr>
      </vt:variant>
      <vt:variant>
        <vt:i4>1441842</vt:i4>
      </vt:variant>
      <vt:variant>
        <vt:i4>68</vt:i4>
      </vt:variant>
      <vt:variant>
        <vt:i4>0</vt:i4>
      </vt:variant>
      <vt:variant>
        <vt:i4>5</vt:i4>
      </vt:variant>
      <vt:variant>
        <vt:lpwstr/>
      </vt:variant>
      <vt:variant>
        <vt:lpwstr>_Toc424650752</vt:lpwstr>
      </vt:variant>
      <vt:variant>
        <vt:i4>1441842</vt:i4>
      </vt:variant>
      <vt:variant>
        <vt:i4>62</vt:i4>
      </vt:variant>
      <vt:variant>
        <vt:i4>0</vt:i4>
      </vt:variant>
      <vt:variant>
        <vt:i4>5</vt:i4>
      </vt:variant>
      <vt:variant>
        <vt:lpwstr/>
      </vt:variant>
      <vt:variant>
        <vt:lpwstr>_Toc424650751</vt:lpwstr>
      </vt:variant>
      <vt:variant>
        <vt:i4>1441842</vt:i4>
      </vt:variant>
      <vt:variant>
        <vt:i4>56</vt:i4>
      </vt:variant>
      <vt:variant>
        <vt:i4>0</vt:i4>
      </vt:variant>
      <vt:variant>
        <vt:i4>5</vt:i4>
      </vt:variant>
      <vt:variant>
        <vt:lpwstr/>
      </vt:variant>
      <vt:variant>
        <vt:lpwstr>_Toc424650750</vt:lpwstr>
      </vt:variant>
      <vt:variant>
        <vt:i4>1507378</vt:i4>
      </vt:variant>
      <vt:variant>
        <vt:i4>50</vt:i4>
      </vt:variant>
      <vt:variant>
        <vt:i4>0</vt:i4>
      </vt:variant>
      <vt:variant>
        <vt:i4>5</vt:i4>
      </vt:variant>
      <vt:variant>
        <vt:lpwstr/>
      </vt:variant>
      <vt:variant>
        <vt:lpwstr>_Toc424650749</vt:lpwstr>
      </vt:variant>
      <vt:variant>
        <vt:i4>1507378</vt:i4>
      </vt:variant>
      <vt:variant>
        <vt:i4>44</vt:i4>
      </vt:variant>
      <vt:variant>
        <vt:i4>0</vt:i4>
      </vt:variant>
      <vt:variant>
        <vt:i4>5</vt:i4>
      </vt:variant>
      <vt:variant>
        <vt:lpwstr/>
      </vt:variant>
      <vt:variant>
        <vt:lpwstr>_Toc424650748</vt:lpwstr>
      </vt:variant>
      <vt:variant>
        <vt:i4>1507378</vt:i4>
      </vt:variant>
      <vt:variant>
        <vt:i4>38</vt:i4>
      </vt:variant>
      <vt:variant>
        <vt:i4>0</vt:i4>
      </vt:variant>
      <vt:variant>
        <vt:i4>5</vt:i4>
      </vt:variant>
      <vt:variant>
        <vt:lpwstr/>
      </vt:variant>
      <vt:variant>
        <vt:lpwstr>_Toc424650747</vt:lpwstr>
      </vt:variant>
      <vt:variant>
        <vt:i4>1507378</vt:i4>
      </vt:variant>
      <vt:variant>
        <vt:i4>32</vt:i4>
      </vt:variant>
      <vt:variant>
        <vt:i4>0</vt:i4>
      </vt:variant>
      <vt:variant>
        <vt:i4>5</vt:i4>
      </vt:variant>
      <vt:variant>
        <vt:lpwstr/>
      </vt:variant>
      <vt:variant>
        <vt:lpwstr>_Toc424650746</vt:lpwstr>
      </vt:variant>
      <vt:variant>
        <vt:i4>1507378</vt:i4>
      </vt:variant>
      <vt:variant>
        <vt:i4>26</vt:i4>
      </vt:variant>
      <vt:variant>
        <vt:i4>0</vt:i4>
      </vt:variant>
      <vt:variant>
        <vt:i4>5</vt:i4>
      </vt:variant>
      <vt:variant>
        <vt:lpwstr/>
      </vt:variant>
      <vt:variant>
        <vt:lpwstr>_Toc424650745</vt:lpwstr>
      </vt:variant>
      <vt:variant>
        <vt:i4>1507378</vt:i4>
      </vt:variant>
      <vt:variant>
        <vt:i4>20</vt:i4>
      </vt:variant>
      <vt:variant>
        <vt:i4>0</vt:i4>
      </vt:variant>
      <vt:variant>
        <vt:i4>5</vt:i4>
      </vt:variant>
      <vt:variant>
        <vt:lpwstr/>
      </vt:variant>
      <vt:variant>
        <vt:lpwstr>_Toc424650744</vt:lpwstr>
      </vt:variant>
      <vt:variant>
        <vt:i4>1507378</vt:i4>
      </vt:variant>
      <vt:variant>
        <vt:i4>14</vt:i4>
      </vt:variant>
      <vt:variant>
        <vt:i4>0</vt:i4>
      </vt:variant>
      <vt:variant>
        <vt:i4>5</vt:i4>
      </vt:variant>
      <vt:variant>
        <vt:lpwstr/>
      </vt:variant>
      <vt:variant>
        <vt:lpwstr>_Toc424650743</vt:lpwstr>
      </vt:variant>
      <vt:variant>
        <vt:i4>1507378</vt:i4>
      </vt:variant>
      <vt:variant>
        <vt:i4>8</vt:i4>
      </vt:variant>
      <vt:variant>
        <vt:i4>0</vt:i4>
      </vt:variant>
      <vt:variant>
        <vt:i4>5</vt:i4>
      </vt:variant>
      <vt:variant>
        <vt:lpwstr/>
      </vt:variant>
      <vt:variant>
        <vt:lpwstr>_Toc424650742</vt:lpwstr>
      </vt:variant>
      <vt:variant>
        <vt:i4>1507378</vt:i4>
      </vt:variant>
      <vt:variant>
        <vt:i4>2</vt:i4>
      </vt:variant>
      <vt:variant>
        <vt:i4>0</vt:i4>
      </vt:variant>
      <vt:variant>
        <vt:i4>5</vt:i4>
      </vt:variant>
      <vt:variant>
        <vt:lpwstr/>
      </vt:variant>
      <vt:variant>
        <vt:lpwstr>_Toc424650741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ssheard</dc:creator>
  <cp:lastModifiedBy>Karen Drake</cp:lastModifiedBy>
  <cp:revision>2</cp:revision>
  <cp:lastPrinted>2015-06-26T13:43:00Z</cp:lastPrinted>
  <dcterms:created xsi:type="dcterms:W3CDTF">2016-11-01T15:02:00Z</dcterms:created>
  <dcterms:modified xsi:type="dcterms:W3CDTF">2016-11-01T15:02:00Z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1283057412</vt:i4>
  </property>
</Properties>
</file>