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9BAA0" w14:textId="77777777" w:rsidR="00FC3E0A" w:rsidRDefault="00FC3E0A" w:rsidP="00FC3E0A">
      <w:pPr>
        <w:spacing w:line="480" w:lineRule="auto"/>
        <w:rPr>
          <w:rFonts w:ascii="Calibri" w:hAnsi="Calibri" w:cs="Times"/>
          <w:color w:val="FF0000"/>
          <w:sz w:val="30"/>
          <w:szCs w:val="30"/>
        </w:rPr>
      </w:pPr>
    </w:p>
    <w:p w14:paraId="398957E1" w14:textId="77777777" w:rsidR="00FC3E0A" w:rsidRDefault="00FC3E0A" w:rsidP="00FC3E0A">
      <w:pPr>
        <w:spacing w:line="480" w:lineRule="auto"/>
        <w:rPr>
          <w:rFonts w:ascii="Calibri" w:hAnsi="Calibri" w:cs="Times"/>
          <w:color w:val="FF0000"/>
          <w:sz w:val="30"/>
          <w:szCs w:val="30"/>
        </w:rPr>
      </w:pPr>
    </w:p>
    <w:p w14:paraId="748E58D6" w14:textId="77777777" w:rsidR="00D26FF7" w:rsidRDefault="00D26FF7" w:rsidP="00FC3E0A">
      <w:pPr>
        <w:spacing w:line="480" w:lineRule="auto"/>
        <w:rPr>
          <w:rFonts w:ascii="Calibri" w:hAnsi="Calibri" w:cs="Times"/>
          <w:sz w:val="30"/>
          <w:szCs w:val="30"/>
        </w:rPr>
      </w:pPr>
    </w:p>
    <w:p w14:paraId="13F30B72" w14:textId="77777777" w:rsidR="00D26FF7" w:rsidRDefault="00D26FF7" w:rsidP="00FC3E0A">
      <w:pPr>
        <w:spacing w:line="480" w:lineRule="auto"/>
        <w:rPr>
          <w:rFonts w:ascii="Calibri" w:hAnsi="Calibri" w:cs="Times"/>
          <w:sz w:val="30"/>
          <w:szCs w:val="30"/>
        </w:rPr>
      </w:pPr>
    </w:p>
    <w:p w14:paraId="5A9920BC" w14:textId="7BB27158" w:rsidR="00A40319" w:rsidRPr="00C94659" w:rsidRDefault="00092CFE" w:rsidP="00FC3E0A">
      <w:pPr>
        <w:spacing w:line="480" w:lineRule="auto"/>
        <w:rPr>
          <w:rFonts w:ascii="Calibri" w:hAnsi="Calibri"/>
        </w:rPr>
      </w:pPr>
      <w:r w:rsidRPr="00C94659">
        <w:rPr>
          <w:rFonts w:ascii="Calibri" w:hAnsi="Calibri" w:cs="Times"/>
          <w:sz w:val="30"/>
          <w:szCs w:val="30"/>
        </w:rPr>
        <w:t xml:space="preserve">Suffering </w:t>
      </w:r>
      <w:r w:rsidR="00FC3E0A">
        <w:rPr>
          <w:rFonts w:ascii="Calibri" w:hAnsi="Calibri" w:cs="Times"/>
          <w:sz w:val="30"/>
          <w:szCs w:val="30"/>
        </w:rPr>
        <w:t>W</w:t>
      </w:r>
      <w:r w:rsidRPr="00C94659">
        <w:rPr>
          <w:rFonts w:ascii="Calibri" w:hAnsi="Calibri" w:cs="Times"/>
          <w:sz w:val="30"/>
          <w:szCs w:val="30"/>
        </w:rPr>
        <w:t xml:space="preserve">ith </w:t>
      </w:r>
      <w:r w:rsidR="00FC3E0A">
        <w:rPr>
          <w:rFonts w:ascii="Calibri" w:hAnsi="Calibri" w:cs="Times"/>
          <w:sz w:val="30"/>
          <w:szCs w:val="30"/>
        </w:rPr>
        <w:t>D</w:t>
      </w:r>
      <w:r w:rsidR="00B206F8" w:rsidRPr="00C94659">
        <w:rPr>
          <w:rFonts w:ascii="Calibri" w:hAnsi="Calibri" w:cs="Times"/>
          <w:sz w:val="30"/>
          <w:szCs w:val="30"/>
        </w:rPr>
        <w:t xml:space="preserve">ementia: </w:t>
      </w:r>
      <w:r w:rsidR="00FC3E0A">
        <w:rPr>
          <w:rFonts w:ascii="Calibri" w:hAnsi="Calibri" w:cs="Times"/>
          <w:sz w:val="30"/>
          <w:szCs w:val="30"/>
        </w:rPr>
        <w:t>T</w:t>
      </w:r>
      <w:r w:rsidR="00B206F8" w:rsidRPr="00C94659">
        <w:rPr>
          <w:rFonts w:ascii="Calibri" w:hAnsi="Calibri" w:cs="Times"/>
          <w:sz w:val="30"/>
          <w:szCs w:val="30"/>
        </w:rPr>
        <w:t xml:space="preserve">he other side of </w:t>
      </w:r>
      <w:r w:rsidR="00964F85" w:rsidRPr="00C94659">
        <w:rPr>
          <w:rFonts w:ascii="Calibri" w:hAnsi="Calibri" w:cs="Times"/>
          <w:sz w:val="30"/>
          <w:szCs w:val="30"/>
        </w:rPr>
        <w:t>‘</w:t>
      </w:r>
      <w:r w:rsidR="00FC3E0A">
        <w:rPr>
          <w:rFonts w:ascii="Calibri" w:hAnsi="Calibri" w:cs="Times"/>
          <w:sz w:val="30"/>
          <w:szCs w:val="30"/>
        </w:rPr>
        <w:t>l</w:t>
      </w:r>
      <w:r w:rsidR="00B206F8" w:rsidRPr="00C94659">
        <w:rPr>
          <w:rFonts w:ascii="Calibri" w:hAnsi="Calibri" w:cs="Times"/>
          <w:sz w:val="30"/>
          <w:szCs w:val="30"/>
        </w:rPr>
        <w:t xml:space="preserve">iving </w:t>
      </w:r>
      <w:r w:rsidR="00FC3E0A">
        <w:rPr>
          <w:rFonts w:ascii="Calibri" w:hAnsi="Calibri" w:cs="Times"/>
          <w:sz w:val="30"/>
          <w:szCs w:val="30"/>
        </w:rPr>
        <w:t>w</w:t>
      </w:r>
      <w:r w:rsidR="00B206F8" w:rsidRPr="00C94659">
        <w:rPr>
          <w:rFonts w:ascii="Calibri" w:hAnsi="Calibri" w:cs="Times"/>
          <w:sz w:val="30"/>
          <w:szCs w:val="30"/>
        </w:rPr>
        <w:t>ell</w:t>
      </w:r>
      <w:r w:rsidR="00964F85" w:rsidRPr="00C94659">
        <w:rPr>
          <w:rFonts w:ascii="Calibri" w:hAnsi="Calibri" w:cs="Times"/>
          <w:sz w:val="30"/>
          <w:szCs w:val="30"/>
        </w:rPr>
        <w:t>’</w:t>
      </w:r>
    </w:p>
    <w:p w14:paraId="3F89A7B6" w14:textId="494DD07D" w:rsidR="00FC3E0A" w:rsidRDefault="00FC3E0A">
      <w:r>
        <w:br w:type="page"/>
      </w:r>
    </w:p>
    <w:p w14:paraId="29BC5D08" w14:textId="77777777" w:rsidR="00A40319" w:rsidRDefault="00A40319" w:rsidP="00FC3E0A">
      <w:pPr>
        <w:spacing w:line="480" w:lineRule="auto"/>
      </w:pPr>
    </w:p>
    <w:p w14:paraId="28E57EBA" w14:textId="77777777" w:rsidR="007C16CD" w:rsidRDefault="007C16CD" w:rsidP="00FC3E0A">
      <w:pPr>
        <w:pStyle w:val="Heading2"/>
        <w:spacing w:line="480" w:lineRule="auto"/>
      </w:pPr>
      <w:r>
        <w:t>Introduction</w:t>
      </w:r>
    </w:p>
    <w:p w14:paraId="3B03BBCA" w14:textId="4F4DC9DA" w:rsidR="0006446B" w:rsidRDefault="003C3375" w:rsidP="00BA2435">
      <w:pPr>
        <w:spacing w:line="480" w:lineRule="auto"/>
      </w:pPr>
      <w:r>
        <w:t xml:space="preserve">In this </w:t>
      </w:r>
      <w:r w:rsidR="00BA2435">
        <w:t>editorial</w:t>
      </w:r>
      <w:r>
        <w:t xml:space="preserve"> we </w:t>
      </w:r>
      <w:r w:rsidR="00B03CD3">
        <w:t xml:space="preserve">challenge the current understanding </w:t>
      </w:r>
      <w:r w:rsidR="00F321D8">
        <w:t>o</w:t>
      </w:r>
      <w:r>
        <w:t xml:space="preserve">f </w:t>
      </w:r>
      <w:r w:rsidR="00E22D2F">
        <w:t>‘Living Well with Dementia’</w:t>
      </w:r>
      <w:r>
        <w:t xml:space="preserve">. </w:t>
      </w:r>
      <w:r w:rsidR="00B1610A">
        <w:t xml:space="preserve"> </w:t>
      </w:r>
      <w:r>
        <w:t xml:space="preserve">Such discourse </w:t>
      </w:r>
      <w:r w:rsidR="00E22D2F">
        <w:t>introduce</w:t>
      </w:r>
      <w:r>
        <w:t>s</w:t>
      </w:r>
      <w:r w:rsidR="00E22D2F">
        <w:t xml:space="preserve"> the possibility of </w:t>
      </w:r>
      <w:r w:rsidR="00E22D2F" w:rsidRPr="00232E82">
        <w:t>not</w:t>
      </w:r>
      <w:r w:rsidR="00E22D2F" w:rsidRPr="00964F85">
        <w:t xml:space="preserve"> </w:t>
      </w:r>
      <w:r w:rsidR="00E22D2F">
        <w:t>living well with the condition or even of ‘</w:t>
      </w:r>
      <w:r>
        <w:t>l</w:t>
      </w:r>
      <w:r w:rsidR="00E22D2F">
        <w:t xml:space="preserve">iving </w:t>
      </w:r>
      <w:r>
        <w:t>b</w:t>
      </w:r>
      <w:r w:rsidR="00E22D2F">
        <w:t xml:space="preserve">adly with </w:t>
      </w:r>
      <w:r>
        <w:t>d</w:t>
      </w:r>
      <w:r w:rsidR="00E22D2F">
        <w:t xml:space="preserve">ementia’. Numerous words might be relevant here – grief, pain, anguish, depression – but in this </w:t>
      </w:r>
      <w:r w:rsidR="00BA2435">
        <w:t>editorial</w:t>
      </w:r>
      <w:r w:rsidR="00F321D8">
        <w:t xml:space="preserve"> </w:t>
      </w:r>
      <w:r w:rsidR="00E22D2F">
        <w:t xml:space="preserve">we </w:t>
      </w:r>
      <w:r w:rsidR="00AD2588">
        <w:t>consciously use the word</w:t>
      </w:r>
      <w:r w:rsidR="00B6438B">
        <w:t xml:space="preserve"> </w:t>
      </w:r>
      <w:r w:rsidR="00F321D8">
        <w:t>‘</w:t>
      </w:r>
      <w:r w:rsidR="00E22D2F" w:rsidRPr="00232E82">
        <w:t>suffering</w:t>
      </w:r>
      <w:r w:rsidR="00F321D8">
        <w:t>’</w:t>
      </w:r>
      <w:r w:rsidR="008021BD">
        <w:t xml:space="preserve">. </w:t>
      </w:r>
      <w:r w:rsidR="00022323">
        <w:t xml:space="preserve"> </w:t>
      </w:r>
      <w:r w:rsidR="008021BD">
        <w:t>This term is used</w:t>
      </w:r>
      <w:r w:rsidR="00AE64D1">
        <w:t xml:space="preserve"> </w:t>
      </w:r>
      <w:r w:rsidR="00E22D2F">
        <w:t>for two reasons</w:t>
      </w:r>
      <w:r w:rsidR="008021BD">
        <w:t xml:space="preserve">; one, </w:t>
      </w:r>
      <w:r w:rsidR="00AE64D1">
        <w:t xml:space="preserve">because </w:t>
      </w:r>
      <w:r w:rsidR="00BD7191">
        <w:t xml:space="preserve">it </w:t>
      </w:r>
      <w:r w:rsidR="00E22D2F">
        <w:t xml:space="preserve">captures the attributes of other more limited words, and, </w:t>
      </w:r>
      <w:r w:rsidR="00022323">
        <w:t>two</w:t>
      </w:r>
      <w:r w:rsidR="00E22D2F">
        <w:t xml:space="preserve"> </w:t>
      </w:r>
      <w:r w:rsidR="00AE64D1">
        <w:t xml:space="preserve">because </w:t>
      </w:r>
      <w:r w:rsidR="00022323">
        <w:t xml:space="preserve">the language of </w:t>
      </w:r>
      <w:r w:rsidR="00BD7191">
        <w:t xml:space="preserve">‘suffering’ </w:t>
      </w:r>
      <w:r w:rsidR="00040358">
        <w:t>is contentious</w:t>
      </w:r>
      <w:r w:rsidR="005941D0">
        <w:t>, mak</w:t>
      </w:r>
      <w:r w:rsidR="0071025B">
        <w:t>ing</w:t>
      </w:r>
      <w:r w:rsidR="005941D0">
        <w:t xml:space="preserve"> it </w:t>
      </w:r>
      <w:r w:rsidR="0071025B">
        <w:t xml:space="preserve">suitable </w:t>
      </w:r>
      <w:r w:rsidR="00C86E50">
        <w:t>for</w:t>
      </w:r>
      <w:r w:rsidR="005941D0">
        <w:t xml:space="preserve"> </w:t>
      </w:r>
      <w:r w:rsidR="00C86E50">
        <w:t>debate</w:t>
      </w:r>
      <w:r w:rsidR="005941D0">
        <w:t>.</w:t>
      </w:r>
      <w:r w:rsidR="00D1419D">
        <w:t xml:space="preserve"> </w:t>
      </w:r>
      <w:r w:rsidR="00BD7191">
        <w:t xml:space="preserve"> </w:t>
      </w:r>
      <w:r w:rsidR="0006446B">
        <w:rPr>
          <w:rFonts w:cs="Times New Roman"/>
        </w:rPr>
        <w:t xml:space="preserve">We </w:t>
      </w:r>
      <w:r w:rsidR="00022323">
        <w:rPr>
          <w:rFonts w:cs="Times New Roman"/>
        </w:rPr>
        <w:t>speak of suffering</w:t>
      </w:r>
      <w:r w:rsidR="0006446B">
        <w:rPr>
          <w:rFonts w:cs="Times New Roman"/>
        </w:rPr>
        <w:t xml:space="preserve">, not to deny the positive aspects of life with dementia or to concentrate just on the negative, but to redress the balance that is disturbed by a relentlessly positive view of </w:t>
      </w:r>
      <w:r w:rsidR="00B03CD3">
        <w:rPr>
          <w:rFonts w:cs="Times New Roman"/>
        </w:rPr>
        <w:t xml:space="preserve">living with </w:t>
      </w:r>
      <w:r w:rsidR="0006446B">
        <w:rPr>
          <w:rFonts w:cs="Times New Roman"/>
        </w:rPr>
        <w:t>the condition.</w:t>
      </w:r>
      <w:r w:rsidR="00BA2435">
        <w:rPr>
          <w:rFonts w:cs="Times New Roman"/>
        </w:rPr>
        <w:t xml:space="preserve">  </w:t>
      </w:r>
      <w:r w:rsidR="00BA2435">
        <w:t>Our aim is to promote a more re</w:t>
      </w:r>
      <w:r w:rsidR="00B6438B">
        <w:t>alistic</w:t>
      </w:r>
      <w:r w:rsidR="00BA2435">
        <w:t xml:space="preserve"> understanding of the dementia experience, one based on </w:t>
      </w:r>
      <w:r w:rsidR="00B6438B">
        <w:t>actualities</w:t>
      </w:r>
      <w:r w:rsidR="00BA2435">
        <w:t xml:space="preserve"> and evidence rather than presumption and sentiment. </w:t>
      </w:r>
    </w:p>
    <w:p w14:paraId="44861038" w14:textId="77777777" w:rsidR="00B6438B" w:rsidRDefault="00B6438B" w:rsidP="00FC3E0A">
      <w:pPr>
        <w:pStyle w:val="Heading2"/>
        <w:spacing w:line="480" w:lineRule="auto"/>
      </w:pPr>
    </w:p>
    <w:p w14:paraId="74674CCB" w14:textId="42A3C5B0" w:rsidR="00BD7191" w:rsidRDefault="00BD7191" w:rsidP="00FC3E0A">
      <w:pPr>
        <w:pStyle w:val="Heading2"/>
        <w:spacing w:line="480" w:lineRule="auto"/>
      </w:pPr>
      <w:r>
        <w:t>Defining suffering</w:t>
      </w:r>
    </w:p>
    <w:p w14:paraId="7F546B2C" w14:textId="54F90CB8" w:rsidR="00E22D2F" w:rsidRDefault="00AE64D1" w:rsidP="00FC3E0A">
      <w:pPr>
        <w:spacing w:line="480" w:lineRule="auto"/>
      </w:pPr>
      <w:r w:rsidRPr="00FC3E0A">
        <w:t xml:space="preserve">Suffering is hard to define and acknowledge because it is an intensely personal experience and thus varies hugely.  </w:t>
      </w:r>
      <w:r w:rsidR="006A42AC">
        <w:t xml:space="preserve">Health sociologists </w:t>
      </w:r>
      <w:r w:rsidR="00BD7191">
        <w:t>define s</w:t>
      </w:r>
      <w:r w:rsidR="00D1419D">
        <w:t xml:space="preserve">uffering </w:t>
      </w:r>
      <w:r w:rsidR="005941D0" w:rsidRPr="00964F85">
        <w:t>as ‘the unspeakable, as opposed to what can be spoken; it remains in darkness, eluding illumination</w:t>
      </w:r>
      <w:r>
        <w:t>’</w:t>
      </w:r>
      <w:r w:rsidR="005941D0" w:rsidRPr="00964F85">
        <w:t xml:space="preserve"> </w:t>
      </w:r>
      <w:r w:rsidR="00B6438B">
        <w:t>(Frank, 2001</w:t>
      </w:r>
      <w:r w:rsidR="005941D0" w:rsidRPr="00964F85">
        <w:t>, p.2</w:t>
      </w:r>
      <w:r>
        <w:t>45</w:t>
      </w:r>
      <w:r w:rsidR="00B6438B">
        <w:t>)</w:t>
      </w:r>
      <w:r w:rsidR="005941D0" w:rsidRPr="00964F85">
        <w:t>.</w:t>
      </w:r>
      <w:r w:rsidR="00964F85">
        <w:t xml:space="preserve"> </w:t>
      </w:r>
      <w:r w:rsidR="006A42AC">
        <w:t xml:space="preserve"> </w:t>
      </w:r>
      <w:r w:rsidR="009E44C0">
        <w:t xml:space="preserve">It is an experience common to us all, yet can only be known uniquely as our own’ </w:t>
      </w:r>
      <w:r w:rsidR="00B6438B">
        <w:t>(Wilkinson, 2005)</w:t>
      </w:r>
      <w:r w:rsidR="009E44C0">
        <w:t xml:space="preserve">.  For this </w:t>
      </w:r>
      <w:r w:rsidR="00BA2435">
        <w:t>editorial</w:t>
      </w:r>
      <w:r w:rsidR="009E44C0">
        <w:t xml:space="preserve"> it is important to note that </w:t>
      </w:r>
      <w:r w:rsidR="00FC3E0A">
        <w:t xml:space="preserve">the language of </w:t>
      </w:r>
      <w:r w:rsidR="009E44C0">
        <w:t>s</w:t>
      </w:r>
      <w:r>
        <w:t>uffer</w:t>
      </w:r>
      <w:r w:rsidRPr="00FC3E0A">
        <w:t xml:space="preserve">ing </w:t>
      </w:r>
      <w:r>
        <w:t xml:space="preserve">is different from </w:t>
      </w:r>
      <w:r w:rsidR="00FC3E0A">
        <w:t>that of</w:t>
      </w:r>
      <w:r w:rsidR="009E44C0">
        <w:t xml:space="preserve"> </w:t>
      </w:r>
      <w:r>
        <w:t>‘sufferer’</w:t>
      </w:r>
      <w:r w:rsidR="00FC3E0A">
        <w:t>, see Box 1</w:t>
      </w:r>
      <w:r>
        <w:t xml:space="preserve">.  </w:t>
      </w:r>
    </w:p>
    <w:p w14:paraId="662907F6" w14:textId="77777777" w:rsidR="00B6438B" w:rsidRDefault="00B6438B" w:rsidP="00FC3E0A">
      <w:pPr>
        <w:spacing w:line="480" w:lineRule="auto"/>
      </w:pPr>
    </w:p>
    <w:p w14:paraId="4F235D7B" w14:textId="77777777" w:rsidR="00B6438B" w:rsidRPr="00B206F8" w:rsidRDefault="00B6438B" w:rsidP="00FC3E0A">
      <w:pPr>
        <w:spacing w:line="480" w:lineRule="auto"/>
      </w:pPr>
    </w:p>
    <w:p w14:paraId="479200CF" w14:textId="64AD6381" w:rsidR="00816D2E" w:rsidRDefault="0071025B" w:rsidP="00FC3E0A">
      <w:pPr>
        <w:spacing w:line="480" w:lineRule="auto"/>
      </w:pPr>
      <w:r w:rsidRPr="00964F85">
        <w:rPr>
          <w:noProof/>
          <w:color w:val="5B9BD5" w:themeColor="accent1"/>
          <w:lang w:eastAsia="en-GB"/>
        </w:rPr>
        <w:lastRenderedPageBreak/>
        <mc:AlternateContent>
          <mc:Choice Requires="wps">
            <w:drawing>
              <wp:anchor distT="0" distB="0" distL="114300" distR="114300" simplePos="0" relativeHeight="251663360" behindDoc="0" locked="0" layoutInCell="1" allowOverlap="1" wp14:anchorId="7B06D45C" wp14:editId="1D36031A">
                <wp:simplePos x="0" y="0"/>
                <wp:positionH relativeFrom="column">
                  <wp:align>center</wp:align>
                </wp:positionH>
                <wp:positionV relativeFrom="paragraph">
                  <wp:posOffset>0</wp:posOffset>
                </wp:positionV>
                <wp:extent cx="5715000" cy="2175934"/>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175934"/>
                        </a:xfrm>
                        <a:prstGeom prst="rect">
                          <a:avLst/>
                        </a:prstGeom>
                        <a:solidFill>
                          <a:srgbClr val="FFFFFF"/>
                        </a:solidFill>
                        <a:ln w="9525">
                          <a:solidFill>
                            <a:srgbClr val="000000"/>
                          </a:solidFill>
                          <a:miter lim="800000"/>
                          <a:headEnd/>
                          <a:tailEnd/>
                        </a:ln>
                      </wps:spPr>
                      <wps:txbx>
                        <w:txbxContent>
                          <w:p w14:paraId="02AA7772" w14:textId="77777777" w:rsidR="009E44C0" w:rsidRDefault="009E44C0" w:rsidP="002B6D11">
                            <w:pPr>
                              <w:rPr>
                                <w:color w:val="5B9BD5" w:themeColor="accent1"/>
                              </w:rPr>
                            </w:pPr>
                            <w:r>
                              <w:rPr>
                                <w:color w:val="5B9BD5" w:themeColor="accent1"/>
                              </w:rPr>
                              <w:t>Box 1</w:t>
                            </w:r>
                          </w:p>
                          <w:p w14:paraId="19636A86" w14:textId="77777777" w:rsidR="009E44C0" w:rsidRDefault="009E44C0" w:rsidP="002B6D11">
                            <w:pPr>
                              <w:rPr>
                                <w:color w:val="5B9BD5" w:themeColor="accent1"/>
                              </w:rPr>
                            </w:pPr>
                          </w:p>
                          <w:p w14:paraId="7410AA21" w14:textId="60B4F68D" w:rsidR="002B6D11" w:rsidRDefault="002B6D11" w:rsidP="002B6D11">
                            <w:pPr>
                              <w:rPr>
                                <w:color w:val="5B9BD5" w:themeColor="accent1"/>
                              </w:rPr>
                            </w:pPr>
                            <w:r w:rsidRPr="005D14C7">
                              <w:rPr>
                                <w:color w:val="5B9BD5" w:themeColor="accent1"/>
                              </w:rPr>
                              <w:t>Distinguishing between ‘dementia sufferers’ and ‘dementia suffering’</w:t>
                            </w:r>
                          </w:p>
                          <w:p w14:paraId="3E5BB697" w14:textId="77777777" w:rsidR="002B6D11" w:rsidRPr="005D14C7" w:rsidRDefault="002B6D11" w:rsidP="002B6D11">
                            <w:pPr>
                              <w:rPr>
                                <w:color w:val="5B9BD5" w:themeColor="accent1"/>
                              </w:rPr>
                            </w:pPr>
                          </w:p>
                          <w:p w14:paraId="124FCFFC" w14:textId="2576401B" w:rsidR="002B6D11" w:rsidRDefault="00040358" w:rsidP="006A42AC">
                            <w:r>
                              <w:t>Speaking of ‘suffering’</w:t>
                            </w:r>
                            <w:r w:rsidR="000E47DC" w:rsidRPr="00964F85">
                              <w:t xml:space="preserve"> does not mean that we condone use of the term ‘dementia sufferer’. U</w:t>
                            </w:r>
                            <w:r w:rsidR="002B6D11" w:rsidRPr="00964F85">
                              <w:t>sing the phrase ‘dementia sufferer’ does nothing more than label and offend people,</w:t>
                            </w:r>
                            <w:r w:rsidR="002B6D11" w:rsidRPr="00B206F8">
                              <w:t xml:space="preserve"> </w:t>
                            </w:r>
                            <w:r w:rsidR="002B6D11">
                              <w:t>as K</w:t>
                            </w:r>
                            <w:r w:rsidR="009F6A3B">
                              <w:t xml:space="preserve">eith Oliver </w:t>
                            </w:r>
                            <w:r w:rsidR="002B6D11">
                              <w:t>explains ‘I don’t see myself as a sufferer but I do suffer from dementia. I find dementia extremely challenging and frustrati</w:t>
                            </w:r>
                            <w:r w:rsidR="00491583">
                              <w:t>ng</w:t>
                            </w:r>
                            <w:r w:rsidR="002B6D11">
                              <w:t xml:space="preserve"> but I am not a sufferer because if I become a sufferer that’s how I’m defined and that’s how I’m treated’. </w:t>
                            </w:r>
                            <w:r w:rsidR="009E44C0">
                              <w:t>Obviously</w:t>
                            </w:r>
                            <w:r w:rsidR="00AE64D1">
                              <w:t xml:space="preserve"> it is not right to define a person simply by the diagnosis they have, whatever condition they might have.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6D45C" id="_x0000_t202" coordsize="21600,21600" o:spt="202" path="m,l,21600r21600,l21600,xe">
                <v:stroke joinstyle="miter"/>
                <v:path gradientshapeok="t" o:connecttype="rect"/>
              </v:shapetype>
              <v:shape id="Text Box 2" o:spid="_x0000_s1026" type="#_x0000_t202" style="position:absolute;margin-left:0;margin-top:0;width:450pt;height:171.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">
                <v:textbox>
                  <w:txbxContent>
                    <w:p w14:paraId="02AA7772" w14:textId="77777777" w:rsidR="009E44C0" w:rsidRDefault="009E44C0" w:rsidP="002B6D11">
                      <w:pPr>
                        <w:rPr>
                          <w:color w:val="5B9BD5" w:themeColor="accent1"/>
                        </w:rPr>
                      </w:pPr>
                      <w:r>
                        <w:rPr>
                          <w:color w:val="5B9BD5" w:themeColor="accent1"/>
                        </w:rPr>
                        <w:t>Box 1</w:t>
                      </w:r>
                    </w:p>
                    <w:p w14:paraId="19636A86" w14:textId="77777777" w:rsidR="009E44C0" w:rsidRDefault="009E44C0" w:rsidP="002B6D11">
                      <w:pPr>
                        <w:rPr>
                          <w:color w:val="5B9BD5" w:themeColor="accent1"/>
                        </w:rPr>
                      </w:pPr>
                    </w:p>
                    <w:p w14:paraId="7410AA21" w14:textId="60B4F68D" w:rsidR="002B6D11" w:rsidRDefault="002B6D11" w:rsidP="002B6D11">
                      <w:pPr>
                        <w:rPr>
                          <w:color w:val="5B9BD5" w:themeColor="accent1"/>
                        </w:rPr>
                      </w:pPr>
                      <w:r w:rsidRPr="005D14C7">
                        <w:rPr>
                          <w:color w:val="5B9BD5" w:themeColor="accent1"/>
                        </w:rPr>
                        <w:t>Distinguishing between ‘dementia sufferers’ and ‘dementia suffering’</w:t>
                      </w:r>
                    </w:p>
                    <w:p w14:paraId="3E5BB697" w14:textId="77777777" w:rsidR="002B6D11" w:rsidRPr="005D14C7" w:rsidRDefault="002B6D11" w:rsidP="002B6D11">
                      <w:pPr>
                        <w:rPr>
                          <w:color w:val="5B9BD5" w:themeColor="accent1"/>
                        </w:rPr>
                      </w:pPr>
                    </w:p>
                    <w:p w14:paraId="124FCFFC" w14:textId="2576401B" w:rsidR="002B6D11" w:rsidRDefault="00040358" w:rsidP="006A42AC">
                      <w:r>
                        <w:t>Speaking of ‘suffering’</w:t>
                      </w:r>
                      <w:r w:rsidR="000E47DC" w:rsidRPr="00964F85">
                        <w:t xml:space="preserve"> does not mean that we condone use of the term ‘dementia sufferer’. U</w:t>
                      </w:r>
                      <w:r w:rsidR="002B6D11" w:rsidRPr="00964F85">
                        <w:t>sing the phrase ‘dementia sufferer’ does nothing more than label and offend people,</w:t>
                      </w:r>
                      <w:r w:rsidR="002B6D11" w:rsidRPr="00B206F8">
                        <w:t xml:space="preserve"> </w:t>
                      </w:r>
                      <w:r w:rsidR="002B6D11">
                        <w:t>as K</w:t>
                      </w:r>
                      <w:r w:rsidR="009F6A3B">
                        <w:t xml:space="preserve">eith Oliver </w:t>
                      </w:r>
                      <w:r w:rsidR="002B6D11">
                        <w:t>explains ‘I don’t see myself as a sufferer but I do suffer from dementia. I find dementia extremely challenging and frustrati</w:t>
                      </w:r>
                      <w:r w:rsidR="00491583">
                        <w:t>ng</w:t>
                      </w:r>
                      <w:r w:rsidR="002B6D11">
                        <w:t xml:space="preserve"> but I am not a sufferer because if I become a sufferer that’s how I’m defined and that’s how I’m treated’. </w:t>
                      </w:r>
                      <w:r w:rsidR="009E44C0">
                        <w:t>Obviously</w:t>
                      </w:r>
                      <w:r w:rsidR="00AE64D1">
                        <w:t xml:space="preserve"> it is not right to define a person simply by the diagnosis they have, whatever condition they might have. </w:t>
                      </w:r>
                    </w:p>
                  </w:txbxContent>
                </v:textbox>
              </v:shape>
            </w:pict>
          </mc:Fallback>
        </mc:AlternateContent>
      </w:r>
    </w:p>
    <w:p w14:paraId="04F9F472" w14:textId="04EBC9E7" w:rsidR="00A40319" w:rsidRDefault="00A40319" w:rsidP="00FC3E0A">
      <w:pPr>
        <w:spacing w:line="480" w:lineRule="auto"/>
      </w:pPr>
    </w:p>
    <w:p w14:paraId="361B769C" w14:textId="77777777" w:rsidR="00782E87" w:rsidRDefault="00782E87" w:rsidP="00FC3E0A">
      <w:pPr>
        <w:spacing w:line="480" w:lineRule="auto"/>
      </w:pPr>
    </w:p>
    <w:p w14:paraId="7C36375F" w14:textId="77777777" w:rsidR="002B6D11" w:rsidRDefault="002B6D11" w:rsidP="00FC3E0A">
      <w:pPr>
        <w:spacing w:line="480" w:lineRule="auto"/>
        <w:rPr>
          <w:color w:val="7030A0"/>
        </w:rPr>
      </w:pPr>
    </w:p>
    <w:p w14:paraId="46F72402" w14:textId="77777777" w:rsidR="002B6D11" w:rsidRDefault="002B6D11" w:rsidP="00FC3E0A">
      <w:pPr>
        <w:spacing w:line="480" w:lineRule="auto"/>
        <w:rPr>
          <w:color w:val="7030A0"/>
        </w:rPr>
      </w:pPr>
    </w:p>
    <w:p w14:paraId="4CDFE424" w14:textId="0C5BF23F" w:rsidR="000E47DC" w:rsidRDefault="009E44C0" w:rsidP="00FC3E0A">
      <w:pPr>
        <w:pStyle w:val="Heading2"/>
        <w:spacing w:line="480" w:lineRule="auto"/>
      </w:pPr>
      <w:r>
        <w:t xml:space="preserve">Causes </w:t>
      </w:r>
      <w:r w:rsidR="000E47DC">
        <w:t xml:space="preserve">of suffering </w:t>
      </w:r>
      <w:r w:rsidR="001D3D8C">
        <w:t>for people with dementia</w:t>
      </w:r>
    </w:p>
    <w:p w14:paraId="70E17975" w14:textId="5461FB68" w:rsidR="0068298E" w:rsidRDefault="00C86E50" w:rsidP="00C94659">
      <w:pPr>
        <w:spacing w:line="480" w:lineRule="auto"/>
      </w:pPr>
      <w:r>
        <w:t xml:space="preserve">People can </w:t>
      </w:r>
      <w:r w:rsidR="00B6438B">
        <w:t>and do live well with dementia (Department of Health, 2013; DeBoer, et al, 2007)</w:t>
      </w:r>
      <w:r>
        <w:t xml:space="preserve">.  However, this portrays only a limited picture. </w:t>
      </w:r>
      <w:r w:rsidR="00456552">
        <w:t xml:space="preserve"> </w:t>
      </w:r>
      <w:r>
        <w:t xml:space="preserve">There are some very low points in everyone’s journey through dementia; for instance, the impact of receiving a diagnosis, and the gradual loss of capacity that follows.  </w:t>
      </w:r>
      <w:r w:rsidR="00040358">
        <w:t>L</w:t>
      </w:r>
      <w:r w:rsidR="00890AA2">
        <w:t>ike any life-limiting condition</w:t>
      </w:r>
      <w:r w:rsidR="00037355" w:rsidRPr="00964F85">
        <w:t>, having dementia will involve suffering</w:t>
      </w:r>
      <w:r w:rsidR="000E47DC">
        <w:t xml:space="preserve"> on at least some occasions</w:t>
      </w:r>
      <w:r w:rsidR="0006446B">
        <w:t xml:space="preserve">. </w:t>
      </w:r>
      <w:r w:rsidR="00C94659">
        <w:t xml:space="preserve"> </w:t>
      </w:r>
      <w:r w:rsidR="00B206F8">
        <w:t>Some</w:t>
      </w:r>
      <w:r w:rsidR="00037355" w:rsidRPr="00964F85">
        <w:t xml:space="preserve"> of </w:t>
      </w:r>
      <w:r w:rsidR="00B206F8">
        <w:t>this</w:t>
      </w:r>
      <w:r w:rsidR="00B206F8" w:rsidRPr="00964F85">
        <w:t xml:space="preserve"> </w:t>
      </w:r>
      <w:r w:rsidR="00037355" w:rsidRPr="00964F85">
        <w:t>will be due to the nature of the illness where moments of realisation or insight can lead to feelings of despair or fear</w:t>
      </w:r>
      <w:r w:rsidR="00782E87" w:rsidRPr="00964F85">
        <w:t xml:space="preserve">. </w:t>
      </w:r>
      <w:r w:rsidR="00040358">
        <w:t xml:space="preserve"> </w:t>
      </w:r>
      <w:r w:rsidR="000E47DC" w:rsidRPr="00964F85">
        <w:t xml:space="preserve">In other circumstances, gaps in memory or misperceptions may lead to frightening experiences. </w:t>
      </w:r>
      <w:r w:rsidR="00AD2588">
        <w:t xml:space="preserve"> </w:t>
      </w:r>
      <w:r w:rsidR="000E47DC" w:rsidRPr="00964F85">
        <w:t>There may be a general sense of life being out of control or at least being regulated by others.</w:t>
      </w:r>
      <w:r w:rsidR="00B206F8">
        <w:t xml:space="preserve"> </w:t>
      </w:r>
      <w:r w:rsidR="00AD2588">
        <w:t xml:space="preserve"> </w:t>
      </w:r>
      <w:r w:rsidR="00DC0CE1">
        <w:t>T</w:t>
      </w:r>
      <w:r w:rsidR="00B206F8">
        <w:t>h</w:t>
      </w:r>
      <w:r w:rsidR="00DC0CE1">
        <w:t>is</w:t>
      </w:r>
      <w:r w:rsidR="00B206F8">
        <w:t xml:space="preserve"> may be distressing and cause suffering.</w:t>
      </w:r>
    </w:p>
    <w:p w14:paraId="0B9B177E" w14:textId="3C998D57" w:rsidR="009E44C0" w:rsidRDefault="0068298E" w:rsidP="00C94659">
      <w:pPr>
        <w:spacing w:line="480" w:lineRule="auto"/>
        <w:ind w:firstLine="720"/>
      </w:pPr>
      <w:r>
        <w:t xml:space="preserve">Other forms of suffering may not necessarily </w:t>
      </w:r>
      <w:r w:rsidR="00B206F8">
        <w:t>result directly from</w:t>
      </w:r>
      <w:r>
        <w:t xml:space="preserve"> </w:t>
      </w:r>
      <w:r w:rsidR="00B206F8">
        <w:t>dementia</w:t>
      </w:r>
      <w:r>
        <w:t xml:space="preserve"> itself but stem from</w:t>
      </w:r>
      <w:r w:rsidR="00703549">
        <w:t xml:space="preserve"> </w:t>
      </w:r>
      <w:r w:rsidR="007C16CD">
        <w:t xml:space="preserve">the quality of </w:t>
      </w:r>
      <w:r w:rsidR="00B206F8">
        <w:t xml:space="preserve">care </w:t>
      </w:r>
      <w:r w:rsidR="00AD2588">
        <w:t>or</w:t>
      </w:r>
      <w:r w:rsidR="004611F4">
        <w:t xml:space="preserve"> services that are </w:t>
      </w:r>
      <w:r w:rsidR="00B206F8">
        <w:t>provided and how caregivers themselves deal with the effects of dementia</w:t>
      </w:r>
      <w:r>
        <w:t>.</w:t>
      </w:r>
      <w:r w:rsidR="00703549">
        <w:t xml:space="preserve"> </w:t>
      </w:r>
      <w:r w:rsidR="004611F4">
        <w:t xml:space="preserve"> </w:t>
      </w:r>
      <w:r w:rsidR="00703549">
        <w:t xml:space="preserve">For example, </w:t>
      </w:r>
      <w:r w:rsidR="004611F4">
        <w:t xml:space="preserve">people with </w:t>
      </w:r>
      <w:r w:rsidR="00B206F8">
        <w:t>dementia may feel isolated, depressed or marginalised, as their social networks shrink due to the fear and stigma that surrounds this condition</w:t>
      </w:r>
      <w:r w:rsidR="00B6438B">
        <w:t xml:space="preserve"> (Alzheimer’</w:t>
      </w:r>
      <w:r w:rsidR="001E06F9">
        <w:t>s Society, 2013a</w:t>
      </w:r>
      <w:r w:rsidR="00B6438B">
        <w:t>)</w:t>
      </w:r>
      <w:r w:rsidR="00B206F8">
        <w:t xml:space="preserve">. </w:t>
      </w:r>
      <w:r w:rsidR="00FC3E0A">
        <w:t xml:space="preserve"> </w:t>
      </w:r>
      <w:r w:rsidR="00B206F8">
        <w:t xml:space="preserve">In </w:t>
      </w:r>
      <w:r w:rsidR="00AD2588">
        <w:t xml:space="preserve">hospitals and </w:t>
      </w:r>
      <w:r w:rsidR="00703549">
        <w:t>care homes, people with dementia may suffer from</w:t>
      </w:r>
      <w:r w:rsidR="00AD2588">
        <w:t xml:space="preserve"> </w:t>
      </w:r>
      <w:r w:rsidR="00703549">
        <w:t>terrible boredom, lack of access to nature and the outdoors, lack of pain relief</w:t>
      </w:r>
      <w:r w:rsidR="004611F4">
        <w:t xml:space="preserve">, </w:t>
      </w:r>
      <w:r w:rsidR="00703549">
        <w:t>malnourishment, dehy</w:t>
      </w:r>
      <w:r w:rsidR="00B6438B">
        <w:t xml:space="preserve">dration, abuse or mistreatment (Peisah, et.al, 2014; Alzheimer’s Disease International, 2014; </w:t>
      </w:r>
      <w:r w:rsidR="001E06F9">
        <w:t xml:space="preserve">Alzheimer’s Society, 2013b; </w:t>
      </w:r>
      <w:r w:rsidR="00B6438B">
        <w:t xml:space="preserve">Care Quality </w:t>
      </w:r>
      <w:r w:rsidR="00B6438B">
        <w:lastRenderedPageBreak/>
        <w:t>Commission</w:t>
      </w:r>
      <w:r w:rsidR="00AD2588">
        <w:t>, 2013)</w:t>
      </w:r>
      <w:r w:rsidR="00703549">
        <w:t>.</w:t>
      </w:r>
      <w:r w:rsidR="005C59D4">
        <w:t xml:space="preserve"> </w:t>
      </w:r>
      <w:r w:rsidR="004611F4">
        <w:t xml:space="preserve"> </w:t>
      </w:r>
      <w:r w:rsidR="00703549">
        <w:t xml:space="preserve">Some individuals diagnosed with dementia </w:t>
      </w:r>
      <w:r w:rsidR="00B206F8">
        <w:t xml:space="preserve">may even choose </w:t>
      </w:r>
      <w:r w:rsidR="00703549">
        <w:t>to take their own lives beca</w:t>
      </w:r>
      <w:r w:rsidR="00AD2588">
        <w:t xml:space="preserve">use the future looks too bleak (Wilkinson, 2015).  This is what </w:t>
      </w:r>
      <w:r w:rsidR="001E06F9">
        <w:t xml:space="preserve">happened to </w:t>
      </w:r>
      <w:r w:rsidR="00AD2588">
        <w:t>Lore Windemuth</w:t>
      </w:r>
      <w:r w:rsidR="00890AA2">
        <w:t>-Wolfson</w:t>
      </w:r>
      <w:r w:rsidR="00AD2588">
        <w:t>’</w:t>
      </w:r>
      <w:r w:rsidR="001E06F9">
        <w:t>s husband</w:t>
      </w:r>
      <w:r w:rsidR="00AD2588">
        <w:t xml:space="preserve">.  </w:t>
      </w:r>
      <w:r w:rsidR="004611F4">
        <w:t xml:space="preserve">All of which suggests that people </w:t>
      </w:r>
      <w:r w:rsidR="005C59D4" w:rsidRPr="00964F85">
        <w:t xml:space="preserve">dementia </w:t>
      </w:r>
      <w:r w:rsidR="004611F4">
        <w:t xml:space="preserve">are </w:t>
      </w:r>
      <w:r w:rsidR="005C59D4" w:rsidRPr="00964F85">
        <w:t>at risk of social suffering</w:t>
      </w:r>
      <w:r w:rsidR="004611F4">
        <w:t xml:space="preserve">  - that is, </w:t>
      </w:r>
      <w:r w:rsidR="00890AA2">
        <w:t xml:space="preserve">because of </w:t>
      </w:r>
      <w:r w:rsidR="004611F4">
        <w:t xml:space="preserve">the </w:t>
      </w:r>
      <w:r w:rsidR="00890AA2">
        <w:t xml:space="preserve">social climate and </w:t>
      </w:r>
      <w:r w:rsidR="004611F4" w:rsidRPr="001218CA">
        <w:rPr>
          <w:rFonts w:cs="Times New Roman"/>
        </w:rPr>
        <w:t xml:space="preserve">circumstances in which </w:t>
      </w:r>
      <w:r w:rsidR="00673B50">
        <w:rPr>
          <w:rFonts w:cs="Times New Roman"/>
        </w:rPr>
        <w:t>people</w:t>
      </w:r>
      <w:r w:rsidR="00B739FB">
        <w:rPr>
          <w:rFonts w:cs="Times New Roman"/>
        </w:rPr>
        <w:t xml:space="preserve"> a</w:t>
      </w:r>
      <w:r w:rsidR="00890AA2">
        <w:rPr>
          <w:rFonts w:cs="Times New Roman"/>
        </w:rPr>
        <w:t>re treated by others, individuals begin to feel</w:t>
      </w:r>
      <w:r w:rsidR="004611F4" w:rsidRPr="001218CA">
        <w:rPr>
          <w:rFonts w:cs="Times New Roman"/>
        </w:rPr>
        <w:t xml:space="preserve"> </w:t>
      </w:r>
      <w:r w:rsidR="004611F4">
        <w:rPr>
          <w:rFonts w:cs="Times New Roman"/>
        </w:rPr>
        <w:t>‘</w:t>
      </w:r>
      <w:r w:rsidR="004611F4" w:rsidRPr="001218CA">
        <w:rPr>
          <w:rFonts w:cs="Times New Roman"/>
        </w:rPr>
        <w:t>superfluous’</w:t>
      </w:r>
      <w:r w:rsidR="004611F4">
        <w:t xml:space="preserve"> </w:t>
      </w:r>
      <w:r w:rsidR="00AD2588">
        <w:t>(</w:t>
      </w:r>
      <w:r w:rsidR="00AD2588">
        <w:rPr>
          <w:rFonts w:cs="Times New Roman"/>
        </w:rPr>
        <w:t>Wilkinson, 2005)</w:t>
      </w:r>
      <w:r w:rsidR="00B1610A">
        <w:rPr>
          <w:rFonts w:cs="Times New Roman"/>
        </w:rPr>
        <w:t xml:space="preserve">.  </w:t>
      </w:r>
    </w:p>
    <w:p w14:paraId="798D3D33" w14:textId="77777777" w:rsidR="00AD2588" w:rsidRDefault="00AD2588" w:rsidP="00FC3E0A">
      <w:pPr>
        <w:pStyle w:val="Heading2"/>
        <w:spacing w:line="480" w:lineRule="auto"/>
      </w:pPr>
    </w:p>
    <w:p w14:paraId="77F7E62E" w14:textId="77777777" w:rsidR="001D7822" w:rsidRPr="00BE68D3" w:rsidRDefault="001D7822" w:rsidP="00FC3E0A">
      <w:pPr>
        <w:pStyle w:val="Heading2"/>
        <w:spacing w:line="480" w:lineRule="auto"/>
      </w:pPr>
      <w:r w:rsidRPr="00BE68D3">
        <w:t>Recognising dementia suffering</w:t>
      </w:r>
    </w:p>
    <w:p w14:paraId="0D4C552D" w14:textId="0CA54C74" w:rsidR="00BD7191" w:rsidRDefault="00BD7191" w:rsidP="00C94659">
      <w:pPr>
        <w:pStyle w:val="PlainText"/>
        <w:spacing w:line="480" w:lineRule="auto"/>
        <w:rPr>
          <w:sz w:val="24"/>
          <w:szCs w:val="24"/>
        </w:rPr>
      </w:pPr>
      <w:r w:rsidRPr="00C81E92">
        <w:rPr>
          <w:sz w:val="24"/>
          <w:szCs w:val="24"/>
        </w:rPr>
        <w:t xml:space="preserve">The current policy emphasis in England </w:t>
      </w:r>
      <w:r w:rsidR="00890AA2">
        <w:rPr>
          <w:sz w:val="24"/>
          <w:szCs w:val="24"/>
        </w:rPr>
        <w:t xml:space="preserve">and other countries </w:t>
      </w:r>
      <w:r w:rsidRPr="00C81E92">
        <w:rPr>
          <w:sz w:val="24"/>
          <w:szCs w:val="24"/>
        </w:rPr>
        <w:t>on living well with dementia has been accompanied by a shift in research away from a focus on loss to one of maintaining and promoting</w:t>
      </w:r>
      <w:r w:rsidR="00AD2588">
        <w:rPr>
          <w:sz w:val="24"/>
          <w:szCs w:val="24"/>
        </w:rPr>
        <w:t xml:space="preserve"> personhood (see, for example, Hyden et al, 2014)</w:t>
      </w:r>
      <w:r w:rsidRPr="00C81E92">
        <w:rPr>
          <w:sz w:val="24"/>
          <w:szCs w:val="24"/>
        </w:rPr>
        <w:t xml:space="preserve">. </w:t>
      </w:r>
      <w:r w:rsidR="00B739FB">
        <w:rPr>
          <w:sz w:val="24"/>
          <w:szCs w:val="24"/>
        </w:rPr>
        <w:t xml:space="preserve"> </w:t>
      </w:r>
      <w:r w:rsidRPr="00C81E92">
        <w:rPr>
          <w:sz w:val="24"/>
          <w:szCs w:val="24"/>
        </w:rPr>
        <w:t>But in this attempt to forge a positive approach to a terminal disease, there is a risk that the suffering</w:t>
      </w:r>
      <w:r w:rsidR="00550052">
        <w:rPr>
          <w:sz w:val="24"/>
          <w:szCs w:val="24"/>
        </w:rPr>
        <w:t xml:space="preserve">, especially the social suffering, </w:t>
      </w:r>
      <w:r w:rsidRPr="00C81E92">
        <w:rPr>
          <w:sz w:val="24"/>
          <w:szCs w:val="24"/>
        </w:rPr>
        <w:t>experienced by people with dement</w:t>
      </w:r>
      <w:r w:rsidR="00AD2588">
        <w:rPr>
          <w:sz w:val="24"/>
          <w:szCs w:val="24"/>
        </w:rPr>
        <w:t xml:space="preserve">ia is denied.  Certainly in David Cameron’s </w:t>
      </w:r>
      <w:r w:rsidRPr="00C81E92">
        <w:rPr>
          <w:sz w:val="24"/>
          <w:szCs w:val="24"/>
        </w:rPr>
        <w:t>Prime Minister’s Challenge on Dementia, the emphasis is on the “light” at the end of the tunnel rather than the tunnel itself; the possibility that people living with dementia suffer is rarely acknowledged</w:t>
      </w:r>
      <w:r w:rsidR="00AD2588">
        <w:rPr>
          <w:sz w:val="24"/>
          <w:szCs w:val="24"/>
        </w:rPr>
        <w:t xml:space="preserve"> (Department of Health, 2013)</w:t>
      </w:r>
      <w:r w:rsidRPr="00C81E92">
        <w:rPr>
          <w:sz w:val="24"/>
          <w:szCs w:val="24"/>
        </w:rPr>
        <w:t xml:space="preserve">. </w:t>
      </w:r>
      <w:r>
        <w:rPr>
          <w:sz w:val="24"/>
          <w:szCs w:val="24"/>
        </w:rPr>
        <w:t xml:space="preserve"> </w:t>
      </w:r>
      <w:r w:rsidRPr="00C81E92">
        <w:rPr>
          <w:sz w:val="24"/>
          <w:szCs w:val="24"/>
        </w:rPr>
        <w:t xml:space="preserve">Yet, </w:t>
      </w:r>
      <w:r w:rsidR="00B739FB">
        <w:rPr>
          <w:sz w:val="24"/>
          <w:szCs w:val="24"/>
        </w:rPr>
        <w:t xml:space="preserve">as </w:t>
      </w:r>
      <w:r w:rsidR="0071025B">
        <w:rPr>
          <w:sz w:val="24"/>
          <w:szCs w:val="24"/>
        </w:rPr>
        <w:t>previously</w:t>
      </w:r>
      <w:r w:rsidR="00B739FB">
        <w:rPr>
          <w:sz w:val="24"/>
          <w:szCs w:val="24"/>
        </w:rPr>
        <w:t xml:space="preserve"> indicated, </w:t>
      </w:r>
      <w:r w:rsidRPr="00C81E92">
        <w:rPr>
          <w:sz w:val="24"/>
          <w:szCs w:val="24"/>
        </w:rPr>
        <w:t>research on quality of care, nutrition and pain management, indicate large amounts of suffering for people living with dementia, some of it at the hands of health and social care professionals</w:t>
      </w:r>
      <w:r w:rsidR="00AD2588">
        <w:rPr>
          <w:sz w:val="24"/>
          <w:szCs w:val="24"/>
        </w:rPr>
        <w:t xml:space="preserve">. </w:t>
      </w:r>
    </w:p>
    <w:p w14:paraId="2FD011DA" w14:textId="0618F70F" w:rsidR="007C16CD" w:rsidRPr="00FC3E0A" w:rsidRDefault="004214FA" w:rsidP="00D26FF7">
      <w:pPr>
        <w:pStyle w:val="PlainText"/>
        <w:spacing w:line="480" w:lineRule="auto"/>
        <w:ind w:firstLine="720"/>
        <w:rPr>
          <w:sz w:val="24"/>
          <w:szCs w:val="24"/>
        </w:rPr>
      </w:pPr>
      <w:r w:rsidRPr="00FC3E0A">
        <w:rPr>
          <w:sz w:val="24"/>
          <w:szCs w:val="24"/>
        </w:rPr>
        <w:t xml:space="preserve">There are </w:t>
      </w:r>
      <w:r w:rsidR="00B739FB" w:rsidRPr="00FC3E0A">
        <w:rPr>
          <w:sz w:val="24"/>
          <w:szCs w:val="24"/>
        </w:rPr>
        <w:t>several</w:t>
      </w:r>
      <w:r w:rsidRPr="00FC3E0A">
        <w:rPr>
          <w:sz w:val="24"/>
          <w:szCs w:val="24"/>
        </w:rPr>
        <w:t xml:space="preserve"> </w:t>
      </w:r>
      <w:r w:rsidR="00232E82" w:rsidRPr="00FC3E0A">
        <w:rPr>
          <w:sz w:val="24"/>
          <w:szCs w:val="24"/>
        </w:rPr>
        <w:t xml:space="preserve">reasons why it is important to recognise dementia suffering. </w:t>
      </w:r>
      <w:r w:rsidRPr="00FC3E0A">
        <w:rPr>
          <w:sz w:val="24"/>
          <w:szCs w:val="24"/>
        </w:rPr>
        <w:t xml:space="preserve"> </w:t>
      </w:r>
      <w:r w:rsidR="00232E82" w:rsidRPr="00FC3E0A">
        <w:rPr>
          <w:sz w:val="24"/>
          <w:szCs w:val="24"/>
        </w:rPr>
        <w:t>First,</w:t>
      </w:r>
      <w:r w:rsidRPr="00FC3E0A">
        <w:rPr>
          <w:sz w:val="24"/>
          <w:szCs w:val="24"/>
        </w:rPr>
        <w:t xml:space="preserve"> </w:t>
      </w:r>
      <w:r w:rsidR="00B739FB" w:rsidRPr="00FC3E0A">
        <w:rPr>
          <w:sz w:val="24"/>
          <w:szCs w:val="24"/>
        </w:rPr>
        <w:t>from a legal perspective</w:t>
      </w:r>
      <w:r w:rsidRPr="00FC3E0A">
        <w:rPr>
          <w:sz w:val="24"/>
          <w:szCs w:val="24"/>
        </w:rPr>
        <w:t xml:space="preserve">, only when the substantial and long term </w:t>
      </w:r>
      <w:r w:rsidRPr="00C94659">
        <w:rPr>
          <w:i/>
          <w:iCs/>
          <w:sz w:val="24"/>
          <w:szCs w:val="24"/>
        </w:rPr>
        <w:t>negative</w:t>
      </w:r>
      <w:r w:rsidRPr="00FC3E0A">
        <w:rPr>
          <w:sz w:val="24"/>
          <w:szCs w:val="24"/>
        </w:rPr>
        <w:t xml:space="preserve"> effects </w:t>
      </w:r>
      <w:r w:rsidR="00B739FB" w:rsidRPr="00FC3E0A">
        <w:rPr>
          <w:sz w:val="24"/>
          <w:szCs w:val="24"/>
        </w:rPr>
        <w:t>of the condition</w:t>
      </w:r>
      <w:r w:rsidR="00B739FB">
        <w:rPr>
          <w:sz w:val="24"/>
          <w:szCs w:val="24"/>
        </w:rPr>
        <w:t xml:space="preserve"> </w:t>
      </w:r>
      <w:r w:rsidRPr="00FC3E0A">
        <w:rPr>
          <w:sz w:val="24"/>
          <w:szCs w:val="24"/>
        </w:rPr>
        <w:t xml:space="preserve">are recognised, can a </w:t>
      </w:r>
      <w:r w:rsidR="007C16CD" w:rsidRPr="00FC3E0A">
        <w:rPr>
          <w:sz w:val="24"/>
          <w:szCs w:val="24"/>
        </w:rPr>
        <w:t xml:space="preserve">person with dementia establish that they are disabled, as defined by the </w:t>
      </w:r>
      <w:r w:rsidRPr="00FC3E0A">
        <w:rPr>
          <w:sz w:val="24"/>
          <w:szCs w:val="24"/>
        </w:rPr>
        <w:t>E</w:t>
      </w:r>
      <w:r w:rsidR="007C16CD" w:rsidRPr="00FC3E0A">
        <w:rPr>
          <w:sz w:val="24"/>
          <w:szCs w:val="24"/>
        </w:rPr>
        <w:t>qualit</w:t>
      </w:r>
      <w:r w:rsidRPr="00FC3E0A">
        <w:rPr>
          <w:sz w:val="24"/>
          <w:szCs w:val="24"/>
        </w:rPr>
        <w:t>y</w:t>
      </w:r>
      <w:r w:rsidR="007C16CD" w:rsidRPr="00FC3E0A">
        <w:rPr>
          <w:sz w:val="24"/>
          <w:szCs w:val="24"/>
        </w:rPr>
        <w:t xml:space="preserve"> </w:t>
      </w:r>
      <w:r w:rsidRPr="00FC3E0A">
        <w:rPr>
          <w:sz w:val="24"/>
          <w:szCs w:val="24"/>
        </w:rPr>
        <w:t>A</w:t>
      </w:r>
      <w:r w:rsidR="007C16CD" w:rsidRPr="00FC3E0A">
        <w:rPr>
          <w:sz w:val="24"/>
          <w:szCs w:val="24"/>
        </w:rPr>
        <w:t>ct</w:t>
      </w:r>
      <w:r w:rsidRPr="00FC3E0A">
        <w:rPr>
          <w:sz w:val="24"/>
          <w:szCs w:val="24"/>
        </w:rPr>
        <w:t xml:space="preserve"> 2010</w:t>
      </w:r>
      <w:r w:rsidR="00AD2588">
        <w:rPr>
          <w:sz w:val="24"/>
          <w:szCs w:val="24"/>
        </w:rPr>
        <w:t xml:space="preserve"> (our emphasis).  </w:t>
      </w:r>
      <w:r w:rsidR="00C86E50" w:rsidRPr="00FC3E0A">
        <w:rPr>
          <w:sz w:val="24"/>
          <w:szCs w:val="24"/>
        </w:rPr>
        <w:t>This is particularly important f</w:t>
      </w:r>
      <w:r w:rsidR="00B739FB" w:rsidRPr="00FC3E0A">
        <w:rPr>
          <w:sz w:val="24"/>
          <w:szCs w:val="24"/>
        </w:rPr>
        <w:t>or people with dementia</w:t>
      </w:r>
      <w:r w:rsidR="00D26FF7">
        <w:rPr>
          <w:sz w:val="24"/>
          <w:szCs w:val="24"/>
        </w:rPr>
        <w:t xml:space="preserve"> </w:t>
      </w:r>
      <w:r w:rsidR="0071025B">
        <w:rPr>
          <w:sz w:val="24"/>
          <w:szCs w:val="24"/>
        </w:rPr>
        <w:t xml:space="preserve">still </w:t>
      </w:r>
      <w:r w:rsidR="00D26FF7">
        <w:rPr>
          <w:sz w:val="24"/>
          <w:szCs w:val="24"/>
        </w:rPr>
        <w:t xml:space="preserve">in </w:t>
      </w:r>
      <w:r w:rsidR="00FC3E0A" w:rsidRPr="00FC3E0A">
        <w:rPr>
          <w:sz w:val="24"/>
          <w:szCs w:val="24"/>
        </w:rPr>
        <w:t>employ</w:t>
      </w:r>
      <w:r w:rsidR="00D26FF7">
        <w:rPr>
          <w:sz w:val="24"/>
          <w:szCs w:val="24"/>
        </w:rPr>
        <w:t>ment</w:t>
      </w:r>
      <w:r w:rsidR="00C86E50" w:rsidRPr="00FC3E0A">
        <w:rPr>
          <w:sz w:val="24"/>
          <w:szCs w:val="24"/>
        </w:rPr>
        <w:t xml:space="preserve">, as </w:t>
      </w:r>
      <w:r w:rsidR="00550052">
        <w:rPr>
          <w:sz w:val="24"/>
          <w:szCs w:val="24"/>
        </w:rPr>
        <w:t>r</w:t>
      </w:r>
      <w:r w:rsidR="007C16CD" w:rsidRPr="00FC3E0A">
        <w:rPr>
          <w:sz w:val="24"/>
          <w:szCs w:val="24"/>
        </w:rPr>
        <w:t xml:space="preserve">easonable adjustments </w:t>
      </w:r>
      <w:r w:rsidR="00D26FF7">
        <w:rPr>
          <w:sz w:val="24"/>
          <w:szCs w:val="24"/>
        </w:rPr>
        <w:t xml:space="preserve">only have to be made for </w:t>
      </w:r>
      <w:r w:rsidR="00D26FF7">
        <w:rPr>
          <w:sz w:val="24"/>
          <w:szCs w:val="24"/>
        </w:rPr>
        <w:lastRenderedPageBreak/>
        <w:t xml:space="preserve">people legally defined as disabled </w:t>
      </w:r>
      <w:r w:rsidR="00AD2588">
        <w:rPr>
          <w:sz w:val="24"/>
          <w:szCs w:val="24"/>
        </w:rPr>
        <w:t xml:space="preserve">(Edgeell et al. 2016).  </w:t>
      </w:r>
      <w:r w:rsidRPr="00FC3E0A">
        <w:rPr>
          <w:sz w:val="24"/>
          <w:szCs w:val="24"/>
        </w:rPr>
        <w:t>Second</w:t>
      </w:r>
      <w:r w:rsidR="007C16CD" w:rsidRPr="00FC3E0A">
        <w:rPr>
          <w:sz w:val="24"/>
          <w:szCs w:val="24"/>
        </w:rPr>
        <w:t xml:space="preserve">, </w:t>
      </w:r>
      <w:r w:rsidR="00B739FB" w:rsidRPr="00FC3E0A">
        <w:rPr>
          <w:sz w:val="24"/>
          <w:szCs w:val="24"/>
        </w:rPr>
        <w:t>humanitarianly</w:t>
      </w:r>
      <w:r w:rsidRPr="00FC3E0A">
        <w:rPr>
          <w:sz w:val="24"/>
          <w:szCs w:val="24"/>
        </w:rPr>
        <w:t xml:space="preserve">, </w:t>
      </w:r>
      <w:r w:rsidR="007C16CD" w:rsidRPr="00FC3E0A">
        <w:rPr>
          <w:sz w:val="24"/>
          <w:szCs w:val="24"/>
        </w:rPr>
        <w:t>we must recognise and acknowledge that people with dementia and their families are suffering to varying degrees, in different ways, on different levels physically</w:t>
      </w:r>
      <w:r w:rsidR="00FC3E0A">
        <w:rPr>
          <w:sz w:val="24"/>
          <w:szCs w:val="24"/>
        </w:rPr>
        <w:t xml:space="preserve">, </w:t>
      </w:r>
      <w:r w:rsidR="007C16CD" w:rsidRPr="00FC3E0A">
        <w:rPr>
          <w:sz w:val="24"/>
          <w:szCs w:val="24"/>
        </w:rPr>
        <w:t>emotionally</w:t>
      </w:r>
      <w:r w:rsidR="00890AA2">
        <w:rPr>
          <w:sz w:val="24"/>
          <w:szCs w:val="24"/>
        </w:rPr>
        <w:t>, and existentially</w:t>
      </w:r>
      <w:r w:rsidR="00FC3E0A">
        <w:rPr>
          <w:sz w:val="24"/>
          <w:szCs w:val="24"/>
        </w:rPr>
        <w:t xml:space="preserve">. </w:t>
      </w:r>
      <w:r w:rsidR="0071025B">
        <w:rPr>
          <w:sz w:val="24"/>
          <w:szCs w:val="24"/>
        </w:rPr>
        <w:t xml:space="preserve"> </w:t>
      </w:r>
      <w:r w:rsidR="007C16CD" w:rsidRPr="00FC3E0A">
        <w:rPr>
          <w:sz w:val="24"/>
          <w:szCs w:val="24"/>
        </w:rPr>
        <w:t xml:space="preserve">For example, reflecting on when he was first diagnosed, for </w:t>
      </w:r>
      <w:r w:rsidR="009F6A3B">
        <w:rPr>
          <w:sz w:val="24"/>
          <w:szCs w:val="24"/>
        </w:rPr>
        <w:t>Keith Oliver</w:t>
      </w:r>
      <w:r w:rsidR="007C16CD" w:rsidRPr="00FC3E0A">
        <w:rPr>
          <w:sz w:val="24"/>
          <w:szCs w:val="24"/>
        </w:rPr>
        <w:t xml:space="preserve"> accepting the condition was a very important part of alleviating some of the anguish a diagnosis of dementia brings with it. Like he says: </w:t>
      </w:r>
    </w:p>
    <w:p w14:paraId="52694F8A" w14:textId="5AA4FD8B" w:rsidR="007E60EC" w:rsidRPr="007C16CD" w:rsidRDefault="007C16CD" w:rsidP="00FC3E0A">
      <w:pPr>
        <w:spacing w:line="480" w:lineRule="auto"/>
      </w:pPr>
      <w:r w:rsidRPr="00B913F3">
        <w:rPr>
          <w:i/>
          <w:iCs/>
        </w:rPr>
        <w:t>‘I knew from very early on that there was no cure, I knew very early on that it was going to be challenging and if I looked too far ahead I was going to get frightened. So I wanted to take some kind of control over this disease. I wanted to do things like Lasting Power of Attorney and I thought it was important that we did my wife’s as well. So it was a sh</w:t>
      </w:r>
      <w:r>
        <w:rPr>
          <w:i/>
          <w:iCs/>
        </w:rPr>
        <w:t>ared thing…</w:t>
      </w:r>
      <w:r w:rsidRPr="00B913F3">
        <w:rPr>
          <w:i/>
          <w:iCs/>
        </w:rPr>
        <w:t>However, as time has moved on the nature of suffering has change</w:t>
      </w:r>
      <w:r>
        <w:rPr>
          <w:i/>
          <w:iCs/>
        </w:rPr>
        <w:t>d it has become more emotional…</w:t>
      </w:r>
      <w:r w:rsidRPr="00B913F3">
        <w:rPr>
          <w:i/>
          <w:iCs/>
        </w:rPr>
        <w:t xml:space="preserve">I’m scared of losing support and that becomes frustrating’.  </w:t>
      </w:r>
    </w:p>
    <w:p w14:paraId="5E2A96B7" w14:textId="787323F7" w:rsidR="004214FA" w:rsidRDefault="004214FA" w:rsidP="00FC3E0A">
      <w:pPr>
        <w:spacing w:line="480" w:lineRule="auto"/>
        <w:rPr>
          <w:rFonts w:cs="Times New Roman"/>
        </w:rPr>
      </w:pPr>
      <w:r w:rsidRPr="001218CA">
        <w:rPr>
          <w:rFonts w:cs="Times New Roman"/>
        </w:rPr>
        <w:t>Understanding and recognising dementia suffer</w:t>
      </w:r>
      <w:r w:rsidRPr="001218CA">
        <w:rPr>
          <w:rFonts w:cs="Times New Roman"/>
          <w:i/>
        </w:rPr>
        <w:t>ing</w:t>
      </w:r>
      <w:r w:rsidRPr="001218CA">
        <w:rPr>
          <w:rFonts w:cs="Times New Roman"/>
        </w:rPr>
        <w:t xml:space="preserve"> is important</w:t>
      </w:r>
      <w:r w:rsidR="00B739FB">
        <w:rPr>
          <w:rFonts w:cs="Times New Roman"/>
        </w:rPr>
        <w:t xml:space="preserve"> then</w:t>
      </w:r>
      <w:r w:rsidRPr="001218CA">
        <w:rPr>
          <w:rFonts w:cs="Times New Roman"/>
        </w:rPr>
        <w:t>, as it not only acknowled</w:t>
      </w:r>
      <w:r>
        <w:rPr>
          <w:rFonts w:cs="Times New Roman"/>
        </w:rPr>
        <w:t>ges the distress an individual</w:t>
      </w:r>
      <w:r w:rsidRPr="001218CA">
        <w:rPr>
          <w:rFonts w:cs="Times New Roman"/>
        </w:rPr>
        <w:t xml:space="preserve"> </w:t>
      </w:r>
      <w:r>
        <w:rPr>
          <w:rFonts w:cs="Times New Roman"/>
        </w:rPr>
        <w:t>and family are</w:t>
      </w:r>
      <w:r w:rsidRPr="001218CA">
        <w:rPr>
          <w:rFonts w:cs="Times New Roman"/>
        </w:rPr>
        <w:t xml:space="preserve"> experiencing, it </w:t>
      </w:r>
      <w:r>
        <w:rPr>
          <w:rFonts w:cs="Times New Roman"/>
        </w:rPr>
        <w:t xml:space="preserve">also </w:t>
      </w:r>
      <w:r w:rsidRPr="001218CA">
        <w:rPr>
          <w:rFonts w:cs="Times New Roman"/>
        </w:rPr>
        <w:t xml:space="preserve">calls for </w:t>
      </w:r>
      <w:r>
        <w:rPr>
          <w:rFonts w:cs="Times New Roman"/>
        </w:rPr>
        <w:t xml:space="preserve">change and social </w:t>
      </w:r>
      <w:r w:rsidRPr="001218CA">
        <w:rPr>
          <w:rFonts w:cs="Times New Roman"/>
        </w:rPr>
        <w:t xml:space="preserve">action.  </w:t>
      </w:r>
    </w:p>
    <w:p w14:paraId="26BB22DF" w14:textId="77777777" w:rsidR="00AD2588" w:rsidRDefault="00AD2588" w:rsidP="00FC3E0A">
      <w:pPr>
        <w:spacing w:line="480" w:lineRule="auto"/>
        <w:rPr>
          <w:rFonts w:cs="Times New Roman"/>
        </w:rPr>
      </w:pPr>
    </w:p>
    <w:p w14:paraId="1ED08810" w14:textId="77777777" w:rsidR="00CD6EF8" w:rsidRPr="00E70FCB" w:rsidRDefault="00CD6EF8" w:rsidP="00FC3E0A">
      <w:pPr>
        <w:pStyle w:val="Heading2"/>
        <w:spacing w:line="480" w:lineRule="auto"/>
        <w:rPr>
          <w:iCs/>
        </w:rPr>
      </w:pPr>
      <w:r>
        <w:t xml:space="preserve">Ways to alleviate suffering </w:t>
      </w:r>
    </w:p>
    <w:p w14:paraId="016BB8FB" w14:textId="27349DA5" w:rsidR="00CD6EF8" w:rsidRPr="001D3702" w:rsidRDefault="00CD6EF8" w:rsidP="00FC3E0A">
      <w:pPr>
        <w:spacing w:line="480" w:lineRule="auto"/>
        <w:rPr>
          <w:u w:val="double"/>
        </w:rPr>
      </w:pPr>
      <w:r>
        <w:t xml:space="preserve">By acknowledging social suffering in the dementia community, questions are raised about </w:t>
      </w:r>
      <w:r>
        <w:rPr>
          <w:rFonts w:cs="Times New Roman"/>
        </w:rPr>
        <w:t xml:space="preserve">what can be done to alleviate it. Such as: </w:t>
      </w:r>
      <w:r>
        <w:rPr>
          <w:iCs/>
        </w:rPr>
        <w:t>what mechanisms are in place to allay peoples’ fears? What opportunities do people with dementia</w:t>
      </w:r>
      <w:r w:rsidR="001A7B89">
        <w:rPr>
          <w:iCs/>
        </w:rPr>
        <w:t xml:space="preserve"> and </w:t>
      </w:r>
      <w:r w:rsidR="001A7B89" w:rsidRPr="00232E82">
        <w:rPr>
          <w:iCs/>
        </w:rPr>
        <w:t>their families</w:t>
      </w:r>
      <w:r w:rsidRPr="00232E82">
        <w:rPr>
          <w:iCs/>
        </w:rPr>
        <w:t xml:space="preserve"> </w:t>
      </w:r>
      <w:r>
        <w:rPr>
          <w:iCs/>
        </w:rPr>
        <w:t xml:space="preserve">have to express </w:t>
      </w:r>
      <w:r w:rsidR="00FC3E0A">
        <w:rPr>
          <w:iCs/>
        </w:rPr>
        <w:t xml:space="preserve">emotional </w:t>
      </w:r>
      <w:r w:rsidR="009C4354">
        <w:rPr>
          <w:iCs/>
        </w:rPr>
        <w:t xml:space="preserve">pain and </w:t>
      </w:r>
      <w:r>
        <w:rPr>
          <w:iCs/>
        </w:rPr>
        <w:t>despair</w:t>
      </w:r>
      <w:r w:rsidR="009C4354">
        <w:rPr>
          <w:iCs/>
        </w:rPr>
        <w:t>, or suicidal thoughts</w:t>
      </w:r>
      <w:r>
        <w:rPr>
          <w:iCs/>
        </w:rPr>
        <w:t>? And what alternative</w:t>
      </w:r>
      <w:r w:rsidR="00890AA2">
        <w:rPr>
          <w:iCs/>
        </w:rPr>
        <w:t xml:space="preserve"> forms of therapy or support </w:t>
      </w:r>
      <w:r>
        <w:rPr>
          <w:iCs/>
        </w:rPr>
        <w:t xml:space="preserve">might help? </w:t>
      </w:r>
      <w:r w:rsidR="00C86E50">
        <w:t>One way</w:t>
      </w:r>
      <w:r w:rsidR="006A42AC">
        <w:t xml:space="preserve"> to begin to alleviate suffering</w:t>
      </w:r>
      <w:r>
        <w:t xml:space="preserve">, </w:t>
      </w:r>
      <w:r w:rsidR="00C86E50">
        <w:t>is</w:t>
      </w:r>
      <w:r>
        <w:t xml:space="preserve"> to </w:t>
      </w:r>
      <w:r w:rsidR="00C86E50">
        <w:t>acknowledge</w:t>
      </w:r>
      <w:r>
        <w:t xml:space="preserve"> the pressure </w:t>
      </w:r>
      <w:r>
        <w:rPr>
          <w:iCs/>
        </w:rPr>
        <w:t>a heavy accent in policy and practice on ‘living well with dementia’ can p</w:t>
      </w:r>
      <w:r>
        <w:t xml:space="preserve">lace on individuals </w:t>
      </w:r>
      <w:r>
        <w:lastRenderedPageBreak/>
        <w:t>and families. As K</w:t>
      </w:r>
      <w:r w:rsidR="009F6A3B">
        <w:t xml:space="preserve">eith Oliver </w:t>
      </w:r>
      <w:r>
        <w:t>reflects, ‘</w:t>
      </w:r>
      <w:r w:rsidRPr="00FC3E0A">
        <w:rPr>
          <w:i/>
          <w:iCs/>
        </w:rPr>
        <w:t>this living well with dementia is very important and it is something we aspire to…but it’s not easy. It can become almost a rod for your own back that you feel you’re failing to live well with dementia therefore you’re a failure’.</w:t>
      </w:r>
      <w:r>
        <w:t xml:space="preserve">  Thus, we suggest, that while the discourse of ‘living well’ is important, the term itself and some of its specific meanings can adversely affect well-being. </w:t>
      </w:r>
    </w:p>
    <w:p w14:paraId="1CA428F6" w14:textId="28908388" w:rsidR="00CD6EF8" w:rsidRDefault="003C3375" w:rsidP="00C94659">
      <w:pPr>
        <w:spacing w:line="480" w:lineRule="auto"/>
        <w:ind w:firstLine="720"/>
      </w:pPr>
      <w:r>
        <w:t xml:space="preserve">Second, </w:t>
      </w:r>
      <w:r w:rsidR="00CD6EF8">
        <w:t>h</w:t>
      </w:r>
      <w:r w:rsidR="00CD6EF8" w:rsidRPr="00E70FCB">
        <w:t>ealthcare professionals need to have an under</w:t>
      </w:r>
      <w:r w:rsidR="00CD6EF8">
        <w:t xml:space="preserve">standing that dementia is </w:t>
      </w:r>
      <w:r w:rsidR="00CD6EF8" w:rsidRPr="00E70FCB">
        <w:t>more than memory difficulties</w:t>
      </w:r>
      <w:r w:rsidR="00CD6EF8">
        <w:t xml:space="preserve">; </w:t>
      </w:r>
      <w:r w:rsidR="009C4354">
        <w:t>there can be sensory challenges and difficulties when interacting with others</w:t>
      </w:r>
      <w:r w:rsidR="00C94659">
        <w:t xml:space="preserve">, about which something can be done </w:t>
      </w:r>
      <w:r w:rsidR="009C4354">
        <w:t xml:space="preserve">(Jones et al, 2006).  </w:t>
      </w:r>
      <w:r w:rsidR="00CD6EF8" w:rsidRPr="00232E82">
        <w:t>As K</w:t>
      </w:r>
      <w:r w:rsidR="009C4354">
        <w:t xml:space="preserve">eith </w:t>
      </w:r>
      <w:r w:rsidR="00CD6EF8" w:rsidRPr="00232E82">
        <w:t>O</w:t>
      </w:r>
      <w:r w:rsidR="009C4354">
        <w:t>liver</w:t>
      </w:r>
      <w:r w:rsidR="00CD6EF8" w:rsidRPr="00232E82">
        <w:t xml:space="preserve"> remarks,</w:t>
      </w:r>
      <w:r w:rsidR="009C4354">
        <w:t xml:space="preserve"> ‘</w:t>
      </w:r>
      <w:r w:rsidR="00CD6EF8" w:rsidRPr="007C16CD">
        <w:t xml:space="preserve">where I feel </w:t>
      </w:r>
      <w:r w:rsidR="00F95BFE" w:rsidRPr="00232E82">
        <w:t>su</w:t>
      </w:r>
      <w:r w:rsidR="009C4354">
        <w:t xml:space="preserve">pported, valued and included, and </w:t>
      </w:r>
      <w:r w:rsidR="00CD6EF8" w:rsidRPr="00326D69">
        <w:t>able to relate to pe</w:t>
      </w:r>
      <w:r w:rsidR="00CD6EF8">
        <w:t xml:space="preserve">ople and people relating to me; </w:t>
      </w:r>
      <w:r w:rsidR="00CD6EF8" w:rsidRPr="00326D69">
        <w:t xml:space="preserve">I </w:t>
      </w:r>
      <w:r w:rsidR="00CD6EF8">
        <w:t xml:space="preserve">go away from that feeling well’.  </w:t>
      </w:r>
      <w:r w:rsidR="009C4354">
        <w:t xml:space="preserve">Clearly, Kitwood’s ideas about valuing and getting to know the person are still very salient (Kitwood, 1997).  </w:t>
      </w:r>
      <w:r w:rsidR="00CD6EF8">
        <w:t>Therefore t</w:t>
      </w:r>
      <w:r w:rsidR="00CD6EF8" w:rsidRPr="00326D69">
        <w:t>o gain a clearer picture of what dementia is and how it affects the live</w:t>
      </w:r>
      <w:r w:rsidR="00CD6EF8">
        <w:t xml:space="preserve">s of those living with it, we </w:t>
      </w:r>
      <w:r w:rsidR="00CD6EF8" w:rsidRPr="00326D69">
        <w:t>need to take more time to listen to people with dementia and their families</w:t>
      </w:r>
      <w:r w:rsidR="00CD6EF8">
        <w:t xml:space="preserve">.  Specifically, we need to find out </w:t>
      </w:r>
      <w:r w:rsidR="00F321D8">
        <w:t xml:space="preserve">how </w:t>
      </w:r>
      <w:r w:rsidR="008437F8">
        <w:t xml:space="preserve">and whether </w:t>
      </w:r>
      <w:r w:rsidR="00F321D8">
        <w:t xml:space="preserve">people are </w:t>
      </w:r>
      <w:r w:rsidR="00456552" w:rsidRPr="00C94659">
        <w:t>in pain</w:t>
      </w:r>
      <w:r w:rsidR="0071025B">
        <w:t xml:space="preserve"> </w:t>
      </w:r>
      <w:r w:rsidR="00456552">
        <w:t xml:space="preserve">or distress </w:t>
      </w:r>
      <w:r w:rsidR="008437F8">
        <w:t xml:space="preserve">and </w:t>
      </w:r>
      <w:r w:rsidR="00CD6EF8">
        <w:t xml:space="preserve">what </w:t>
      </w:r>
      <w:r w:rsidR="007C16CD">
        <w:t xml:space="preserve">support </w:t>
      </w:r>
      <w:r w:rsidR="00F321D8">
        <w:t xml:space="preserve">they </w:t>
      </w:r>
      <w:r w:rsidR="007C16CD">
        <w:t>need</w:t>
      </w:r>
      <w:r w:rsidR="00CD6EF8">
        <w:t xml:space="preserve">. </w:t>
      </w:r>
      <w:r w:rsidR="0071025B">
        <w:t xml:space="preserve"> </w:t>
      </w:r>
      <w:r w:rsidR="00CD6EF8">
        <w:t xml:space="preserve">For it is only in a space where multiple perspectives are acknowledged that people can </w:t>
      </w:r>
      <w:r w:rsidR="00CD6EF8" w:rsidRPr="00232E82">
        <w:t xml:space="preserve">speak of the full range of </w:t>
      </w:r>
      <w:r w:rsidR="00C17890" w:rsidRPr="00232E82">
        <w:t>experienc</w:t>
      </w:r>
      <w:r w:rsidR="00F321D8">
        <w:t>es</w:t>
      </w:r>
      <w:r w:rsidR="00CD6EF8" w:rsidRPr="00232E82">
        <w:t xml:space="preserve"> </w:t>
      </w:r>
      <w:r w:rsidR="006A42AC">
        <w:t>–</w:t>
      </w:r>
      <w:r w:rsidR="00CD6EF8" w:rsidRPr="00232E82">
        <w:t xml:space="preserve"> </w:t>
      </w:r>
      <w:r w:rsidR="006A42AC">
        <w:t xml:space="preserve">including </w:t>
      </w:r>
      <w:r w:rsidR="00CD6EF8" w:rsidRPr="00232E82">
        <w:t xml:space="preserve">emotional, </w:t>
      </w:r>
      <w:r w:rsidR="004817F5" w:rsidRPr="00232E82">
        <w:t xml:space="preserve">physical, </w:t>
      </w:r>
      <w:r w:rsidR="00CD6EF8" w:rsidRPr="00232E82">
        <w:t>existential</w:t>
      </w:r>
      <w:r w:rsidR="004817F5" w:rsidRPr="00232E82">
        <w:t xml:space="preserve"> and social</w:t>
      </w:r>
      <w:r w:rsidR="006A42AC">
        <w:t xml:space="preserve"> pain</w:t>
      </w:r>
      <w:r w:rsidR="00CD6EF8" w:rsidRPr="00232E82">
        <w:t xml:space="preserve">.  </w:t>
      </w:r>
    </w:p>
    <w:p w14:paraId="0967C409" w14:textId="77777777" w:rsidR="009C4354" w:rsidRPr="00770AE8" w:rsidRDefault="009C4354" w:rsidP="00C94659">
      <w:pPr>
        <w:spacing w:line="480" w:lineRule="auto"/>
        <w:ind w:firstLine="720"/>
        <w:rPr>
          <w:u w:val="double"/>
        </w:rPr>
      </w:pPr>
    </w:p>
    <w:p w14:paraId="60C42C8C" w14:textId="77777777" w:rsidR="00CD6EF8" w:rsidRDefault="00CD6EF8" w:rsidP="00FC3E0A">
      <w:pPr>
        <w:pStyle w:val="Heading2"/>
        <w:spacing w:line="480" w:lineRule="auto"/>
      </w:pPr>
      <w:r>
        <w:t>Conclusion</w:t>
      </w:r>
    </w:p>
    <w:p w14:paraId="5BDA89F0" w14:textId="611FB366" w:rsidR="0025379A" w:rsidRDefault="00BD7191" w:rsidP="00FC3E0A">
      <w:pPr>
        <w:spacing w:line="480" w:lineRule="auto"/>
        <w:rPr>
          <w:iCs/>
        </w:rPr>
      </w:pPr>
      <w:r>
        <w:rPr>
          <w:rFonts w:cs="Times New Roman"/>
        </w:rPr>
        <w:t>T</w:t>
      </w:r>
      <w:r w:rsidR="00CD6EF8">
        <w:rPr>
          <w:rFonts w:cs="Times New Roman"/>
        </w:rPr>
        <w:t xml:space="preserve">he current policy emphasis on ‘living well with dementia’ is welcome and long overdue, but it denies suffering.  Furthermore, it implies that no further thinking or resourcing is required because all we need to do is aspire or hope for people to “live well” with dementia.  </w:t>
      </w:r>
      <w:r w:rsidR="00CD6EF8" w:rsidRPr="00DE4428">
        <w:rPr>
          <w:iCs/>
        </w:rPr>
        <w:t xml:space="preserve">Insights </w:t>
      </w:r>
      <w:r w:rsidR="00CD6EF8" w:rsidRPr="00DE4428">
        <w:rPr>
          <w:iCs/>
        </w:rPr>
        <w:lastRenderedPageBreak/>
        <w:t>from the sociology of s</w:t>
      </w:r>
      <w:r w:rsidR="00CD6EF8">
        <w:rPr>
          <w:iCs/>
        </w:rPr>
        <w:t xml:space="preserve">uffering literature remind us that all illnesses inevitably involve suffering, and that we must work towards </w:t>
      </w:r>
      <w:r w:rsidR="00C86E50">
        <w:rPr>
          <w:iCs/>
        </w:rPr>
        <w:t xml:space="preserve">recognising, </w:t>
      </w:r>
      <w:r w:rsidR="00CD6EF8">
        <w:rPr>
          <w:iCs/>
        </w:rPr>
        <w:t>understanding</w:t>
      </w:r>
      <w:r w:rsidR="00C86E50">
        <w:rPr>
          <w:iCs/>
        </w:rPr>
        <w:t xml:space="preserve">, </w:t>
      </w:r>
      <w:r w:rsidR="00CD6EF8">
        <w:rPr>
          <w:iCs/>
        </w:rPr>
        <w:t>and alleviating this.</w:t>
      </w:r>
    </w:p>
    <w:p w14:paraId="16D072A1" w14:textId="63FD40CC" w:rsidR="009F6A3B" w:rsidRDefault="009F6A3B" w:rsidP="00FC3E0A">
      <w:pPr>
        <w:pStyle w:val="NormalWeb"/>
        <w:spacing w:line="480" w:lineRule="auto"/>
        <w:rPr>
          <w:rFonts w:ascii="Calibri" w:hAnsi="Calibri"/>
          <w:b/>
          <w:bCs/>
          <w:sz w:val="22"/>
          <w:szCs w:val="22"/>
          <w:lang w:val="en-GB"/>
        </w:rPr>
      </w:pPr>
      <w:r>
        <w:rPr>
          <w:rFonts w:ascii="Calibri" w:hAnsi="Calibri"/>
          <w:b/>
          <w:bCs/>
          <w:sz w:val="22"/>
          <w:szCs w:val="22"/>
          <w:lang w:val="en-GB"/>
        </w:rPr>
        <w:t xml:space="preserve">CONFLICT OF INTEREST </w:t>
      </w:r>
    </w:p>
    <w:p w14:paraId="4CC606BC" w14:textId="05ABBE89" w:rsidR="009F6A3B" w:rsidRPr="00B6438B" w:rsidRDefault="009F6A3B" w:rsidP="00FC3E0A">
      <w:pPr>
        <w:pStyle w:val="NormalWeb"/>
        <w:spacing w:line="480" w:lineRule="auto"/>
        <w:rPr>
          <w:rFonts w:ascii="Calibri" w:hAnsi="Calibri"/>
          <w:bCs/>
          <w:sz w:val="22"/>
          <w:szCs w:val="22"/>
          <w:lang w:val="en-GB"/>
        </w:rPr>
      </w:pPr>
      <w:r w:rsidRPr="00B6438B">
        <w:rPr>
          <w:rFonts w:ascii="Calibri" w:hAnsi="Calibri"/>
          <w:bCs/>
          <w:sz w:val="22"/>
          <w:szCs w:val="22"/>
          <w:lang w:val="en-GB"/>
        </w:rPr>
        <w:t xml:space="preserve">NONE </w:t>
      </w:r>
    </w:p>
    <w:p w14:paraId="01884A4B" w14:textId="77777777" w:rsidR="00397BC5" w:rsidRPr="00397BC5" w:rsidRDefault="00397BC5" w:rsidP="00FC3E0A">
      <w:pPr>
        <w:pStyle w:val="NormalWeb"/>
        <w:spacing w:line="480" w:lineRule="auto"/>
        <w:rPr>
          <w:rFonts w:ascii="Calibri" w:hAnsi="Calibri"/>
          <w:b/>
          <w:bCs/>
          <w:sz w:val="22"/>
          <w:szCs w:val="22"/>
          <w:lang w:val="en-GB"/>
        </w:rPr>
      </w:pPr>
      <w:r w:rsidRPr="00397BC5">
        <w:rPr>
          <w:rFonts w:ascii="Calibri" w:hAnsi="Calibri"/>
          <w:b/>
          <w:bCs/>
          <w:sz w:val="22"/>
          <w:szCs w:val="22"/>
          <w:lang w:val="en-GB"/>
        </w:rPr>
        <w:t>AUTHORS</w:t>
      </w:r>
    </w:p>
    <w:p w14:paraId="63F334EA" w14:textId="6496D81D" w:rsidR="00B6438B" w:rsidRDefault="00B6438B" w:rsidP="00FC3E0A">
      <w:pPr>
        <w:pStyle w:val="NormalWeb"/>
        <w:spacing w:line="480" w:lineRule="auto"/>
        <w:rPr>
          <w:rFonts w:ascii="Calibri" w:hAnsi="Calibri"/>
          <w:bCs/>
          <w:sz w:val="22"/>
          <w:szCs w:val="22"/>
          <w:lang w:val="en-GB"/>
        </w:rPr>
      </w:pPr>
      <w:r w:rsidRPr="00B6438B">
        <w:rPr>
          <w:rFonts w:ascii="Calibri" w:hAnsi="Calibri"/>
          <w:bCs/>
          <w:sz w:val="22"/>
          <w:szCs w:val="22"/>
          <w:lang w:val="en-GB"/>
        </w:rPr>
        <w:t>BARTLETT, RUTH (University of Southampton</w:t>
      </w:r>
      <w:r>
        <w:rPr>
          <w:rFonts w:ascii="Calibri" w:hAnsi="Calibri"/>
          <w:bCs/>
          <w:sz w:val="22"/>
          <w:szCs w:val="22"/>
          <w:lang w:val="en-GB"/>
        </w:rPr>
        <w:t>)</w:t>
      </w:r>
    </w:p>
    <w:p w14:paraId="10CC6846" w14:textId="05AE677E" w:rsidR="00B6438B" w:rsidRPr="00B6438B" w:rsidRDefault="00B6438B" w:rsidP="00FC3E0A">
      <w:pPr>
        <w:pStyle w:val="NormalWeb"/>
        <w:spacing w:line="480" w:lineRule="auto"/>
        <w:rPr>
          <w:rFonts w:ascii="Calibri" w:hAnsi="Calibri"/>
          <w:bCs/>
          <w:sz w:val="22"/>
          <w:szCs w:val="22"/>
          <w:lang w:val="en-GB"/>
        </w:rPr>
      </w:pPr>
      <w:r>
        <w:rPr>
          <w:rFonts w:ascii="Calibri" w:hAnsi="Calibri"/>
          <w:bCs/>
          <w:sz w:val="22"/>
          <w:szCs w:val="22"/>
          <w:lang w:val="en-GB"/>
        </w:rPr>
        <w:t>WINDEMUTH</w:t>
      </w:r>
      <w:r w:rsidR="00890AA2">
        <w:rPr>
          <w:rFonts w:ascii="Calibri" w:hAnsi="Calibri"/>
          <w:bCs/>
          <w:sz w:val="22"/>
          <w:szCs w:val="22"/>
          <w:lang w:val="en-GB"/>
        </w:rPr>
        <w:t xml:space="preserve">-WOLFSON, </w:t>
      </w:r>
      <w:r>
        <w:rPr>
          <w:rFonts w:ascii="Calibri" w:hAnsi="Calibri"/>
          <w:bCs/>
          <w:sz w:val="22"/>
          <w:szCs w:val="22"/>
          <w:lang w:val="en-GB"/>
        </w:rPr>
        <w:t xml:space="preserve">LORE </w:t>
      </w:r>
      <w:r w:rsidR="00397BC5">
        <w:rPr>
          <w:rFonts w:ascii="Calibri" w:hAnsi="Calibri"/>
          <w:bCs/>
          <w:sz w:val="22"/>
          <w:szCs w:val="22"/>
          <w:lang w:val="en-GB"/>
        </w:rPr>
        <w:t xml:space="preserve">(No affiliation) </w:t>
      </w:r>
    </w:p>
    <w:p w14:paraId="6AA5696E" w14:textId="08B54B31" w:rsidR="009F6A3B" w:rsidRPr="00B6438B" w:rsidRDefault="00B6438B" w:rsidP="00FC3E0A">
      <w:pPr>
        <w:pStyle w:val="NormalWeb"/>
        <w:spacing w:line="480" w:lineRule="auto"/>
        <w:rPr>
          <w:rFonts w:ascii="Calibri" w:hAnsi="Calibri"/>
          <w:bCs/>
          <w:sz w:val="22"/>
          <w:szCs w:val="22"/>
          <w:lang w:val="en-GB"/>
        </w:rPr>
      </w:pPr>
      <w:r w:rsidRPr="00B6438B">
        <w:rPr>
          <w:rFonts w:ascii="Calibri" w:hAnsi="Calibri"/>
          <w:bCs/>
          <w:sz w:val="22"/>
          <w:szCs w:val="22"/>
          <w:lang w:val="en-GB"/>
        </w:rPr>
        <w:t>OLIVER, KEITH (Alzheimer’s Society Ambassador)</w:t>
      </w:r>
    </w:p>
    <w:p w14:paraId="319361FE" w14:textId="29A5E8C1" w:rsidR="00890AA2" w:rsidRPr="00B6438B" w:rsidRDefault="00890AA2" w:rsidP="00890AA2">
      <w:pPr>
        <w:pStyle w:val="NormalWeb"/>
        <w:spacing w:line="480" w:lineRule="auto"/>
        <w:rPr>
          <w:rFonts w:ascii="Calibri" w:hAnsi="Calibri"/>
          <w:bCs/>
          <w:sz w:val="22"/>
          <w:szCs w:val="22"/>
          <w:lang w:val="en-GB"/>
        </w:rPr>
      </w:pPr>
      <w:r>
        <w:rPr>
          <w:rFonts w:ascii="Calibri" w:hAnsi="Calibri"/>
          <w:bCs/>
          <w:sz w:val="22"/>
          <w:szCs w:val="22"/>
          <w:lang w:val="en-GB"/>
        </w:rPr>
        <w:t>DEN</w:t>
      </w:r>
      <w:bookmarkStart w:id="0" w:name="_GoBack"/>
      <w:bookmarkEnd w:id="0"/>
      <w:r w:rsidRPr="00B6438B">
        <w:rPr>
          <w:rFonts w:ascii="Calibri" w:hAnsi="Calibri"/>
          <w:bCs/>
          <w:sz w:val="22"/>
          <w:szCs w:val="22"/>
          <w:lang w:val="en-GB"/>
        </w:rPr>
        <w:t>ING, TOM (University of Nottingham)</w:t>
      </w:r>
    </w:p>
    <w:p w14:paraId="066B462A" w14:textId="77777777" w:rsidR="00B6438B" w:rsidRPr="00397BC5" w:rsidRDefault="00B6438B" w:rsidP="00FC3E0A">
      <w:pPr>
        <w:pStyle w:val="NormalWeb"/>
        <w:spacing w:line="480" w:lineRule="auto"/>
        <w:rPr>
          <w:rFonts w:ascii="Calibri" w:hAnsi="Calibri"/>
          <w:b/>
          <w:bCs/>
          <w:sz w:val="22"/>
          <w:szCs w:val="22"/>
          <w:lang w:val="en-GB"/>
        </w:rPr>
      </w:pPr>
      <w:r w:rsidRPr="00397BC5">
        <w:rPr>
          <w:rFonts w:ascii="Calibri" w:hAnsi="Calibri"/>
          <w:b/>
          <w:bCs/>
          <w:sz w:val="22"/>
          <w:szCs w:val="22"/>
          <w:lang w:val="en-GB"/>
        </w:rPr>
        <w:t xml:space="preserve">Corresponding author </w:t>
      </w:r>
    </w:p>
    <w:p w14:paraId="65148A8D" w14:textId="5017DFBC" w:rsidR="00B6438B" w:rsidRDefault="005D3F8D" w:rsidP="00FC3E0A">
      <w:pPr>
        <w:pStyle w:val="NormalWeb"/>
        <w:spacing w:line="480" w:lineRule="auto"/>
        <w:rPr>
          <w:rFonts w:ascii="Calibri" w:hAnsi="Calibri"/>
          <w:bCs/>
          <w:sz w:val="22"/>
          <w:szCs w:val="22"/>
          <w:lang w:val="en-GB"/>
        </w:rPr>
      </w:pPr>
      <w:hyperlink r:id="rId7" w:history="1">
        <w:r w:rsidR="00B6438B" w:rsidRPr="00B6438B">
          <w:rPr>
            <w:rStyle w:val="Hyperlink"/>
            <w:rFonts w:ascii="Calibri" w:hAnsi="Calibri"/>
            <w:bCs/>
            <w:sz w:val="22"/>
            <w:szCs w:val="22"/>
            <w:lang w:val="en-GB"/>
          </w:rPr>
          <w:t>R.L.Bartlett@soton.ac.uk</w:t>
        </w:r>
      </w:hyperlink>
    </w:p>
    <w:p w14:paraId="49B75775" w14:textId="77777777" w:rsidR="00B6438B" w:rsidRDefault="00B6438B">
      <w:pPr>
        <w:rPr>
          <w:rFonts w:ascii="Calibri" w:eastAsiaTheme="minorEastAsia" w:hAnsi="Calibri" w:cs="Times New Roman"/>
          <w:bCs/>
          <w:sz w:val="22"/>
          <w:szCs w:val="22"/>
        </w:rPr>
      </w:pPr>
      <w:r>
        <w:rPr>
          <w:rFonts w:ascii="Calibri" w:hAnsi="Calibri"/>
          <w:bCs/>
          <w:sz w:val="22"/>
          <w:szCs w:val="22"/>
        </w:rPr>
        <w:br w:type="page"/>
      </w:r>
    </w:p>
    <w:p w14:paraId="0E0E0D29" w14:textId="55CA4BAD" w:rsidR="00CD6EF8" w:rsidRDefault="00CD6EF8" w:rsidP="00FC3E0A">
      <w:pPr>
        <w:pStyle w:val="NormalWeb"/>
        <w:spacing w:line="480" w:lineRule="auto"/>
        <w:rPr>
          <w:rFonts w:ascii="Calibri" w:hAnsi="Calibri"/>
          <w:b/>
          <w:bCs/>
          <w:sz w:val="22"/>
          <w:szCs w:val="22"/>
          <w:lang w:val="en-GB"/>
        </w:rPr>
      </w:pPr>
      <w:r w:rsidRPr="00232E82">
        <w:rPr>
          <w:rFonts w:ascii="Calibri" w:hAnsi="Calibri"/>
          <w:b/>
          <w:bCs/>
          <w:sz w:val="22"/>
          <w:szCs w:val="22"/>
          <w:lang w:val="en-GB"/>
        </w:rPr>
        <w:lastRenderedPageBreak/>
        <w:t xml:space="preserve">REFERENCES </w:t>
      </w:r>
    </w:p>
    <w:p w14:paraId="6F2C8146" w14:textId="502B100C" w:rsidR="001E06F9" w:rsidRPr="00455FEE" w:rsidRDefault="001E06F9" w:rsidP="001E06F9">
      <w:pPr>
        <w:rPr>
          <w:rFonts w:ascii="Calibri" w:hAnsi="Calibri"/>
        </w:rPr>
      </w:pPr>
      <w:r w:rsidRPr="00455FEE">
        <w:rPr>
          <w:rFonts w:ascii="Calibri" w:hAnsi="Calibri"/>
        </w:rPr>
        <w:t>Alzheimer’s Society (2013</w:t>
      </w:r>
      <w:r>
        <w:rPr>
          <w:rFonts w:ascii="Calibri" w:hAnsi="Calibri"/>
        </w:rPr>
        <w:t>a</w:t>
      </w:r>
      <w:r w:rsidRPr="00455FEE">
        <w:rPr>
          <w:rFonts w:ascii="Calibri" w:hAnsi="Calibri"/>
        </w:rPr>
        <w:t xml:space="preserve">) The Hidden Voice of Loneliness. </w:t>
      </w:r>
      <w:r w:rsidRPr="00455FEE">
        <w:rPr>
          <w:rFonts w:ascii="Calibri" w:hAnsi="Calibri"/>
          <w:iCs/>
        </w:rPr>
        <w:t>London: Alzheimer’s Society</w:t>
      </w:r>
    </w:p>
    <w:p w14:paraId="196844FB" w14:textId="77777777" w:rsidR="001E06F9" w:rsidRDefault="001E06F9" w:rsidP="001E06F9">
      <w:pPr>
        <w:rPr>
          <w:rFonts w:ascii="Calibri" w:hAnsi="Calibri"/>
          <w:iCs/>
        </w:rPr>
      </w:pPr>
    </w:p>
    <w:p w14:paraId="4DC20572" w14:textId="1F138569" w:rsidR="009C4354" w:rsidRDefault="009C4354" w:rsidP="009C4354">
      <w:pPr>
        <w:rPr>
          <w:rFonts w:ascii="Calibri" w:hAnsi="Calibri"/>
          <w:iCs/>
        </w:rPr>
      </w:pPr>
      <w:r w:rsidRPr="00455FEE">
        <w:rPr>
          <w:rFonts w:ascii="Calibri" w:hAnsi="Calibri"/>
        </w:rPr>
        <w:t>Alzheimer’s Society (2013</w:t>
      </w:r>
      <w:r w:rsidR="001E06F9">
        <w:rPr>
          <w:rFonts w:ascii="Calibri" w:hAnsi="Calibri"/>
        </w:rPr>
        <w:t>b</w:t>
      </w:r>
      <w:r w:rsidRPr="00455FEE">
        <w:rPr>
          <w:rFonts w:ascii="Calibri" w:hAnsi="Calibri"/>
        </w:rPr>
        <w:t xml:space="preserve">) </w:t>
      </w:r>
      <w:r w:rsidRPr="00455FEE">
        <w:rPr>
          <w:rFonts w:ascii="Calibri" w:hAnsi="Calibri"/>
          <w:i/>
          <w:iCs/>
        </w:rPr>
        <w:t>Low Expectations: Attitudes on choice, care and community for people with dementia in care homes.</w:t>
      </w:r>
      <w:r w:rsidRPr="00455FEE">
        <w:rPr>
          <w:rFonts w:ascii="Calibri" w:hAnsi="Calibri"/>
        </w:rPr>
        <w:t xml:space="preserve"> </w:t>
      </w:r>
      <w:r w:rsidRPr="00455FEE">
        <w:rPr>
          <w:rFonts w:ascii="Calibri" w:hAnsi="Calibri"/>
          <w:iCs/>
        </w:rPr>
        <w:t>London: Alzheimer’s Society</w:t>
      </w:r>
    </w:p>
    <w:p w14:paraId="2757BCF5" w14:textId="77777777" w:rsidR="009C4354" w:rsidRDefault="009C4354" w:rsidP="009C4354">
      <w:pPr>
        <w:rPr>
          <w:rFonts w:ascii="Calibri" w:hAnsi="Calibri"/>
        </w:rPr>
      </w:pPr>
    </w:p>
    <w:p w14:paraId="3C8BB4C5" w14:textId="73B04F72" w:rsidR="009C4354" w:rsidRPr="00455FEE" w:rsidRDefault="009C4354" w:rsidP="009C4354">
      <w:pPr>
        <w:rPr>
          <w:rFonts w:ascii="Calibri" w:hAnsi="Calibri"/>
        </w:rPr>
      </w:pPr>
      <w:r w:rsidRPr="00455FEE">
        <w:rPr>
          <w:rFonts w:ascii="Calibri" w:hAnsi="Calibri"/>
        </w:rPr>
        <w:t xml:space="preserve">Alzheimer’s Disease International (2014) </w:t>
      </w:r>
      <w:r w:rsidRPr="00455FEE">
        <w:rPr>
          <w:rFonts w:ascii="Calibri" w:hAnsi="Calibri"/>
          <w:i/>
          <w:iCs/>
        </w:rPr>
        <w:t>Nutrition and Dementia</w:t>
      </w:r>
      <w:r w:rsidR="001E06F9">
        <w:rPr>
          <w:rFonts w:ascii="Calibri" w:hAnsi="Calibri"/>
        </w:rPr>
        <w:t xml:space="preserve">. London: Alzheimer’s Disease  </w:t>
      </w:r>
      <w:r w:rsidRPr="00455FEE">
        <w:rPr>
          <w:rFonts w:ascii="Calibri" w:hAnsi="Calibri"/>
        </w:rPr>
        <w:t>International</w:t>
      </w:r>
    </w:p>
    <w:p w14:paraId="56A2C773" w14:textId="77777777" w:rsidR="009C4354" w:rsidRPr="00455FEE" w:rsidRDefault="009C4354" w:rsidP="009C4354">
      <w:pPr>
        <w:adjustRightInd w:val="0"/>
        <w:snapToGrid w:val="0"/>
        <w:rPr>
          <w:rFonts w:ascii="Calibri" w:hAnsi="Calibri"/>
          <w:iCs/>
        </w:rPr>
      </w:pPr>
    </w:p>
    <w:p w14:paraId="3DCA7778" w14:textId="77777777" w:rsidR="009C4354" w:rsidRDefault="009C4354" w:rsidP="009C4354">
      <w:pPr>
        <w:rPr>
          <w:rFonts w:ascii="Calibri" w:hAnsi="Calibri"/>
        </w:rPr>
      </w:pPr>
      <w:r w:rsidRPr="00455FEE">
        <w:rPr>
          <w:rFonts w:ascii="Calibri" w:hAnsi="Calibri"/>
        </w:rPr>
        <w:t xml:space="preserve">Care Quality Commission (2013) Care Update Issue 2: March 2013 </w:t>
      </w:r>
    </w:p>
    <w:p w14:paraId="1B5617A1" w14:textId="77777777" w:rsidR="009C4354" w:rsidRDefault="009C4354" w:rsidP="009C4354">
      <w:pPr>
        <w:rPr>
          <w:rFonts w:ascii="Calibri" w:hAnsi="Calibri" w:cs="Times New Roman"/>
        </w:rPr>
      </w:pPr>
    </w:p>
    <w:p w14:paraId="294AEDA6" w14:textId="77777777" w:rsidR="009C4354" w:rsidRDefault="009C4354" w:rsidP="009C4354">
      <w:pPr>
        <w:rPr>
          <w:rFonts w:ascii="Calibri" w:hAnsi="Calibri"/>
          <w:noProof/>
        </w:rPr>
      </w:pPr>
      <w:r w:rsidRPr="00B14C11">
        <w:rPr>
          <w:rFonts w:ascii="Calibri" w:hAnsi="Calibri"/>
          <w:noProof/>
        </w:rPr>
        <w:t xml:space="preserve">De Boer, M. E., Hertogh, C. M. P. M., Dröes, R.-M., Riphagen, I. I., Jonker, C., &amp; Eefsting, J. A. (2007). </w:t>
      </w:r>
      <w:r w:rsidRPr="00455FEE">
        <w:rPr>
          <w:rFonts w:ascii="Calibri" w:hAnsi="Calibri"/>
          <w:noProof/>
        </w:rPr>
        <w:t xml:space="preserve">Suffering from dementia – the patient’s perspective: a review of the literature.      </w:t>
      </w:r>
      <w:r w:rsidRPr="00455FEE">
        <w:rPr>
          <w:rFonts w:ascii="Calibri" w:hAnsi="Calibri"/>
          <w:i/>
          <w:iCs/>
          <w:noProof/>
        </w:rPr>
        <w:t>International Psychogeriatrics</w:t>
      </w:r>
      <w:r w:rsidRPr="00455FEE">
        <w:rPr>
          <w:rFonts w:ascii="Calibri" w:hAnsi="Calibri"/>
          <w:noProof/>
        </w:rPr>
        <w:t xml:space="preserve">, </w:t>
      </w:r>
      <w:r w:rsidRPr="00455FEE">
        <w:rPr>
          <w:rFonts w:ascii="Calibri" w:hAnsi="Calibri"/>
          <w:i/>
          <w:iCs/>
          <w:noProof/>
        </w:rPr>
        <w:t>19</w:t>
      </w:r>
      <w:r w:rsidRPr="00455FEE">
        <w:rPr>
          <w:rFonts w:ascii="Calibri" w:hAnsi="Calibri"/>
          <w:noProof/>
        </w:rPr>
        <w:t xml:space="preserve">(06), 1021–1039. </w:t>
      </w:r>
    </w:p>
    <w:p w14:paraId="1FCE7406" w14:textId="77777777" w:rsidR="009C4354" w:rsidRDefault="009C4354" w:rsidP="009C4354">
      <w:pPr>
        <w:rPr>
          <w:rFonts w:ascii="Calibri" w:hAnsi="Calibri"/>
          <w:noProof/>
        </w:rPr>
      </w:pPr>
    </w:p>
    <w:p w14:paraId="44725CE8" w14:textId="3A8BC9EE" w:rsidR="009C4354" w:rsidRPr="00455FEE" w:rsidRDefault="009C4354" w:rsidP="009C4354">
      <w:pPr>
        <w:rPr>
          <w:rFonts w:ascii="Calibri" w:hAnsi="Calibri"/>
          <w:iCs/>
        </w:rPr>
      </w:pPr>
      <w:r w:rsidRPr="00455FEE">
        <w:rPr>
          <w:rFonts w:ascii="Calibri" w:hAnsi="Calibri"/>
          <w:iCs/>
        </w:rPr>
        <w:t xml:space="preserve">Department of Health (2013) </w:t>
      </w:r>
      <w:r w:rsidRPr="00455FEE">
        <w:rPr>
          <w:rFonts w:ascii="Calibri" w:hAnsi="Calibri"/>
          <w:i/>
        </w:rPr>
        <w:t>Prime Minister’s Challenge on Dementia 2020</w:t>
      </w:r>
      <w:r w:rsidRPr="00455FEE">
        <w:rPr>
          <w:rFonts w:ascii="Calibri" w:hAnsi="Calibri"/>
          <w:iCs/>
        </w:rPr>
        <w:t xml:space="preserve">. London: Stationary Office </w:t>
      </w:r>
    </w:p>
    <w:p w14:paraId="1F9B6949" w14:textId="77777777" w:rsidR="001E06F9" w:rsidRDefault="001E06F9" w:rsidP="001E06F9">
      <w:pPr>
        <w:rPr>
          <w:rFonts w:ascii="Calibri" w:hAnsi="Calibri"/>
        </w:rPr>
      </w:pPr>
    </w:p>
    <w:p w14:paraId="2CCB1CBF" w14:textId="77777777" w:rsidR="001E06F9" w:rsidRDefault="001E06F9" w:rsidP="001E06F9">
      <w:pPr>
        <w:rPr>
          <w:rFonts w:ascii="Calibri" w:hAnsi="Calibri"/>
        </w:rPr>
      </w:pPr>
      <w:r>
        <w:rPr>
          <w:rFonts w:ascii="Calibri" w:hAnsi="Calibri"/>
        </w:rPr>
        <w:t>Edgeell, V Stewart, J and McGregor (2016) Dementia in the workplace: establishing a cross-disciplinary research agenda on the legal implications of dementia in the workplace. Oral presentation, British Society of Gerontology 45</w:t>
      </w:r>
      <w:r>
        <w:rPr>
          <w:rFonts w:ascii="Calibri" w:hAnsi="Calibri"/>
          <w:vertAlign w:val="superscript"/>
        </w:rPr>
        <w:t xml:space="preserve">th </w:t>
      </w:r>
      <w:r>
        <w:rPr>
          <w:rFonts w:ascii="Calibri" w:hAnsi="Calibri"/>
        </w:rPr>
        <w:t xml:space="preserve">Annual Conference, Stirling.   </w:t>
      </w:r>
    </w:p>
    <w:p w14:paraId="2927178E" w14:textId="17F16E31" w:rsidR="00D26FF7" w:rsidRPr="00455FEE" w:rsidRDefault="00D26FF7" w:rsidP="00D26FF7">
      <w:pPr>
        <w:pStyle w:val="NormalWeb"/>
        <w:adjustRightInd w:val="0"/>
        <w:snapToGrid w:val="0"/>
        <w:rPr>
          <w:rFonts w:ascii="Calibri" w:hAnsi="Calibri"/>
          <w:sz w:val="24"/>
          <w:szCs w:val="24"/>
          <w:lang w:val="en-GB"/>
        </w:rPr>
      </w:pPr>
      <w:r w:rsidRPr="00455FEE">
        <w:rPr>
          <w:rFonts w:ascii="Calibri" w:hAnsi="Calibri"/>
          <w:sz w:val="24"/>
          <w:szCs w:val="24"/>
        </w:rPr>
        <w:t>Frank, A (2001) Can We research suffering? Qualitative Health Research, 11, 3 (2001) 229-245</w:t>
      </w:r>
      <w:r w:rsidRPr="00455FEE">
        <w:rPr>
          <w:rFonts w:ascii="Calibri" w:hAnsi="Calibri"/>
          <w:sz w:val="24"/>
          <w:szCs w:val="24"/>
          <w:lang w:val="en-GB"/>
        </w:rPr>
        <w:t xml:space="preserve">1. </w:t>
      </w:r>
    </w:p>
    <w:p w14:paraId="5C2C11C9" w14:textId="77777777" w:rsidR="001E06F9" w:rsidRDefault="001E06F9" w:rsidP="001E06F9">
      <w:pPr>
        <w:rPr>
          <w:rFonts w:ascii="Calibri" w:hAnsi="Calibri"/>
        </w:rPr>
      </w:pPr>
      <w:r w:rsidRPr="00455FEE">
        <w:rPr>
          <w:rFonts w:ascii="Calibri" w:hAnsi="Calibri"/>
        </w:rPr>
        <w:t xml:space="preserve">Hyden, L. Lindemann, H Brockmeier J (2014) </w:t>
      </w:r>
      <w:r w:rsidRPr="00455FEE">
        <w:rPr>
          <w:rFonts w:ascii="Calibri" w:hAnsi="Calibri"/>
          <w:i/>
        </w:rPr>
        <w:t xml:space="preserve">Beyond Loss: Dementia, Identity and Personhood. </w:t>
      </w:r>
      <w:r w:rsidRPr="00455FEE">
        <w:rPr>
          <w:rFonts w:ascii="Calibri" w:hAnsi="Calibri"/>
        </w:rPr>
        <w:t xml:space="preserve">Oxford: Oxford University Press. </w:t>
      </w:r>
    </w:p>
    <w:p w14:paraId="21B33E4A" w14:textId="77777777" w:rsidR="001E06F9" w:rsidRDefault="001E06F9" w:rsidP="00D26FF7">
      <w:pPr>
        <w:rPr>
          <w:rFonts w:ascii="Calibri" w:hAnsi="Calibri"/>
          <w:color w:val="000000"/>
        </w:rPr>
      </w:pPr>
    </w:p>
    <w:p w14:paraId="2A09961D" w14:textId="77777777" w:rsidR="00397BC5" w:rsidRPr="00FA3739" w:rsidRDefault="00397BC5" w:rsidP="00397BC5">
      <w:pPr>
        <w:rPr>
          <w:rFonts w:ascii="Calibri" w:hAnsi="Calibri"/>
        </w:rPr>
      </w:pPr>
      <w:r w:rsidRPr="00FA3739">
        <w:rPr>
          <w:rFonts w:ascii="Calibri" w:hAnsi="Calibri"/>
        </w:rPr>
        <w:t xml:space="preserve">Jones, G., Van Der Eerden-Rebel and Harding, J (2006) </w:t>
      </w:r>
      <w:r>
        <w:rPr>
          <w:rFonts w:ascii="Calibri" w:hAnsi="Calibri"/>
        </w:rPr>
        <w:t xml:space="preserve">Visuoperceptual-cognitive deficits in Alzheimer’s disease: adapting a dementia unit. </w:t>
      </w:r>
      <w:r w:rsidRPr="00FA3739">
        <w:rPr>
          <w:rFonts w:ascii="Calibri" w:hAnsi="Calibri"/>
        </w:rPr>
        <w:t>In Miesen, B and Jones, G (2006)</w:t>
      </w:r>
      <w:r>
        <w:rPr>
          <w:rFonts w:ascii="Calibri" w:hAnsi="Calibri"/>
        </w:rPr>
        <w:t xml:space="preserve"> </w:t>
      </w:r>
      <w:r w:rsidRPr="00FA3739">
        <w:rPr>
          <w:rFonts w:ascii="Calibri" w:hAnsi="Calibri"/>
        </w:rPr>
        <w:t>Care-giving in dementia: Research and Applications.</w:t>
      </w:r>
      <w:r>
        <w:rPr>
          <w:rFonts w:ascii="Calibri" w:hAnsi="Calibri"/>
        </w:rPr>
        <w:t xml:space="preserve"> Vol 4. Routledge: London. pp 3-58</w:t>
      </w:r>
    </w:p>
    <w:p w14:paraId="4CD0B2EC" w14:textId="77777777" w:rsidR="00397BC5" w:rsidRDefault="00397BC5" w:rsidP="00397BC5">
      <w:pPr>
        <w:spacing w:line="480" w:lineRule="auto"/>
      </w:pPr>
    </w:p>
    <w:p w14:paraId="2CEB18A0" w14:textId="568F4954" w:rsidR="001E06F9" w:rsidRDefault="001E06F9" w:rsidP="00D26FF7">
      <w:pPr>
        <w:rPr>
          <w:rFonts w:ascii="Calibri" w:hAnsi="Calibri"/>
        </w:rPr>
      </w:pPr>
      <w:r>
        <w:rPr>
          <w:rFonts w:ascii="Calibri" w:hAnsi="Calibri"/>
        </w:rPr>
        <w:t xml:space="preserve">Kitwood, T. (1997) </w:t>
      </w:r>
      <w:r w:rsidRPr="00397BC5">
        <w:rPr>
          <w:rFonts w:ascii="Calibri" w:hAnsi="Calibri"/>
          <w:i/>
        </w:rPr>
        <w:t>Dementia Reconsidered: The person comes first</w:t>
      </w:r>
      <w:r>
        <w:rPr>
          <w:rFonts w:ascii="Calibri" w:hAnsi="Calibri"/>
        </w:rPr>
        <w:t xml:space="preserve">. Buckingham: Open University Press.  </w:t>
      </w:r>
    </w:p>
    <w:p w14:paraId="521C82AC" w14:textId="77777777" w:rsidR="001E06F9" w:rsidRDefault="001E06F9" w:rsidP="00D26FF7">
      <w:pPr>
        <w:rPr>
          <w:rFonts w:ascii="Calibri" w:hAnsi="Calibri"/>
        </w:rPr>
      </w:pPr>
    </w:p>
    <w:p w14:paraId="7226DD78" w14:textId="77777777" w:rsidR="001E06F9" w:rsidRDefault="001E06F9" w:rsidP="00D26FF7">
      <w:pPr>
        <w:rPr>
          <w:rStyle w:val="Hyperlink"/>
          <w:rFonts w:ascii="Calibri" w:hAnsi="Calibri"/>
        </w:rPr>
      </w:pPr>
      <w:r w:rsidRPr="00455FEE">
        <w:rPr>
          <w:rFonts w:ascii="Calibri" w:hAnsi="Calibri"/>
        </w:rPr>
        <w:t xml:space="preserve">Peisah, Weaver, Wong and Strukovski, (2014) Silent and suffering: a pilot study exploring gaps      between theory and practice in pain management for people with severe dementia in residential aged care facilities </w:t>
      </w:r>
      <w:hyperlink r:id="rId8" w:history="1">
        <w:r w:rsidRPr="00455FEE">
          <w:rPr>
            <w:rStyle w:val="Hyperlink"/>
            <w:rFonts w:ascii="Calibri" w:hAnsi="Calibri"/>
          </w:rPr>
          <w:t>http://www.ncbi.nlm.nih.gov/pmc/articles/PMC4205115/</w:t>
        </w:r>
      </w:hyperlink>
    </w:p>
    <w:p w14:paraId="40197D5C" w14:textId="77777777" w:rsidR="001E06F9" w:rsidRDefault="001E06F9" w:rsidP="00D26FF7">
      <w:pPr>
        <w:rPr>
          <w:rStyle w:val="Hyperlink"/>
          <w:rFonts w:ascii="Calibri" w:hAnsi="Calibri"/>
        </w:rPr>
      </w:pPr>
    </w:p>
    <w:p w14:paraId="5BBF6E43" w14:textId="580B2F11" w:rsidR="00D26FF7" w:rsidRDefault="00D26FF7" w:rsidP="00D26FF7">
      <w:pPr>
        <w:rPr>
          <w:rFonts w:ascii="Calibri" w:hAnsi="Calibri"/>
          <w:color w:val="000000"/>
        </w:rPr>
      </w:pPr>
      <w:r w:rsidRPr="00455FEE">
        <w:rPr>
          <w:rFonts w:ascii="Calibri" w:hAnsi="Calibri"/>
          <w:color w:val="000000"/>
        </w:rPr>
        <w:t xml:space="preserve">Wilkinson, I. (2005) </w:t>
      </w:r>
      <w:r w:rsidRPr="00455FEE">
        <w:rPr>
          <w:rFonts w:ascii="Calibri" w:hAnsi="Calibri"/>
          <w:i/>
          <w:iCs/>
          <w:color w:val="000000"/>
        </w:rPr>
        <w:t>Suffering: A Sociological Introduction</w:t>
      </w:r>
      <w:r w:rsidRPr="00455FEE">
        <w:rPr>
          <w:rFonts w:ascii="Calibri" w:hAnsi="Calibri"/>
          <w:color w:val="000000"/>
        </w:rPr>
        <w:t xml:space="preserve">. Cambridge: Polity Press  </w:t>
      </w:r>
    </w:p>
    <w:p w14:paraId="38F85AE2" w14:textId="6B693C06" w:rsidR="00D26FF7" w:rsidRPr="00397BC5" w:rsidRDefault="00D26FF7" w:rsidP="00397BC5">
      <w:pPr>
        <w:rPr>
          <w:rFonts w:ascii="Calibri" w:hAnsi="Calibri" w:cs="Times New Roman"/>
        </w:rPr>
      </w:pPr>
    </w:p>
    <w:p w14:paraId="07BD4600" w14:textId="42F064AB" w:rsidR="00D26FF7" w:rsidRDefault="00D26FF7" w:rsidP="00D26FF7">
      <w:pPr>
        <w:rPr>
          <w:rFonts w:ascii="Calibri" w:hAnsi="Calibri" w:cs="Times New Roman"/>
        </w:rPr>
      </w:pPr>
      <w:r w:rsidRPr="00455FEE">
        <w:rPr>
          <w:rFonts w:ascii="Calibri" w:hAnsi="Calibri" w:cs="Times New Roman"/>
        </w:rPr>
        <w:t xml:space="preserve">Wilkinson, S. (2015) X. Refusing to live with advanced dementia: Contemporaneous and prospective decision-making. </w:t>
      </w:r>
      <w:r w:rsidRPr="00455FEE">
        <w:rPr>
          <w:rFonts w:ascii="Calibri" w:hAnsi="Calibri" w:cs="Times New Roman"/>
          <w:i/>
        </w:rPr>
        <w:t>Feminism and Psychology</w:t>
      </w:r>
      <w:r w:rsidRPr="00455FEE">
        <w:rPr>
          <w:rFonts w:ascii="Calibri" w:hAnsi="Calibri" w:cs="Times New Roman"/>
        </w:rPr>
        <w:t>. 25 (1) 148-154</w:t>
      </w:r>
    </w:p>
    <w:p w14:paraId="0333217B" w14:textId="77777777" w:rsidR="00D26FF7" w:rsidRPr="00455FEE" w:rsidRDefault="00D26FF7" w:rsidP="00D26FF7">
      <w:pPr>
        <w:rPr>
          <w:rFonts w:ascii="Calibri" w:hAnsi="Calibri" w:cs="Times New Roman"/>
        </w:rPr>
      </w:pPr>
    </w:p>
    <w:sectPr w:rsidR="00D26FF7" w:rsidRPr="00455FEE" w:rsidSect="006C5FC6">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09A36" w14:textId="77777777" w:rsidR="009F6A3B" w:rsidRDefault="009F6A3B" w:rsidP="009F6A3B">
      <w:r>
        <w:separator/>
      </w:r>
    </w:p>
  </w:endnote>
  <w:endnote w:type="continuationSeparator" w:id="0">
    <w:p w14:paraId="1EE95B5C" w14:textId="77777777" w:rsidR="009F6A3B" w:rsidRDefault="009F6A3B" w:rsidP="009F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309854"/>
      <w:docPartObj>
        <w:docPartGallery w:val="Page Numbers (Bottom of Page)"/>
        <w:docPartUnique/>
      </w:docPartObj>
    </w:sdtPr>
    <w:sdtEndPr>
      <w:rPr>
        <w:noProof/>
      </w:rPr>
    </w:sdtEndPr>
    <w:sdtContent>
      <w:p w14:paraId="557C65A5" w14:textId="5F26D890" w:rsidR="009F6A3B" w:rsidRDefault="009F6A3B">
        <w:pPr>
          <w:pStyle w:val="Footer"/>
          <w:jc w:val="right"/>
        </w:pPr>
        <w:r>
          <w:fldChar w:fldCharType="begin"/>
        </w:r>
        <w:r>
          <w:instrText xml:space="preserve"> PAGE   \* MERGEFORMAT </w:instrText>
        </w:r>
        <w:r>
          <w:fldChar w:fldCharType="separate"/>
        </w:r>
        <w:r w:rsidR="005D3F8D">
          <w:rPr>
            <w:noProof/>
          </w:rPr>
          <w:t>1</w:t>
        </w:r>
        <w:r>
          <w:rPr>
            <w:noProof/>
          </w:rPr>
          <w:fldChar w:fldCharType="end"/>
        </w:r>
      </w:p>
    </w:sdtContent>
  </w:sdt>
  <w:p w14:paraId="081B0723" w14:textId="77777777" w:rsidR="009F6A3B" w:rsidRDefault="009F6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BB5F4" w14:textId="77777777" w:rsidR="009F6A3B" w:rsidRDefault="009F6A3B" w:rsidP="009F6A3B">
      <w:r>
        <w:separator/>
      </w:r>
    </w:p>
  </w:footnote>
  <w:footnote w:type="continuationSeparator" w:id="0">
    <w:p w14:paraId="402C1D9C" w14:textId="77777777" w:rsidR="009F6A3B" w:rsidRDefault="009F6A3B" w:rsidP="009F6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E6DB7"/>
    <w:multiLevelType w:val="hybridMultilevel"/>
    <w:tmpl w:val="A1443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F0"/>
    <w:rsid w:val="00004445"/>
    <w:rsid w:val="00022323"/>
    <w:rsid w:val="00037355"/>
    <w:rsid w:val="00040358"/>
    <w:rsid w:val="0006446B"/>
    <w:rsid w:val="00092CFE"/>
    <w:rsid w:val="000C5DC5"/>
    <w:rsid w:val="000E47DC"/>
    <w:rsid w:val="001A7B89"/>
    <w:rsid w:val="001D3D8C"/>
    <w:rsid w:val="001D7822"/>
    <w:rsid w:val="001E06F9"/>
    <w:rsid w:val="00232E82"/>
    <w:rsid w:val="0025379A"/>
    <w:rsid w:val="0029783A"/>
    <w:rsid w:val="002A301B"/>
    <w:rsid w:val="002B6D11"/>
    <w:rsid w:val="002D1AB3"/>
    <w:rsid w:val="003206AA"/>
    <w:rsid w:val="00373684"/>
    <w:rsid w:val="00397BC5"/>
    <w:rsid w:val="003C3375"/>
    <w:rsid w:val="003C4B83"/>
    <w:rsid w:val="004214FA"/>
    <w:rsid w:val="00426DF2"/>
    <w:rsid w:val="00456552"/>
    <w:rsid w:val="004611F4"/>
    <w:rsid w:val="004817F5"/>
    <w:rsid w:val="00491583"/>
    <w:rsid w:val="004D6AB2"/>
    <w:rsid w:val="00550052"/>
    <w:rsid w:val="00590475"/>
    <w:rsid w:val="005941D0"/>
    <w:rsid w:val="005C1BAA"/>
    <w:rsid w:val="005C59D4"/>
    <w:rsid w:val="005D14C7"/>
    <w:rsid w:val="005D3F8D"/>
    <w:rsid w:val="00601063"/>
    <w:rsid w:val="00615116"/>
    <w:rsid w:val="00616A99"/>
    <w:rsid w:val="006209D1"/>
    <w:rsid w:val="00673B50"/>
    <w:rsid w:val="0068298E"/>
    <w:rsid w:val="006A42AC"/>
    <w:rsid w:val="006C5FC6"/>
    <w:rsid w:val="00703549"/>
    <w:rsid w:val="0071025B"/>
    <w:rsid w:val="00726CF4"/>
    <w:rsid w:val="00782B5E"/>
    <w:rsid w:val="00782E87"/>
    <w:rsid w:val="007C16CD"/>
    <w:rsid w:val="007D22F0"/>
    <w:rsid w:val="007E60EC"/>
    <w:rsid w:val="007F0720"/>
    <w:rsid w:val="008021BD"/>
    <w:rsid w:val="00805A6F"/>
    <w:rsid w:val="00807B95"/>
    <w:rsid w:val="00816D2E"/>
    <w:rsid w:val="008437F8"/>
    <w:rsid w:val="008642F5"/>
    <w:rsid w:val="008774B7"/>
    <w:rsid w:val="00890AA2"/>
    <w:rsid w:val="008F515B"/>
    <w:rsid w:val="00964F85"/>
    <w:rsid w:val="009C4354"/>
    <w:rsid w:val="009E44C0"/>
    <w:rsid w:val="009F6A3B"/>
    <w:rsid w:val="00A40319"/>
    <w:rsid w:val="00AD2588"/>
    <w:rsid w:val="00AE64D1"/>
    <w:rsid w:val="00B03CD3"/>
    <w:rsid w:val="00B14C11"/>
    <w:rsid w:val="00B1610A"/>
    <w:rsid w:val="00B206F8"/>
    <w:rsid w:val="00B33A62"/>
    <w:rsid w:val="00B6438B"/>
    <w:rsid w:val="00B739FB"/>
    <w:rsid w:val="00BA2435"/>
    <w:rsid w:val="00BB0333"/>
    <w:rsid w:val="00BC57A1"/>
    <w:rsid w:val="00BD7191"/>
    <w:rsid w:val="00BE68D3"/>
    <w:rsid w:val="00C10CD1"/>
    <w:rsid w:val="00C17890"/>
    <w:rsid w:val="00C86E50"/>
    <w:rsid w:val="00C94659"/>
    <w:rsid w:val="00C94E4C"/>
    <w:rsid w:val="00CC0FA9"/>
    <w:rsid w:val="00CD6EF8"/>
    <w:rsid w:val="00CF2B45"/>
    <w:rsid w:val="00D1419D"/>
    <w:rsid w:val="00D26FF7"/>
    <w:rsid w:val="00D33B7A"/>
    <w:rsid w:val="00D62126"/>
    <w:rsid w:val="00DC0CE1"/>
    <w:rsid w:val="00DD1440"/>
    <w:rsid w:val="00E22D2F"/>
    <w:rsid w:val="00F321D8"/>
    <w:rsid w:val="00F95BFE"/>
    <w:rsid w:val="00FA6BFC"/>
    <w:rsid w:val="00FB5A1A"/>
    <w:rsid w:val="00FC3E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C1E9"/>
  <w15:docId w15:val="{F279B544-EE2E-4183-BAEA-FFE4EB41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10CD1"/>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zh-CN"/>
    </w:rPr>
  </w:style>
  <w:style w:type="paragraph" w:styleId="Heading3">
    <w:name w:val="heading 3"/>
    <w:basedOn w:val="Normal"/>
    <w:next w:val="Normal"/>
    <w:link w:val="Heading3Char"/>
    <w:uiPriority w:val="9"/>
    <w:unhideWhenUsed/>
    <w:qFormat/>
    <w:rsid w:val="00BD7191"/>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0CD1"/>
    <w:rPr>
      <w:rFonts w:asciiTheme="majorHAnsi" w:eastAsiaTheme="majorEastAsia" w:hAnsiTheme="majorHAnsi" w:cstheme="majorBidi"/>
      <w:b/>
      <w:bCs/>
      <w:color w:val="5B9BD5" w:themeColor="accent1"/>
      <w:sz w:val="26"/>
      <w:szCs w:val="26"/>
      <w:lang w:eastAsia="zh-CN"/>
    </w:rPr>
  </w:style>
  <w:style w:type="paragraph" w:styleId="ListParagraph">
    <w:name w:val="List Paragraph"/>
    <w:basedOn w:val="Normal"/>
    <w:uiPriority w:val="34"/>
    <w:qFormat/>
    <w:rsid w:val="00CD6EF8"/>
    <w:pPr>
      <w:spacing w:after="200" w:line="276" w:lineRule="auto"/>
      <w:ind w:left="720"/>
      <w:contextualSpacing/>
    </w:pPr>
    <w:rPr>
      <w:rFonts w:eastAsiaTheme="minorEastAsia"/>
      <w:sz w:val="22"/>
      <w:szCs w:val="22"/>
      <w:lang w:eastAsia="zh-CN"/>
    </w:rPr>
  </w:style>
  <w:style w:type="character" w:styleId="Hyperlink">
    <w:name w:val="Hyperlink"/>
    <w:basedOn w:val="DefaultParagraphFont"/>
    <w:uiPriority w:val="99"/>
    <w:unhideWhenUsed/>
    <w:rsid w:val="00CD6EF8"/>
    <w:rPr>
      <w:color w:val="0563C1" w:themeColor="hyperlink"/>
      <w:u w:val="single"/>
    </w:rPr>
  </w:style>
  <w:style w:type="paragraph" w:styleId="NormalWeb">
    <w:name w:val="Normal (Web)"/>
    <w:basedOn w:val="Normal"/>
    <w:uiPriority w:val="99"/>
    <w:unhideWhenUsed/>
    <w:rsid w:val="00CD6EF8"/>
    <w:pPr>
      <w:spacing w:before="100" w:beforeAutospacing="1" w:after="100" w:afterAutospacing="1"/>
    </w:pPr>
    <w:rPr>
      <w:rFonts w:ascii="Times" w:eastAsiaTheme="minorEastAsia" w:hAnsi="Times" w:cs="Times New Roman"/>
      <w:sz w:val="20"/>
      <w:szCs w:val="20"/>
      <w:lang w:val="en-US"/>
    </w:rPr>
  </w:style>
  <w:style w:type="character" w:customStyle="1" w:styleId="definition">
    <w:name w:val="definition"/>
    <w:basedOn w:val="DefaultParagraphFont"/>
    <w:rsid w:val="005941D0"/>
  </w:style>
  <w:style w:type="character" w:styleId="CommentReference">
    <w:name w:val="annotation reference"/>
    <w:basedOn w:val="DefaultParagraphFont"/>
    <w:uiPriority w:val="99"/>
    <w:semiHidden/>
    <w:unhideWhenUsed/>
    <w:rsid w:val="00B206F8"/>
    <w:rPr>
      <w:sz w:val="16"/>
      <w:szCs w:val="16"/>
    </w:rPr>
  </w:style>
  <w:style w:type="paragraph" w:styleId="CommentText">
    <w:name w:val="annotation text"/>
    <w:basedOn w:val="Normal"/>
    <w:link w:val="CommentTextChar"/>
    <w:uiPriority w:val="99"/>
    <w:semiHidden/>
    <w:unhideWhenUsed/>
    <w:rsid w:val="00B206F8"/>
    <w:rPr>
      <w:sz w:val="20"/>
      <w:szCs w:val="20"/>
    </w:rPr>
  </w:style>
  <w:style w:type="character" w:customStyle="1" w:styleId="CommentTextChar">
    <w:name w:val="Comment Text Char"/>
    <w:basedOn w:val="DefaultParagraphFont"/>
    <w:link w:val="CommentText"/>
    <w:uiPriority w:val="99"/>
    <w:semiHidden/>
    <w:rsid w:val="00B206F8"/>
    <w:rPr>
      <w:sz w:val="20"/>
      <w:szCs w:val="20"/>
    </w:rPr>
  </w:style>
  <w:style w:type="paragraph" w:styleId="CommentSubject">
    <w:name w:val="annotation subject"/>
    <w:basedOn w:val="CommentText"/>
    <w:next w:val="CommentText"/>
    <w:link w:val="CommentSubjectChar"/>
    <w:uiPriority w:val="99"/>
    <w:semiHidden/>
    <w:unhideWhenUsed/>
    <w:rsid w:val="00B206F8"/>
    <w:rPr>
      <w:b/>
      <w:bCs/>
    </w:rPr>
  </w:style>
  <w:style w:type="character" w:customStyle="1" w:styleId="CommentSubjectChar">
    <w:name w:val="Comment Subject Char"/>
    <w:basedOn w:val="CommentTextChar"/>
    <w:link w:val="CommentSubject"/>
    <w:uiPriority w:val="99"/>
    <w:semiHidden/>
    <w:rsid w:val="00B206F8"/>
    <w:rPr>
      <w:b/>
      <w:bCs/>
      <w:sz w:val="20"/>
      <w:szCs w:val="20"/>
    </w:rPr>
  </w:style>
  <w:style w:type="paragraph" w:styleId="Revision">
    <w:name w:val="Revision"/>
    <w:hidden/>
    <w:uiPriority w:val="99"/>
    <w:semiHidden/>
    <w:rsid w:val="00B206F8"/>
  </w:style>
  <w:style w:type="paragraph" w:styleId="BalloonText">
    <w:name w:val="Balloon Text"/>
    <w:basedOn w:val="Normal"/>
    <w:link w:val="BalloonTextChar"/>
    <w:uiPriority w:val="99"/>
    <w:semiHidden/>
    <w:unhideWhenUsed/>
    <w:rsid w:val="00B206F8"/>
    <w:rPr>
      <w:rFonts w:ascii="Tahoma" w:hAnsi="Tahoma" w:cs="Tahoma"/>
      <w:sz w:val="16"/>
      <w:szCs w:val="16"/>
    </w:rPr>
  </w:style>
  <w:style w:type="character" w:customStyle="1" w:styleId="BalloonTextChar">
    <w:name w:val="Balloon Text Char"/>
    <w:basedOn w:val="DefaultParagraphFont"/>
    <w:link w:val="BalloonText"/>
    <w:uiPriority w:val="99"/>
    <w:semiHidden/>
    <w:rsid w:val="00B206F8"/>
    <w:rPr>
      <w:rFonts w:ascii="Tahoma" w:hAnsi="Tahoma" w:cs="Tahoma"/>
      <w:sz w:val="16"/>
      <w:szCs w:val="16"/>
    </w:rPr>
  </w:style>
  <w:style w:type="paragraph" w:styleId="PlainText">
    <w:name w:val="Plain Text"/>
    <w:basedOn w:val="Normal"/>
    <w:link w:val="PlainTextChar"/>
    <w:uiPriority w:val="99"/>
    <w:unhideWhenUsed/>
    <w:rsid w:val="007C16CD"/>
    <w:rPr>
      <w:rFonts w:ascii="Calibri" w:eastAsiaTheme="minorEastAsia" w:hAnsi="Calibri"/>
      <w:sz w:val="22"/>
      <w:szCs w:val="21"/>
      <w:lang w:eastAsia="zh-CN"/>
    </w:rPr>
  </w:style>
  <w:style w:type="character" w:customStyle="1" w:styleId="PlainTextChar">
    <w:name w:val="Plain Text Char"/>
    <w:basedOn w:val="DefaultParagraphFont"/>
    <w:link w:val="PlainText"/>
    <w:uiPriority w:val="99"/>
    <w:rsid w:val="007C16CD"/>
    <w:rPr>
      <w:rFonts w:ascii="Calibri" w:eastAsiaTheme="minorEastAsia" w:hAnsi="Calibri"/>
      <w:sz w:val="22"/>
      <w:szCs w:val="21"/>
      <w:lang w:eastAsia="zh-CN"/>
    </w:rPr>
  </w:style>
  <w:style w:type="character" w:customStyle="1" w:styleId="Heading3Char">
    <w:name w:val="Heading 3 Char"/>
    <w:basedOn w:val="DefaultParagraphFont"/>
    <w:link w:val="Heading3"/>
    <w:uiPriority w:val="9"/>
    <w:rsid w:val="00BD7191"/>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9F6A3B"/>
    <w:pPr>
      <w:tabs>
        <w:tab w:val="center" w:pos="4513"/>
        <w:tab w:val="right" w:pos="9026"/>
      </w:tabs>
    </w:pPr>
  </w:style>
  <w:style w:type="character" w:customStyle="1" w:styleId="HeaderChar">
    <w:name w:val="Header Char"/>
    <w:basedOn w:val="DefaultParagraphFont"/>
    <w:link w:val="Header"/>
    <w:uiPriority w:val="99"/>
    <w:rsid w:val="009F6A3B"/>
  </w:style>
  <w:style w:type="paragraph" w:styleId="Footer">
    <w:name w:val="footer"/>
    <w:basedOn w:val="Normal"/>
    <w:link w:val="FooterChar"/>
    <w:uiPriority w:val="99"/>
    <w:unhideWhenUsed/>
    <w:rsid w:val="009F6A3B"/>
    <w:pPr>
      <w:tabs>
        <w:tab w:val="center" w:pos="4513"/>
        <w:tab w:val="right" w:pos="9026"/>
      </w:tabs>
    </w:pPr>
  </w:style>
  <w:style w:type="character" w:customStyle="1" w:styleId="FooterChar">
    <w:name w:val="Footer Char"/>
    <w:basedOn w:val="DefaultParagraphFont"/>
    <w:link w:val="Footer"/>
    <w:uiPriority w:val="99"/>
    <w:rsid w:val="009F6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001">
      <w:bodyDiv w:val="1"/>
      <w:marLeft w:val="0"/>
      <w:marRight w:val="0"/>
      <w:marTop w:val="0"/>
      <w:marBottom w:val="0"/>
      <w:divBdr>
        <w:top w:val="none" w:sz="0" w:space="0" w:color="auto"/>
        <w:left w:val="none" w:sz="0" w:space="0" w:color="auto"/>
        <w:bottom w:val="none" w:sz="0" w:space="0" w:color="auto"/>
        <w:right w:val="none" w:sz="0" w:space="0" w:color="auto"/>
      </w:divBdr>
    </w:div>
    <w:div w:id="3035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4205115/" TargetMode="External"/><Relationship Id="rId3" Type="http://schemas.openxmlformats.org/officeDocument/2006/relationships/settings" Target="settings.xml"/><Relationship Id="rId7" Type="http://schemas.openxmlformats.org/officeDocument/2006/relationships/hyperlink" Target="mailto:R.L.Bartlett@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Windemuth</dc:creator>
  <cp:lastModifiedBy>ruth Barlett</cp:lastModifiedBy>
  <cp:revision>5</cp:revision>
  <cp:lastPrinted>2016-07-11T14:28:00Z</cp:lastPrinted>
  <dcterms:created xsi:type="dcterms:W3CDTF">2016-10-12T08:50:00Z</dcterms:created>
  <dcterms:modified xsi:type="dcterms:W3CDTF">2016-10-12T13:51:00Z</dcterms:modified>
</cp:coreProperties>
</file>