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3D" w:rsidRDefault="00F3413D" w:rsidP="007A24C1">
      <w:pPr>
        <w:spacing w:after="0" w:line="480" w:lineRule="auto"/>
      </w:pPr>
      <w:r w:rsidRPr="000E0727">
        <w:rPr>
          <w:b/>
          <w:bCs/>
        </w:rPr>
        <w:t>Article title:</w:t>
      </w:r>
      <w:r w:rsidRPr="00354E8B">
        <w:t xml:space="preserve"> </w:t>
      </w:r>
      <w:r>
        <w:rPr>
          <w:b/>
          <w:bCs/>
        </w:rPr>
        <w:t>Electronic prescribing system design priorities for antimicrobial stewardship: a</w:t>
      </w:r>
      <w:r w:rsidRPr="00354E8B">
        <w:rPr>
          <w:b/>
          <w:bCs/>
        </w:rPr>
        <w:t xml:space="preserve"> </w:t>
      </w:r>
      <w:r>
        <w:rPr>
          <w:b/>
          <w:bCs/>
        </w:rPr>
        <w:t xml:space="preserve">cross-sectional </w:t>
      </w:r>
      <w:r w:rsidRPr="00354E8B">
        <w:rPr>
          <w:b/>
          <w:bCs/>
        </w:rPr>
        <w:t>survey of</w:t>
      </w:r>
      <w:r>
        <w:rPr>
          <w:b/>
          <w:bCs/>
        </w:rPr>
        <w:t xml:space="preserve"> 142</w:t>
      </w:r>
      <w:r w:rsidRPr="00354E8B">
        <w:rPr>
          <w:b/>
          <w:bCs/>
        </w:rPr>
        <w:t xml:space="preserve"> UK</w:t>
      </w:r>
      <w:r>
        <w:rPr>
          <w:b/>
          <w:bCs/>
        </w:rPr>
        <w:t xml:space="preserve"> infection specialists</w:t>
      </w:r>
    </w:p>
    <w:p w:rsidR="00F3413D" w:rsidRPr="00354E8B" w:rsidRDefault="00F3413D" w:rsidP="007A24C1">
      <w:pPr>
        <w:spacing w:after="0" w:line="480" w:lineRule="auto"/>
      </w:pPr>
    </w:p>
    <w:p w:rsidR="00F3413D" w:rsidRDefault="00F3413D" w:rsidP="007A24C1">
      <w:pPr>
        <w:spacing w:after="0" w:line="480" w:lineRule="auto"/>
      </w:pPr>
      <w:r w:rsidRPr="000E0727">
        <w:rPr>
          <w:b/>
          <w:bCs/>
        </w:rPr>
        <w:t>Authors:</w:t>
      </w:r>
      <w:r>
        <w:t xml:space="preserve"> </w:t>
      </w:r>
    </w:p>
    <w:p w:rsidR="00F3413D" w:rsidRPr="00B95EF3" w:rsidRDefault="00F3413D" w:rsidP="007A24C1">
      <w:pPr>
        <w:spacing w:after="0" w:line="480" w:lineRule="auto"/>
      </w:pPr>
      <w:r w:rsidRPr="00B95EF3">
        <w:t>Kieran S. Hand</w:t>
      </w:r>
      <w:r w:rsidRPr="00B95EF3">
        <w:rPr>
          <w:vertAlign w:val="superscript"/>
        </w:rPr>
        <w:t>1</w:t>
      </w:r>
      <w:proofErr w:type="gramStart"/>
      <w:r w:rsidRPr="00B95EF3">
        <w:rPr>
          <w:vertAlign w:val="superscript"/>
        </w:rPr>
        <w:t>,2</w:t>
      </w:r>
      <w:proofErr w:type="gramEnd"/>
      <w:r w:rsidRPr="00B95EF3">
        <w:t>*, Debbie Cumming</w:t>
      </w:r>
      <w:r w:rsidRPr="00B95EF3">
        <w:rPr>
          <w:vertAlign w:val="superscript"/>
        </w:rPr>
        <w:t>3</w:t>
      </w:r>
      <w:r w:rsidRPr="00B95EF3">
        <w:t>, Susan Hopkins</w:t>
      </w:r>
      <w:r w:rsidRPr="00B95EF3">
        <w:rPr>
          <w:vertAlign w:val="superscript"/>
        </w:rPr>
        <w:t>4</w:t>
      </w:r>
      <w:r w:rsidRPr="00B95EF3">
        <w:t>, Sean Ewings</w:t>
      </w:r>
      <w:r w:rsidRPr="00B95EF3">
        <w:rPr>
          <w:vertAlign w:val="superscript"/>
        </w:rPr>
        <w:t>5</w:t>
      </w:r>
      <w:r w:rsidRPr="00B95EF3">
        <w:t>,  Andy Fox</w:t>
      </w:r>
      <w:r w:rsidRPr="00B95EF3">
        <w:rPr>
          <w:vertAlign w:val="superscript"/>
        </w:rPr>
        <w:t>1,2</w:t>
      </w:r>
      <w:r w:rsidRPr="00B95EF3">
        <w:t>, Sandya Theminimulle</w:t>
      </w:r>
      <w:r w:rsidRPr="00B95EF3">
        <w:rPr>
          <w:vertAlign w:val="superscript"/>
        </w:rPr>
        <w:t>6</w:t>
      </w:r>
      <w:r w:rsidRPr="00B95EF3">
        <w:t>, Robert J. Porter</w:t>
      </w:r>
      <w:r w:rsidRPr="00B95EF3">
        <w:rPr>
          <w:vertAlign w:val="superscript"/>
        </w:rPr>
        <w:t>7</w:t>
      </w:r>
      <w:r w:rsidRPr="00B95EF3">
        <w:t>, Natalie Parker</w:t>
      </w:r>
      <w:r w:rsidRPr="00B95EF3">
        <w:rPr>
          <w:vertAlign w:val="superscript"/>
        </w:rPr>
        <w:t>8</w:t>
      </w:r>
      <w:r w:rsidRPr="00B95EF3">
        <w:t>,  Joanne Munns</w:t>
      </w:r>
      <w:r w:rsidRPr="00B95EF3">
        <w:rPr>
          <w:vertAlign w:val="superscript"/>
        </w:rPr>
        <w:t>9</w:t>
      </w:r>
      <w:r w:rsidRPr="00B95EF3">
        <w:t>, Adel Sheikh</w:t>
      </w:r>
      <w:r w:rsidRPr="00B95EF3">
        <w:rPr>
          <w:vertAlign w:val="superscript"/>
        </w:rPr>
        <w:t>10</w:t>
      </w:r>
      <w:r w:rsidRPr="00B95EF3">
        <w:t>, Taryn Keyser</w:t>
      </w:r>
      <w:r w:rsidRPr="00B95EF3">
        <w:rPr>
          <w:vertAlign w:val="superscript"/>
        </w:rPr>
        <w:t>11</w:t>
      </w:r>
      <w:r w:rsidRPr="00B95EF3">
        <w:t xml:space="preserve">, </w:t>
      </w:r>
    </w:p>
    <w:p w:rsidR="00F3413D" w:rsidRPr="00B95EF3" w:rsidRDefault="00F3413D" w:rsidP="007A24C1">
      <w:pPr>
        <w:spacing w:after="0" w:line="480" w:lineRule="auto"/>
      </w:pPr>
      <w:r w:rsidRPr="00B95EF3">
        <w:t>Richard Puleston</w:t>
      </w:r>
      <w:r w:rsidRPr="00B95EF3">
        <w:rPr>
          <w:vertAlign w:val="superscript"/>
        </w:rPr>
        <w:t>12</w:t>
      </w:r>
      <w:r w:rsidRPr="00B95EF3">
        <w:t xml:space="preserve">  </w:t>
      </w:r>
    </w:p>
    <w:p w:rsidR="00F3413D" w:rsidRDefault="00F3413D" w:rsidP="007A24C1">
      <w:pPr>
        <w:spacing w:after="0" w:line="480" w:lineRule="auto"/>
      </w:pPr>
    </w:p>
    <w:p w:rsidR="00F3413D" w:rsidRPr="00B95EF3" w:rsidRDefault="00F3413D" w:rsidP="007A24C1">
      <w:pPr>
        <w:spacing w:after="0" w:line="480" w:lineRule="auto"/>
        <w:rPr>
          <w:b/>
          <w:bCs/>
        </w:rPr>
      </w:pPr>
      <w:r w:rsidRPr="00B95EF3">
        <w:rPr>
          <w:b/>
          <w:bCs/>
          <w:highlight w:val="yellow"/>
        </w:rPr>
        <w:t>Addresses:</w:t>
      </w:r>
    </w:p>
    <w:p w:rsidR="00F3413D" w:rsidRDefault="00F3413D" w:rsidP="007A24C1">
      <w:pPr>
        <w:spacing w:after="0" w:line="480" w:lineRule="auto"/>
      </w:pPr>
      <w:r>
        <w:t xml:space="preserve">1. Southampton Pharmacy Research Centre, </w:t>
      </w:r>
      <w:r w:rsidRPr="00F77FB5">
        <w:t>University Hospital So</w:t>
      </w:r>
      <w:r>
        <w:t xml:space="preserve">uthampton NHS Foundation Trust, </w:t>
      </w:r>
      <w:proofErr w:type="spellStart"/>
      <w:r w:rsidRPr="00F77FB5">
        <w:t>Tremona</w:t>
      </w:r>
      <w:proofErr w:type="spellEnd"/>
      <w:r w:rsidRPr="00F77FB5">
        <w:t xml:space="preserve"> Road, Southampton, SO16 6YD</w:t>
      </w:r>
    </w:p>
    <w:p w:rsidR="00F3413D" w:rsidRDefault="00F3413D" w:rsidP="007A24C1">
      <w:pPr>
        <w:spacing w:after="0" w:line="480" w:lineRule="auto"/>
      </w:pPr>
      <w:r>
        <w:t xml:space="preserve">2. </w:t>
      </w:r>
      <w:r w:rsidRPr="00080F45">
        <w:t>Faculty of Health Sciences, University of Southampton, Southampton, UK, SO17 1BJ.</w:t>
      </w:r>
    </w:p>
    <w:p w:rsidR="00F3413D" w:rsidRDefault="00F3413D" w:rsidP="007A24C1">
      <w:pPr>
        <w:spacing w:after="0" w:line="480" w:lineRule="auto"/>
      </w:pPr>
      <w:r>
        <w:t xml:space="preserve">3. </w:t>
      </w:r>
      <w:r w:rsidRPr="00F77FB5">
        <w:t>Pharmacy Department, St Mary’s Hospital, Parkhurst Road, Newport, Isle of Wight, PO31 7QJ</w:t>
      </w:r>
    </w:p>
    <w:p w:rsidR="00F3413D" w:rsidRDefault="00F3413D" w:rsidP="007A24C1">
      <w:pPr>
        <w:spacing w:after="0" w:line="480" w:lineRule="auto"/>
      </w:pPr>
      <w:r>
        <w:t xml:space="preserve">4. </w:t>
      </w:r>
      <w:r w:rsidRPr="0084274C">
        <w:t>Department of Infectious Diseases &amp; Microbiology, Royal Free London NHS Foundation Trust, Pond St, London, NW3 2QG</w:t>
      </w:r>
    </w:p>
    <w:p w:rsidR="00F3413D" w:rsidRDefault="00F3413D" w:rsidP="007A24C1">
      <w:pPr>
        <w:spacing w:after="0" w:line="480" w:lineRule="auto"/>
      </w:pPr>
      <w:r>
        <w:t xml:space="preserve">5. </w:t>
      </w:r>
      <w:r w:rsidRPr="00456CEF">
        <w:t>Southampton Statistical Sciences Research Institute, University of Southampton, University Road, Southampton, SO17 1BJ</w:t>
      </w:r>
    </w:p>
    <w:p w:rsidR="00F3413D" w:rsidRDefault="00F3413D" w:rsidP="007A24C1">
      <w:pPr>
        <w:spacing w:after="0" w:line="480" w:lineRule="auto"/>
      </w:pPr>
      <w:r>
        <w:t xml:space="preserve">6. </w:t>
      </w:r>
      <w:r w:rsidRPr="00F77FB5">
        <w:t>Microbiology Department, St Mary’s Hospital, Parkhurst Road, Newport, Isle of Wight, PO31 7QJ</w:t>
      </w:r>
    </w:p>
    <w:p w:rsidR="00F3413D" w:rsidRDefault="00F3413D" w:rsidP="007A24C1">
      <w:pPr>
        <w:spacing w:after="0" w:line="480" w:lineRule="auto"/>
      </w:pPr>
      <w:r>
        <w:t xml:space="preserve">7. Department of Microbiology, Royal Devon and Exeter NHS Foundation Trust, Church lane, </w:t>
      </w:r>
      <w:proofErr w:type="spellStart"/>
      <w:r>
        <w:t>Heavitree</w:t>
      </w:r>
      <w:proofErr w:type="spellEnd"/>
      <w:r>
        <w:t>, Exeter, EX2 5AD, UK</w:t>
      </w:r>
    </w:p>
    <w:p w:rsidR="00F3413D" w:rsidRDefault="00F3413D" w:rsidP="007A24C1">
      <w:pPr>
        <w:spacing w:after="0" w:line="480" w:lineRule="auto"/>
      </w:pPr>
      <w:r>
        <w:t xml:space="preserve">8. </w:t>
      </w:r>
      <w:r w:rsidRPr="00506E19">
        <w:t>Pharmacy Department, Hampshire Hospitals NHS Foundation Trust</w:t>
      </w:r>
      <w:r>
        <w:t>,</w:t>
      </w:r>
      <w:r w:rsidRPr="00506E19">
        <w:t xml:space="preserve"> Royal</w:t>
      </w:r>
      <w:r>
        <w:t xml:space="preserve"> Hampshire County Hospital, Romsey Road, Winchester, Hampshire, SO22 5DG</w:t>
      </w:r>
    </w:p>
    <w:p w:rsidR="00F3413D" w:rsidRDefault="00F3413D" w:rsidP="007A24C1">
      <w:pPr>
        <w:spacing w:after="0" w:line="480" w:lineRule="auto"/>
      </w:pPr>
      <w:r>
        <w:t xml:space="preserve">9. </w:t>
      </w:r>
      <w:r w:rsidRPr="00DE5077">
        <w:t xml:space="preserve">Pharmacy Department, </w:t>
      </w:r>
      <w:r w:rsidRPr="00DE5077">
        <w:rPr>
          <w:rFonts w:cs="Arial"/>
          <w:bCs/>
          <w:lang w:eastAsia="en-GB"/>
        </w:rPr>
        <w:t xml:space="preserve">Western Sussex Hospitals NHS Foundation Trust, St Richards Hospital, Chichester, </w:t>
      </w:r>
      <w:r w:rsidRPr="00DE5077">
        <w:t>PO19 6SE</w:t>
      </w:r>
    </w:p>
    <w:p w:rsidR="00F3413D" w:rsidRDefault="00F3413D" w:rsidP="007A24C1">
      <w:pPr>
        <w:spacing w:after="0" w:line="480" w:lineRule="auto"/>
      </w:pPr>
      <w:r>
        <w:t xml:space="preserve">10. </w:t>
      </w:r>
      <w:r w:rsidRPr="004977E1">
        <w:t>Pharmacy Department,</w:t>
      </w:r>
      <w:r>
        <w:t xml:space="preserve"> Queen Alexandra Hospital,</w:t>
      </w:r>
      <w:r w:rsidRPr="004977E1">
        <w:t xml:space="preserve"> </w:t>
      </w:r>
      <w:r w:rsidRPr="00CF603C">
        <w:t>Portsmouth Hospitals’ NHS Trust, Southwick Hill Road, Portsmouth, PO6 3LY, UK</w:t>
      </w:r>
    </w:p>
    <w:p w:rsidR="00F3413D" w:rsidRDefault="00F3413D" w:rsidP="007A24C1">
      <w:pPr>
        <w:spacing w:after="0" w:line="480" w:lineRule="auto"/>
      </w:pPr>
      <w:r>
        <w:lastRenderedPageBreak/>
        <w:t>11. Pharmacy Department,</w:t>
      </w:r>
      <w:r w:rsidRPr="00506E19">
        <w:t xml:space="preserve"> Hampshire Hospitals NHS Foundation Trust, Basingstoke</w:t>
      </w:r>
      <w:r>
        <w:t xml:space="preserve"> and North Hampshire Hospital, Aldermaston Road, Basingstoke, Hampshire, RG24 9NA</w:t>
      </w:r>
    </w:p>
    <w:p w:rsidR="00F3413D" w:rsidRPr="00655E48" w:rsidRDefault="00F3413D" w:rsidP="007A24C1">
      <w:pPr>
        <w:spacing w:after="0" w:line="480" w:lineRule="auto"/>
        <w:rPr>
          <w:highlight w:val="yellow"/>
        </w:rPr>
      </w:pPr>
      <w:r>
        <w:t xml:space="preserve">12. </w:t>
      </w:r>
      <w:r w:rsidRPr="00CB7ADC">
        <w:t>Institute of Public He</w:t>
      </w:r>
      <w:r>
        <w:t>alth, City Hospital, Nottingham,</w:t>
      </w:r>
      <w:r w:rsidRPr="00CB7ADC">
        <w:t xml:space="preserve"> NG5 1PB</w:t>
      </w:r>
    </w:p>
    <w:p w:rsidR="00F3413D" w:rsidRPr="00080F45" w:rsidRDefault="00F3413D" w:rsidP="007A24C1">
      <w:pPr>
        <w:spacing w:after="0" w:line="480" w:lineRule="auto"/>
      </w:pPr>
      <w:r w:rsidRPr="00080F45">
        <w:rPr>
          <w:b/>
          <w:bCs/>
        </w:rPr>
        <w:t>*Corresponding author</w:t>
      </w:r>
      <w:r>
        <w:rPr>
          <w:b/>
          <w:bCs/>
        </w:rPr>
        <w:t xml:space="preserve"> (</w:t>
      </w:r>
      <w:r w:rsidRPr="00D8651C">
        <w:rPr>
          <w:b/>
          <w:bCs/>
        </w:rPr>
        <w:t>telephone, fax and e-mail contact details</w:t>
      </w:r>
      <w:r>
        <w:rPr>
          <w:b/>
          <w:bCs/>
        </w:rPr>
        <w:t>)</w:t>
      </w:r>
      <w:r w:rsidRPr="00080F45">
        <w:rPr>
          <w:b/>
          <w:bCs/>
        </w:rPr>
        <w:t xml:space="preserve">: </w:t>
      </w:r>
      <w:r w:rsidRPr="00080F45">
        <w:rPr>
          <w:bCs/>
        </w:rPr>
        <w:t>Kieran</w:t>
      </w:r>
      <w:r>
        <w:rPr>
          <w:bCs/>
        </w:rPr>
        <w:t xml:space="preserve"> S.</w:t>
      </w:r>
      <w:r w:rsidRPr="00080F45">
        <w:rPr>
          <w:bCs/>
        </w:rPr>
        <w:t xml:space="preserve"> Hand</w:t>
      </w:r>
      <w:r>
        <w:rPr>
          <w:bCs/>
        </w:rPr>
        <w:t>, telephone 02381205117, fax 02381203237, e-mail K.Hand@soton.ac.uk</w:t>
      </w:r>
    </w:p>
    <w:p w:rsidR="00F3413D" w:rsidRPr="00655E48" w:rsidRDefault="00F3413D" w:rsidP="007A24C1">
      <w:pPr>
        <w:spacing w:after="0" w:line="480" w:lineRule="auto"/>
        <w:rPr>
          <w:highlight w:val="yellow"/>
        </w:rPr>
      </w:pPr>
    </w:p>
    <w:p w:rsidR="00F3413D" w:rsidRDefault="00F3413D" w:rsidP="007A24C1">
      <w:pPr>
        <w:spacing w:after="0" w:line="480" w:lineRule="auto"/>
      </w:pPr>
      <w:r w:rsidRPr="00D8651C">
        <w:rPr>
          <w:b/>
          <w:bCs/>
        </w:rPr>
        <w:t>Short running title:</w:t>
      </w:r>
      <w:r w:rsidRPr="00D8651C">
        <w:t xml:space="preserve"> E</w:t>
      </w:r>
      <w:r>
        <w:t>-</w:t>
      </w:r>
      <w:r w:rsidRPr="00D8651C">
        <w:t>prescribing</w:t>
      </w:r>
      <w:r>
        <w:t xml:space="preserve"> software features</w:t>
      </w:r>
      <w:r w:rsidRPr="00D8651C">
        <w:t xml:space="preserve"> for antimicrobial stewardship </w:t>
      </w:r>
    </w:p>
    <w:p w:rsidR="00F3413D" w:rsidRPr="00D8651C" w:rsidRDefault="00F3413D" w:rsidP="007A24C1">
      <w:pPr>
        <w:spacing w:after="0" w:line="480" w:lineRule="auto"/>
      </w:pPr>
    </w:p>
    <w:p w:rsidR="00F3413D" w:rsidRDefault="00F3413D" w:rsidP="007A24C1">
      <w:pPr>
        <w:spacing w:after="0" w:line="480" w:lineRule="auto"/>
      </w:pPr>
      <w:r w:rsidRPr="00D8651C">
        <w:rPr>
          <w:b/>
          <w:bCs/>
        </w:rPr>
        <w:t>3-5 keywords (very general terms such as 'bacteria' and 'human' and terms already present in the title should be avoided, as should non-standard abbreviations):</w:t>
      </w:r>
      <w:r>
        <w:t xml:space="preserve"> CPOE, prescription, </w:t>
      </w:r>
      <w:r w:rsidRPr="00AA7941">
        <w:rPr>
          <w:highlight w:val="yellow"/>
        </w:rPr>
        <w:t>Clinical Decision Support Systems</w:t>
      </w:r>
    </w:p>
    <w:p w:rsidR="00F3413D" w:rsidRDefault="00F3413D">
      <w:pPr>
        <w:rPr>
          <w:b/>
          <w:bCs/>
        </w:rPr>
      </w:pPr>
      <w:r>
        <w:rPr>
          <w:b/>
          <w:bCs/>
        </w:rPr>
        <w:br w:type="page"/>
      </w:r>
    </w:p>
    <w:p w:rsidR="00F3413D" w:rsidRDefault="00F3413D" w:rsidP="007A24C1">
      <w:pPr>
        <w:spacing w:after="0" w:line="480" w:lineRule="auto"/>
      </w:pPr>
      <w:r w:rsidRPr="00901FAE">
        <w:rPr>
          <w:b/>
          <w:bCs/>
        </w:rPr>
        <w:lastRenderedPageBreak/>
        <w:t>Synopsis</w:t>
      </w:r>
    </w:p>
    <w:p w:rsidR="00F3413D" w:rsidRDefault="00F3413D" w:rsidP="007A24C1">
      <w:pPr>
        <w:spacing w:after="0" w:line="480" w:lineRule="auto"/>
      </w:pPr>
      <w:r w:rsidRPr="00C95C29">
        <w:t xml:space="preserve">The </w:t>
      </w:r>
      <w:r>
        <w:t>implementation</w:t>
      </w:r>
      <w:r w:rsidRPr="00C95C29">
        <w:t xml:space="preserve"> of electronic prescribing a</w:t>
      </w:r>
      <w:r>
        <w:t>nd medication administration systems (EPMA</w:t>
      </w:r>
      <w:r w:rsidRPr="00C95C29">
        <w:t>s) is a priority for hospitals and a potential component of antimicrobial stewardship</w:t>
      </w:r>
      <w:r>
        <w:t xml:space="preserve"> </w:t>
      </w:r>
      <w:r w:rsidRPr="00495ABA">
        <w:rPr>
          <w:highlight w:val="yellow"/>
        </w:rPr>
        <w:t>(AMS).</w:t>
      </w:r>
    </w:p>
    <w:p w:rsidR="00F3413D" w:rsidRPr="00910A3F" w:rsidRDefault="00F3413D" w:rsidP="007A24C1">
      <w:pPr>
        <w:spacing w:after="0" w:line="480" w:lineRule="auto"/>
        <w:rPr>
          <w:b/>
          <w:bCs/>
        </w:rPr>
      </w:pPr>
      <w:r w:rsidRPr="00910A3F">
        <w:rPr>
          <w:b/>
          <w:bCs/>
        </w:rPr>
        <w:t>Objectives</w:t>
      </w:r>
    </w:p>
    <w:p w:rsidR="00F3413D" w:rsidRDefault="00F3413D" w:rsidP="007A24C1">
      <w:pPr>
        <w:spacing w:after="0" w:line="480" w:lineRule="auto"/>
      </w:pPr>
      <w:r>
        <w:t>This study aimed to identify software features within EPMAs that could potentially facilitate AMS and to survey practising UK infection specialist healthcare professionals in order to assign priority to these software features.</w:t>
      </w:r>
    </w:p>
    <w:p w:rsidR="00F3413D" w:rsidRPr="00910A3F" w:rsidRDefault="00F3413D" w:rsidP="007A24C1">
      <w:pPr>
        <w:spacing w:after="0" w:line="480" w:lineRule="auto"/>
        <w:rPr>
          <w:b/>
          <w:bCs/>
        </w:rPr>
      </w:pPr>
      <w:r w:rsidRPr="00910A3F">
        <w:rPr>
          <w:b/>
          <w:bCs/>
        </w:rPr>
        <w:t>Methods</w:t>
      </w:r>
    </w:p>
    <w:p w:rsidR="00F3413D" w:rsidRDefault="00F3413D" w:rsidP="007A24C1">
      <w:pPr>
        <w:spacing w:after="0" w:line="480" w:lineRule="auto"/>
      </w:pPr>
      <w:r>
        <w:t>A questionnaire was developed using nominal group technique and transmitted via email links through professional networks. The questionnaire collected demographic data, information on priority areas and anticipated impact of EPMA. Responses from different respondent groups were compared using the Mann Whitney U test.</w:t>
      </w:r>
    </w:p>
    <w:p w:rsidR="00F3413D" w:rsidRPr="00910A3F" w:rsidRDefault="00F3413D" w:rsidP="007A24C1">
      <w:pPr>
        <w:spacing w:after="0" w:line="480" w:lineRule="auto"/>
        <w:rPr>
          <w:b/>
          <w:bCs/>
        </w:rPr>
      </w:pPr>
      <w:r w:rsidRPr="00910A3F">
        <w:rPr>
          <w:b/>
          <w:bCs/>
        </w:rPr>
        <w:t>Results</w:t>
      </w:r>
    </w:p>
    <w:p w:rsidR="00F3413D" w:rsidRDefault="00F3413D" w:rsidP="007A24C1">
      <w:pPr>
        <w:spacing w:after="0" w:line="480" w:lineRule="auto"/>
      </w:pPr>
      <w:r>
        <w:t xml:space="preserve">Responses were received from 164 individuals (142 analysable). Respondents were predominantly specialist infection pharmacists (48%) or medical microbiologists (37%). 59% of pharmacists had experience of EPMA in their hospitals compared to 35% of microbiologists. Pharmacists assigned higher priority to: indication prompt (p&lt;0.001), allergy checker (p=0.003) treatment protocols (p=0.003), drug-indication mismatch alerts (p=0.031) and prolonged course alerts (p=0.041); and lower priority to a dose checker for adults (p=0.02) and an interaction checker (p&lt;0.05), than microbiologists. </w:t>
      </w:r>
      <w:proofErr w:type="gramStart"/>
      <w:r>
        <w:t>A “</w:t>
      </w:r>
      <w:proofErr w:type="gramEnd"/>
      <w:r>
        <w:t>soft stop” functionality was rated essential or a high priority by 89% of respondents. Potential EPMA software features were expected to have the greatest impact on</w:t>
      </w:r>
      <w:r w:rsidRPr="0030182B">
        <w:t xml:space="preserve"> stewardship, </w:t>
      </w:r>
      <w:r>
        <w:t xml:space="preserve">treatment </w:t>
      </w:r>
      <w:r w:rsidRPr="0030182B">
        <w:t xml:space="preserve">efficacy and </w:t>
      </w:r>
      <w:r>
        <w:t xml:space="preserve">patient </w:t>
      </w:r>
      <w:r w:rsidRPr="0030182B">
        <w:t>safety</w:t>
      </w:r>
      <w:r>
        <w:t xml:space="preserve"> outcomes</w:t>
      </w:r>
      <w:r w:rsidRPr="0030182B">
        <w:t xml:space="preserve"> with lowest impact on </w:t>
      </w:r>
      <w:r w:rsidRPr="0030182B">
        <w:rPr>
          <w:i/>
          <w:iCs/>
        </w:rPr>
        <w:t>Clostridium difficile</w:t>
      </w:r>
      <w:r>
        <w:t xml:space="preserve"> infection (CDI), antimicrobial resistance</w:t>
      </w:r>
      <w:r w:rsidRPr="0030182B">
        <w:t xml:space="preserve"> an</w:t>
      </w:r>
      <w:r>
        <w:t>d drug expenditure</w:t>
      </w:r>
      <w:r w:rsidRPr="0030182B">
        <w:t>.</w:t>
      </w:r>
    </w:p>
    <w:p w:rsidR="00F3413D" w:rsidRPr="00910A3F" w:rsidRDefault="00F3413D" w:rsidP="007A24C1">
      <w:pPr>
        <w:spacing w:after="0" w:line="480" w:lineRule="auto"/>
        <w:rPr>
          <w:b/>
          <w:bCs/>
        </w:rPr>
      </w:pPr>
      <w:r w:rsidRPr="00910A3F">
        <w:rPr>
          <w:b/>
          <w:bCs/>
        </w:rPr>
        <w:t>Conclusions</w:t>
      </w:r>
    </w:p>
    <w:p w:rsidR="00F3413D" w:rsidRDefault="00F3413D" w:rsidP="007A24C1">
      <w:pPr>
        <w:spacing w:after="0" w:line="480" w:lineRule="auto"/>
      </w:pPr>
      <w:r>
        <w:lastRenderedPageBreak/>
        <w:t>The survey demonstrates key differences in health professionals’ opinions of different healthcare benefits of EPMA but a consensus of anticipated positive impact on patient safety and antimicrobial stewardship.</w:t>
      </w:r>
      <w:r>
        <w:br w:type="page"/>
      </w:r>
    </w:p>
    <w:p w:rsidR="00F3413D" w:rsidRPr="00901FAE" w:rsidRDefault="00F3413D" w:rsidP="007A24C1">
      <w:pPr>
        <w:spacing w:after="0" w:line="480" w:lineRule="auto"/>
        <w:rPr>
          <w:b/>
          <w:bCs/>
        </w:rPr>
      </w:pPr>
      <w:r w:rsidRPr="00901FAE">
        <w:rPr>
          <w:b/>
          <w:bCs/>
        </w:rPr>
        <w:lastRenderedPageBreak/>
        <w:t>INTRODUCTION</w:t>
      </w:r>
    </w:p>
    <w:p w:rsidR="00F3413D" w:rsidRDefault="00F3413D" w:rsidP="007A24C1">
      <w:pPr>
        <w:spacing w:after="0" w:line="480" w:lineRule="auto"/>
      </w:pPr>
      <w:r>
        <w:t>Antimicrobial resistance (AMR) is a major threat to public health and a significant resource and cost burden on the United Kingdom (UK) National Health Service (NHS).</w:t>
      </w:r>
      <w:r w:rsidRPr="00067614">
        <w:rPr>
          <w:noProof/>
          <w:vertAlign w:val="superscript"/>
        </w:rPr>
        <w:t>1</w:t>
      </w:r>
      <w:r>
        <w:t xml:space="preserve"> </w:t>
      </w:r>
      <w:r w:rsidRPr="00431844">
        <w:t xml:space="preserve">The Chief Medical Officer’s 2013 report on infections and the rise of </w:t>
      </w:r>
      <w:r>
        <w:t>AMR</w:t>
      </w:r>
      <w:r w:rsidRPr="00431844">
        <w:t xml:space="preserve"> called for action to preserve the effectiveness of existing antimicrobials through antimicrobial stewardship</w:t>
      </w:r>
      <w:r>
        <w:t xml:space="preserve"> (</w:t>
      </w:r>
      <w:r w:rsidRPr="00F1298A">
        <w:rPr>
          <w:highlight w:val="yellow"/>
        </w:rPr>
        <w:t>AMS</w:t>
      </w:r>
      <w:r>
        <w:t>)</w:t>
      </w:r>
      <w:r w:rsidRPr="00431844">
        <w:t>.</w:t>
      </w:r>
      <w:r w:rsidRPr="00067614">
        <w:rPr>
          <w:noProof/>
          <w:vertAlign w:val="superscript"/>
        </w:rPr>
        <w:t>1</w:t>
      </w:r>
      <w:r w:rsidRPr="00431844">
        <w:t xml:space="preserve"> The 2013 UK Five Year Antimicrobial Resistance Strategy</w:t>
      </w:r>
      <w:r>
        <w:t xml:space="preserve"> from the Department of Health (DH)</w:t>
      </w:r>
      <w:r w:rsidRPr="00431844">
        <w:t xml:space="preserve"> </w:t>
      </w:r>
      <w:r>
        <w:t xml:space="preserve">also </w:t>
      </w:r>
      <w:r w:rsidRPr="00431844">
        <w:t xml:space="preserve">highlights </w:t>
      </w:r>
      <w:r w:rsidRPr="00F1298A">
        <w:rPr>
          <w:highlight w:val="yellow"/>
        </w:rPr>
        <w:t>AMS</w:t>
      </w:r>
      <w:r w:rsidRPr="00431844">
        <w:t xml:space="preserve"> as one of seven key areas for action</w:t>
      </w:r>
      <w:r>
        <w:t xml:space="preserve"> and NHS England has subsequently introduced antimicrobial prescribing reduction goals for English hospitals through the Commissioning for Quality and Innovation (CQUIN) programme for 2016/17</w:t>
      </w:r>
      <w:r w:rsidRPr="00431844">
        <w:t>.</w:t>
      </w:r>
      <w:r w:rsidRPr="00067614">
        <w:rPr>
          <w:noProof/>
          <w:vertAlign w:val="superscript"/>
        </w:rPr>
        <w:t>2, 3</w:t>
      </w:r>
      <w:r>
        <w:t xml:space="preserve">  </w:t>
      </w:r>
    </w:p>
    <w:p w:rsidR="00F3413D" w:rsidRDefault="00F3413D" w:rsidP="007A24C1">
      <w:pPr>
        <w:spacing w:after="0" w:line="480" w:lineRule="auto"/>
      </w:pPr>
    </w:p>
    <w:p w:rsidR="00F3413D" w:rsidRDefault="00F3413D" w:rsidP="007A24C1">
      <w:pPr>
        <w:spacing w:after="0" w:line="480" w:lineRule="auto"/>
        <w:rPr>
          <w:color w:val="FF0000"/>
        </w:rPr>
      </w:pPr>
      <w:r>
        <w:t>In 2012, the UK Department of Health commissioned a study of the potential benefits to staff and patients of greater use of digital and information technology in the NHS and social care.</w:t>
      </w:r>
      <w:r w:rsidRPr="00067614">
        <w:rPr>
          <w:noProof/>
          <w:vertAlign w:val="superscript"/>
        </w:rPr>
        <w:t>4</w:t>
      </w:r>
      <w:r>
        <w:t xml:space="preserve">  The study report identified four priority actions, one of which was to drive the rollout and use of electronic prescribing (e-prescribing) in secondary care.  Implementation of e-prescribing systems in hospitals presents a unique opportunity to improve the quality of antimicrobial prescribing and to facilitate </w:t>
      </w:r>
      <w:r w:rsidRPr="00F1298A">
        <w:rPr>
          <w:highlight w:val="yellow"/>
        </w:rPr>
        <w:t>AMS</w:t>
      </w:r>
      <w:r>
        <w:t>.</w:t>
      </w:r>
      <w:r w:rsidRPr="00067614">
        <w:rPr>
          <w:noProof/>
          <w:vertAlign w:val="superscript"/>
        </w:rPr>
        <w:t>5-10</w:t>
      </w:r>
      <w:r>
        <w:t xml:space="preserve">  Evidence for the benefits of </w:t>
      </w:r>
      <w:r w:rsidRPr="00F1298A">
        <w:rPr>
          <w:highlight w:val="yellow"/>
        </w:rPr>
        <w:t>AMS</w:t>
      </w:r>
      <w:r>
        <w:t xml:space="preserve"> functionality within e-prescribing systems comes from published research studies demonstrating positive impact on outcomes including increased guideline adherence</w:t>
      </w:r>
      <w:r w:rsidRPr="00067614">
        <w:rPr>
          <w:noProof/>
          <w:vertAlign w:val="superscript"/>
        </w:rPr>
        <w:t>11, 12</w:t>
      </w:r>
      <w:r>
        <w:t xml:space="preserve"> and effective initial therapy</w:t>
      </w:r>
      <w:r w:rsidRPr="00067614">
        <w:rPr>
          <w:noProof/>
          <w:vertAlign w:val="superscript"/>
        </w:rPr>
        <w:t>13</w:t>
      </w:r>
      <w:r>
        <w:t xml:space="preserve"> or reductions in antimicrobial prescribing,</w:t>
      </w:r>
      <w:r w:rsidRPr="00067614">
        <w:rPr>
          <w:noProof/>
          <w:vertAlign w:val="superscript"/>
        </w:rPr>
        <w:t>14, 15</w:t>
      </w:r>
      <w:r>
        <w:t xml:space="preserve">  resistance,</w:t>
      </w:r>
      <w:r w:rsidRPr="00067614">
        <w:rPr>
          <w:noProof/>
          <w:vertAlign w:val="superscript"/>
        </w:rPr>
        <w:t>16, 17</w:t>
      </w:r>
      <w:r>
        <w:t xml:space="preserve"> dosing errors,</w:t>
      </w:r>
      <w:r w:rsidRPr="00067614">
        <w:rPr>
          <w:noProof/>
          <w:vertAlign w:val="superscript"/>
        </w:rPr>
        <w:t>8</w:t>
      </w:r>
      <w:r>
        <w:t xml:space="preserve"> length of hospital or ICU stay</w:t>
      </w:r>
      <w:r w:rsidRPr="00067614">
        <w:rPr>
          <w:noProof/>
          <w:vertAlign w:val="superscript"/>
        </w:rPr>
        <w:t>14, 18</w:t>
      </w:r>
      <w:r>
        <w:t xml:space="preserve"> and mortality.</w:t>
      </w:r>
      <w:r w:rsidRPr="00067614">
        <w:rPr>
          <w:noProof/>
          <w:vertAlign w:val="superscript"/>
        </w:rPr>
        <w:t>12, 13, 19</w:t>
      </w:r>
      <w:r>
        <w:t xml:space="preserve">  </w:t>
      </w:r>
      <w:r w:rsidRPr="00CF7454">
        <w:t xml:space="preserve">However, many of these </w:t>
      </w:r>
      <w:r>
        <w:t xml:space="preserve">information </w:t>
      </w:r>
      <w:r w:rsidRPr="00CF7454">
        <w:t xml:space="preserve">systems </w:t>
      </w:r>
      <w:r>
        <w:t>were</w:t>
      </w:r>
      <w:r w:rsidRPr="00CF7454">
        <w:t xml:space="preserve"> created on a small scale in individual hospitals or groups of institutions and few reports cover the full potential range of software features that enable </w:t>
      </w:r>
      <w:r w:rsidRPr="00F1298A">
        <w:rPr>
          <w:highlight w:val="yellow"/>
        </w:rPr>
        <w:t>AMS</w:t>
      </w:r>
      <w:r w:rsidRPr="00CF7454">
        <w:t xml:space="preserve">.  Moreover there does not appear to be a recognised standard to guide the specification and commissioning of an optimal e-prescribing system </w:t>
      </w:r>
      <w:r>
        <w:t>that includes</w:t>
      </w:r>
      <w:r w:rsidRPr="00CF7454">
        <w:t xml:space="preserve"> the required </w:t>
      </w:r>
      <w:r w:rsidRPr="00F1298A">
        <w:rPr>
          <w:highlight w:val="yellow"/>
        </w:rPr>
        <w:t>AMS</w:t>
      </w:r>
      <w:r w:rsidRPr="00CF7454">
        <w:t xml:space="preserve"> functionality appropriate for the challenges that health systems currently face worldwide.</w:t>
      </w:r>
      <w:r w:rsidRPr="00067614">
        <w:rPr>
          <w:noProof/>
          <w:vertAlign w:val="superscript"/>
        </w:rPr>
        <w:t>20</w:t>
      </w:r>
    </w:p>
    <w:p w:rsidR="00F3413D" w:rsidRPr="00EA0F81" w:rsidRDefault="00F3413D" w:rsidP="007A24C1">
      <w:pPr>
        <w:spacing w:after="0" w:line="480" w:lineRule="auto"/>
        <w:rPr>
          <w:highlight w:val="yellow"/>
        </w:rPr>
      </w:pPr>
    </w:p>
    <w:p w:rsidR="00F3413D" w:rsidRDefault="00F3413D" w:rsidP="007A24C1">
      <w:pPr>
        <w:spacing w:after="0" w:line="480" w:lineRule="auto"/>
      </w:pPr>
      <w:r w:rsidRPr="00553362">
        <w:lastRenderedPageBreak/>
        <w:t>This report presents results from a cross-sectional survey of UK</w:t>
      </w:r>
      <w:r>
        <w:t xml:space="preserve"> infection specialist</w:t>
      </w:r>
      <w:r w:rsidRPr="00553362">
        <w:t xml:space="preserve"> health professionals. </w:t>
      </w:r>
      <w:r>
        <w:t xml:space="preserve">The specific objectives of this study were: to identify, </w:t>
      </w:r>
      <w:r w:rsidRPr="00D5399B">
        <w:rPr>
          <w:highlight w:val="yellow"/>
        </w:rPr>
        <w:t>using a convenience sample of local infection experts (the nominal group technique),</w:t>
      </w:r>
      <w:r>
        <w:t xml:space="preserve"> software features within NHS hospital e-prescribing systems that could potentially facilitate antimicrobial stewardship; to assign a priority to these software features according to the opinions of practising infection specialist healthcare professionals; to identify any differences in priority setting according to professional group, hospital status (teaching or district general) or previous experience of e-prescribing systems; and to communicate research findings to e-prescribing software manufacturers and healthcare policy makers.</w:t>
      </w:r>
    </w:p>
    <w:p w:rsidR="00F3413D" w:rsidRDefault="00F3413D" w:rsidP="007A24C1">
      <w:pPr>
        <w:spacing w:after="0" w:line="480" w:lineRule="auto"/>
        <w:rPr>
          <w:b/>
          <w:bCs/>
        </w:rPr>
      </w:pPr>
    </w:p>
    <w:p w:rsidR="00F3413D" w:rsidRPr="00901FAE" w:rsidRDefault="00F3413D" w:rsidP="007A24C1">
      <w:pPr>
        <w:spacing w:after="0" w:line="480" w:lineRule="auto"/>
        <w:rPr>
          <w:b/>
          <w:bCs/>
        </w:rPr>
      </w:pPr>
      <w:r w:rsidRPr="00901FAE">
        <w:rPr>
          <w:b/>
          <w:bCs/>
        </w:rPr>
        <w:t>MATERIALS AND METHODS</w:t>
      </w:r>
    </w:p>
    <w:p w:rsidR="00F3413D" w:rsidRDefault="00F3413D" w:rsidP="007A24C1">
      <w:pPr>
        <w:spacing w:after="0" w:line="480" w:lineRule="auto"/>
      </w:pPr>
      <w:r>
        <w:t xml:space="preserve">Two focus group meetings of experienced infection health professionals from a local network of hospitals in the south central region of England were convened in order firstly, to identify software features within existing e-prescribing and medicines administration (EPMA) systems that facilitate </w:t>
      </w:r>
      <w:r w:rsidRPr="00F1298A">
        <w:rPr>
          <w:highlight w:val="yellow"/>
        </w:rPr>
        <w:t>AMS</w:t>
      </w:r>
      <w:r>
        <w:t xml:space="preserve"> and secondly, to identify additional software features with the potential to facilitate </w:t>
      </w:r>
      <w:r w:rsidRPr="00F1298A">
        <w:rPr>
          <w:highlight w:val="yellow"/>
        </w:rPr>
        <w:t>AMS</w:t>
      </w:r>
      <w:r>
        <w:t xml:space="preserve">. The focus groups had representation from six infection hospital pharmacists (three with experience of EPMA systems), two consultant medical microbiologists (one with experience of EPMA systems) and one EPMA analyst.  The focus group meeting output was a list of software features to be included in a questionnaire for wider circulation among UK infection specialist health professionals.  Following the focus groups, two infection pharmacists designed a questionnaire using </w:t>
      </w:r>
      <w:proofErr w:type="spellStart"/>
      <w:r>
        <w:t>SurveyMonkey</w:t>
      </w:r>
      <w:proofErr w:type="spellEnd"/>
      <w:r>
        <w:t xml:space="preserve">® software.  The questionnaire included 42 questions, which were divided into 4 domains. The first domain collected respondent demographic data including professional group, experience in a specialist role, hospital setting and EPMA experience.  In the remaining three domains, respondents were asked to assign a priority to individual software features grouped according to the categories of prescribing alerts/prompts (12 features), active prescription surveillance (11 features) and prescribing trend surveillance (8 features).  At the end of each domain, respondents were asked to </w:t>
      </w:r>
      <w:r>
        <w:lastRenderedPageBreak/>
        <w:t xml:space="preserve">express their opinion of the anticipated collective impact of the software features from each domain on a number of </w:t>
      </w:r>
      <w:r w:rsidRPr="008B6DE9">
        <w:t>clinical, microbiological and process outcomes</w:t>
      </w:r>
      <w:r>
        <w:t xml:space="preserve">. For the prescribing trend surveillance domain, respondents were asked to prioritise a number of technical aspects of the proposed surveillance reports.  Finally, the questionnaire provided a freetext narrative section inviting respondents to suggest additional software features with potential to facilitate </w:t>
      </w:r>
      <w:r w:rsidRPr="00F1298A">
        <w:rPr>
          <w:highlight w:val="yellow"/>
        </w:rPr>
        <w:t>AMS</w:t>
      </w:r>
      <w:r>
        <w:t xml:space="preserve">, not mentioned earlier in the survey.  The questionnaire was piloted in the local region, predominately with infection pharmacists and one medical microbiologist in October 2014.  Feedback from the pilot led to the incorporation of one additional category (work efficiency) to the list of process outcomes. </w:t>
      </w:r>
      <w:r w:rsidRPr="001D24F3">
        <w:t>A copy of the</w:t>
      </w:r>
      <w:r>
        <w:t xml:space="preserve"> finalised questionnaire and covering letter to respondents</w:t>
      </w:r>
      <w:r w:rsidRPr="001D24F3">
        <w:t xml:space="preserve"> is available as </w:t>
      </w:r>
      <w:r w:rsidRPr="007E4862">
        <w:t>an online Supplement (S1).</w:t>
      </w:r>
      <w:r>
        <w:t xml:space="preserve">  </w:t>
      </w:r>
    </w:p>
    <w:p w:rsidR="00F3413D" w:rsidRDefault="00F3413D" w:rsidP="007A24C1">
      <w:pPr>
        <w:spacing w:after="0" w:line="480" w:lineRule="auto"/>
      </w:pPr>
    </w:p>
    <w:p w:rsidR="00F3413D" w:rsidRDefault="00F3413D" w:rsidP="007A24C1">
      <w:pPr>
        <w:spacing w:after="0" w:line="480" w:lineRule="auto"/>
      </w:pPr>
      <w:r>
        <w:t>Respondents were advised that participation was voluntary and anonymous, that the questionnaire would take approximately 10-12 minutes to complete and that the results would be disseminated to e-prescribing software manufacturers, policy makers and the clinical infection community.  The research team took the decision not to collect personal details of respondent names and employers in order to elicit candid responses; although respondent internet protocol (IP) addresses were collected, identifying responses from the same healthcare organisations.</w:t>
      </w:r>
      <w:r w:rsidRPr="001D24F3">
        <w:t xml:space="preserve"> </w:t>
      </w:r>
      <w:r>
        <w:t xml:space="preserve">  </w:t>
      </w:r>
      <w:r w:rsidRPr="002D1AC3">
        <w:t xml:space="preserve">A hyperlink to the online questionnaire was distributed via health professional networks including the UK Clinical Pharmacy Association, the Royal College of Pathologists, </w:t>
      </w:r>
      <w:proofErr w:type="gramStart"/>
      <w:r w:rsidRPr="002D1AC3">
        <w:t>the</w:t>
      </w:r>
      <w:proofErr w:type="gramEnd"/>
      <w:r w:rsidRPr="002D1AC3">
        <w:t xml:space="preserve"> British Society for Antimicrobial Chemotherapy and Public Health England. The online questionnaire was closed in July 2015, 7 months from launch.</w:t>
      </w:r>
      <w:r>
        <w:t xml:space="preserve">  </w:t>
      </w:r>
      <w:r w:rsidRPr="001D24F3">
        <w:t xml:space="preserve">Table 1 presents a glossary of key terms used in the </w:t>
      </w:r>
      <w:r>
        <w:t>questionnaire</w:t>
      </w:r>
      <w:r w:rsidRPr="001D24F3">
        <w:t xml:space="preserve"> that will be refer</w:t>
      </w:r>
      <w:r>
        <w:t>red to throughout this report.</w:t>
      </w:r>
    </w:p>
    <w:p w:rsidR="00F3413D" w:rsidRDefault="00F3413D" w:rsidP="007A24C1">
      <w:pPr>
        <w:spacing w:after="0" w:line="480" w:lineRule="auto"/>
      </w:pPr>
    </w:p>
    <w:p w:rsidR="00F3413D" w:rsidRPr="00CD757F" w:rsidRDefault="00F3413D" w:rsidP="007A24C1">
      <w:pPr>
        <w:spacing w:after="0" w:line="480" w:lineRule="auto"/>
        <w:rPr>
          <w:b/>
          <w:bCs/>
        </w:rPr>
      </w:pPr>
      <w:r w:rsidRPr="00D1319D">
        <w:rPr>
          <w:b/>
          <w:bCs/>
        </w:rPr>
        <w:t>Analysis methods</w:t>
      </w:r>
    </w:p>
    <w:p w:rsidR="00F3413D" w:rsidRDefault="00F3413D" w:rsidP="007A24C1">
      <w:pPr>
        <w:spacing w:after="0" w:line="480" w:lineRule="auto"/>
      </w:pPr>
      <w:r>
        <w:t>Questionnaire</w:t>
      </w:r>
      <w:r w:rsidRPr="00084BA2">
        <w:t xml:space="preserve"> data were summarised with descriptive stati</w:t>
      </w:r>
      <w:r>
        <w:t xml:space="preserve">stics and analysed using IBM SPSS v.22 with priority ranking of software features by different groups of respondents compared using the </w:t>
      </w:r>
      <w:r>
        <w:lastRenderedPageBreak/>
        <w:t xml:space="preserve">Mann Whitney U test. The respondent groups compared were: specialist pharmacists </w:t>
      </w:r>
      <w:r w:rsidRPr="000326A2">
        <w:rPr>
          <w:highlight w:val="yellow"/>
        </w:rPr>
        <w:t>versus</w:t>
      </w:r>
      <w:r>
        <w:t xml:space="preserve"> medical microbiologists </w:t>
      </w:r>
      <w:r w:rsidRPr="00D5399B">
        <w:rPr>
          <w:highlight w:val="yellow"/>
        </w:rPr>
        <w:t>(</w:t>
      </w:r>
      <w:r>
        <w:rPr>
          <w:highlight w:val="yellow"/>
        </w:rPr>
        <w:t>the number of respondents from other professional groups was too few for statistical analysis</w:t>
      </w:r>
      <w:r w:rsidRPr="00D5399B">
        <w:rPr>
          <w:highlight w:val="yellow"/>
        </w:rPr>
        <w:t>);</w:t>
      </w:r>
      <w:r>
        <w:t xml:space="preserve"> respondents from hospitals with EPMA experience </w:t>
      </w:r>
      <w:r w:rsidRPr="000326A2">
        <w:rPr>
          <w:highlight w:val="yellow"/>
        </w:rPr>
        <w:t>versus</w:t>
      </w:r>
      <w:r>
        <w:t xml:space="preserve"> those without; and respondents from teaching hospitals </w:t>
      </w:r>
      <w:r w:rsidRPr="000326A2">
        <w:rPr>
          <w:highlight w:val="yellow"/>
        </w:rPr>
        <w:t>versus</w:t>
      </w:r>
      <w:r>
        <w:t xml:space="preserve"> district general hospitals (DGHs). A p-value of &lt;0.05 was considered statistically significant.  Finally, the freetext narrative comments were analysed by using a summative approach to qualitative content analysis, grouping responses into common themes according to frequency of reporting.</w:t>
      </w:r>
      <w:r w:rsidRPr="00067614">
        <w:rPr>
          <w:noProof/>
          <w:vertAlign w:val="superscript"/>
        </w:rPr>
        <w:t>21</w:t>
      </w:r>
      <w:r>
        <w:t xml:space="preserve"> </w:t>
      </w:r>
    </w:p>
    <w:p w:rsidR="00F3413D" w:rsidRDefault="00F3413D" w:rsidP="007A24C1">
      <w:pPr>
        <w:spacing w:after="0" w:line="480" w:lineRule="auto"/>
      </w:pPr>
    </w:p>
    <w:p w:rsidR="00F3413D" w:rsidRDefault="00F3413D" w:rsidP="007A24C1">
      <w:pPr>
        <w:spacing w:after="0" w:line="480" w:lineRule="auto"/>
      </w:pPr>
      <w:r>
        <w:t>This research did</w:t>
      </w:r>
      <w:r w:rsidRPr="002A60C0">
        <w:t xml:space="preserve"> not </w:t>
      </w:r>
      <w:r>
        <w:t>require</w:t>
      </w:r>
      <w:r w:rsidRPr="002A60C0">
        <w:t xml:space="preserve"> NHS Research Ethics Committee approval for sites in England, Scotland, Wales or Northern Ireland</w:t>
      </w:r>
      <w:r>
        <w:t xml:space="preserve"> according to the Health Research Authority online decision tool</w:t>
      </w:r>
      <w:r w:rsidRPr="002A60C0">
        <w:t xml:space="preserve"> </w:t>
      </w:r>
      <w:r>
        <w:t>(</w:t>
      </w:r>
      <w:r w:rsidRPr="002A60C0">
        <w:t>http://www.hra-decisiontools.org.uk/ethics/</w:t>
      </w:r>
      <w:r>
        <w:t>).</w:t>
      </w:r>
    </w:p>
    <w:p w:rsidR="00F3413D" w:rsidRDefault="00F3413D" w:rsidP="007A24C1">
      <w:pPr>
        <w:spacing w:after="0" w:line="480" w:lineRule="auto"/>
      </w:pPr>
    </w:p>
    <w:p w:rsidR="00F3413D" w:rsidRPr="00304DCD" w:rsidRDefault="00F3413D" w:rsidP="007A24C1">
      <w:pPr>
        <w:spacing w:after="0" w:line="480" w:lineRule="auto"/>
        <w:rPr>
          <w:b/>
          <w:bCs/>
        </w:rPr>
      </w:pPr>
      <w:r w:rsidRPr="00901FAE">
        <w:rPr>
          <w:b/>
          <w:bCs/>
        </w:rPr>
        <w:t>RESULTS</w:t>
      </w:r>
    </w:p>
    <w:p w:rsidR="00F3413D" w:rsidRPr="000E397F" w:rsidRDefault="00F3413D" w:rsidP="007A24C1">
      <w:pPr>
        <w:spacing w:after="0" w:line="480" w:lineRule="auto"/>
        <w:rPr>
          <w:b/>
          <w:bCs/>
        </w:rPr>
      </w:pPr>
      <w:r w:rsidRPr="000E397F">
        <w:rPr>
          <w:b/>
          <w:bCs/>
        </w:rPr>
        <w:t>Respondent accountability</w:t>
      </w:r>
    </w:p>
    <w:p w:rsidR="00F3413D" w:rsidRDefault="00F3413D" w:rsidP="007A24C1">
      <w:pPr>
        <w:spacing w:after="0" w:line="480" w:lineRule="auto"/>
      </w:pPr>
      <w:r>
        <w:t>Responses were received from 164 individuals from 79 unique IP addresses. Twenty-two response sets were removed from the dataset (11 pharmacists, 6 medical microbiologists, one ID physician, 4 nurses and one trainee) due to failure to complete responses to survey questions beyond demographics. Responses from the remaining 142 individuals from 68 unique IP addresses were included in the analysis. Eleven of these 142 did not complete all sections of the questionnaire and missing data were ignored as they comprised less than 10% of responses.</w:t>
      </w:r>
    </w:p>
    <w:p w:rsidR="00F3413D" w:rsidRDefault="00F3413D" w:rsidP="007A24C1">
      <w:pPr>
        <w:spacing w:after="0" w:line="480" w:lineRule="auto"/>
      </w:pPr>
    </w:p>
    <w:p w:rsidR="00F3413D" w:rsidRPr="000E397F" w:rsidRDefault="00F3413D" w:rsidP="007A24C1">
      <w:pPr>
        <w:spacing w:after="0" w:line="480" w:lineRule="auto"/>
        <w:rPr>
          <w:b/>
          <w:bCs/>
        </w:rPr>
      </w:pPr>
      <w:r w:rsidRPr="000E397F">
        <w:rPr>
          <w:b/>
          <w:bCs/>
        </w:rPr>
        <w:t>Respondent demographics</w:t>
      </w:r>
    </w:p>
    <w:p w:rsidR="00F3413D" w:rsidRDefault="00F3413D" w:rsidP="007A24C1">
      <w:pPr>
        <w:spacing w:after="0" w:line="480" w:lineRule="auto"/>
      </w:pPr>
      <w:r>
        <w:t xml:space="preserve">The demographic profile of the 142 respondents included in the analysis is presented in Figure1. Infection pharmacists comprised almost half of respondents (48%; 68/142) from 39 IP addresses and the majority had at least 5 years’ experience in a specialist infection role (47/68).   Medical microbiologists represented over one-third of respondents (37%; 53/142) from 35 IP addresses and </w:t>
      </w:r>
      <w:r>
        <w:lastRenderedPageBreak/>
        <w:t>most had at least 5 years’ experience (48/53).  Six infectious diseases (ID) physicians responded to the survey and a further six respondents were grouped as other healthcare professionals (medical virologist, epidemiologist, junior doctor, infection prevention nurse, surveillance nurse and a consultant in public health).</w:t>
      </w:r>
    </w:p>
    <w:p w:rsidR="00F3413D" w:rsidRDefault="00F3413D" w:rsidP="007A24C1">
      <w:pPr>
        <w:spacing w:after="0" w:line="480" w:lineRule="auto"/>
      </w:pPr>
    </w:p>
    <w:p w:rsidR="00F3413D" w:rsidRDefault="00F3413D" w:rsidP="007A24C1">
      <w:pPr>
        <w:spacing w:after="0" w:line="480" w:lineRule="auto"/>
      </w:pPr>
      <w:r>
        <w:t xml:space="preserve">Fifty-two per cent of respondents were from </w:t>
      </w:r>
      <w:r w:rsidRPr="000326A2">
        <w:rPr>
          <w:highlight w:val="yellow"/>
        </w:rPr>
        <w:t>DGHs</w:t>
      </w:r>
      <w:r>
        <w:t xml:space="preserve"> (71/136 responses) and 45% from teaching hospitals (61/136 responses).  Figure 2 illustrates the distribution of experience of EPMA and e-prescribing systems amongst the questionnaire respondents.  </w:t>
      </w:r>
      <w:r w:rsidRPr="003A72D8">
        <w:rPr>
          <w:highlight w:val="yellow"/>
        </w:rPr>
        <w:t>Half</w:t>
      </w:r>
      <w:r>
        <w:t xml:space="preserve"> of respondents (49%; 68/139) reported experience of EPMA or e-prescribing; </w:t>
      </w:r>
      <w:r w:rsidRPr="00CE47AF">
        <w:t>59% of</w:t>
      </w:r>
      <w:r>
        <w:t xml:space="preserve"> 68</w:t>
      </w:r>
      <w:r w:rsidRPr="00CE47AF">
        <w:t xml:space="preserve"> </w:t>
      </w:r>
      <w:r>
        <w:t xml:space="preserve">infection </w:t>
      </w:r>
      <w:r w:rsidRPr="00CE47AF">
        <w:t>pharmacists</w:t>
      </w:r>
      <w:r>
        <w:t xml:space="preserve"> </w:t>
      </w:r>
      <w:r w:rsidRPr="00CE47AF">
        <w:t>had experience of EPMA in their hospitals com</w:t>
      </w:r>
      <w:r>
        <w:t>pared to 35% of 52 microbiologists. Forty per cent (56/139) expected implementation of EPMA within 5 years (25 from teaching hospitals and 29 from district general hospitals) but 11% (15/139) did not expect EPMA within 5 years (5 from teaching hospitals and 9 from district general hospitals).</w:t>
      </w:r>
    </w:p>
    <w:p w:rsidR="00F3413D" w:rsidRDefault="00F3413D" w:rsidP="007A24C1">
      <w:pPr>
        <w:spacing w:after="0" w:line="480" w:lineRule="auto"/>
      </w:pPr>
    </w:p>
    <w:p w:rsidR="00F3413D" w:rsidRPr="00B41B7B" w:rsidRDefault="00F3413D" w:rsidP="007A24C1">
      <w:pPr>
        <w:spacing w:after="0" w:line="480" w:lineRule="auto"/>
        <w:rPr>
          <w:b/>
          <w:bCs/>
        </w:rPr>
      </w:pPr>
      <w:r w:rsidRPr="00B41B7B">
        <w:rPr>
          <w:b/>
          <w:bCs/>
        </w:rPr>
        <w:t>Prescribing Prompt Software Features</w:t>
      </w:r>
    </w:p>
    <w:p w:rsidR="00F3413D" w:rsidRDefault="00F3413D" w:rsidP="007A24C1">
      <w:pPr>
        <w:spacing w:line="480" w:lineRule="auto"/>
      </w:pPr>
      <w:r>
        <w:t xml:space="preserve">Table 2 presents survey response data for priority attributed by respondents to 12 software features of EPMA systems grouped within the Prescribing Prompt category.  </w:t>
      </w:r>
      <w:r w:rsidRPr="004E68B1">
        <w:rPr>
          <w:highlight w:val="yellow"/>
        </w:rPr>
        <w:t xml:space="preserve">With the exception of restriction features, all </w:t>
      </w:r>
      <w:r>
        <w:rPr>
          <w:highlight w:val="yellow"/>
        </w:rPr>
        <w:t xml:space="preserve">prescribing prompt </w:t>
      </w:r>
      <w:r w:rsidRPr="004E68B1">
        <w:rPr>
          <w:highlight w:val="yellow"/>
        </w:rPr>
        <w:t>software features were considered essential or high-priority by the majority (&gt;50%) of respondents.</w:t>
      </w:r>
      <w:r>
        <w:t xml:space="preserve"> The features considered essential by more than </w:t>
      </w:r>
      <w:r w:rsidRPr="004E68B1">
        <w:rPr>
          <w:highlight w:val="yellow"/>
        </w:rPr>
        <w:t>50%</w:t>
      </w:r>
      <w:r>
        <w:t xml:space="preserve"> of respondents were: an allergy checking function </w:t>
      </w:r>
      <w:r w:rsidRPr="004E68B1">
        <w:rPr>
          <w:highlight w:val="yellow"/>
        </w:rPr>
        <w:t>and</w:t>
      </w:r>
      <w:r>
        <w:t xml:space="preserve"> a prompt to prescribers to record the clinical indication for prescribing an antimicrobial. </w:t>
      </w:r>
    </w:p>
    <w:p w:rsidR="00F3413D" w:rsidRDefault="00F3413D" w:rsidP="007A24C1">
      <w:pPr>
        <w:spacing w:line="480" w:lineRule="auto"/>
      </w:pPr>
    </w:p>
    <w:p w:rsidR="00F3413D" w:rsidRDefault="00F3413D" w:rsidP="007A24C1">
      <w:pPr>
        <w:spacing w:line="480" w:lineRule="auto"/>
      </w:pPr>
      <w:r w:rsidRPr="00133506">
        <w:rPr>
          <w:highlight w:val="yellow"/>
        </w:rPr>
        <w:t>In comparison with medical microbiologists, specialist</w:t>
      </w:r>
      <w:r>
        <w:t xml:space="preserve"> p</w:t>
      </w:r>
      <w:r w:rsidRPr="00251FB1">
        <w:t xml:space="preserve">harmacists assigned higher </w:t>
      </w:r>
      <w:r>
        <w:t>priority to: indication prompt (</w:t>
      </w:r>
      <w:r w:rsidRPr="00251FB1">
        <w:t>p&lt;0.001); allergy checker (p=0.003); and treatment protocols (p=0.003)</w:t>
      </w:r>
      <w:r>
        <w:t xml:space="preserve"> (Table 3)</w:t>
      </w:r>
      <w:r w:rsidRPr="00251FB1">
        <w:t>.  Medical microbiologists assigned higher priority to a dose checker for</w:t>
      </w:r>
      <w:r>
        <w:t xml:space="preserve"> adults (</w:t>
      </w:r>
      <w:r w:rsidRPr="00251FB1">
        <w:t xml:space="preserve">p=0.023) and an </w:t>
      </w:r>
      <w:r w:rsidRPr="00251FB1">
        <w:lastRenderedPageBreak/>
        <w:t>interaction checker (</w:t>
      </w:r>
      <w:r>
        <w:t>p&lt;0.05</w:t>
      </w:r>
      <w:r w:rsidRPr="00251FB1">
        <w:t xml:space="preserve">).   Respondents from hospitals with EPMA experience assigned higher priority to an indication </w:t>
      </w:r>
      <w:r>
        <w:t>prompt (p=0.049</w:t>
      </w:r>
      <w:r w:rsidRPr="00133506">
        <w:rPr>
          <w:highlight w:val="yellow"/>
        </w:rPr>
        <w:t>); whereas respondents</w:t>
      </w:r>
      <w:r w:rsidRPr="00251FB1">
        <w:t xml:space="preserve"> from hospitals without EPMA experience assigned higher priority to: restricted antimicrobial b</w:t>
      </w:r>
      <w:r>
        <w:t>lock (</w:t>
      </w:r>
      <w:r w:rsidRPr="00251FB1">
        <w:t>p=0.011); dose checker for chi</w:t>
      </w:r>
      <w:r>
        <w:t>ldren (</w:t>
      </w:r>
      <w:r w:rsidRPr="00251FB1">
        <w:t xml:space="preserve">p=0.024); and blood level monitoring </w:t>
      </w:r>
      <w:r>
        <w:t>alert (</w:t>
      </w:r>
      <w:r w:rsidRPr="00251FB1">
        <w:t>p=0.033). When responses from teaching hospitals were compared with responses from DGHs, there were no statistically significant differences in opinions of priority for any of the prescribing prompt software features.</w:t>
      </w:r>
      <w:r>
        <w:t xml:space="preserve">  The majority of respondents considered that both patient safety (60%; 84/140) and ability to deliver antimicrobial stewardship (64%; 89/140) were </w:t>
      </w:r>
      <w:r w:rsidRPr="00D00805">
        <w:rPr>
          <w:iCs/>
        </w:rPr>
        <w:t>extremely likely</w:t>
      </w:r>
      <w:r>
        <w:t xml:space="preserve"> to be improved (Figure 3).</w:t>
      </w:r>
    </w:p>
    <w:p w:rsidR="00F3413D" w:rsidRDefault="00F3413D" w:rsidP="007A24C1">
      <w:pPr>
        <w:spacing w:line="480" w:lineRule="auto"/>
      </w:pPr>
    </w:p>
    <w:p w:rsidR="00F3413D" w:rsidRPr="00B41B7B" w:rsidRDefault="00F3413D" w:rsidP="007A24C1">
      <w:pPr>
        <w:spacing w:line="480" w:lineRule="auto"/>
        <w:rPr>
          <w:b/>
          <w:bCs/>
        </w:rPr>
      </w:pPr>
      <w:r w:rsidRPr="00B41B7B">
        <w:rPr>
          <w:b/>
          <w:bCs/>
        </w:rPr>
        <w:t>Active Prescription Surveillance Software Features</w:t>
      </w:r>
    </w:p>
    <w:p w:rsidR="00F3413D" w:rsidRPr="00206809" w:rsidRDefault="00F3413D" w:rsidP="007A24C1">
      <w:pPr>
        <w:spacing w:line="480" w:lineRule="auto"/>
        <w:rPr>
          <w:color w:val="FF0000"/>
        </w:rPr>
      </w:pPr>
      <w:r>
        <w:t xml:space="preserve">Table 4 presents survey response data for priority attributed by respondents to 11 software features of EPMA systems grouped within the Active Prescription Surveillance category.  </w:t>
      </w:r>
      <w:r>
        <w:rPr>
          <w:highlight w:val="yellow"/>
        </w:rPr>
        <w:t>All but two</w:t>
      </w:r>
      <w:r w:rsidRPr="00182218">
        <w:rPr>
          <w:highlight w:val="yellow"/>
        </w:rPr>
        <w:t xml:space="preserve"> of the 11 features</w:t>
      </w:r>
      <w:r>
        <w:rPr>
          <w:highlight w:val="yellow"/>
        </w:rPr>
        <w:t xml:space="preserve"> (daily reports of new or ongoing prescriptions of all antimicrobials)</w:t>
      </w:r>
      <w:r w:rsidRPr="00182218">
        <w:rPr>
          <w:highlight w:val="yellow"/>
        </w:rPr>
        <w:t xml:space="preserve"> were considered essential or high priority by the majority (&gt;50%) of respondents.</w:t>
      </w:r>
      <w:r w:rsidRPr="004A1F59">
        <w:t xml:space="preserve"> </w:t>
      </w:r>
      <w:r w:rsidRPr="00182218">
        <w:rPr>
          <w:highlight w:val="yellow"/>
        </w:rPr>
        <w:t>Only one feature was considered essential by more than 50% of respondents: daily report of new prescriptions for critical antimicrobials.</w:t>
      </w:r>
      <w:r>
        <w:t xml:space="preserve">  </w:t>
      </w:r>
    </w:p>
    <w:p w:rsidR="00F3413D" w:rsidRDefault="00F3413D" w:rsidP="007A24C1">
      <w:pPr>
        <w:spacing w:line="480" w:lineRule="auto"/>
        <w:rPr>
          <w:color w:val="FF0000"/>
        </w:rPr>
      </w:pPr>
    </w:p>
    <w:p w:rsidR="00F3413D" w:rsidRDefault="00F3413D" w:rsidP="007A24C1">
      <w:pPr>
        <w:spacing w:line="480" w:lineRule="auto"/>
      </w:pPr>
      <w:r>
        <w:t>Specialist p</w:t>
      </w:r>
      <w:r w:rsidRPr="00302CDB">
        <w:t>harmacists assigned higher priority to a daily report of mismatch between prescribed antimicrobial and associated indication (p=0.031)</w:t>
      </w:r>
      <w:r>
        <w:t xml:space="preserve"> and long IV/oral courses (p=0.041) </w:t>
      </w:r>
      <w:r w:rsidRPr="00BE5552">
        <w:rPr>
          <w:highlight w:val="yellow"/>
        </w:rPr>
        <w:t>in comparison to medical microbiologists</w:t>
      </w:r>
      <w:r>
        <w:t xml:space="preserve"> (Table 3)</w:t>
      </w:r>
      <w:r w:rsidRPr="00302CDB">
        <w:t xml:space="preserve">. </w:t>
      </w:r>
      <w:r>
        <w:t xml:space="preserve"> </w:t>
      </w:r>
      <w:r w:rsidRPr="00302CDB">
        <w:t>Respondents from hospitals with EPMA experience</w:t>
      </w:r>
      <w:r>
        <w:t xml:space="preserve"> </w:t>
      </w:r>
      <w:r w:rsidRPr="00BE5552">
        <w:rPr>
          <w:highlight w:val="yellow"/>
        </w:rPr>
        <w:t>(in comparison to those without)</w:t>
      </w:r>
      <w:r w:rsidRPr="00302CDB">
        <w:t xml:space="preserve"> assigned higher priority to: a daily report of newly-prescribed critical antimicrobials (p=0.015); and a daily report of any newly-prescribed antimicrobial (p=0.024). When responses from teaching hospitals were compared with responses from DGHs, there were no statistically significant differences in opinions of priority for any of the active </w:t>
      </w:r>
      <w:r>
        <w:t xml:space="preserve">prescription </w:t>
      </w:r>
      <w:r w:rsidRPr="00302CDB">
        <w:lastRenderedPageBreak/>
        <w:t>surveillance software features.</w:t>
      </w:r>
      <w:r>
        <w:t xml:space="preserve">  The majority (&gt;50%) of respondents considered that both patient safety (</w:t>
      </w:r>
      <w:r w:rsidRPr="0086419C">
        <w:rPr>
          <w:highlight w:val="yellow"/>
        </w:rPr>
        <w:t>53%;</w:t>
      </w:r>
      <w:r>
        <w:t xml:space="preserve"> 71/135) and ability to deliver antimicrobial stewardship (</w:t>
      </w:r>
      <w:r w:rsidRPr="0086419C">
        <w:rPr>
          <w:highlight w:val="yellow"/>
        </w:rPr>
        <w:t>60%;</w:t>
      </w:r>
      <w:r>
        <w:t xml:space="preserve"> 80/134) were </w:t>
      </w:r>
      <w:r w:rsidRPr="00D00805">
        <w:rPr>
          <w:iCs/>
        </w:rPr>
        <w:t>extremely likely</w:t>
      </w:r>
      <w:r>
        <w:t xml:space="preserve"> to be improved (Figure 4). Two respondents expressed the view that an improvement in outcomes was </w:t>
      </w:r>
      <w:r w:rsidRPr="00D00805">
        <w:rPr>
          <w:iCs/>
        </w:rPr>
        <w:t>extremely unlikely</w:t>
      </w:r>
      <w:r>
        <w:t xml:space="preserve">: </w:t>
      </w:r>
      <w:r w:rsidRPr="005C79FD">
        <w:rPr>
          <w:highlight w:val="yellow"/>
        </w:rPr>
        <w:t>one for</w:t>
      </w:r>
      <w:r>
        <w:t xml:space="preserve"> reduction in expenditure on drugs; </w:t>
      </w:r>
      <w:r w:rsidRPr="005C79FD">
        <w:rPr>
          <w:highlight w:val="yellow"/>
        </w:rPr>
        <w:t>and one for</w:t>
      </w:r>
      <w:r>
        <w:t xml:space="preserve"> reduction in risk of </w:t>
      </w:r>
      <w:r>
        <w:rPr>
          <w:i/>
        </w:rPr>
        <w:t>Clostridium difficile</w:t>
      </w:r>
      <w:r>
        <w:t>.</w:t>
      </w:r>
    </w:p>
    <w:p w:rsidR="00F3413D" w:rsidRDefault="00F3413D" w:rsidP="007A24C1">
      <w:pPr>
        <w:rPr>
          <w:b/>
        </w:rPr>
      </w:pPr>
    </w:p>
    <w:p w:rsidR="00F3413D" w:rsidRDefault="00F3413D" w:rsidP="007A24C1">
      <w:pPr>
        <w:rPr>
          <w:b/>
        </w:rPr>
      </w:pPr>
      <w:r>
        <w:rPr>
          <w:b/>
        </w:rPr>
        <w:t>Prescribing Trend Surveillance Software Features</w:t>
      </w:r>
    </w:p>
    <w:p w:rsidR="00F3413D" w:rsidRPr="00D5005A" w:rsidRDefault="00F3413D" w:rsidP="007A24C1">
      <w:pPr>
        <w:spacing w:line="480" w:lineRule="auto"/>
        <w:rPr>
          <w:color w:val="FF0000"/>
        </w:rPr>
      </w:pPr>
      <w:r>
        <w:t xml:space="preserve">Prescribing trend surveillance reports as a software feature were generally considered by respondents to be of lower priority compared with prescribing prompts and active prescription surveillance, </w:t>
      </w:r>
      <w:r w:rsidRPr="0086419C">
        <w:rPr>
          <w:highlight w:val="yellow"/>
        </w:rPr>
        <w:t>with no trend surveillance software feature rated as essential by more than 50% of respondents (Table 5).</w:t>
      </w:r>
      <w:r>
        <w:t xml:space="preserve">  </w:t>
      </w:r>
      <w:r w:rsidRPr="0086419C">
        <w:rPr>
          <w:highlight w:val="yellow"/>
        </w:rPr>
        <w:t>However, the majority of respondents did consider</w:t>
      </w:r>
      <w:r>
        <w:rPr>
          <w:highlight w:val="yellow"/>
        </w:rPr>
        <w:t xml:space="preserve"> all of the proposed</w:t>
      </w:r>
      <w:r w:rsidRPr="0086419C">
        <w:rPr>
          <w:highlight w:val="yellow"/>
        </w:rPr>
        <w:t xml:space="preserve"> trend surveillance features to be at least high priority.</w:t>
      </w:r>
      <w:r>
        <w:t xml:space="preserve">  T</w:t>
      </w:r>
      <w:r w:rsidRPr="00302CDB">
        <w:t>here were no statistically significant differences in opinions</w:t>
      </w:r>
      <w:r>
        <w:t xml:space="preserve"> of priority for prescribing trend</w:t>
      </w:r>
      <w:r w:rsidRPr="00302CDB">
        <w:t xml:space="preserve"> surveillance software features</w:t>
      </w:r>
      <w:r>
        <w:t xml:space="preserve"> between specialist pharmacists and medical microbiologists, nor between respondents with or without EPMA experience.  R</w:t>
      </w:r>
      <w:r w:rsidRPr="00302CDB">
        <w:t>espondents from DGHs ass</w:t>
      </w:r>
      <w:r>
        <w:t xml:space="preserve">igned a higher priority to the </w:t>
      </w:r>
      <w:r w:rsidRPr="00302CDB">
        <w:t>report of trends in proportion of stat doses where administration was delayed software f</w:t>
      </w:r>
      <w:r>
        <w:t>eature (</w:t>
      </w:r>
      <w:r w:rsidRPr="00302CDB">
        <w:t>p=0.034)</w:t>
      </w:r>
      <w:r>
        <w:t xml:space="preserve"> (Table 3)</w:t>
      </w:r>
      <w:r w:rsidRPr="00302CDB">
        <w:t>.</w:t>
      </w:r>
      <w:r>
        <w:t xml:space="preserve">  </w:t>
      </w:r>
      <w:r w:rsidRPr="0086419C">
        <w:rPr>
          <w:highlight w:val="yellow"/>
        </w:rPr>
        <w:t>The majority</w:t>
      </w:r>
      <w:r w:rsidRPr="0086419C">
        <w:rPr>
          <w:bCs/>
          <w:highlight w:val="yellow"/>
        </w:rPr>
        <w:t xml:space="preserve"> of</w:t>
      </w:r>
      <w:r w:rsidRPr="00F01DAB">
        <w:rPr>
          <w:bCs/>
        </w:rPr>
        <w:t xml:space="preserve"> respondents considered that</w:t>
      </w:r>
      <w:r>
        <w:rPr>
          <w:bCs/>
        </w:rPr>
        <w:t xml:space="preserve"> the prescribing trend surveillance group of software features would be likely or extremely likely to have a positive impact on all of the listed </w:t>
      </w:r>
      <w:r w:rsidRPr="008B6DE9">
        <w:t>clinical, microbiological and process outcomes</w:t>
      </w:r>
      <w:r>
        <w:rPr>
          <w:bCs/>
        </w:rPr>
        <w:t xml:space="preserve"> (Figure 5).</w:t>
      </w:r>
      <w:r w:rsidRPr="00F01DAB">
        <w:rPr>
          <w:bCs/>
        </w:rPr>
        <w:t xml:space="preserve"> </w:t>
      </w:r>
      <w:r>
        <w:rPr>
          <w:bCs/>
        </w:rPr>
        <w:t xml:space="preserve">More than 90% of respondents anticipated a positive impact on their ability to deliver </w:t>
      </w:r>
      <w:r w:rsidRPr="00F1298A">
        <w:rPr>
          <w:bCs/>
          <w:highlight w:val="yellow"/>
        </w:rPr>
        <w:t>AMS</w:t>
      </w:r>
      <w:r>
        <w:rPr>
          <w:bCs/>
        </w:rPr>
        <w:t>.</w:t>
      </w:r>
    </w:p>
    <w:p w:rsidR="00F3413D" w:rsidRDefault="00F3413D" w:rsidP="007A24C1">
      <w:pPr>
        <w:spacing w:after="0" w:line="480" w:lineRule="auto"/>
      </w:pPr>
    </w:p>
    <w:p w:rsidR="00F3413D" w:rsidRDefault="00F3413D" w:rsidP="007A24C1">
      <w:pPr>
        <w:spacing w:after="0" w:line="480" w:lineRule="auto"/>
      </w:pPr>
      <w:r>
        <w:t xml:space="preserve">Respondent opinions of selected technical aspects of prescribing trend surveillance reporting are summarised in Table 6.  Respondents expressed equal preference for patient days or patient admissions as an activity denominator. A preference for annual and quarterly reporting intervals </w:t>
      </w:r>
      <w:r w:rsidRPr="00A02B82">
        <w:rPr>
          <w:highlight w:val="yellow"/>
        </w:rPr>
        <w:t>rather than more frequent reports was evident</w:t>
      </w:r>
      <w:r>
        <w:t xml:space="preserve">.  </w:t>
      </w:r>
      <w:r w:rsidRPr="00A02B82">
        <w:rPr>
          <w:highlight w:val="yellow"/>
        </w:rPr>
        <w:t xml:space="preserve">Surveillance reports for the whole hospital and by </w:t>
      </w:r>
      <w:r w:rsidRPr="00A02B82">
        <w:rPr>
          <w:highlight w:val="yellow"/>
        </w:rPr>
        <w:lastRenderedPageBreak/>
        <w:t>clinical speciality or hospital department were rated more highly than reports by hospital ward or individual responsible consultant physician.</w:t>
      </w:r>
      <w:r>
        <w:t xml:space="preserve"> Finally, surveillance reports of prescribing and administration of individual antimicrobials, by antimicrobial drug class and by locally defined drug groups such as broad-spectrum agents were rated most highly by respondents with reports grouped by route of administration considered of lesser importance.</w:t>
      </w:r>
    </w:p>
    <w:p w:rsidR="00F3413D" w:rsidRDefault="00F3413D" w:rsidP="007A24C1">
      <w:pPr>
        <w:spacing w:line="480" w:lineRule="auto"/>
        <w:rPr>
          <w:bCs/>
        </w:rPr>
      </w:pPr>
    </w:p>
    <w:p w:rsidR="00F3413D" w:rsidRPr="00D6512D" w:rsidRDefault="00F3413D" w:rsidP="007A24C1">
      <w:pPr>
        <w:spacing w:line="480" w:lineRule="auto"/>
        <w:rPr>
          <w:b/>
        </w:rPr>
      </w:pPr>
      <w:r w:rsidRPr="00D6512D">
        <w:rPr>
          <w:b/>
        </w:rPr>
        <w:t>Freetext narrative responses</w:t>
      </w:r>
    </w:p>
    <w:p w:rsidR="00F3413D" w:rsidRDefault="00F3413D" w:rsidP="007A24C1">
      <w:pPr>
        <w:spacing w:line="480" w:lineRule="auto"/>
        <w:rPr>
          <w:bCs/>
        </w:rPr>
      </w:pPr>
      <w:r>
        <w:rPr>
          <w:bCs/>
        </w:rPr>
        <w:t>Thirty-five respondents recorded narrative responses when prompted to submit suggestions for additional software features not included in the questionnaire and 69 unique statements were identified and grouped into nine com</w:t>
      </w:r>
      <w:r w:rsidR="00D442C1">
        <w:rPr>
          <w:bCs/>
        </w:rPr>
        <w:t xml:space="preserve">mon themes, presented in </w:t>
      </w:r>
      <w:r w:rsidR="00D442C1" w:rsidRPr="00D442C1">
        <w:rPr>
          <w:bCs/>
          <w:highlight w:val="yellow"/>
        </w:rPr>
        <w:t>Table 7</w:t>
      </w:r>
      <w:r>
        <w:rPr>
          <w:bCs/>
        </w:rPr>
        <w:t>. Eighteen respondents suggested an interface with other electronic systems for previous and current microbiology investigations and results and for drug and clinical information to guide prescribing. There was an apparent demand for flexibility in reporting software to allow reports to be customised locally but also to generate a standard set of reports for reporting to Public Health England in accordance with antimicrobial stewardship guidance for English Hospitals: Start Smart – Then Focus.</w:t>
      </w:r>
      <w:r w:rsidRPr="00067614">
        <w:rPr>
          <w:bCs/>
          <w:noProof/>
          <w:vertAlign w:val="superscript"/>
        </w:rPr>
        <w:t>22</w:t>
      </w:r>
    </w:p>
    <w:p w:rsidR="00F3413D" w:rsidRDefault="00F3413D" w:rsidP="007A24C1">
      <w:pPr>
        <w:spacing w:line="480" w:lineRule="auto"/>
        <w:rPr>
          <w:bCs/>
        </w:rPr>
      </w:pPr>
    </w:p>
    <w:p w:rsidR="00F3413D" w:rsidRPr="00901FAE" w:rsidRDefault="00F3413D" w:rsidP="007A24C1">
      <w:pPr>
        <w:spacing w:after="0" w:line="480" w:lineRule="auto"/>
        <w:rPr>
          <w:b/>
          <w:bCs/>
        </w:rPr>
      </w:pPr>
      <w:r w:rsidRPr="00901FAE">
        <w:rPr>
          <w:b/>
          <w:bCs/>
        </w:rPr>
        <w:t>DISCUSSION</w:t>
      </w:r>
    </w:p>
    <w:p w:rsidR="00F3413D" w:rsidRDefault="00F3413D" w:rsidP="007A24C1">
      <w:pPr>
        <w:spacing w:after="0" w:line="480" w:lineRule="auto"/>
      </w:pPr>
      <w:r>
        <w:t xml:space="preserve">This is the first survey of UK infection specialist healthcare professionals evaluating opinions of the potential for e-prescribing software to facilitate antimicrobial stewardship.  The two largest health professional groups responsible for </w:t>
      </w:r>
      <w:r w:rsidRPr="00F1298A">
        <w:rPr>
          <w:highlight w:val="yellow"/>
        </w:rPr>
        <w:t>AMS</w:t>
      </w:r>
      <w:r>
        <w:t xml:space="preserve"> are represented </w:t>
      </w:r>
      <w:r w:rsidRPr="004D7BA8">
        <w:rPr>
          <w:highlight w:val="yellow"/>
        </w:rPr>
        <w:t>and the majority</w:t>
      </w:r>
      <w:r>
        <w:rPr>
          <w:highlight w:val="yellow"/>
        </w:rPr>
        <w:t xml:space="preserve"> of respondents</w:t>
      </w:r>
      <w:r w:rsidRPr="004D7BA8">
        <w:rPr>
          <w:highlight w:val="yellow"/>
        </w:rPr>
        <w:t xml:space="preserve"> were experienced in a specialist role.</w:t>
      </w:r>
      <w:r>
        <w:t xml:space="preserve"> We estimate</w:t>
      </w:r>
      <w:r w:rsidRPr="007D2783">
        <w:t xml:space="preserve"> </w:t>
      </w:r>
      <w:r>
        <w:t>an a</w:t>
      </w:r>
      <w:r w:rsidR="00A27AFA">
        <w:t xml:space="preserve">pproximate response rate </w:t>
      </w:r>
      <w:bookmarkStart w:id="0" w:name="_GoBack"/>
      <w:bookmarkEnd w:id="0"/>
      <w:r>
        <w:t>of 24% of NHS hospital specialist infection pharmac</w:t>
      </w:r>
      <w:r w:rsidR="00A27AFA">
        <w:t xml:space="preserve">ists and at least </w:t>
      </w:r>
      <w:r w:rsidR="00A27AFA" w:rsidRPr="00A27AFA">
        <w:rPr>
          <w:highlight w:val="yellow"/>
        </w:rPr>
        <w:t>8</w:t>
      </w:r>
      <w:r w:rsidRPr="00A27AFA">
        <w:rPr>
          <w:highlight w:val="yellow"/>
        </w:rPr>
        <w:t>%</w:t>
      </w:r>
      <w:r>
        <w:t xml:space="preserve"> of practising UK medical microbiologists.</w:t>
      </w:r>
      <w:r w:rsidRPr="00067614">
        <w:rPr>
          <w:noProof/>
          <w:vertAlign w:val="superscript"/>
        </w:rPr>
        <w:t>23, 24</w:t>
      </w:r>
      <w:r>
        <w:t xml:space="preserve"> Responses were included from 68 unique IP addresses representing up to 36% (68/188) of NHS hospital trusts/boards if the questionnaire was completed from the employing hospital’s </w:t>
      </w:r>
      <w:r w:rsidRPr="004D7BA8">
        <w:rPr>
          <w:highlight w:val="yellow"/>
        </w:rPr>
        <w:t xml:space="preserve">IP </w:t>
      </w:r>
      <w:r w:rsidRPr="004D7BA8">
        <w:rPr>
          <w:highlight w:val="yellow"/>
        </w:rPr>
        <w:lastRenderedPageBreak/>
        <w:t>address.</w:t>
      </w:r>
      <w:r w:rsidRPr="00067614">
        <w:rPr>
          <w:noProof/>
          <w:highlight w:val="yellow"/>
          <w:vertAlign w:val="superscript"/>
        </w:rPr>
        <w:t>25-28</w:t>
      </w:r>
      <w:r w:rsidRPr="004D7BA8">
        <w:rPr>
          <w:highlight w:val="yellow"/>
        </w:rPr>
        <w:t xml:space="preserve">  Teaching hospitals</w:t>
      </w:r>
      <w:r>
        <w:t xml:space="preserve"> are proportionately over-represented compared with DGHs but there was a good balance of respondents with experience of EPMA systems and those without.</w:t>
      </w:r>
    </w:p>
    <w:p w:rsidR="00F3413D" w:rsidRDefault="00F3413D" w:rsidP="007A24C1">
      <w:pPr>
        <w:spacing w:after="0" w:line="480" w:lineRule="auto"/>
      </w:pPr>
    </w:p>
    <w:p w:rsidR="00F3413D" w:rsidRPr="00DD470D" w:rsidRDefault="00F3413D" w:rsidP="007A24C1">
      <w:pPr>
        <w:spacing w:after="0" w:line="480" w:lineRule="auto"/>
      </w:pPr>
      <w:r>
        <w:t>T</w:t>
      </w:r>
      <w:r w:rsidRPr="004B284F">
        <w:t>he prescribing prompt software features ranked of h</w:t>
      </w:r>
      <w:r>
        <w:t xml:space="preserve">ighest priority by respondents were </w:t>
      </w:r>
      <w:r w:rsidRPr="004B284F">
        <w:t>allergy checker, intera</w:t>
      </w:r>
      <w:r>
        <w:t>ction checker and dose checker, which</w:t>
      </w:r>
      <w:r w:rsidRPr="004B284F">
        <w:t xml:space="preserve"> are already incorporated as standard </w:t>
      </w:r>
      <w:r>
        <w:t xml:space="preserve">functionality in a number of existing EPMA systems in NHS </w:t>
      </w:r>
      <w:proofErr w:type="gramStart"/>
      <w:r>
        <w:t>hospitals.</w:t>
      </w:r>
      <w:r w:rsidRPr="00067614">
        <w:rPr>
          <w:noProof/>
          <w:vertAlign w:val="superscript"/>
        </w:rPr>
        <w:t>29</w:t>
      </w:r>
      <w:r>
        <w:t xml:space="preserve">  The</w:t>
      </w:r>
      <w:proofErr w:type="gramEnd"/>
      <w:r>
        <w:t xml:space="preserve"> response data suggest</w:t>
      </w:r>
      <w:r w:rsidRPr="004B284F">
        <w:t xml:space="preserve"> an unmet need for</w:t>
      </w:r>
      <w:r>
        <w:t xml:space="preserve"> </w:t>
      </w:r>
      <w:r w:rsidRPr="004D7BA8">
        <w:rPr>
          <w:highlight w:val="yellow"/>
        </w:rPr>
        <w:t>AMS-relevant features</w:t>
      </w:r>
      <w:r w:rsidRPr="004B284F">
        <w:t xml:space="preserve"> such as recording</w:t>
      </w:r>
      <w:r>
        <w:t xml:space="preserve"> of</w:t>
      </w:r>
      <w:r w:rsidRPr="004B284F">
        <w:t xml:space="preserve"> indication and “soft stop” functionality</w:t>
      </w:r>
      <w:r>
        <w:t>; that are not routinely incorporated into existing EPMA systems.  The responses</w:t>
      </w:r>
      <w:r w:rsidRPr="004B284F">
        <w:t xml:space="preserve"> suggest relatively little appetite among UK infection specialists for software features to support restriction of prescribing of selected antimicrobials, possibly reflecting the inter-speciality con</w:t>
      </w:r>
      <w:r>
        <w:t>flict inherent in such policies, resource implications and the lack of longer-term superiority over persuasive interventions.</w:t>
      </w:r>
      <w:r w:rsidRPr="00067614">
        <w:rPr>
          <w:noProof/>
          <w:vertAlign w:val="superscript"/>
        </w:rPr>
        <w:t>30</w:t>
      </w:r>
      <w:r>
        <w:t xml:space="preserve">  </w:t>
      </w:r>
      <w:r w:rsidRPr="004B284F">
        <w:t>Priorities for active</w:t>
      </w:r>
      <w:r>
        <w:t xml:space="preserve"> prescription</w:t>
      </w:r>
      <w:r w:rsidRPr="004B284F">
        <w:t xml:space="preserve"> surveillance software features were divided between an emphasis on patient safety (drug-indication mismatch and missed doses) and </w:t>
      </w:r>
      <w:r>
        <w:t>stewardship</w:t>
      </w:r>
      <w:r w:rsidRPr="004B284F">
        <w:t xml:space="preserve"> (prescriptions for critical antimicrobials and long course lengths). </w:t>
      </w:r>
      <w:r>
        <w:t xml:space="preserve"> </w:t>
      </w:r>
      <w:r w:rsidRPr="004B284F">
        <w:t xml:space="preserve">Reports of new or ongoing prescriptions of any antimicrobial were considered lower priority, potentially reflecting the limited resources available to </w:t>
      </w:r>
      <w:r w:rsidRPr="00F1298A">
        <w:rPr>
          <w:highlight w:val="yellow"/>
        </w:rPr>
        <w:t>AMS</w:t>
      </w:r>
      <w:r w:rsidRPr="004B284F">
        <w:t xml:space="preserve"> teams</w:t>
      </w:r>
      <w:r>
        <w:t xml:space="preserve"> </w:t>
      </w:r>
      <w:r w:rsidRPr="00E35543">
        <w:rPr>
          <w:highlight w:val="yellow"/>
        </w:rPr>
        <w:t xml:space="preserve">to review these </w:t>
      </w:r>
      <w:proofErr w:type="gramStart"/>
      <w:r w:rsidRPr="00E35543">
        <w:rPr>
          <w:highlight w:val="yellow"/>
        </w:rPr>
        <w:t>prescriptions</w:t>
      </w:r>
      <w:r w:rsidRPr="004B284F">
        <w:t>.</w:t>
      </w:r>
      <w:r w:rsidRPr="00067614">
        <w:rPr>
          <w:noProof/>
          <w:vertAlign w:val="superscript"/>
        </w:rPr>
        <w:t>31</w:t>
      </w:r>
      <w:r>
        <w:t xml:space="preserve"> </w:t>
      </w:r>
      <w:r w:rsidRPr="004B284F">
        <w:t xml:space="preserve"> </w:t>
      </w:r>
      <w:r>
        <w:t>O</w:t>
      </w:r>
      <w:r w:rsidRPr="004B284F">
        <w:t>pinions</w:t>
      </w:r>
      <w:proofErr w:type="gramEnd"/>
      <w:r w:rsidRPr="004B284F">
        <w:t xml:space="preserve"> of the expected impact of the proposed prescribing prompt and active</w:t>
      </w:r>
      <w:r>
        <w:t xml:space="preserve"> prescription</w:t>
      </w:r>
      <w:r w:rsidRPr="004B284F">
        <w:t xml:space="preserve"> surveillance software features on patient outcomes, public health outcomes and resource use outcomes were overwhelmingly positive.  It is particularly striking that more than 90% of respondents considered prescribing prompt software features and active </w:t>
      </w:r>
      <w:r>
        <w:t xml:space="preserve">prescription </w:t>
      </w:r>
      <w:r w:rsidRPr="004B284F">
        <w:t xml:space="preserve">surveillance features either likely or extremely likely to improve patient safety, corroborated by an expectation of improved treatment efficacy and reduced </w:t>
      </w:r>
      <w:r w:rsidRPr="004B284F">
        <w:rPr>
          <w:i/>
        </w:rPr>
        <w:t>Clostridium difficile</w:t>
      </w:r>
      <w:r w:rsidRPr="004B284F">
        <w:t xml:space="preserve"> infection.  </w:t>
      </w:r>
      <w:r w:rsidRPr="00AB66AA">
        <w:rPr>
          <w:highlight w:val="yellow"/>
        </w:rPr>
        <w:t xml:space="preserve">An improvement in ability to deliver stewardship and </w:t>
      </w:r>
      <w:r>
        <w:rPr>
          <w:highlight w:val="yellow"/>
        </w:rPr>
        <w:t xml:space="preserve">more </w:t>
      </w:r>
      <w:r w:rsidRPr="00AB66AA">
        <w:rPr>
          <w:highlight w:val="yellow"/>
        </w:rPr>
        <w:t>efficient deployment of stewardship resources was also anticipated.</w:t>
      </w:r>
    </w:p>
    <w:p w:rsidR="00F3413D" w:rsidRPr="004B284F" w:rsidRDefault="00F3413D" w:rsidP="007A24C1">
      <w:pPr>
        <w:spacing w:after="0" w:line="480" w:lineRule="auto"/>
      </w:pPr>
    </w:p>
    <w:p w:rsidR="00F3413D" w:rsidRDefault="00F3413D" w:rsidP="007A24C1">
      <w:pPr>
        <w:spacing w:line="480" w:lineRule="auto"/>
        <w:rPr>
          <w:highlight w:val="yellow"/>
        </w:rPr>
      </w:pPr>
      <w:r w:rsidRPr="004B284F">
        <w:t xml:space="preserve">We found that pharmacists were more likely to prioritise a prescribing prompt to record indication, which may reflect the uncertainty faced by hospital pharmacists when validating new prescriptions </w:t>
      </w:r>
      <w:r w:rsidRPr="004B284F">
        <w:lastRenderedPageBreak/>
        <w:t>for antimicrobials (for safety and effectiveness) pr</w:t>
      </w:r>
      <w:r>
        <w:t>ior to authorising dispensing; and the requirement</w:t>
      </w:r>
      <w:r w:rsidRPr="004B284F">
        <w:t xml:space="preserve"> to audit antimicrobial prescribing for adherence to local treatment guidelines.</w:t>
      </w:r>
      <w:r w:rsidRPr="00067614">
        <w:rPr>
          <w:noProof/>
          <w:vertAlign w:val="superscript"/>
        </w:rPr>
        <w:t>22, 32</w:t>
      </w:r>
      <w:r>
        <w:t xml:space="preserve"> </w:t>
      </w:r>
      <w:r w:rsidRPr="005C79FD">
        <w:rPr>
          <w:highlight w:val="yellow"/>
        </w:rPr>
        <w:t>Pharmacists also prioritised the treatment protocol software feature, consistent with their preference for daily reports of drug-indication mismatch in contrast to medical microbiologists.</w:t>
      </w:r>
      <w:r w:rsidRPr="004B284F">
        <w:t xml:space="preserve">  We found that medical microbiologists were more likely to prioritise prescribing prompts for dose checking and interaction checking in comparison to pharmacists, perhaps indicating </w:t>
      </w:r>
      <w:r>
        <w:t>differences</w:t>
      </w:r>
      <w:r w:rsidRPr="004B284F">
        <w:t xml:space="preserve"> in undergraduate </w:t>
      </w:r>
      <w:r>
        <w:t>teaching</w:t>
      </w:r>
      <w:r w:rsidRPr="004B284F">
        <w:t xml:space="preserve"> and </w:t>
      </w:r>
      <w:r>
        <w:t>endorsing</w:t>
      </w:r>
      <w:r w:rsidRPr="004B284F">
        <w:t xml:space="preserve"> the value of a multi-disciplinary approach to infection management.</w:t>
      </w:r>
      <w:r>
        <w:t xml:space="preserve">  </w:t>
      </w:r>
      <w:r w:rsidRPr="004B284F">
        <w:t xml:space="preserve">Respondents from hospitals with experience of EPMA systems ranked the indication prompt feature as relatively more important in comparison to those without, suggesting </w:t>
      </w:r>
      <w:r>
        <w:t>an</w:t>
      </w:r>
      <w:r w:rsidRPr="004B284F">
        <w:t xml:space="preserve"> unmet need amongst existing software </w:t>
      </w:r>
      <w:r w:rsidRPr="00DD470D">
        <w:rPr>
          <w:highlight w:val="yellow"/>
        </w:rPr>
        <w:t xml:space="preserve">systems.  </w:t>
      </w:r>
    </w:p>
    <w:p w:rsidR="00F3413D" w:rsidRDefault="00F3413D" w:rsidP="007A24C1">
      <w:pPr>
        <w:spacing w:line="480" w:lineRule="auto"/>
        <w:rPr>
          <w:highlight w:val="yellow"/>
        </w:rPr>
      </w:pPr>
    </w:p>
    <w:p w:rsidR="00F3413D" w:rsidRDefault="00F3413D" w:rsidP="007A24C1">
      <w:pPr>
        <w:spacing w:line="480" w:lineRule="auto"/>
      </w:pPr>
      <w:r w:rsidRPr="00DD470D">
        <w:rPr>
          <w:highlight w:val="yellow"/>
        </w:rPr>
        <w:t>When</w:t>
      </w:r>
      <w:r w:rsidRPr="004B284F">
        <w:t xml:space="preserve"> technical aspects of surveillance reports were considered, it is of interest that reports by individual responsible consultant physician were considered of lesser importance than reports by clinical speciality or hospital department.  This finding suggests a lack of willingness to employ a “name-and-shame” approach to stewardship and</w:t>
      </w:r>
      <w:r>
        <w:t xml:space="preserve"> may represent</w:t>
      </w:r>
      <w:r w:rsidRPr="004B284F">
        <w:t xml:space="preserve"> a preference for promoting a sense of collective responsibility amongst clinician </w:t>
      </w:r>
      <w:r>
        <w:t>colleague</w:t>
      </w:r>
      <w:r w:rsidRPr="004B284F">
        <w:t>s.  Freetext comments identified strong user demand for an interface with the microbiology laboratory software system to support selection of effective therapy and de-escalation and to facilitate prompt intervention when patients are prescribed potentially ineffective therapy.</w:t>
      </w:r>
    </w:p>
    <w:p w:rsidR="00F3413D" w:rsidRDefault="00F3413D" w:rsidP="007A24C1">
      <w:pPr>
        <w:spacing w:line="480" w:lineRule="auto"/>
      </w:pPr>
    </w:p>
    <w:p w:rsidR="00F3413D" w:rsidRDefault="00F3413D" w:rsidP="007A24C1">
      <w:pPr>
        <w:spacing w:after="0" w:line="480" w:lineRule="auto"/>
      </w:pPr>
      <w:r>
        <w:t>This cross-sectional survey was designed in accordance with recommended principles of health professional survey design as far as possible within the available resources.</w:t>
      </w:r>
      <w:r w:rsidRPr="00067614">
        <w:rPr>
          <w:noProof/>
          <w:vertAlign w:val="superscript"/>
        </w:rPr>
        <w:t>33, 34</w:t>
      </w:r>
      <w:r>
        <w:t xml:space="preserve">  However, a shorter questionnaire may have improved the response rate.</w:t>
      </w:r>
      <w:r w:rsidRPr="00067614">
        <w:rPr>
          <w:noProof/>
          <w:vertAlign w:val="superscript"/>
        </w:rPr>
        <w:t>33</w:t>
      </w:r>
      <w:r>
        <w:t xml:space="preserve">  The exclusion of data relating to address or employer means that we cannot rule out the possibility that multiple responses may have been </w:t>
      </w:r>
      <w:r>
        <w:lastRenderedPageBreak/>
        <w:t xml:space="preserve">submitted by the same individuals and it is likely that multiple respondents from the same Trust had an effect on our findings.  </w:t>
      </w:r>
      <w:r w:rsidRPr="00F16F42">
        <w:t>We were</w:t>
      </w:r>
      <w:r>
        <w:t xml:space="preserve"> also</w:t>
      </w:r>
      <w:r w:rsidRPr="00F16F42">
        <w:t xml:space="preserve"> unable to collect information on non-responders so the respondent</w:t>
      </w:r>
      <w:r>
        <w:t xml:space="preserve"> sample is likely to be biased towards</w:t>
      </w:r>
      <w:r w:rsidRPr="00F16F42">
        <w:t xml:space="preserve"> more motivated individuals</w:t>
      </w:r>
      <w:r>
        <w:t xml:space="preserve"> who are engaged with quality improvement and/or information technology</w:t>
      </w:r>
      <w:r w:rsidRPr="00F16F42">
        <w:t>.</w:t>
      </w:r>
      <w:r>
        <w:t xml:space="preserve"> Approximately half of respondents reported experience of EPMA or e-prescribing and this suggests a potential bias towards hospitals with such systems when compared with a survey carried out by Public Health England in 2014 which reported only 17/76 (22%) of respondent hospitals with e-prescribing for at least one inpatient area.</w:t>
      </w:r>
      <w:r w:rsidRPr="00067614">
        <w:rPr>
          <w:noProof/>
          <w:vertAlign w:val="superscript"/>
        </w:rPr>
        <w:t>35</w:t>
      </w:r>
      <w:r>
        <w:t xml:space="preserve"> The questionnaire did not specifically elicit a description of the existing software features of EPMA systems currently installed in NHS hospitals but anecdotal evidence from the research team and from professional networks in the UK suggests that software features to support </w:t>
      </w:r>
      <w:r w:rsidRPr="00F1298A">
        <w:rPr>
          <w:highlight w:val="yellow"/>
        </w:rPr>
        <w:t>AMS</w:t>
      </w:r>
      <w:r>
        <w:t xml:space="preserve"> are extremely limited.  </w:t>
      </w:r>
      <w:r w:rsidRPr="005E441C">
        <w:rPr>
          <w:highlight w:val="yellow"/>
        </w:rPr>
        <w:t>Som</w:t>
      </w:r>
      <w:r w:rsidRPr="00D86138">
        <w:rPr>
          <w:highlight w:val="yellow"/>
        </w:rPr>
        <w:t xml:space="preserve">e of the software features proposed in this survey may not be technically possible for existing </w:t>
      </w:r>
      <w:r>
        <w:rPr>
          <w:highlight w:val="yellow"/>
        </w:rPr>
        <w:t xml:space="preserve">e-prescribing </w:t>
      </w:r>
      <w:r w:rsidRPr="00D86138">
        <w:rPr>
          <w:highlight w:val="yellow"/>
        </w:rPr>
        <w:t xml:space="preserve">systems and </w:t>
      </w:r>
      <w:r>
        <w:rPr>
          <w:highlight w:val="yellow"/>
        </w:rPr>
        <w:t>separate</w:t>
      </w:r>
      <w:r w:rsidRPr="00D86138">
        <w:rPr>
          <w:highlight w:val="yellow"/>
        </w:rPr>
        <w:t xml:space="preserve"> data-mining software may be required, particularly for prescribing trend surveillance.</w:t>
      </w:r>
      <w:r>
        <w:t xml:space="preserve">  Finally, the present questionnaire was primarily distributed by e-mail to members of professional organisations</w:t>
      </w:r>
      <w:r w:rsidRPr="00F16F42">
        <w:t xml:space="preserve"> </w:t>
      </w:r>
      <w:r>
        <w:t>and therefore may not represent the views of non-members.</w:t>
      </w:r>
    </w:p>
    <w:p w:rsidR="00F3413D" w:rsidRDefault="00F3413D" w:rsidP="007A24C1">
      <w:pPr>
        <w:spacing w:after="0" w:line="480" w:lineRule="auto"/>
      </w:pPr>
    </w:p>
    <w:p w:rsidR="00F3413D" w:rsidRDefault="00F3413D" w:rsidP="007A24C1">
      <w:pPr>
        <w:spacing w:after="0" w:line="480" w:lineRule="auto"/>
      </w:pPr>
      <w:r>
        <w:t xml:space="preserve">The target audience for this survey – consultant medical microbiologists and specialist pharmacists – was deliberate, to focus on individuals most likely to be responsible for stewardship within an NHS hospital organisation.  However, other healthcare workers also play an important role in </w:t>
      </w:r>
      <w:r w:rsidRPr="00F1298A">
        <w:rPr>
          <w:highlight w:val="yellow"/>
        </w:rPr>
        <w:t>AMS</w:t>
      </w:r>
      <w:r>
        <w:t xml:space="preserve"> at the individual patient level including junior and senior doctors, nurses, non-medical prescribers and ward pharmacists.</w:t>
      </w:r>
      <w:r w:rsidRPr="00067614">
        <w:rPr>
          <w:noProof/>
          <w:vertAlign w:val="superscript"/>
        </w:rPr>
        <w:t>36-41</w:t>
      </w:r>
      <w:r>
        <w:t xml:space="preserve"> Inclusion of these professional groups in user-testing at the design stage of EPMA implementation is likely to be critical to the success of the proposed software features. Future surveys focussing on front-line prescribers and medication administrators are critical.</w:t>
      </w:r>
    </w:p>
    <w:p w:rsidR="00F3413D" w:rsidRDefault="00F3413D" w:rsidP="007A24C1">
      <w:pPr>
        <w:spacing w:after="0" w:line="480" w:lineRule="auto"/>
      </w:pPr>
    </w:p>
    <w:p w:rsidR="00F3413D" w:rsidRDefault="00F3413D" w:rsidP="007A24C1">
      <w:pPr>
        <w:spacing w:after="0" w:line="480" w:lineRule="auto"/>
      </w:pPr>
      <w:r>
        <w:t xml:space="preserve">The advent of e-prescribing to NHS hospitals represents a unique new opportunity to engage with healthcare professionals to promote safe, effective and proportionate antimicrobial prescribing and </w:t>
      </w:r>
      <w:r>
        <w:lastRenderedPageBreak/>
        <w:t>to refresh the antimicrobial stewardship message. It must be acknowledged however that</w:t>
      </w:r>
      <w:r w:rsidRPr="00DF2056">
        <w:t xml:space="preserve"> </w:t>
      </w:r>
      <w:r>
        <w:t>with this opportunity also comes</w:t>
      </w:r>
      <w:r w:rsidRPr="00DF2056">
        <w:t xml:space="preserve"> new threats to patient safety from prescribing and administration errors as well as potential de-skilling of healthcare professionals.</w:t>
      </w:r>
      <w:r w:rsidRPr="00067614">
        <w:rPr>
          <w:noProof/>
          <w:vertAlign w:val="superscript"/>
        </w:rPr>
        <w:t>42-44</w:t>
      </w:r>
      <w:r w:rsidRPr="00DF2056">
        <w:t xml:space="preserve">  </w:t>
      </w:r>
      <w:r>
        <w:t xml:space="preserve"> The judicious use of educational prompts may facilitate a sustained change in prescribing behaviour but this must be balanced against the recognised risk of “alert fatigue” and competing priorities for e-prescribing system functionality from other medical and surgical specialities.</w:t>
      </w:r>
      <w:r w:rsidRPr="00067614">
        <w:rPr>
          <w:noProof/>
          <w:vertAlign w:val="superscript"/>
        </w:rPr>
        <w:t>45</w:t>
      </w:r>
      <w:r w:rsidRPr="0061355A">
        <w:t xml:space="preserve"> </w:t>
      </w:r>
      <w:r>
        <w:t xml:space="preserve"> </w:t>
      </w:r>
      <w:r w:rsidRPr="0061355A">
        <w:t>Successful implementation of the proposed antimicrobial stewa</w:t>
      </w:r>
      <w:r>
        <w:t>rdship software features into e-p</w:t>
      </w:r>
      <w:r w:rsidRPr="0061355A">
        <w:t>rescribing systems will</w:t>
      </w:r>
      <w:r>
        <w:t xml:space="preserve"> likely</w:t>
      </w:r>
      <w:r w:rsidRPr="0061355A">
        <w:t xml:space="preserve"> be contingent upon</w:t>
      </w:r>
      <w:r>
        <w:t xml:space="preserve"> a variety of sociotechnical considerations including</w:t>
      </w:r>
      <w:r w:rsidRPr="0061355A">
        <w:t xml:space="preserve"> seamless integration into the prescribing workflow with minimal time penalties for end-users and full compatibility with existing NHS information technology hardware</w:t>
      </w:r>
      <w:r>
        <w:t xml:space="preserve"> and software.</w:t>
      </w:r>
      <w:r w:rsidRPr="00067614">
        <w:rPr>
          <w:noProof/>
          <w:vertAlign w:val="superscript"/>
        </w:rPr>
        <w:t>43, 46</w:t>
      </w:r>
      <w:r w:rsidRPr="0061355A">
        <w:t xml:space="preserve">  </w:t>
      </w:r>
    </w:p>
    <w:p w:rsidR="00F3413D" w:rsidRDefault="00F3413D" w:rsidP="007A24C1">
      <w:pPr>
        <w:spacing w:after="0" w:line="480" w:lineRule="auto"/>
      </w:pPr>
    </w:p>
    <w:p w:rsidR="00F3413D" w:rsidRDefault="00F3413D" w:rsidP="007A24C1">
      <w:pPr>
        <w:spacing w:after="0" w:line="480" w:lineRule="auto"/>
      </w:pPr>
      <w:r>
        <w:t xml:space="preserve">This survey represents the first attempt to canvas opinion of infection specialists in the UK on the potential for e-prescribing software to support antimicrobial stewardship.  </w:t>
      </w:r>
      <w:r w:rsidRPr="006F4E94">
        <w:rPr>
          <w:highlight w:val="yellow"/>
        </w:rPr>
        <w:t>The findings</w:t>
      </w:r>
      <w:r>
        <w:rPr>
          <w:highlight w:val="yellow"/>
        </w:rPr>
        <w:t xml:space="preserve"> illustrate fundamental principles that</w:t>
      </w:r>
      <w:r w:rsidRPr="006F4E94">
        <w:rPr>
          <w:highlight w:val="yellow"/>
        </w:rPr>
        <w:t xml:space="preserve"> are equally relevant to health systems in other countries.</w:t>
      </w:r>
      <w:r>
        <w:t xml:space="preserve"> The survey results reveal considerable demand for additional software features expressed by the healthcare professionals charged with promoting rational use of antimicrobials and a consensus of anticipated positive impact on patient safety and efficiency outcomes. The survey demonstrates key differences in health professionals’ opinions of different healthcare benefits of EPMA and underscores the need for a multi-disciplinary approach to the development of EPMA system specifications. We trust this information will prove valuable to software manufacturers currently developing e-prescribing systems when prioritising software functionality and systems interface development and potentially to healthcare commissioners when drafting e-prescribing system specifications. Finally, we commend this topic to research funders with a view to funding research into the potential benefits and unintended consequences of e-prescribing system functionality designed to support antimicrobial stewardship.</w:t>
      </w:r>
    </w:p>
    <w:p w:rsidR="00F3413D" w:rsidRDefault="00F3413D" w:rsidP="007A24C1">
      <w:pPr>
        <w:spacing w:after="0" w:line="480" w:lineRule="auto"/>
        <w:rPr>
          <w:b/>
          <w:bCs/>
        </w:rPr>
      </w:pPr>
    </w:p>
    <w:p w:rsidR="00F3413D" w:rsidRPr="00901FAE" w:rsidRDefault="00F3413D" w:rsidP="007A24C1">
      <w:pPr>
        <w:spacing w:after="0" w:line="480" w:lineRule="auto"/>
        <w:rPr>
          <w:b/>
          <w:bCs/>
        </w:rPr>
      </w:pPr>
      <w:r w:rsidRPr="00901FAE">
        <w:rPr>
          <w:b/>
          <w:bCs/>
        </w:rPr>
        <w:lastRenderedPageBreak/>
        <w:t>ACKNOWLEDGEMENTS</w:t>
      </w:r>
    </w:p>
    <w:p w:rsidR="00F3413D" w:rsidRDefault="00F3413D" w:rsidP="007A24C1">
      <w:pPr>
        <w:spacing w:after="0" w:line="480" w:lineRule="auto"/>
      </w:pPr>
      <w:r>
        <w:t xml:space="preserve">The authors would like to thank all of the questionnaire respondents, Daniel </w:t>
      </w:r>
      <w:proofErr w:type="spellStart"/>
      <w:r>
        <w:t>Hinchley</w:t>
      </w:r>
      <w:proofErr w:type="spellEnd"/>
      <w:r>
        <w:t xml:space="preserve"> for EPMA expertise and the support of the Royal College of Pathologists and the UK Clinical Pharmacy Association for questionnaire distribution.</w:t>
      </w:r>
    </w:p>
    <w:p w:rsidR="00F3413D" w:rsidRDefault="00F3413D" w:rsidP="007A24C1">
      <w:pPr>
        <w:spacing w:after="0" w:line="480" w:lineRule="auto"/>
      </w:pPr>
    </w:p>
    <w:p w:rsidR="00F3413D" w:rsidRDefault="00F3413D" w:rsidP="007A24C1">
      <w:pPr>
        <w:spacing w:after="0" w:line="480" w:lineRule="auto"/>
      </w:pPr>
      <w:r>
        <w:t xml:space="preserve">Some of the findings of this research have been published previously in abstract and poster form at the Federation of Infection Societies annual conference in 2015 (Abstract number 0221).  </w:t>
      </w:r>
    </w:p>
    <w:p w:rsidR="00F3413D" w:rsidRDefault="00F3413D" w:rsidP="007A24C1">
      <w:pPr>
        <w:spacing w:after="0" w:line="480" w:lineRule="auto"/>
      </w:pPr>
    </w:p>
    <w:p w:rsidR="00F3413D" w:rsidRDefault="00F3413D" w:rsidP="007A24C1">
      <w:pPr>
        <w:spacing w:after="0" w:line="480" w:lineRule="auto"/>
        <w:rPr>
          <w:b/>
          <w:bCs/>
        </w:rPr>
      </w:pPr>
      <w:r w:rsidRPr="00A04F00">
        <w:rPr>
          <w:b/>
          <w:bCs/>
        </w:rPr>
        <w:t>FUNDING</w:t>
      </w:r>
    </w:p>
    <w:p w:rsidR="00F3413D" w:rsidRDefault="00F3413D" w:rsidP="007A24C1">
      <w:pPr>
        <w:spacing w:after="0" w:line="480" w:lineRule="auto"/>
      </w:pPr>
      <w:r w:rsidRPr="00C47830">
        <w:t>This study was carried out as part of our routine work</w:t>
      </w:r>
      <w:r>
        <w:t>.  KH is partially funded by a Health Education Wessex post-doctoral clinical-academic fellowship.</w:t>
      </w:r>
    </w:p>
    <w:p w:rsidR="00F3413D" w:rsidRDefault="00F3413D" w:rsidP="007A24C1">
      <w:pPr>
        <w:spacing w:after="0" w:line="480" w:lineRule="auto"/>
      </w:pPr>
    </w:p>
    <w:p w:rsidR="00F3413D" w:rsidRDefault="00F3413D" w:rsidP="007A24C1">
      <w:pPr>
        <w:spacing w:after="0" w:line="480" w:lineRule="auto"/>
        <w:rPr>
          <w:b/>
          <w:bCs/>
        </w:rPr>
      </w:pPr>
      <w:r w:rsidRPr="00A04F00">
        <w:rPr>
          <w:b/>
          <w:bCs/>
        </w:rPr>
        <w:t>TRANSPARENCY DECLARATIONS</w:t>
      </w:r>
    </w:p>
    <w:p w:rsidR="00F3413D" w:rsidRPr="00E70977" w:rsidRDefault="00F3413D" w:rsidP="007A24C1">
      <w:pPr>
        <w:spacing w:after="0" w:line="480" w:lineRule="auto"/>
        <w:rPr>
          <w:bCs/>
        </w:rPr>
      </w:pPr>
      <w:proofErr w:type="gramStart"/>
      <w:r>
        <w:rPr>
          <w:bCs/>
        </w:rPr>
        <w:t>None to declare.</w:t>
      </w:r>
      <w:proofErr w:type="gramEnd"/>
    </w:p>
    <w:p w:rsidR="00F3413D" w:rsidRDefault="00F3413D" w:rsidP="007A24C1">
      <w:pPr>
        <w:spacing w:after="0" w:line="480" w:lineRule="auto"/>
      </w:pPr>
    </w:p>
    <w:p w:rsidR="00F3413D" w:rsidRPr="00F3413D" w:rsidRDefault="00F3413D" w:rsidP="00F3413D">
      <w:pPr>
        <w:spacing w:after="0" w:line="480" w:lineRule="auto"/>
        <w:rPr>
          <w:b/>
          <w:bCs/>
        </w:rPr>
      </w:pPr>
      <w:r w:rsidRPr="00A04F00">
        <w:rPr>
          <w:b/>
          <w:bCs/>
        </w:rPr>
        <w:t>REFERENCES</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1. </w:t>
      </w:r>
      <w:r>
        <w:rPr>
          <w:rFonts w:ascii="Calibri" w:hAnsi="Calibri"/>
          <w:noProof/>
        </w:rPr>
        <w:tab/>
        <w:t xml:space="preserve">Davies SC. </w:t>
      </w:r>
      <w:r w:rsidRPr="00067614">
        <w:rPr>
          <w:rFonts w:ascii="Calibri" w:hAnsi="Calibri"/>
          <w:i/>
          <w:noProof/>
        </w:rPr>
        <w:t>Annual Report of the Chief Medical Officer, Volume Two, 2011, Infections and the rise of antimicrobial resistance</w:t>
      </w:r>
      <w:r>
        <w:rPr>
          <w:rFonts w:ascii="Calibri" w:hAnsi="Calibri"/>
          <w:noProof/>
        </w:rPr>
        <w:t>.  London: Department of Health, 2013.</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2. </w:t>
      </w:r>
      <w:r>
        <w:rPr>
          <w:rFonts w:ascii="Calibri" w:hAnsi="Calibri"/>
          <w:noProof/>
        </w:rPr>
        <w:tab/>
        <w:t>Department of Health, Department for Environment Food &amp; Rural Affairs</w:t>
      </w:r>
      <w:r w:rsidR="007A24C1">
        <w:rPr>
          <w:rFonts w:ascii="Calibri" w:hAnsi="Calibri"/>
          <w:noProof/>
        </w:rPr>
        <w:t xml:space="preserve"> 2013</w:t>
      </w:r>
      <w:r>
        <w:rPr>
          <w:rFonts w:ascii="Calibri" w:hAnsi="Calibri"/>
          <w:noProof/>
        </w:rPr>
        <w:t xml:space="preserve">. UK Five Year Antimicrobial Resistance Strategy 2013 to 2018. </w:t>
      </w:r>
      <w:r w:rsidRPr="007A24C1">
        <w:rPr>
          <w:rFonts w:ascii="Calibri" w:hAnsi="Calibri"/>
          <w:noProof/>
        </w:rPr>
        <w:t>https://www.gov.uk/government/publications/uk-5-year-antimicrobial-resistance-strategy-2013-to-2018</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3. </w:t>
      </w:r>
      <w:r>
        <w:rPr>
          <w:rFonts w:ascii="Calibri" w:hAnsi="Calibri"/>
          <w:noProof/>
        </w:rPr>
        <w:tab/>
        <w:t>NHS England</w:t>
      </w:r>
      <w:r w:rsidR="007A24C1">
        <w:rPr>
          <w:rFonts w:ascii="Calibri" w:hAnsi="Calibri"/>
          <w:noProof/>
        </w:rPr>
        <w:t xml:space="preserve"> 2016</w:t>
      </w:r>
      <w:r>
        <w:rPr>
          <w:rFonts w:ascii="Calibri" w:hAnsi="Calibri"/>
          <w:noProof/>
        </w:rPr>
        <w:t xml:space="preserve">. Commissioning for Quality and Innovation (CQUIN) - Guidance Technical Annex for 2016/17: Gateway Reference 04225. </w:t>
      </w:r>
      <w:r w:rsidRPr="007A24C1">
        <w:rPr>
          <w:rFonts w:ascii="Calibri" w:hAnsi="Calibri"/>
          <w:noProof/>
        </w:rPr>
        <w:t>https://www.england.nhs.uk/nhs-standard-contract/cquin/</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4. </w:t>
      </w:r>
      <w:r>
        <w:rPr>
          <w:rFonts w:ascii="Calibri" w:hAnsi="Calibri"/>
          <w:noProof/>
        </w:rPr>
        <w:tab/>
        <w:t>Department of Health, PricewaterhouseCoopers</w:t>
      </w:r>
      <w:r w:rsidR="007A24C1">
        <w:rPr>
          <w:rFonts w:ascii="Calibri" w:hAnsi="Calibri"/>
          <w:noProof/>
        </w:rPr>
        <w:t xml:space="preserve"> 2013</w:t>
      </w:r>
      <w:r>
        <w:rPr>
          <w:rFonts w:ascii="Calibri" w:hAnsi="Calibri"/>
          <w:noProof/>
        </w:rPr>
        <w:t xml:space="preserve">. A review of the potential benefits from the better use of information and technology in health and social care. </w:t>
      </w:r>
      <w:r w:rsidRPr="007A24C1">
        <w:rPr>
          <w:rFonts w:ascii="Calibri" w:hAnsi="Calibri"/>
          <w:noProof/>
        </w:rPr>
        <w:t>https://www.gov.uk/government/publications/study-on-the-impact-of-digital-technology-in-health-and-social-care</w:t>
      </w:r>
      <w:r w:rsidR="007A24C1">
        <w:rPr>
          <w:rFonts w:ascii="Calibri" w:hAnsi="Calibri"/>
          <w:noProof/>
        </w:rPr>
        <w:t xml:space="preserve"> </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5. </w:t>
      </w:r>
      <w:r>
        <w:rPr>
          <w:rFonts w:ascii="Calibri" w:hAnsi="Calibri"/>
          <w:noProof/>
        </w:rPr>
        <w:tab/>
        <w:t xml:space="preserve">Baysari MT, Oliver K, Egan B, </w:t>
      </w:r>
      <w:r w:rsidR="007A24C1" w:rsidRPr="007A24C1">
        <w:rPr>
          <w:rFonts w:ascii="Calibri" w:hAnsi="Calibri"/>
          <w:i/>
          <w:iCs/>
          <w:noProof/>
        </w:rPr>
        <w:t>et al</w:t>
      </w:r>
      <w:r>
        <w:rPr>
          <w:rFonts w:ascii="Calibri" w:hAnsi="Calibri"/>
          <w:noProof/>
        </w:rPr>
        <w:t xml:space="preserve">. Audit and feedback of antibiotic use: utilising electronic prescription data. </w:t>
      </w:r>
      <w:r w:rsidRPr="00067614">
        <w:rPr>
          <w:rFonts w:ascii="Calibri" w:hAnsi="Calibri"/>
          <w:i/>
          <w:noProof/>
        </w:rPr>
        <w:t>Appl Clin Inform</w:t>
      </w:r>
      <w:r>
        <w:rPr>
          <w:rFonts w:ascii="Calibri" w:hAnsi="Calibri"/>
          <w:noProof/>
        </w:rPr>
        <w:t xml:space="preserve"> 2013; </w:t>
      </w:r>
      <w:r w:rsidRPr="00067614">
        <w:rPr>
          <w:rFonts w:ascii="Calibri" w:hAnsi="Calibri"/>
          <w:b/>
          <w:noProof/>
        </w:rPr>
        <w:t>4</w:t>
      </w:r>
      <w:r>
        <w:rPr>
          <w:rFonts w:ascii="Calibri" w:hAnsi="Calibri"/>
          <w:noProof/>
        </w:rPr>
        <w:t>: 583-95.</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lastRenderedPageBreak/>
        <w:tab/>
        <w:t xml:space="preserve">6. </w:t>
      </w:r>
      <w:r>
        <w:rPr>
          <w:rFonts w:ascii="Calibri" w:hAnsi="Calibri"/>
          <w:noProof/>
        </w:rPr>
        <w:tab/>
        <w:t xml:space="preserve">Jahansouz F, Lee J, James CL. Enforcement of antimicrobial policy through restrictions built into system for computerized prescriber order entry. </w:t>
      </w:r>
      <w:r w:rsidRPr="00067614">
        <w:rPr>
          <w:rFonts w:ascii="Calibri" w:hAnsi="Calibri"/>
          <w:i/>
          <w:noProof/>
        </w:rPr>
        <w:t>Am J Health Syst Pharm</w:t>
      </w:r>
      <w:r>
        <w:rPr>
          <w:rFonts w:ascii="Calibri" w:hAnsi="Calibri"/>
          <w:noProof/>
        </w:rPr>
        <w:t xml:space="preserve"> 2012; </w:t>
      </w:r>
      <w:r w:rsidRPr="00067614">
        <w:rPr>
          <w:rFonts w:ascii="Calibri" w:hAnsi="Calibri"/>
          <w:b/>
          <w:noProof/>
        </w:rPr>
        <w:t>69</w:t>
      </w:r>
      <w:r>
        <w:rPr>
          <w:rFonts w:ascii="Calibri" w:hAnsi="Calibri"/>
          <w:noProof/>
        </w:rPr>
        <w:t>: 1191.</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7. </w:t>
      </w:r>
      <w:r>
        <w:rPr>
          <w:rFonts w:ascii="Calibri" w:hAnsi="Calibri"/>
          <w:noProof/>
        </w:rPr>
        <w:tab/>
      </w:r>
      <w:r w:rsidRPr="00A27AFA">
        <w:rPr>
          <w:rFonts w:ascii="Calibri" w:hAnsi="Calibri"/>
          <w:noProof/>
        </w:rPr>
        <w:t xml:space="preserve">Lesprit P, Duong T, Girou E, </w:t>
      </w:r>
      <w:r w:rsidR="007A24C1" w:rsidRPr="00A27AFA">
        <w:rPr>
          <w:rFonts w:ascii="Calibri" w:hAnsi="Calibri"/>
          <w:i/>
          <w:noProof/>
        </w:rPr>
        <w:t>et al</w:t>
      </w:r>
      <w:r w:rsidRPr="00A27AFA">
        <w:rPr>
          <w:rFonts w:ascii="Calibri" w:hAnsi="Calibri"/>
          <w:noProof/>
        </w:rPr>
        <w:t xml:space="preserve">. </w:t>
      </w:r>
      <w:r>
        <w:rPr>
          <w:rFonts w:ascii="Calibri" w:hAnsi="Calibri"/>
          <w:noProof/>
        </w:rPr>
        <w:t xml:space="preserve">Impact of a computer-generated alert system prompting review of antibiotic use in hospitals. </w:t>
      </w:r>
      <w:r w:rsidRPr="00067614">
        <w:rPr>
          <w:rFonts w:ascii="Calibri" w:hAnsi="Calibri"/>
          <w:i/>
          <w:noProof/>
        </w:rPr>
        <w:t>J Antimicrob Chemother</w:t>
      </w:r>
      <w:r>
        <w:rPr>
          <w:rFonts w:ascii="Calibri" w:hAnsi="Calibri"/>
          <w:noProof/>
        </w:rPr>
        <w:t xml:space="preserve"> 2009; </w:t>
      </w:r>
      <w:r w:rsidRPr="00067614">
        <w:rPr>
          <w:rFonts w:ascii="Calibri" w:hAnsi="Calibri"/>
          <w:b/>
          <w:noProof/>
        </w:rPr>
        <w:t>63</w:t>
      </w:r>
      <w:r>
        <w:rPr>
          <w:rFonts w:ascii="Calibri" w:hAnsi="Calibri"/>
          <w:noProof/>
        </w:rPr>
        <w:t>: 1058-63.</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8. </w:t>
      </w:r>
      <w:r>
        <w:rPr>
          <w:rFonts w:ascii="Calibri" w:hAnsi="Calibri"/>
          <w:noProof/>
        </w:rPr>
        <w:tab/>
      </w:r>
      <w:r w:rsidRPr="00A27AFA">
        <w:rPr>
          <w:rFonts w:ascii="Calibri" w:hAnsi="Calibri"/>
          <w:noProof/>
        </w:rPr>
        <w:t xml:space="preserve">Wang HY, Lu CL, Wu MP, </w:t>
      </w:r>
      <w:r w:rsidR="007A24C1" w:rsidRPr="00A27AFA">
        <w:rPr>
          <w:rFonts w:ascii="Calibri" w:hAnsi="Calibri"/>
          <w:i/>
          <w:noProof/>
        </w:rPr>
        <w:t>et al</w:t>
      </w:r>
      <w:r w:rsidRPr="00A27AFA">
        <w:rPr>
          <w:rFonts w:ascii="Calibri" w:hAnsi="Calibri"/>
          <w:noProof/>
        </w:rPr>
        <w:t xml:space="preserve">. </w:t>
      </w:r>
      <w:r>
        <w:rPr>
          <w:rFonts w:ascii="Calibri" w:hAnsi="Calibri"/>
          <w:noProof/>
        </w:rPr>
        <w:t xml:space="preserve">Effectiveness of an integrated CPOE decision-supporting system with clinical pharmacist monitoring practice in preventing antibiotic dosing errors. </w:t>
      </w:r>
      <w:r w:rsidRPr="00067614">
        <w:rPr>
          <w:rFonts w:ascii="Calibri" w:hAnsi="Calibri"/>
          <w:i/>
          <w:noProof/>
        </w:rPr>
        <w:t>Int J Clin Pharmacol Ther</w:t>
      </w:r>
      <w:r>
        <w:rPr>
          <w:rFonts w:ascii="Calibri" w:hAnsi="Calibri"/>
          <w:noProof/>
        </w:rPr>
        <w:t xml:space="preserve"> 2012; </w:t>
      </w:r>
      <w:r w:rsidRPr="00067614">
        <w:rPr>
          <w:rFonts w:ascii="Calibri" w:hAnsi="Calibri"/>
          <w:b/>
          <w:noProof/>
        </w:rPr>
        <w:t>50</w:t>
      </w:r>
      <w:r>
        <w:rPr>
          <w:rFonts w:ascii="Calibri" w:hAnsi="Calibri"/>
          <w:noProof/>
        </w:rPr>
        <w:t>: 375-82.</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9. </w:t>
      </w:r>
      <w:r>
        <w:rPr>
          <w:rFonts w:ascii="Calibri" w:hAnsi="Calibri"/>
          <w:noProof/>
        </w:rPr>
        <w:tab/>
        <w:t xml:space="preserve">Webber EC, Warhurst HM, Smith SS, </w:t>
      </w:r>
      <w:r w:rsidR="007A24C1" w:rsidRPr="007A24C1">
        <w:rPr>
          <w:rFonts w:ascii="Calibri" w:hAnsi="Calibri"/>
          <w:i/>
          <w:noProof/>
        </w:rPr>
        <w:t>et al</w:t>
      </w:r>
      <w:r>
        <w:rPr>
          <w:rFonts w:ascii="Calibri" w:hAnsi="Calibri"/>
          <w:noProof/>
        </w:rPr>
        <w:t xml:space="preserve">. Conversion of a single-facility pediatric antimicrobial stewardship program to multi-facility application with computerized provider order entry and clinical decision support. </w:t>
      </w:r>
      <w:r w:rsidRPr="00067614">
        <w:rPr>
          <w:rFonts w:ascii="Calibri" w:hAnsi="Calibri"/>
          <w:i/>
          <w:noProof/>
        </w:rPr>
        <w:t>Appl Clin Inform</w:t>
      </w:r>
      <w:r>
        <w:rPr>
          <w:rFonts w:ascii="Calibri" w:hAnsi="Calibri"/>
          <w:noProof/>
        </w:rPr>
        <w:t xml:space="preserve"> 2013; </w:t>
      </w:r>
      <w:r w:rsidRPr="00067614">
        <w:rPr>
          <w:rFonts w:ascii="Calibri" w:hAnsi="Calibri"/>
          <w:b/>
          <w:noProof/>
        </w:rPr>
        <w:t>4</w:t>
      </w:r>
      <w:r>
        <w:rPr>
          <w:rFonts w:ascii="Calibri" w:hAnsi="Calibri"/>
          <w:noProof/>
        </w:rPr>
        <w:t>: 556-68.</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10. </w:t>
      </w:r>
      <w:r>
        <w:rPr>
          <w:rFonts w:ascii="Calibri" w:hAnsi="Calibri"/>
          <w:noProof/>
        </w:rPr>
        <w:tab/>
        <w:t xml:space="preserve">Westphal JF, Jehl F, Javelot H, </w:t>
      </w:r>
      <w:r w:rsidR="007A24C1" w:rsidRPr="007A24C1">
        <w:rPr>
          <w:rFonts w:ascii="Calibri" w:hAnsi="Calibri"/>
          <w:i/>
          <w:noProof/>
        </w:rPr>
        <w:t>et al</w:t>
      </w:r>
      <w:r>
        <w:rPr>
          <w:rFonts w:ascii="Calibri" w:hAnsi="Calibri"/>
          <w:noProof/>
        </w:rPr>
        <w:t xml:space="preserve">. Enhanced physician adherence to antibiotic use guidelines through increased availability of guidelines at the time of drug ordering in hospital setting. </w:t>
      </w:r>
      <w:r w:rsidRPr="00067614">
        <w:rPr>
          <w:rFonts w:ascii="Calibri" w:hAnsi="Calibri"/>
          <w:i/>
          <w:noProof/>
        </w:rPr>
        <w:t>Pharmacoepidemiol Drug Saf</w:t>
      </w:r>
      <w:r>
        <w:rPr>
          <w:rFonts w:ascii="Calibri" w:hAnsi="Calibri"/>
          <w:noProof/>
        </w:rPr>
        <w:t xml:space="preserve"> 2011; </w:t>
      </w:r>
      <w:r w:rsidRPr="00067614">
        <w:rPr>
          <w:rFonts w:ascii="Calibri" w:hAnsi="Calibri"/>
          <w:b/>
          <w:noProof/>
        </w:rPr>
        <w:t>20</w:t>
      </w:r>
      <w:r>
        <w:rPr>
          <w:rFonts w:ascii="Calibri" w:hAnsi="Calibri"/>
          <w:noProof/>
        </w:rPr>
        <w:t>: 162-8.</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11. </w:t>
      </w:r>
      <w:r>
        <w:rPr>
          <w:rFonts w:ascii="Calibri" w:hAnsi="Calibri"/>
          <w:noProof/>
        </w:rPr>
        <w:tab/>
        <w:t xml:space="preserve">Filice GA, Drekonja DM, Thurn JR, </w:t>
      </w:r>
      <w:r w:rsidR="007A24C1" w:rsidRPr="007A24C1">
        <w:rPr>
          <w:rFonts w:ascii="Calibri" w:hAnsi="Calibri"/>
          <w:i/>
          <w:noProof/>
        </w:rPr>
        <w:t>et al</w:t>
      </w:r>
      <w:r>
        <w:rPr>
          <w:rFonts w:ascii="Calibri" w:hAnsi="Calibri"/>
          <w:noProof/>
        </w:rPr>
        <w:t xml:space="preserve">. Use of a computer decision support system and antimicrobial therapy appropriateness. </w:t>
      </w:r>
      <w:r w:rsidRPr="00067614">
        <w:rPr>
          <w:rFonts w:ascii="Calibri" w:hAnsi="Calibri"/>
          <w:i/>
          <w:noProof/>
        </w:rPr>
        <w:t>Infect Control Hosp Epidemiol</w:t>
      </w:r>
      <w:r>
        <w:rPr>
          <w:rFonts w:ascii="Calibri" w:hAnsi="Calibri"/>
          <w:noProof/>
        </w:rPr>
        <w:t xml:space="preserve"> 2013; </w:t>
      </w:r>
      <w:r w:rsidRPr="00067614">
        <w:rPr>
          <w:rFonts w:ascii="Calibri" w:hAnsi="Calibri"/>
          <w:b/>
          <w:noProof/>
        </w:rPr>
        <w:t>34</w:t>
      </w:r>
      <w:r>
        <w:rPr>
          <w:rFonts w:ascii="Calibri" w:hAnsi="Calibri"/>
          <w:noProof/>
        </w:rPr>
        <w:t>: 558-65.</w:t>
      </w:r>
    </w:p>
    <w:p w:rsidR="00F3413D" w:rsidRPr="00A27AFA" w:rsidRDefault="00F3413D" w:rsidP="007A24C1">
      <w:pPr>
        <w:tabs>
          <w:tab w:val="right" w:pos="360"/>
          <w:tab w:val="left" w:pos="540"/>
        </w:tabs>
        <w:spacing w:after="240" w:line="240" w:lineRule="auto"/>
        <w:ind w:left="1260" w:hanging="1260"/>
        <w:rPr>
          <w:rFonts w:ascii="Calibri" w:hAnsi="Calibri"/>
          <w:noProof/>
          <w:lang w:val="it-IT"/>
        </w:rPr>
      </w:pPr>
      <w:r>
        <w:rPr>
          <w:rFonts w:ascii="Calibri" w:hAnsi="Calibri"/>
          <w:noProof/>
        </w:rPr>
        <w:tab/>
        <w:t xml:space="preserve">12. </w:t>
      </w:r>
      <w:r>
        <w:rPr>
          <w:rFonts w:ascii="Calibri" w:hAnsi="Calibri"/>
          <w:noProof/>
        </w:rPr>
        <w:tab/>
        <w:t xml:space="preserve">Nachtigall I, Tafelski S, Deja M, </w:t>
      </w:r>
      <w:r w:rsidR="007A24C1" w:rsidRPr="007A24C1">
        <w:rPr>
          <w:rFonts w:ascii="Calibri" w:hAnsi="Calibri"/>
          <w:iCs/>
          <w:noProof/>
        </w:rPr>
        <w:t>et al</w:t>
      </w:r>
      <w:r>
        <w:rPr>
          <w:rFonts w:ascii="Calibri" w:hAnsi="Calibri"/>
          <w:noProof/>
        </w:rPr>
        <w:t xml:space="preserve">. Long-term effect of computer-assisted decision support for antibiotic treatment in critically ill patients: a prospective 'before/after' cohort study. </w:t>
      </w:r>
      <w:r w:rsidRPr="00A27AFA">
        <w:rPr>
          <w:rFonts w:ascii="Calibri" w:hAnsi="Calibri"/>
          <w:i/>
          <w:noProof/>
          <w:lang w:val="it-IT"/>
        </w:rPr>
        <w:t>BMJ Open</w:t>
      </w:r>
      <w:r w:rsidRPr="00A27AFA">
        <w:rPr>
          <w:rFonts w:ascii="Calibri" w:hAnsi="Calibri"/>
          <w:noProof/>
          <w:lang w:val="it-IT"/>
        </w:rPr>
        <w:t xml:space="preserve"> 2014; </w:t>
      </w:r>
      <w:r w:rsidRPr="00A27AFA">
        <w:rPr>
          <w:rFonts w:ascii="Calibri" w:hAnsi="Calibri"/>
          <w:b/>
          <w:noProof/>
          <w:lang w:val="it-IT"/>
        </w:rPr>
        <w:t>4</w:t>
      </w:r>
      <w:r w:rsidRPr="00A27AFA">
        <w:rPr>
          <w:rFonts w:ascii="Calibri" w:hAnsi="Calibri"/>
          <w:noProof/>
          <w:lang w:val="it-IT"/>
        </w:rPr>
        <w:t>: e005370.</w:t>
      </w:r>
    </w:p>
    <w:p w:rsidR="00F3413D" w:rsidRDefault="00F3413D" w:rsidP="007A24C1">
      <w:pPr>
        <w:tabs>
          <w:tab w:val="right" w:pos="360"/>
          <w:tab w:val="left" w:pos="540"/>
        </w:tabs>
        <w:spacing w:after="240" w:line="240" w:lineRule="auto"/>
        <w:ind w:left="1260" w:hanging="1260"/>
        <w:rPr>
          <w:rFonts w:ascii="Calibri" w:hAnsi="Calibri"/>
          <w:noProof/>
        </w:rPr>
      </w:pPr>
      <w:r w:rsidRPr="00A27AFA">
        <w:rPr>
          <w:rFonts w:ascii="Calibri" w:hAnsi="Calibri"/>
          <w:noProof/>
          <w:lang w:val="it-IT"/>
        </w:rPr>
        <w:tab/>
        <w:t xml:space="preserve">13. </w:t>
      </w:r>
      <w:r w:rsidRPr="00A27AFA">
        <w:rPr>
          <w:rFonts w:ascii="Calibri" w:hAnsi="Calibri"/>
          <w:noProof/>
          <w:lang w:val="it-IT"/>
        </w:rPr>
        <w:tab/>
      </w:r>
      <w:r w:rsidRPr="007A24C1">
        <w:rPr>
          <w:rFonts w:ascii="Calibri" w:hAnsi="Calibri"/>
          <w:noProof/>
          <w:lang w:val="it-IT"/>
        </w:rPr>
        <w:t xml:space="preserve">Paul M, Andreassen S, Tacconelli E, </w:t>
      </w:r>
      <w:r w:rsidR="007A24C1" w:rsidRPr="007A24C1">
        <w:rPr>
          <w:rFonts w:ascii="Calibri" w:hAnsi="Calibri"/>
          <w:i/>
          <w:noProof/>
          <w:lang w:val="it-IT"/>
        </w:rPr>
        <w:t>et al</w:t>
      </w:r>
      <w:r w:rsidRPr="007A24C1">
        <w:rPr>
          <w:rFonts w:ascii="Calibri" w:hAnsi="Calibri"/>
          <w:noProof/>
          <w:lang w:val="it-IT"/>
        </w:rPr>
        <w:t xml:space="preserve">. </w:t>
      </w:r>
      <w:r>
        <w:rPr>
          <w:rFonts w:ascii="Calibri" w:hAnsi="Calibri"/>
          <w:noProof/>
        </w:rPr>
        <w:t xml:space="preserve">Improving empirical antibiotic treatment using TREAT, a computerized decision support system: cluster randomized trial. </w:t>
      </w:r>
      <w:r w:rsidRPr="00067614">
        <w:rPr>
          <w:rFonts w:ascii="Calibri" w:hAnsi="Calibri"/>
          <w:i/>
          <w:noProof/>
        </w:rPr>
        <w:t>J Antimicrob Chemother</w:t>
      </w:r>
      <w:r>
        <w:rPr>
          <w:rFonts w:ascii="Calibri" w:hAnsi="Calibri"/>
          <w:noProof/>
        </w:rPr>
        <w:t xml:space="preserve"> 2006; </w:t>
      </w:r>
      <w:r w:rsidRPr="00067614">
        <w:rPr>
          <w:rFonts w:ascii="Calibri" w:hAnsi="Calibri"/>
          <w:b/>
          <w:noProof/>
        </w:rPr>
        <w:t>58</w:t>
      </w:r>
      <w:r>
        <w:rPr>
          <w:rFonts w:ascii="Calibri" w:hAnsi="Calibri"/>
          <w:noProof/>
        </w:rPr>
        <w:t>: 1238-45.</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14. </w:t>
      </w:r>
      <w:r>
        <w:rPr>
          <w:rFonts w:ascii="Calibri" w:hAnsi="Calibri"/>
          <w:noProof/>
        </w:rPr>
        <w:tab/>
      </w:r>
      <w:r w:rsidRPr="00A27AFA">
        <w:rPr>
          <w:rFonts w:ascii="Calibri" w:hAnsi="Calibri"/>
          <w:noProof/>
        </w:rPr>
        <w:t xml:space="preserve">Sintchenko V, Iredell JR, Gilbert GL, </w:t>
      </w:r>
      <w:r w:rsidR="007A24C1" w:rsidRPr="00A27AFA">
        <w:rPr>
          <w:rFonts w:ascii="Calibri" w:hAnsi="Calibri"/>
          <w:i/>
          <w:noProof/>
        </w:rPr>
        <w:t>et al</w:t>
      </w:r>
      <w:r w:rsidRPr="00A27AFA">
        <w:rPr>
          <w:rFonts w:ascii="Calibri" w:hAnsi="Calibri"/>
          <w:noProof/>
        </w:rPr>
        <w:t xml:space="preserve">. </w:t>
      </w:r>
      <w:r>
        <w:rPr>
          <w:rFonts w:ascii="Calibri" w:hAnsi="Calibri"/>
          <w:noProof/>
        </w:rPr>
        <w:t xml:space="preserve">Handheld computer-based decision support reduces patient length of stay and antibiotic prescribing in critical care. </w:t>
      </w:r>
      <w:r w:rsidRPr="00067614">
        <w:rPr>
          <w:rFonts w:ascii="Calibri" w:hAnsi="Calibri"/>
          <w:i/>
          <w:noProof/>
        </w:rPr>
        <w:t>J Am Med Inform Assoc</w:t>
      </w:r>
      <w:r>
        <w:rPr>
          <w:rFonts w:ascii="Calibri" w:hAnsi="Calibri"/>
          <w:noProof/>
        </w:rPr>
        <w:t xml:space="preserve"> 2005; </w:t>
      </w:r>
      <w:r w:rsidRPr="00067614">
        <w:rPr>
          <w:rFonts w:ascii="Calibri" w:hAnsi="Calibri"/>
          <w:b/>
          <w:noProof/>
        </w:rPr>
        <w:t>12</w:t>
      </w:r>
      <w:r>
        <w:rPr>
          <w:rFonts w:ascii="Calibri" w:hAnsi="Calibri"/>
          <w:noProof/>
        </w:rPr>
        <w:t>: 398-402.</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15. </w:t>
      </w:r>
      <w:r>
        <w:rPr>
          <w:rFonts w:ascii="Calibri" w:hAnsi="Calibri"/>
          <w:noProof/>
        </w:rPr>
        <w:tab/>
        <w:t xml:space="preserve">Thursky KA, Buising KL, Bak N, </w:t>
      </w:r>
      <w:r w:rsidR="007A24C1" w:rsidRPr="007A24C1">
        <w:rPr>
          <w:rFonts w:ascii="Calibri" w:hAnsi="Calibri"/>
          <w:i/>
          <w:noProof/>
        </w:rPr>
        <w:t>et al</w:t>
      </w:r>
      <w:r>
        <w:rPr>
          <w:rFonts w:ascii="Calibri" w:hAnsi="Calibri"/>
          <w:noProof/>
        </w:rPr>
        <w:t xml:space="preserve">. Reduction of broad-spectrum antibiotic use with computerized decision support in an intensive care unit. </w:t>
      </w:r>
      <w:r w:rsidRPr="00067614">
        <w:rPr>
          <w:rFonts w:ascii="Calibri" w:hAnsi="Calibri"/>
          <w:i/>
          <w:noProof/>
        </w:rPr>
        <w:t>Int J Qual Health Care</w:t>
      </w:r>
      <w:r>
        <w:rPr>
          <w:rFonts w:ascii="Calibri" w:hAnsi="Calibri"/>
          <w:noProof/>
        </w:rPr>
        <w:t xml:space="preserve"> 2006; </w:t>
      </w:r>
      <w:r w:rsidRPr="00067614">
        <w:rPr>
          <w:rFonts w:ascii="Calibri" w:hAnsi="Calibri"/>
          <w:b/>
          <w:noProof/>
        </w:rPr>
        <w:t>18</w:t>
      </w:r>
      <w:r>
        <w:rPr>
          <w:rFonts w:ascii="Calibri" w:hAnsi="Calibri"/>
          <w:noProof/>
        </w:rPr>
        <w:t>: 224-31.</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16. </w:t>
      </w:r>
      <w:r>
        <w:rPr>
          <w:rFonts w:ascii="Calibri" w:hAnsi="Calibri"/>
          <w:noProof/>
        </w:rPr>
        <w:tab/>
        <w:t xml:space="preserve">Yong MK, Buising KL, Cheng AC, </w:t>
      </w:r>
      <w:r w:rsidR="007A24C1" w:rsidRPr="007A24C1">
        <w:rPr>
          <w:rFonts w:ascii="Calibri" w:hAnsi="Calibri"/>
          <w:i/>
          <w:noProof/>
        </w:rPr>
        <w:t>et al</w:t>
      </w:r>
      <w:r>
        <w:rPr>
          <w:rFonts w:ascii="Calibri" w:hAnsi="Calibri"/>
          <w:noProof/>
        </w:rPr>
        <w:t xml:space="preserve">. Improved susceptibility of Gram-negative bacteria in an intensive care unit following implementation of a computerized antibiotic decision support system. </w:t>
      </w:r>
      <w:r w:rsidRPr="00067614">
        <w:rPr>
          <w:rFonts w:ascii="Calibri" w:hAnsi="Calibri"/>
          <w:i/>
          <w:noProof/>
        </w:rPr>
        <w:t>J Antimicrob Chemother</w:t>
      </w:r>
      <w:r>
        <w:rPr>
          <w:rFonts w:ascii="Calibri" w:hAnsi="Calibri"/>
          <w:noProof/>
        </w:rPr>
        <w:t xml:space="preserve"> 2010; </w:t>
      </w:r>
      <w:r w:rsidRPr="00067614">
        <w:rPr>
          <w:rFonts w:ascii="Calibri" w:hAnsi="Calibri"/>
          <w:b/>
          <w:noProof/>
        </w:rPr>
        <w:t>65</w:t>
      </w:r>
      <w:r>
        <w:rPr>
          <w:rFonts w:ascii="Calibri" w:hAnsi="Calibri"/>
          <w:noProof/>
        </w:rPr>
        <w:t>: 1062-9.</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17. </w:t>
      </w:r>
      <w:r>
        <w:rPr>
          <w:rFonts w:ascii="Calibri" w:hAnsi="Calibri"/>
          <w:noProof/>
        </w:rPr>
        <w:tab/>
        <w:t xml:space="preserve">Buising KL, Thursky KA, Robertson MB, </w:t>
      </w:r>
      <w:r w:rsidR="007A24C1" w:rsidRPr="007A24C1">
        <w:rPr>
          <w:rFonts w:ascii="Calibri" w:hAnsi="Calibri"/>
          <w:i/>
          <w:noProof/>
        </w:rPr>
        <w:t>et al</w:t>
      </w:r>
      <w:r>
        <w:rPr>
          <w:rFonts w:ascii="Calibri" w:hAnsi="Calibri"/>
          <w:noProof/>
        </w:rPr>
        <w:t xml:space="preserve">. Electronic antibiotic stewardship--reduced consumption of broad-spectrum antibiotics using a computerized antimicrobial approval system in a hospital setting. </w:t>
      </w:r>
      <w:r w:rsidRPr="00067614">
        <w:rPr>
          <w:rFonts w:ascii="Calibri" w:hAnsi="Calibri"/>
          <w:i/>
          <w:noProof/>
        </w:rPr>
        <w:t>J Antimicrob Chemother</w:t>
      </w:r>
      <w:r>
        <w:rPr>
          <w:rFonts w:ascii="Calibri" w:hAnsi="Calibri"/>
          <w:noProof/>
        </w:rPr>
        <w:t xml:space="preserve"> 2008; </w:t>
      </w:r>
      <w:r w:rsidRPr="00067614">
        <w:rPr>
          <w:rFonts w:ascii="Calibri" w:hAnsi="Calibri"/>
          <w:b/>
          <w:noProof/>
        </w:rPr>
        <w:t>62</w:t>
      </w:r>
      <w:r>
        <w:rPr>
          <w:rFonts w:ascii="Calibri" w:hAnsi="Calibri"/>
          <w:noProof/>
        </w:rPr>
        <w:t>: 608-16.</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18. </w:t>
      </w:r>
      <w:r>
        <w:rPr>
          <w:rFonts w:ascii="Calibri" w:hAnsi="Calibri"/>
          <w:noProof/>
        </w:rPr>
        <w:tab/>
      </w:r>
      <w:r w:rsidRPr="00A27AFA">
        <w:rPr>
          <w:rFonts w:ascii="Calibri" w:hAnsi="Calibri"/>
          <w:noProof/>
        </w:rPr>
        <w:t xml:space="preserve">Evans RS, Pestotnik SL, Classen DC, </w:t>
      </w:r>
      <w:r w:rsidR="007A24C1" w:rsidRPr="00A27AFA">
        <w:rPr>
          <w:rFonts w:ascii="Calibri" w:hAnsi="Calibri"/>
          <w:i/>
          <w:noProof/>
        </w:rPr>
        <w:t>et al</w:t>
      </w:r>
      <w:r w:rsidRPr="00A27AFA">
        <w:rPr>
          <w:rFonts w:ascii="Calibri" w:hAnsi="Calibri"/>
          <w:noProof/>
        </w:rPr>
        <w:t xml:space="preserve">. </w:t>
      </w:r>
      <w:r>
        <w:rPr>
          <w:rFonts w:ascii="Calibri" w:hAnsi="Calibri"/>
          <w:noProof/>
        </w:rPr>
        <w:t xml:space="preserve">A computer-assisted management program for antibiotics and other antiinfective agents. </w:t>
      </w:r>
      <w:r w:rsidRPr="00067614">
        <w:rPr>
          <w:rFonts w:ascii="Calibri" w:hAnsi="Calibri"/>
          <w:i/>
          <w:noProof/>
        </w:rPr>
        <w:t>N Engl J Med</w:t>
      </w:r>
      <w:r>
        <w:rPr>
          <w:rFonts w:ascii="Calibri" w:hAnsi="Calibri"/>
          <w:noProof/>
        </w:rPr>
        <w:t xml:space="preserve"> 1998; </w:t>
      </w:r>
      <w:r w:rsidRPr="00067614">
        <w:rPr>
          <w:rFonts w:ascii="Calibri" w:hAnsi="Calibri"/>
          <w:b/>
          <w:noProof/>
        </w:rPr>
        <w:t>338</w:t>
      </w:r>
      <w:r>
        <w:rPr>
          <w:rFonts w:ascii="Calibri" w:hAnsi="Calibri"/>
          <w:noProof/>
        </w:rPr>
        <w:t>: 232-8.</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19. </w:t>
      </w:r>
      <w:r>
        <w:rPr>
          <w:rFonts w:ascii="Calibri" w:hAnsi="Calibri"/>
          <w:noProof/>
        </w:rPr>
        <w:tab/>
        <w:t xml:space="preserve">Chow AL, Lye DC, Arah OA. Mortality Benefits of Antibiotic Computerised Decision Support System: Modifying Effects of Age. </w:t>
      </w:r>
      <w:r w:rsidRPr="00067614">
        <w:rPr>
          <w:rFonts w:ascii="Calibri" w:hAnsi="Calibri"/>
          <w:i/>
          <w:noProof/>
        </w:rPr>
        <w:t>Sci Rep</w:t>
      </w:r>
      <w:r>
        <w:rPr>
          <w:rFonts w:ascii="Calibri" w:hAnsi="Calibri"/>
          <w:noProof/>
        </w:rPr>
        <w:t xml:space="preserve"> 2015; </w:t>
      </w:r>
      <w:r w:rsidRPr="00067614">
        <w:rPr>
          <w:rFonts w:ascii="Calibri" w:hAnsi="Calibri"/>
          <w:b/>
          <w:noProof/>
        </w:rPr>
        <w:t>5</w:t>
      </w:r>
      <w:r>
        <w:rPr>
          <w:rFonts w:ascii="Calibri" w:hAnsi="Calibri"/>
          <w:noProof/>
        </w:rPr>
        <w:t>: 17346.</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lastRenderedPageBreak/>
        <w:tab/>
        <w:t xml:space="preserve">20. </w:t>
      </w:r>
      <w:r>
        <w:rPr>
          <w:rFonts w:ascii="Calibri" w:hAnsi="Calibri"/>
          <w:noProof/>
        </w:rPr>
        <w:tab/>
        <w:t xml:space="preserve">Bright TJ. Transforming user needs into functional requirements for an antibiotic clinical decision support system: explicating content analysis for system design. </w:t>
      </w:r>
      <w:r w:rsidRPr="00067614">
        <w:rPr>
          <w:rFonts w:ascii="Calibri" w:hAnsi="Calibri"/>
          <w:i/>
          <w:noProof/>
        </w:rPr>
        <w:t>Appl Clin Inform</w:t>
      </w:r>
      <w:r>
        <w:rPr>
          <w:rFonts w:ascii="Calibri" w:hAnsi="Calibri"/>
          <w:noProof/>
        </w:rPr>
        <w:t xml:space="preserve"> 2013; </w:t>
      </w:r>
      <w:r w:rsidRPr="00067614">
        <w:rPr>
          <w:rFonts w:ascii="Calibri" w:hAnsi="Calibri"/>
          <w:b/>
          <w:noProof/>
        </w:rPr>
        <w:t>4</w:t>
      </w:r>
      <w:r>
        <w:rPr>
          <w:rFonts w:ascii="Calibri" w:hAnsi="Calibri"/>
          <w:noProof/>
        </w:rPr>
        <w:t>: 618-35.</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21. </w:t>
      </w:r>
      <w:r>
        <w:rPr>
          <w:rFonts w:ascii="Calibri" w:hAnsi="Calibri"/>
          <w:noProof/>
        </w:rPr>
        <w:tab/>
        <w:t xml:space="preserve">Hsieh HF, Shannon SE. Three approaches to qualitative content analysis. </w:t>
      </w:r>
      <w:r w:rsidRPr="00067614">
        <w:rPr>
          <w:rFonts w:ascii="Calibri" w:hAnsi="Calibri"/>
          <w:i/>
          <w:noProof/>
        </w:rPr>
        <w:t>Qual Health Res</w:t>
      </w:r>
      <w:r>
        <w:rPr>
          <w:rFonts w:ascii="Calibri" w:hAnsi="Calibri"/>
          <w:noProof/>
        </w:rPr>
        <w:t xml:space="preserve"> 2005; </w:t>
      </w:r>
      <w:r w:rsidRPr="00067614">
        <w:rPr>
          <w:rFonts w:ascii="Calibri" w:hAnsi="Calibri"/>
          <w:b/>
          <w:noProof/>
        </w:rPr>
        <w:t>15</w:t>
      </w:r>
      <w:r>
        <w:rPr>
          <w:rFonts w:ascii="Calibri" w:hAnsi="Calibri"/>
          <w:noProof/>
        </w:rPr>
        <w:t>: 1277-88.</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22. </w:t>
      </w:r>
      <w:r>
        <w:rPr>
          <w:rFonts w:ascii="Calibri" w:hAnsi="Calibri"/>
          <w:noProof/>
        </w:rPr>
        <w:tab/>
        <w:t>Public Health England</w:t>
      </w:r>
      <w:r w:rsidR="007A24C1">
        <w:rPr>
          <w:rFonts w:ascii="Calibri" w:hAnsi="Calibri"/>
          <w:noProof/>
        </w:rPr>
        <w:t xml:space="preserve"> 2015</w:t>
      </w:r>
      <w:r>
        <w:rPr>
          <w:rFonts w:ascii="Calibri" w:hAnsi="Calibri"/>
          <w:noProof/>
        </w:rPr>
        <w:t xml:space="preserve">. Antimicrobial Stewardship: "Start Smart - Then Focus". </w:t>
      </w:r>
      <w:r w:rsidRPr="007A24C1">
        <w:rPr>
          <w:rFonts w:ascii="Calibri" w:hAnsi="Calibri"/>
          <w:noProof/>
        </w:rPr>
        <w:t>https://www.gov.uk/government/publications/antimicrobial-stewardship-start-smart-then-focus</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r>
      <w:r w:rsidRPr="00A27AFA">
        <w:rPr>
          <w:rFonts w:ascii="Calibri" w:hAnsi="Calibri"/>
          <w:noProof/>
          <w:lang w:val="de-DE"/>
        </w:rPr>
        <w:t xml:space="preserve">23. </w:t>
      </w:r>
      <w:r w:rsidRPr="00A27AFA">
        <w:rPr>
          <w:rFonts w:ascii="Calibri" w:hAnsi="Calibri"/>
          <w:noProof/>
          <w:lang w:val="de-DE"/>
        </w:rPr>
        <w:tab/>
      </w:r>
      <w:r w:rsidRPr="007A24C1">
        <w:rPr>
          <w:rFonts w:ascii="Calibri" w:hAnsi="Calibri"/>
          <w:noProof/>
          <w:lang w:val="de-DE"/>
        </w:rPr>
        <w:t xml:space="preserve">Wickens HJ, Farrell S, Ashiru-Oredope DA, </w:t>
      </w:r>
      <w:r w:rsidR="007A24C1" w:rsidRPr="007A24C1">
        <w:rPr>
          <w:rFonts w:ascii="Calibri" w:hAnsi="Calibri"/>
          <w:i/>
          <w:noProof/>
          <w:lang w:val="de-DE"/>
        </w:rPr>
        <w:t>et al</w:t>
      </w:r>
      <w:r w:rsidRPr="007A24C1">
        <w:rPr>
          <w:rFonts w:ascii="Calibri" w:hAnsi="Calibri"/>
          <w:noProof/>
          <w:lang w:val="de-DE"/>
        </w:rPr>
        <w:t xml:space="preserve">. </w:t>
      </w:r>
      <w:r>
        <w:rPr>
          <w:rFonts w:ascii="Calibri" w:hAnsi="Calibri"/>
          <w:noProof/>
        </w:rPr>
        <w:t xml:space="preserve">The increasing role of pharmacists in antimicrobial stewardship in English hospitals. </w:t>
      </w:r>
      <w:r w:rsidRPr="00067614">
        <w:rPr>
          <w:rFonts w:ascii="Calibri" w:hAnsi="Calibri"/>
          <w:i/>
          <w:noProof/>
        </w:rPr>
        <w:t>J Antimicrob Chemother</w:t>
      </w:r>
      <w:r>
        <w:rPr>
          <w:rFonts w:ascii="Calibri" w:hAnsi="Calibri"/>
          <w:noProof/>
        </w:rPr>
        <w:t xml:space="preserve"> 2013; </w:t>
      </w:r>
      <w:r w:rsidRPr="00067614">
        <w:rPr>
          <w:rFonts w:ascii="Calibri" w:hAnsi="Calibri"/>
          <w:b/>
          <w:noProof/>
        </w:rPr>
        <w:t>68</w:t>
      </w:r>
      <w:r>
        <w:rPr>
          <w:rFonts w:ascii="Calibri" w:hAnsi="Calibri"/>
          <w:noProof/>
        </w:rPr>
        <w:t>: 2675-81.</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24. </w:t>
      </w:r>
      <w:r>
        <w:rPr>
          <w:rFonts w:ascii="Calibri" w:hAnsi="Calibri"/>
          <w:noProof/>
        </w:rPr>
        <w:tab/>
        <w:t>Royal College of Pathologists</w:t>
      </w:r>
      <w:r w:rsidR="007A24C1">
        <w:rPr>
          <w:rFonts w:ascii="Calibri" w:hAnsi="Calibri"/>
          <w:noProof/>
        </w:rPr>
        <w:t xml:space="preserve"> 2015</w:t>
      </w:r>
      <w:r>
        <w:rPr>
          <w:rFonts w:ascii="Calibri" w:hAnsi="Calibri"/>
          <w:noProof/>
        </w:rPr>
        <w:t xml:space="preserve">. First Annual Medical Workforce Report 2015. </w:t>
      </w:r>
      <w:r w:rsidRPr="007A24C1">
        <w:rPr>
          <w:rFonts w:ascii="Calibri" w:hAnsi="Calibri"/>
          <w:noProof/>
        </w:rPr>
        <w:t>https://www.rcpath.org/resourceLibrary/first-annual-medical-workforce-report--2015.html</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25. </w:t>
      </w:r>
      <w:r>
        <w:rPr>
          <w:rFonts w:ascii="Calibri" w:hAnsi="Calibri"/>
          <w:noProof/>
        </w:rPr>
        <w:tab/>
        <w:t>Health and Social Care Northern Ireland</w:t>
      </w:r>
      <w:r w:rsidR="007A24C1">
        <w:rPr>
          <w:rFonts w:ascii="Calibri" w:hAnsi="Calibri"/>
          <w:noProof/>
        </w:rPr>
        <w:t xml:space="preserve"> 2016</w:t>
      </w:r>
      <w:r>
        <w:rPr>
          <w:rFonts w:ascii="Calibri" w:hAnsi="Calibri"/>
          <w:noProof/>
        </w:rPr>
        <w:t xml:space="preserve">. Directory of Health and Social Care Trusts. </w:t>
      </w:r>
      <w:r w:rsidRPr="007A24C1">
        <w:rPr>
          <w:rFonts w:ascii="Calibri" w:hAnsi="Calibri"/>
          <w:noProof/>
        </w:rPr>
        <w:t>http://online.hscni.net/hospitals/health-and-social-care-trusts/</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26. </w:t>
      </w:r>
      <w:r>
        <w:rPr>
          <w:rFonts w:ascii="Calibri" w:hAnsi="Calibri"/>
          <w:noProof/>
        </w:rPr>
        <w:tab/>
        <w:t>Department of Health</w:t>
      </w:r>
      <w:r w:rsidR="007A24C1">
        <w:rPr>
          <w:rFonts w:ascii="Calibri" w:hAnsi="Calibri"/>
          <w:noProof/>
        </w:rPr>
        <w:t xml:space="preserve"> 2016</w:t>
      </w:r>
      <w:r>
        <w:rPr>
          <w:rFonts w:ascii="Calibri" w:hAnsi="Calibri"/>
          <w:noProof/>
        </w:rPr>
        <w:t xml:space="preserve">. Directory of Authorities and Trusts. </w:t>
      </w:r>
      <w:r w:rsidRPr="007A24C1">
        <w:rPr>
          <w:rFonts w:ascii="Calibri" w:hAnsi="Calibri"/>
          <w:noProof/>
        </w:rPr>
        <w:t>http://www.nhs.uk/servicedirectories/pages/acutetrustlisting.aspx</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27. </w:t>
      </w:r>
      <w:r>
        <w:rPr>
          <w:rFonts w:ascii="Calibri" w:hAnsi="Calibri"/>
          <w:noProof/>
        </w:rPr>
        <w:tab/>
        <w:t>NHS Scotland</w:t>
      </w:r>
      <w:r w:rsidR="007A24C1">
        <w:rPr>
          <w:rFonts w:ascii="Calibri" w:hAnsi="Calibri"/>
          <w:noProof/>
        </w:rPr>
        <w:t xml:space="preserve"> 2016</w:t>
      </w:r>
      <w:r>
        <w:rPr>
          <w:rFonts w:ascii="Calibri" w:hAnsi="Calibri"/>
          <w:noProof/>
        </w:rPr>
        <w:t xml:space="preserve">. Directory of Organisations. </w:t>
      </w:r>
      <w:r w:rsidRPr="007A24C1">
        <w:rPr>
          <w:rFonts w:ascii="Calibri" w:hAnsi="Calibri"/>
          <w:noProof/>
        </w:rPr>
        <w:t>http://www.show.scot.nhs.uk/organisations/</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28. </w:t>
      </w:r>
      <w:r>
        <w:rPr>
          <w:rFonts w:ascii="Calibri" w:hAnsi="Calibri"/>
          <w:noProof/>
        </w:rPr>
        <w:tab/>
        <w:t>NHS Wales</w:t>
      </w:r>
      <w:r w:rsidR="007A24C1">
        <w:rPr>
          <w:rFonts w:ascii="Calibri" w:hAnsi="Calibri"/>
          <w:noProof/>
        </w:rPr>
        <w:t xml:space="preserve"> 2016</w:t>
      </w:r>
      <w:r>
        <w:rPr>
          <w:rFonts w:ascii="Calibri" w:hAnsi="Calibri"/>
          <w:noProof/>
        </w:rPr>
        <w:t xml:space="preserve">. Directory of Services. </w:t>
      </w:r>
      <w:r w:rsidRPr="007A24C1">
        <w:rPr>
          <w:rFonts w:ascii="Calibri" w:hAnsi="Calibri"/>
          <w:noProof/>
        </w:rPr>
        <w:t>http://www.wales.nhs.uk/ourservices/directory/</w:t>
      </w:r>
    </w:p>
    <w:p w:rsidR="00F3413D" w:rsidRPr="00A27AFA" w:rsidRDefault="00F3413D" w:rsidP="007A24C1">
      <w:pPr>
        <w:tabs>
          <w:tab w:val="right" w:pos="360"/>
          <w:tab w:val="left" w:pos="540"/>
        </w:tabs>
        <w:spacing w:after="240" w:line="240" w:lineRule="auto"/>
        <w:ind w:left="1260" w:hanging="1260"/>
        <w:rPr>
          <w:rFonts w:ascii="Calibri" w:hAnsi="Calibri"/>
          <w:noProof/>
          <w:lang w:val="it-IT"/>
        </w:rPr>
      </w:pPr>
      <w:r>
        <w:rPr>
          <w:rFonts w:ascii="Calibri" w:hAnsi="Calibri"/>
          <w:noProof/>
        </w:rPr>
        <w:tab/>
      </w:r>
      <w:r w:rsidRPr="00A27AFA">
        <w:rPr>
          <w:rFonts w:ascii="Calibri" w:hAnsi="Calibri"/>
          <w:noProof/>
          <w:lang w:val="de-DE"/>
        </w:rPr>
        <w:t xml:space="preserve">29. </w:t>
      </w:r>
      <w:r w:rsidRPr="00A27AFA">
        <w:rPr>
          <w:rFonts w:ascii="Calibri" w:hAnsi="Calibri"/>
          <w:noProof/>
          <w:lang w:val="de-DE"/>
        </w:rPr>
        <w:tab/>
      </w:r>
      <w:r w:rsidRPr="007A24C1">
        <w:rPr>
          <w:rFonts w:ascii="Calibri" w:hAnsi="Calibri"/>
          <w:noProof/>
          <w:lang w:val="de-DE"/>
        </w:rPr>
        <w:t xml:space="preserve">Ahmed Z, McLeod MC, Barber N, </w:t>
      </w:r>
      <w:r w:rsidR="007A24C1" w:rsidRPr="007A24C1">
        <w:rPr>
          <w:rFonts w:ascii="Calibri" w:hAnsi="Calibri"/>
          <w:i/>
          <w:noProof/>
          <w:lang w:val="de-DE"/>
        </w:rPr>
        <w:t>et al</w:t>
      </w:r>
      <w:r w:rsidRPr="007A24C1">
        <w:rPr>
          <w:rFonts w:ascii="Calibri" w:hAnsi="Calibri"/>
          <w:noProof/>
          <w:lang w:val="de-DE"/>
        </w:rPr>
        <w:t xml:space="preserve">. </w:t>
      </w:r>
      <w:r>
        <w:rPr>
          <w:rFonts w:ascii="Calibri" w:hAnsi="Calibri"/>
          <w:noProof/>
        </w:rPr>
        <w:t xml:space="preserve">The use and functionality of electronic prescribing systems in english acute NHS trusts: a cross-sectional survey. </w:t>
      </w:r>
      <w:r w:rsidRPr="00A27AFA">
        <w:rPr>
          <w:rFonts w:ascii="Calibri" w:hAnsi="Calibri"/>
          <w:i/>
          <w:noProof/>
          <w:lang w:val="it-IT"/>
        </w:rPr>
        <w:t>PLoS One</w:t>
      </w:r>
      <w:r w:rsidRPr="00A27AFA">
        <w:rPr>
          <w:rFonts w:ascii="Calibri" w:hAnsi="Calibri"/>
          <w:noProof/>
          <w:lang w:val="it-IT"/>
        </w:rPr>
        <w:t xml:space="preserve"> 2013; </w:t>
      </w:r>
      <w:r w:rsidRPr="00A27AFA">
        <w:rPr>
          <w:rFonts w:ascii="Calibri" w:hAnsi="Calibri"/>
          <w:b/>
          <w:noProof/>
          <w:lang w:val="it-IT"/>
        </w:rPr>
        <w:t>8</w:t>
      </w:r>
      <w:r w:rsidRPr="00A27AFA">
        <w:rPr>
          <w:rFonts w:ascii="Calibri" w:hAnsi="Calibri"/>
          <w:noProof/>
          <w:lang w:val="it-IT"/>
        </w:rPr>
        <w:t>: e80378.</w:t>
      </w:r>
    </w:p>
    <w:p w:rsidR="00F3413D" w:rsidRDefault="00F3413D" w:rsidP="007A24C1">
      <w:pPr>
        <w:tabs>
          <w:tab w:val="right" w:pos="360"/>
          <w:tab w:val="left" w:pos="540"/>
        </w:tabs>
        <w:spacing w:after="240" w:line="240" w:lineRule="auto"/>
        <w:ind w:left="1260" w:hanging="1260"/>
        <w:rPr>
          <w:rFonts w:ascii="Calibri" w:hAnsi="Calibri"/>
          <w:noProof/>
        </w:rPr>
      </w:pPr>
      <w:r w:rsidRPr="00A27AFA">
        <w:rPr>
          <w:rFonts w:ascii="Calibri" w:hAnsi="Calibri"/>
          <w:noProof/>
          <w:lang w:val="it-IT"/>
        </w:rPr>
        <w:tab/>
        <w:t xml:space="preserve">30. </w:t>
      </w:r>
      <w:r w:rsidRPr="00A27AFA">
        <w:rPr>
          <w:rFonts w:ascii="Calibri" w:hAnsi="Calibri"/>
          <w:noProof/>
          <w:lang w:val="it-IT"/>
        </w:rPr>
        <w:tab/>
      </w:r>
      <w:r w:rsidRPr="007A24C1">
        <w:rPr>
          <w:rFonts w:ascii="Calibri" w:hAnsi="Calibri"/>
          <w:noProof/>
          <w:lang w:val="it-IT"/>
        </w:rPr>
        <w:t xml:space="preserve">Davey P, Brown E, Charani E, </w:t>
      </w:r>
      <w:r w:rsidR="007A24C1" w:rsidRPr="007A24C1">
        <w:rPr>
          <w:rFonts w:ascii="Calibri" w:hAnsi="Calibri"/>
          <w:i/>
          <w:noProof/>
          <w:lang w:val="it-IT"/>
        </w:rPr>
        <w:t>et al</w:t>
      </w:r>
      <w:r w:rsidRPr="007A24C1">
        <w:rPr>
          <w:rFonts w:ascii="Calibri" w:hAnsi="Calibri"/>
          <w:noProof/>
          <w:lang w:val="it-IT"/>
        </w:rPr>
        <w:t xml:space="preserve">. </w:t>
      </w:r>
      <w:r>
        <w:rPr>
          <w:rFonts w:ascii="Calibri" w:hAnsi="Calibri"/>
          <w:noProof/>
        </w:rPr>
        <w:t xml:space="preserve">Interventions to improve antibiotic prescribing practices for hospital inpatients. </w:t>
      </w:r>
      <w:r w:rsidRPr="00067614">
        <w:rPr>
          <w:rFonts w:ascii="Calibri" w:hAnsi="Calibri"/>
          <w:i/>
          <w:noProof/>
        </w:rPr>
        <w:t>Cochrane Database Syst Rev</w:t>
      </w:r>
      <w:r>
        <w:rPr>
          <w:rFonts w:ascii="Calibri" w:hAnsi="Calibri"/>
          <w:noProof/>
        </w:rPr>
        <w:t xml:space="preserve"> 2013; </w:t>
      </w:r>
      <w:r w:rsidRPr="00067614">
        <w:rPr>
          <w:rFonts w:ascii="Calibri" w:hAnsi="Calibri"/>
          <w:b/>
          <w:noProof/>
        </w:rPr>
        <w:t>4</w:t>
      </w:r>
      <w:r>
        <w:rPr>
          <w:rFonts w:ascii="Calibri" w:hAnsi="Calibri"/>
          <w:noProof/>
        </w:rPr>
        <w:t>: CD003543.</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31. </w:t>
      </w:r>
      <w:r>
        <w:rPr>
          <w:rFonts w:ascii="Calibri" w:hAnsi="Calibri"/>
          <w:noProof/>
        </w:rPr>
        <w:tab/>
        <w:t xml:space="preserve">Hermsen ED, VanSchooneveld TC, Sayles H, </w:t>
      </w:r>
      <w:r w:rsidR="007A24C1" w:rsidRPr="007A24C1">
        <w:rPr>
          <w:rFonts w:ascii="Calibri" w:hAnsi="Calibri"/>
          <w:i/>
          <w:noProof/>
        </w:rPr>
        <w:t>et al</w:t>
      </w:r>
      <w:r>
        <w:rPr>
          <w:rFonts w:ascii="Calibri" w:hAnsi="Calibri"/>
          <w:noProof/>
        </w:rPr>
        <w:t xml:space="preserve">. Implementation of a clinical decision support system for antimicrobial stewardship. </w:t>
      </w:r>
      <w:r w:rsidRPr="00067614">
        <w:rPr>
          <w:rFonts w:ascii="Calibri" w:hAnsi="Calibri"/>
          <w:i/>
          <w:noProof/>
        </w:rPr>
        <w:t>Infect Control Hosp Epidemiol</w:t>
      </w:r>
      <w:r>
        <w:rPr>
          <w:rFonts w:ascii="Calibri" w:hAnsi="Calibri"/>
          <w:noProof/>
        </w:rPr>
        <w:t xml:space="preserve"> 2012; </w:t>
      </w:r>
      <w:r w:rsidRPr="00067614">
        <w:rPr>
          <w:rFonts w:ascii="Calibri" w:hAnsi="Calibri"/>
          <w:b/>
          <w:noProof/>
        </w:rPr>
        <w:t>33</w:t>
      </w:r>
      <w:r>
        <w:rPr>
          <w:rFonts w:ascii="Calibri" w:hAnsi="Calibri"/>
          <w:noProof/>
        </w:rPr>
        <w:t>: 412-5.</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32. </w:t>
      </w:r>
      <w:r>
        <w:rPr>
          <w:rFonts w:ascii="Calibri" w:hAnsi="Calibri"/>
          <w:noProof/>
        </w:rPr>
        <w:tab/>
        <w:t xml:space="preserve">Thakkar K, Gilchrist M, Dickinson E, </w:t>
      </w:r>
      <w:r w:rsidR="007A24C1" w:rsidRPr="007A24C1">
        <w:rPr>
          <w:rFonts w:ascii="Calibri" w:hAnsi="Calibri"/>
          <w:i/>
          <w:noProof/>
        </w:rPr>
        <w:t>et al</w:t>
      </w:r>
      <w:r>
        <w:rPr>
          <w:rFonts w:ascii="Calibri" w:hAnsi="Calibri"/>
          <w:noProof/>
        </w:rPr>
        <w:t xml:space="preserve">. A quality improvement programme to increase compliance with an anti-infective prescribing policy. </w:t>
      </w:r>
      <w:r w:rsidRPr="00067614">
        <w:rPr>
          <w:rFonts w:ascii="Calibri" w:hAnsi="Calibri"/>
          <w:i/>
          <w:noProof/>
        </w:rPr>
        <w:t>J Antimicrob Chemother</w:t>
      </w:r>
      <w:r>
        <w:rPr>
          <w:rFonts w:ascii="Calibri" w:hAnsi="Calibri"/>
          <w:noProof/>
        </w:rPr>
        <w:t xml:space="preserve"> 2011; </w:t>
      </w:r>
      <w:r w:rsidRPr="00067614">
        <w:rPr>
          <w:rFonts w:ascii="Calibri" w:hAnsi="Calibri"/>
          <w:b/>
          <w:noProof/>
        </w:rPr>
        <w:t>66</w:t>
      </w:r>
      <w:r>
        <w:rPr>
          <w:rFonts w:ascii="Calibri" w:hAnsi="Calibri"/>
          <w:noProof/>
        </w:rPr>
        <w:t>: 1916-20.</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33. </w:t>
      </w:r>
      <w:r>
        <w:rPr>
          <w:rFonts w:ascii="Calibri" w:hAnsi="Calibri"/>
          <w:noProof/>
        </w:rPr>
        <w:tab/>
        <w:t xml:space="preserve">Burns KE, Duffett M, Kho ME, </w:t>
      </w:r>
      <w:r w:rsidR="007A24C1" w:rsidRPr="007A24C1">
        <w:rPr>
          <w:rFonts w:ascii="Calibri" w:hAnsi="Calibri"/>
          <w:i/>
          <w:noProof/>
        </w:rPr>
        <w:t>et al</w:t>
      </w:r>
      <w:r>
        <w:rPr>
          <w:rFonts w:ascii="Calibri" w:hAnsi="Calibri"/>
          <w:noProof/>
        </w:rPr>
        <w:t xml:space="preserve">. A guide for the design and conduct of self-administered surveys of clinicians. </w:t>
      </w:r>
      <w:r w:rsidRPr="00067614">
        <w:rPr>
          <w:rFonts w:ascii="Calibri" w:hAnsi="Calibri"/>
          <w:i/>
          <w:noProof/>
        </w:rPr>
        <w:t>CMAJ</w:t>
      </w:r>
      <w:r>
        <w:rPr>
          <w:rFonts w:ascii="Calibri" w:hAnsi="Calibri"/>
          <w:noProof/>
        </w:rPr>
        <w:t xml:space="preserve"> 2008; </w:t>
      </w:r>
      <w:r w:rsidRPr="00067614">
        <w:rPr>
          <w:rFonts w:ascii="Calibri" w:hAnsi="Calibri"/>
          <w:b/>
          <w:noProof/>
        </w:rPr>
        <w:t>179</w:t>
      </w:r>
      <w:r>
        <w:rPr>
          <w:rFonts w:ascii="Calibri" w:hAnsi="Calibri"/>
          <w:noProof/>
        </w:rPr>
        <w:t>: 245-52.</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34. </w:t>
      </w:r>
      <w:r>
        <w:rPr>
          <w:rFonts w:ascii="Calibri" w:hAnsi="Calibri"/>
          <w:noProof/>
        </w:rPr>
        <w:tab/>
        <w:t xml:space="preserve">Kelley K, Clark B, Brown V, </w:t>
      </w:r>
      <w:r w:rsidR="007A24C1" w:rsidRPr="007A24C1">
        <w:rPr>
          <w:rFonts w:ascii="Calibri" w:hAnsi="Calibri"/>
          <w:i/>
          <w:noProof/>
        </w:rPr>
        <w:t>et al</w:t>
      </w:r>
      <w:r>
        <w:rPr>
          <w:rFonts w:ascii="Calibri" w:hAnsi="Calibri"/>
          <w:noProof/>
        </w:rPr>
        <w:t xml:space="preserve">. Good practice in the conduct and reporting of survey research. </w:t>
      </w:r>
      <w:r w:rsidRPr="00067614">
        <w:rPr>
          <w:rFonts w:ascii="Calibri" w:hAnsi="Calibri"/>
          <w:i/>
          <w:noProof/>
        </w:rPr>
        <w:t>Int J Qual Health Care</w:t>
      </w:r>
      <w:r>
        <w:rPr>
          <w:rFonts w:ascii="Calibri" w:hAnsi="Calibri"/>
          <w:noProof/>
        </w:rPr>
        <w:t xml:space="preserve"> 2003; </w:t>
      </w:r>
      <w:r w:rsidRPr="00067614">
        <w:rPr>
          <w:rFonts w:ascii="Calibri" w:hAnsi="Calibri"/>
          <w:b/>
          <w:noProof/>
        </w:rPr>
        <w:t>15</w:t>
      </w:r>
      <w:r>
        <w:rPr>
          <w:rFonts w:ascii="Calibri" w:hAnsi="Calibri"/>
          <w:noProof/>
        </w:rPr>
        <w:t>: 261-6.</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35. </w:t>
      </w:r>
      <w:r>
        <w:rPr>
          <w:rFonts w:ascii="Calibri" w:hAnsi="Calibri"/>
          <w:noProof/>
        </w:rPr>
        <w:tab/>
        <w:t>ESPAUR</w:t>
      </w:r>
      <w:r w:rsidR="0015131A">
        <w:rPr>
          <w:rFonts w:ascii="Calibri" w:hAnsi="Calibri"/>
          <w:noProof/>
        </w:rPr>
        <w:t xml:space="preserve"> 2014</w:t>
      </w:r>
      <w:r>
        <w:rPr>
          <w:rFonts w:ascii="Calibri" w:hAnsi="Calibri"/>
          <w:noProof/>
        </w:rPr>
        <w:t xml:space="preserve">. English surveillance programme for antimicrobial utilisation and resistance (ESPAUR) report 2014. </w:t>
      </w:r>
      <w:r w:rsidRPr="0015131A">
        <w:rPr>
          <w:rFonts w:ascii="Calibri" w:hAnsi="Calibri"/>
          <w:noProof/>
        </w:rPr>
        <w:t>https://www.gov.uk/government/publications/english-surveillance-programme-antimicrobial-utilisation-and-resistance-espaur-report</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lastRenderedPageBreak/>
        <w:tab/>
      </w:r>
      <w:r w:rsidRPr="00A27AFA">
        <w:rPr>
          <w:rFonts w:ascii="Calibri" w:hAnsi="Calibri"/>
          <w:noProof/>
          <w:lang w:val="it-IT"/>
        </w:rPr>
        <w:t xml:space="preserve">36. </w:t>
      </w:r>
      <w:r w:rsidRPr="00A27AFA">
        <w:rPr>
          <w:rFonts w:ascii="Calibri" w:hAnsi="Calibri"/>
          <w:noProof/>
          <w:lang w:val="it-IT"/>
        </w:rPr>
        <w:tab/>
      </w:r>
      <w:r w:rsidRPr="007A24C1">
        <w:rPr>
          <w:rFonts w:ascii="Calibri" w:hAnsi="Calibri"/>
          <w:noProof/>
          <w:lang w:val="it-IT"/>
        </w:rPr>
        <w:t xml:space="preserve">Ansari F, Gray K, Nathwani D, </w:t>
      </w:r>
      <w:r w:rsidR="007A24C1" w:rsidRPr="0015131A">
        <w:rPr>
          <w:rFonts w:ascii="Calibri" w:hAnsi="Calibri"/>
          <w:i/>
          <w:noProof/>
          <w:lang w:val="it-IT"/>
        </w:rPr>
        <w:t>et al</w:t>
      </w:r>
      <w:r w:rsidRPr="007A24C1">
        <w:rPr>
          <w:rFonts w:ascii="Calibri" w:hAnsi="Calibri"/>
          <w:noProof/>
          <w:lang w:val="it-IT"/>
        </w:rPr>
        <w:t xml:space="preserve">. </w:t>
      </w:r>
      <w:r>
        <w:rPr>
          <w:rFonts w:ascii="Calibri" w:hAnsi="Calibri"/>
          <w:noProof/>
        </w:rPr>
        <w:t xml:space="preserve">Outcomes of an intervention to improve hospital antibiotic prescribing: interrupted time series with segmented regression analysis. </w:t>
      </w:r>
      <w:r w:rsidRPr="00067614">
        <w:rPr>
          <w:rFonts w:ascii="Calibri" w:hAnsi="Calibri"/>
          <w:i/>
          <w:noProof/>
        </w:rPr>
        <w:t>J Antimicrob Chemother</w:t>
      </w:r>
      <w:r>
        <w:rPr>
          <w:rFonts w:ascii="Calibri" w:hAnsi="Calibri"/>
          <w:noProof/>
        </w:rPr>
        <w:t xml:space="preserve"> 2003; </w:t>
      </w:r>
      <w:r w:rsidRPr="00067614">
        <w:rPr>
          <w:rFonts w:ascii="Calibri" w:hAnsi="Calibri"/>
          <w:b/>
          <w:noProof/>
        </w:rPr>
        <w:t>52</w:t>
      </w:r>
      <w:r>
        <w:rPr>
          <w:rFonts w:ascii="Calibri" w:hAnsi="Calibri"/>
          <w:noProof/>
        </w:rPr>
        <w:t>: 842-8.</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37. </w:t>
      </w:r>
      <w:r>
        <w:rPr>
          <w:rFonts w:ascii="Calibri" w:hAnsi="Calibri"/>
          <w:noProof/>
        </w:rPr>
        <w:tab/>
        <w:t xml:space="preserve">Charani E, Castro-Sanchez E, Sevdalis N, </w:t>
      </w:r>
      <w:r w:rsidR="007A24C1" w:rsidRPr="0015131A">
        <w:rPr>
          <w:rFonts w:ascii="Calibri" w:hAnsi="Calibri"/>
          <w:i/>
          <w:noProof/>
        </w:rPr>
        <w:t>et al</w:t>
      </w:r>
      <w:r>
        <w:rPr>
          <w:rFonts w:ascii="Calibri" w:hAnsi="Calibri"/>
          <w:noProof/>
        </w:rPr>
        <w:t xml:space="preserve">. Understanding the determinants of antimicrobial prescribing within hospitals: the role of "prescribing etiquette". </w:t>
      </w:r>
      <w:r w:rsidRPr="00067614">
        <w:rPr>
          <w:rFonts w:ascii="Calibri" w:hAnsi="Calibri"/>
          <w:i/>
          <w:noProof/>
        </w:rPr>
        <w:t>Clin Infect Dis</w:t>
      </w:r>
      <w:r>
        <w:rPr>
          <w:rFonts w:ascii="Calibri" w:hAnsi="Calibri"/>
          <w:noProof/>
        </w:rPr>
        <w:t xml:space="preserve"> 2013; </w:t>
      </w:r>
      <w:r w:rsidRPr="00067614">
        <w:rPr>
          <w:rFonts w:ascii="Calibri" w:hAnsi="Calibri"/>
          <w:b/>
          <w:noProof/>
        </w:rPr>
        <w:t>57</w:t>
      </w:r>
      <w:r>
        <w:rPr>
          <w:rFonts w:ascii="Calibri" w:hAnsi="Calibri"/>
          <w:noProof/>
        </w:rPr>
        <w:t>: 188-96.</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38. </w:t>
      </w:r>
      <w:r>
        <w:rPr>
          <w:rFonts w:ascii="Calibri" w:hAnsi="Calibri"/>
          <w:noProof/>
        </w:rPr>
        <w:tab/>
        <w:t xml:space="preserve">Edwards R, Drumright L, Kiernan M, </w:t>
      </w:r>
      <w:r w:rsidR="007A24C1" w:rsidRPr="0015131A">
        <w:rPr>
          <w:rFonts w:ascii="Calibri" w:hAnsi="Calibri"/>
          <w:i/>
          <w:noProof/>
        </w:rPr>
        <w:t>et al</w:t>
      </w:r>
      <w:r>
        <w:rPr>
          <w:rFonts w:ascii="Calibri" w:hAnsi="Calibri"/>
          <w:noProof/>
        </w:rPr>
        <w:t xml:space="preserve">. Covering more Territory to Fight Resistance: Considering Nurses' Role in Antimicrobial Stewardship. </w:t>
      </w:r>
      <w:r w:rsidRPr="00067614">
        <w:rPr>
          <w:rFonts w:ascii="Calibri" w:hAnsi="Calibri"/>
          <w:i/>
          <w:noProof/>
        </w:rPr>
        <w:t>J Infect Prev</w:t>
      </w:r>
      <w:r>
        <w:rPr>
          <w:rFonts w:ascii="Calibri" w:hAnsi="Calibri"/>
          <w:noProof/>
        </w:rPr>
        <w:t xml:space="preserve"> 2011; </w:t>
      </w:r>
      <w:r w:rsidRPr="00067614">
        <w:rPr>
          <w:rFonts w:ascii="Calibri" w:hAnsi="Calibri"/>
          <w:b/>
          <w:noProof/>
        </w:rPr>
        <w:t>12</w:t>
      </w:r>
      <w:r>
        <w:rPr>
          <w:rFonts w:ascii="Calibri" w:hAnsi="Calibri"/>
          <w:noProof/>
        </w:rPr>
        <w:t>: 6-10.</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39. </w:t>
      </w:r>
      <w:r>
        <w:rPr>
          <w:rFonts w:ascii="Calibri" w:hAnsi="Calibri"/>
          <w:noProof/>
        </w:rPr>
        <w:tab/>
        <w:t xml:space="preserve">Latter S, Smith A, Blenkinsopp A, </w:t>
      </w:r>
      <w:r w:rsidR="007A24C1" w:rsidRPr="0015131A">
        <w:rPr>
          <w:rFonts w:ascii="Calibri" w:hAnsi="Calibri"/>
          <w:i/>
          <w:noProof/>
        </w:rPr>
        <w:t>et al</w:t>
      </w:r>
      <w:r>
        <w:rPr>
          <w:rFonts w:ascii="Calibri" w:hAnsi="Calibri"/>
          <w:noProof/>
        </w:rPr>
        <w:t xml:space="preserve">. Are nurse and pharmacist independent prescribers making clinically appropriate prescribing decisions? An analysis of consultations. </w:t>
      </w:r>
      <w:r w:rsidRPr="00067614">
        <w:rPr>
          <w:rFonts w:ascii="Calibri" w:hAnsi="Calibri"/>
          <w:i/>
          <w:noProof/>
        </w:rPr>
        <w:t>J Health Serv Res Policy</w:t>
      </w:r>
      <w:r>
        <w:rPr>
          <w:rFonts w:ascii="Calibri" w:hAnsi="Calibri"/>
          <w:noProof/>
        </w:rPr>
        <w:t xml:space="preserve"> 2012; </w:t>
      </w:r>
      <w:r w:rsidRPr="00067614">
        <w:rPr>
          <w:rFonts w:ascii="Calibri" w:hAnsi="Calibri"/>
          <w:b/>
          <w:noProof/>
        </w:rPr>
        <w:t>17</w:t>
      </w:r>
      <w:r>
        <w:rPr>
          <w:rFonts w:ascii="Calibri" w:hAnsi="Calibri"/>
          <w:noProof/>
        </w:rPr>
        <w:t>: 149-56.</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40. </w:t>
      </w:r>
      <w:r>
        <w:rPr>
          <w:rFonts w:ascii="Calibri" w:hAnsi="Calibri"/>
          <w:noProof/>
        </w:rPr>
        <w:tab/>
        <w:t xml:space="preserve">Mattick K, Kelly N, Rees C. A window into the lives of junior doctors: narrative interviews exploring antimicrobial prescribing experiences. </w:t>
      </w:r>
      <w:r w:rsidRPr="00067614">
        <w:rPr>
          <w:rFonts w:ascii="Calibri" w:hAnsi="Calibri"/>
          <w:i/>
          <w:noProof/>
        </w:rPr>
        <w:t>J Antimicrob Chemother</w:t>
      </w:r>
      <w:r>
        <w:rPr>
          <w:rFonts w:ascii="Calibri" w:hAnsi="Calibri"/>
          <w:noProof/>
        </w:rPr>
        <w:t xml:space="preserve"> 2014; </w:t>
      </w:r>
      <w:r w:rsidRPr="00067614">
        <w:rPr>
          <w:rFonts w:ascii="Calibri" w:hAnsi="Calibri"/>
          <w:b/>
          <w:noProof/>
        </w:rPr>
        <w:t>69</w:t>
      </w:r>
      <w:r>
        <w:rPr>
          <w:rFonts w:ascii="Calibri" w:hAnsi="Calibri"/>
          <w:noProof/>
        </w:rPr>
        <w:t>: 2274-83.</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41. </w:t>
      </w:r>
      <w:r>
        <w:rPr>
          <w:rFonts w:ascii="Calibri" w:hAnsi="Calibri"/>
          <w:noProof/>
        </w:rPr>
        <w:tab/>
      </w:r>
      <w:r w:rsidRPr="00A27AFA">
        <w:rPr>
          <w:rFonts w:ascii="Calibri" w:hAnsi="Calibri"/>
          <w:noProof/>
        </w:rPr>
        <w:t xml:space="preserve">Wentzel J, van VL, van LM, </w:t>
      </w:r>
      <w:r w:rsidR="007A24C1" w:rsidRPr="00A27AFA">
        <w:rPr>
          <w:rFonts w:ascii="Calibri" w:hAnsi="Calibri"/>
          <w:i/>
          <w:noProof/>
        </w:rPr>
        <w:t>et al</w:t>
      </w:r>
      <w:r w:rsidRPr="00A27AFA">
        <w:rPr>
          <w:rFonts w:ascii="Calibri" w:hAnsi="Calibri"/>
          <w:noProof/>
        </w:rPr>
        <w:t xml:space="preserve">. </w:t>
      </w:r>
      <w:r>
        <w:rPr>
          <w:rFonts w:ascii="Calibri" w:hAnsi="Calibri"/>
          <w:noProof/>
        </w:rPr>
        <w:t xml:space="preserve">Participatory eHealth development to support nurses in antimicrobial stewardship. </w:t>
      </w:r>
      <w:r w:rsidRPr="00067614">
        <w:rPr>
          <w:rFonts w:ascii="Calibri" w:hAnsi="Calibri"/>
          <w:i/>
          <w:noProof/>
        </w:rPr>
        <w:t>BMC Med Inform Decis Mak</w:t>
      </w:r>
      <w:r>
        <w:rPr>
          <w:rFonts w:ascii="Calibri" w:hAnsi="Calibri"/>
          <w:noProof/>
        </w:rPr>
        <w:t xml:space="preserve"> 2014; </w:t>
      </w:r>
      <w:r w:rsidRPr="00067614">
        <w:rPr>
          <w:rFonts w:ascii="Calibri" w:hAnsi="Calibri"/>
          <w:b/>
          <w:noProof/>
        </w:rPr>
        <w:t>14</w:t>
      </w:r>
      <w:r>
        <w:rPr>
          <w:rFonts w:ascii="Calibri" w:hAnsi="Calibri"/>
          <w:noProof/>
        </w:rPr>
        <w:t>: 45.</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42. </w:t>
      </w:r>
      <w:r>
        <w:rPr>
          <w:rFonts w:ascii="Calibri" w:hAnsi="Calibri"/>
          <w:noProof/>
        </w:rPr>
        <w:tab/>
        <w:t xml:space="preserve">Ash JS, Sittig DF, Dykstra RH, </w:t>
      </w:r>
      <w:r w:rsidR="007A24C1" w:rsidRPr="0015131A">
        <w:rPr>
          <w:rFonts w:ascii="Calibri" w:hAnsi="Calibri"/>
          <w:i/>
          <w:noProof/>
        </w:rPr>
        <w:t>et al</w:t>
      </w:r>
      <w:r>
        <w:rPr>
          <w:rFonts w:ascii="Calibri" w:hAnsi="Calibri"/>
          <w:noProof/>
        </w:rPr>
        <w:t xml:space="preserve">. Categorizing the unintended sociotechnical consequences of computerized provider order entry. </w:t>
      </w:r>
      <w:r w:rsidRPr="00067614">
        <w:rPr>
          <w:rFonts w:ascii="Calibri" w:hAnsi="Calibri"/>
          <w:i/>
          <w:noProof/>
        </w:rPr>
        <w:t>Int J Med Inform</w:t>
      </w:r>
      <w:r>
        <w:rPr>
          <w:rFonts w:ascii="Calibri" w:hAnsi="Calibri"/>
          <w:noProof/>
        </w:rPr>
        <w:t xml:space="preserve"> 2007; </w:t>
      </w:r>
      <w:r w:rsidRPr="00067614">
        <w:rPr>
          <w:rFonts w:ascii="Calibri" w:hAnsi="Calibri"/>
          <w:b/>
          <w:noProof/>
        </w:rPr>
        <w:t>76 Suppl 1</w:t>
      </w:r>
      <w:r>
        <w:rPr>
          <w:rFonts w:ascii="Calibri" w:hAnsi="Calibri"/>
          <w:noProof/>
        </w:rPr>
        <w:t>: S21-S27.</w:t>
      </w:r>
    </w:p>
    <w:p w:rsidR="00F3413D" w:rsidRPr="00A27AFA" w:rsidRDefault="00F3413D" w:rsidP="007A24C1">
      <w:pPr>
        <w:tabs>
          <w:tab w:val="right" w:pos="360"/>
          <w:tab w:val="left" w:pos="540"/>
        </w:tabs>
        <w:spacing w:after="240" w:line="240" w:lineRule="auto"/>
        <w:ind w:left="1260" w:hanging="1260"/>
        <w:rPr>
          <w:rFonts w:ascii="Calibri" w:hAnsi="Calibri"/>
          <w:noProof/>
          <w:lang w:val="de-DE"/>
        </w:rPr>
      </w:pPr>
      <w:r>
        <w:rPr>
          <w:rFonts w:ascii="Calibri" w:hAnsi="Calibri"/>
          <w:noProof/>
        </w:rPr>
        <w:tab/>
        <w:t xml:space="preserve">43. </w:t>
      </w:r>
      <w:r>
        <w:rPr>
          <w:rFonts w:ascii="Calibri" w:hAnsi="Calibri"/>
          <w:noProof/>
        </w:rPr>
        <w:tab/>
        <w:t xml:space="preserve">Harrison MI, Koppel R, Bar-Lev S. Unintended consequences of information technologies in health care--an interactive sociotechnical analysis. </w:t>
      </w:r>
      <w:r w:rsidRPr="00A27AFA">
        <w:rPr>
          <w:rFonts w:ascii="Calibri" w:hAnsi="Calibri"/>
          <w:i/>
          <w:noProof/>
          <w:lang w:val="de-DE"/>
        </w:rPr>
        <w:t>J Am Med Inform Assoc</w:t>
      </w:r>
      <w:r w:rsidRPr="00A27AFA">
        <w:rPr>
          <w:rFonts w:ascii="Calibri" w:hAnsi="Calibri"/>
          <w:noProof/>
          <w:lang w:val="de-DE"/>
        </w:rPr>
        <w:t xml:space="preserve"> 2007; </w:t>
      </w:r>
      <w:r w:rsidRPr="00A27AFA">
        <w:rPr>
          <w:rFonts w:ascii="Calibri" w:hAnsi="Calibri"/>
          <w:b/>
          <w:noProof/>
          <w:lang w:val="de-DE"/>
        </w:rPr>
        <w:t>14</w:t>
      </w:r>
      <w:r w:rsidRPr="00A27AFA">
        <w:rPr>
          <w:rFonts w:ascii="Calibri" w:hAnsi="Calibri"/>
          <w:noProof/>
          <w:lang w:val="de-DE"/>
        </w:rPr>
        <w:t>: 542-9.</w:t>
      </w:r>
    </w:p>
    <w:p w:rsidR="00F3413D" w:rsidRDefault="00F3413D" w:rsidP="007A24C1">
      <w:pPr>
        <w:tabs>
          <w:tab w:val="right" w:pos="360"/>
          <w:tab w:val="left" w:pos="540"/>
        </w:tabs>
        <w:spacing w:after="240" w:line="240" w:lineRule="auto"/>
        <w:ind w:left="1260" w:hanging="1260"/>
        <w:rPr>
          <w:rFonts w:ascii="Calibri" w:hAnsi="Calibri"/>
          <w:noProof/>
        </w:rPr>
      </w:pPr>
      <w:r w:rsidRPr="00A27AFA">
        <w:rPr>
          <w:rFonts w:ascii="Calibri" w:hAnsi="Calibri"/>
          <w:noProof/>
          <w:lang w:val="de-DE"/>
        </w:rPr>
        <w:tab/>
        <w:t xml:space="preserve">44. </w:t>
      </w:r>
      <w:r w:rsidRPr="00A27AFA">
        <w:rPr>
          <w:rFonts w:ascii="Calibri" w:hAnsi="Calibri"/>
          <w:noProof/>
          <w:lang w:val="de-DE"/>
        </w:rPr>
        <w:tab/>
      </w:r>
      <w:r w:rsidRPr="007A24C1">
        <w:rPr>
          <w:rFonts w:ascii="Calibri" w:hAnsi="Calibri"/>
          <w:noProof/>
          <w:lang w:val="de-DE"/>
        </w:rPr>
        <w:t xml:space="preserve">Strom BL, Schinnar R, Aberra F, </w:t>
      </w:r>
      <w:r w:rsidR="007A24C1" w:rsidRPr="0015131A">
        <w:rPr>
          <w:rFonts w:ascii="Calibri" w:hAnsi="Calibri"/>
          <w:i/>
          <w:noProof/>
          <w:lang w:val="de-DE"/>
        </w:rPr>
        <w:t>et al</w:t>
      </w:r>
      <w:r w:rsidRPr="007A24C1">
        <w:rPr>
          <w:rFonts w:ascii="Calibri" w:hAnsi="Calibri"/>
          <w:noProof/>
          <w:lang w:val="de-DE"/>
        </w:rPr>
        <w:t xml:space="preserve">. </w:t>
      </w:r>
      <w:r>
        <w:rPr>
          <w:rFonts w:ascii="Calibri" w:hAnsi="Calibri"/>
          <w:noProof/>
        </w:rPr>
        <w:t xml:space="preserve">Unintended effects of a computerized physician order entry nearly hard-stop alert to prevent a drug interaction: a randomized controlled trial. </w:t>
      </w:r>
      <w:r w:rsidRPr="00067614">
        <w:rPr>
          <w:rFonts w:ascii="Calibri" w:hAnsi="Calibri"/>
          <w:i/>
          <w:noProof/>
        </w:rPr>
        <w:t>Arch Intern Med</w:t>
      </w:r>
      <w:r>
        <w:rPr>
          <w:rFonts w:ascii="Calibri" w:hAnsi="Calibri"/>
          <w:noProof/>
        </w:rPr>
        <w:t xml:space="preserve"> 2010; </w:t>
      </w:r>
      <w:r w:rsidRPr="00067614">
        <w:rPr>
          <w:rFonts w:ascii="Calibri" w:hAnsi="Calibri"/>
          <w:b/>
          <w:noProof/>
        </w:rPr>
        <w:t>170</w:t>
      </w:r>
      <w:r>
        <w:rPr>
          <w:rFonts w:ascii="Calibri" w:hAnsi="Calibri"/>
          <w:noProof/>
        </w:rPr>
        <w:t>: 1578-83.</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45. </w:t>
      </w:r>
      <w:r>
        <w:rPr>
          <w:rFonts w:ascii="Calibri" w:hAnsi="Calibri"/>
          <w:noProof/>
        </w:rPr>
        <w:tab/>
        <w:t xml:space="preserve">Cash JJ. Alert fatigue. </w:t>
      </w:r>
      <w:r w:rsidRPr="00067614">
        <w:rPr>
          <w:rFonts w:ascii="Calibri" w:hAnsi="Calibri"/>
          <w:i/>
          <w:noProof/>
        </w:rPr>
        <w:t>Am J Health Syst Pharm</w:t>
      </w:r>
      <w:r>
        <w:rPr>
          <w:rFonts w:ascii="Calibri" w:hAnsi="Calibri"/>
          <w:noProof/>
        </w:rPr>
        <w:t xml:space="preserve"> 2009; </w:t>
      </w:r>
      <w:r w:rsidRPr="00067614">
        <w:rPr>
          <w:rFonts w:ascii="Calibri" w:hAnsi="Calibri"/>
          <w:b/>
          <w:noProof/>
        </w:rPr>
        <w:t>66</w:t>
      </w:r>
      <w:r>
        <w:rPr>
          <w:rFonts w:ascii="Calibri" w:hAnsi="Calibri"/>
          <w:noProof/>
        </w:rPr>
        <w:t>: 2098-101.</w:t>
      </w:r>
    </w:p>
    <w:p w:rsidR="00F3413D" w:rsidRDefault="00F3413D" w:rsidP="007A24C1">
      <w:pPr>
        <w:tabs>
          <w:tab w:val="right" w:pos="360"/>
          <w:tab w:val="left" w:pos="540"/>
        </w:tabs>
        <w:spacing w:after="240" w:line="240" w:lineRule="auto"/>
        <w:ind w:left="1260" w:hanging="1260"/>
        <w:rPr>
          <w:rFonts w:ascii="Calibri" w:hAnsi="Calibri"/>
          <w:noProof/>
        </w:rPr>
      </w:pPr>
      <w:r>
        <w:rPr>
          <w:rFonts w:ascii="Calibri" w:hAnsi="Calibri"/>
          <w:noProof/>
        </w:rPr>
        <w:tab/>
        <w:t xml:space="preserve">46. </w:t>
      </w:r>
      <w:r>
        <w:rPr>
          <w:rFonts w:ascii="Calibri" w:hAnsi="Calibri"/>
          <w:noProof/>
        </w:rPr>
        <w:tab/>
        <w:t xml:space="preserve">Zaidi ST, Marriott JL. Barriers and Facilitators to Adoption of a Web-based Antibiotic Decision Support System. </w:t>
      </w:r>
      <w:r w:rsidRPr="00067614">
        <w:rPr>
          <w:rFonts w:ascii="Calibri" w:hAnsi="Calibri"/>
          <w:i/>
          <w:noProof/>
        </w:rPr>
        <w:t>South Med Rev</w:t>
      </w:r>
      <w:r>
        <w:rPr>
          <w:rFonts w:ascii="Calibri" w:hAnsi="Calibri"/>
          <w:noProof/>
        </w:rPr>
        <w:t xml:space="preserve"> 2012; </w:t>
      </w:r>
      <w:r w:rsidRPr="00067614">
        <w:rPr>
          <w:rFonts w:ascii="Calibri" w:hAnsi="Calibri"/>
          <w:b/>
          <w:noProof/>
        </w:rPr>
        <w:t>5</w:t>
      </w:r>
      <w:r>
        <w:rPr>
          <w:rFonts w:ascii="Calibri" w:hAnsi="Calibri"/>
          <w:noProof/>
        </w:rPr>
        <w:t>: 42-50.</w:t>
      </w:r>
    </w:p>
    <w:p w:rsidR="00F3413D" w:rsidRDefault="00F3413D" w:rsidP="007A24C1">
      <w:pPr>
        <w:tabs>
          <w:tab w:val="right" w:pos="360"/>
          <w:tab w:val="left" w:pos="540"/>
        </w:tabs>
        <w:spacing w:after="0" w:line="240" w:lineRule="auto"/>
        <w:ind w:left="1260" w:hanging="1260"/>
        <w:rPr>
          <w:rFonts w:ascii="Calibri" w:hAnsi="Calibri"/>
          <w:noProof/>
        </w:rPr>
      </w:pPr>
      <w:r>
        <w:rPr>
          <w:rFonts w:ascii="Calibri" w:hAnsi="Calibri"/>
          <w:noProof/>
        </w:rPr>
        <w:tab/>
        <w:t xml:space="preserve">47. </w:t>
      </w:r>
      <w:r>
        <w:rPr>
          <w:rFonts w:ascii="Calibri" w:hAnsi="Calibri"/>
          <w:noProof/>
        </w:rPr>
        <w:tab/>
        <w:t xml:space="preserve">Polk RE, Hohmann SF, Medvedev S, </w:t>
      </w:r>
      <w:r w:rsidR="007A24C1" w:rsidRPr="0015131A">
        <w:rPr>
          <w:rFonts w:ascii="Calibri" w:hAnsi="Calibri"/>
          <w:i/>
          <w:noProof/>
        </w:rPr>
        <w:t>et al</w:t>
      </w:r>
      <w:r>
        <w:rPr>
          <w:rFonts w:ascii="Calibri" w:hAnsi="Calibri"/>
          <w:noProof/>
        </w:rPr>
        <w:t xml:space="preserve">. Benchmarking risk-adjusted adult antibacterial drug use in 70 US academic medical center hospitals. </w:t>
      </w:r>
      <w:r w:rsidRPr="00067614">
        <w:rPr>
          <w:rFonts w:ascii="Calibri" w:hAnsi="Calibri"/>
          <w:i/>
          <w:noProof/>
        </w:rPr>
        <w:t>Clin Infect Dis</w:t>
      </w:r>
      <w:r>
        <w:rPr>
          <w:rFonts w:ascii="Calibri" w:hAnsi="Calibri"/>
          <w:noProof/>
        </w:rPr>
        <w:t xml:space="preserve"> 2011; </w:t>
      </w:r>
      <w:r w:rsidRPr="00067614">
        <w:rPr>
          <w:rFonts w:ascii="Calibri" w:hAnsi="Calibri"/>
          <w:b/>
          <w:noProof/>
        </w:rPr>
        <w:t>53</w:t>
      </w:r>
      <w:r>
        <w:rPr>
          <w:rFonts w:ascii="Calibri" w:hAnsi="Calibri"/>
          <w:noProof/>
        </w:rPr>
        <w:t>: 1100-10.</w:t>
      </w:r>
    </w:p>
    <w:p w:rsidR="00F3413D" w:rsidRDefault="00F3413D" w:rsidP="007A24C1">
      <w:pPr>
        <w:tabs>
          <w:tab w:val="right" w:pos="360"/>
          <w:tab w:val="left" w:pos="540"/>
        </w:tabs>
        <w:spacing w:after="0" w:line="240" w:lineRule="auto"/>
        <w:ind w:left="1260" w:hanging="1260"/>
        <w:rPr>
          <w:rFonts w:ascii="Calibri" w:hAnsi="Calibri"/>
          <w:noProof/>
        </w:rPr>
      </w:pPr>
    </w:p>
    <w:p w:rsidR="00F3413D" w:rsidRDefault="00F3413D" w:rsidP="007A24C1">
      <w:pPr>
        <w:spacing w:after="0" w:line="480" w:lineRule="auto"/>
      </w:pPr>
      <w:r>
        <w:br w:type="page"/>
      </w:r>
    </w:p>
    <w:p w:rsidR="00F3413D" w:rsidRPr="005E3081" w:rsidRDefault="00F3413D" w:rsidP="007A24C1">
      <w:pPr>
        <w:spacing w:after="0" w:line="360" w:lineRule="auto"/>
        <w:jc w:val="center"/>
        <w:rPr>
          <w:b/>
        </w:rPr>
      </w:pPr>
      <w:proofErr w:type="gramStart"/>
      <w:r>
        <w:rPr>
          <w:b/>
        </w:rPr>
        <w:lastRenderedPageBreak/>
        <w:t>Table 1.</w:t>
      </w:r>
      <w:proofErr w:type="gramEnd"/>
      <w:r w:rsidRPr="005E3081">
        <w:rPr>
          <w:b/>
        </w:rPr>
        <w:t xml:space="preserve">  </w:t>
      </w:r>
      <w:r>
        <w:rPr>
          <w:b/>
        </w:rPr>
        <w:t>Glossary</w:t>
      </w:r>
      <w:r w:rsidRPr="005E3081">
        <w:rPr>
          <w:b/>
        </w:rPr>
        <w:t xml:space="preserve"> </w:t>
      </w:r>
      <w:r>
        <w:rPr>
          <w:b/>
        </w:rPr>
        <w:t>of k</w:t>
      </w:r>
      <w:r w:rsidRPr="005E3081">
        <w:rPr>
          <w:b/>
        </w:rPr>
        <w:t>ey</w:t>
      </w:r>
      <w:r>
        <w:rPr>
          <w:b/>
        </w:rPr>
        <w:t xml:space="preserve"> t</w:t>
      </w:r>
      <w:r w:rsidRPr="005E3081">
        <w:rPr>
          <w:b/>
        </w:rPr>
        <w:t>erms</w:t>
      </w:r>
      <w:r>
        <w:rPr>
          <w:b/>
        </w:rPr>
        <w:t xml:space="preserve"> used in the survey</w:t>
      </w:r>
      <w:r w:rsidRPr="00076C8B">
        <w:rPr>
          <w:b/>
        </w:rPr>
        <w:t xml:space="preserve"> of opinions of infection specialists</w:t>
      </w:r>
      <w:r>
        <w:rPr>
          <w:b/>
        </w:rPr>
        <w:t xml:space="preserve"> </w:t>
      </w:r>
      <w:r w:rsidRPr="00076C8B">
        <w:rPr>
          <w:b/>
        </w:rPr>
        <w:t>on electronic prescri</w:t>
      </w:r>
      <w:r>
        <w:rPr>
          <w:b/>
        </w:rPr>
        <w:t>bing and antimicrobial stewardship</w:t>
      </w:r>
    </w:p>
    <w:tbl>
      <w:tblPr>
        <w:tblStyle w:val="TableGrid"/>
        <w:tblW w:w="0" w:type="auto"/>
        <w:tblLook w:val="04A0" w:firstRow="1" w:lastRow="0" w:firstColumn="1" w:lastColumn="0" w:noHBand="0" w:noVBand="1"/>
      </w:tblPr>
      <w:tblGrid>
        <w:gridCol w:w="2376"/>
        <w:gridCol w:w="6866"/>
      </w:tblGrid>
      <w:tr w:rsidR="00F3413D" w:rsidTr="007A24C1">
        <w:tc>
          <w:tcPr>
            <w:tcW w:w="2376" w:type="dxa"/>
          </w:tcPr>
          <w:p w:rsidR="00F3413D" w:rsidRPr="00510D74" w:rsidRDefault="00F3413D" w:rsidP="007A24C1">
            <w:pPr>
              <w:rPr>
                <w:b/>
              </w:rPr>
            </w:pPr>
            <w:r w:rsidRPr="00510D74">
              <w:rPr>
                <w:b/>
              </w:rPr>
              <w:t>Term</w:t>
            </w:r>
          </w:p>
        </w:tc>
        <w:tc>
          <w:tcPr>
            <w:tcW w:w="6866" w:type="dxa"/>
          </w:tcPr>
          <w:p w:rsidR="00F3413D" w:rsidRPr="00510D74" w:rsidRDefault="00F3413D" w:rsidP="007A24C1">
            <w:pPr>
              <w:spacing w:line="480" w:lineRule="auto"/>
              <w:rPr>
                <w:b/>
              </w:rPr>
            </w:pPr>
            <w:r w:rsidRPr="00510D74">
              <w:rPr>
                <w:b/>
              </w:rPr>
              <w:t>Explanation</w:t>
            </w:r>
          </w:p>
        </w:tc>
      </w:tr>
      <w:tr w:rsidR="00F3413D" w:rsidTr="007A24C1">
        <w:tc>
          <w:tcPr>
            <w:tcW w:w="2376" w:type="dxa"/>
          </w:tcPr>
          <w:p w:rsidR="00F3413D" w:rsidRPr="00510D74" w:rsidRDefault="00F3413D" w:rsidP="007A24C1">
            <w:pPr>
              <w:rPr>
                <w:b/>
              </w:rPr>
            </w:pPr>
            <w:r>
              <w:rPr>
                <w:b/>
              </w:rPr>
              <w:t>Prescribing alert / prompt</w:t>
            </w:r>
          </w:p>
        </w:tc>
        <w:tc>
          <w:tcPr>
            <w:tcW w:w="6866" w:type="dxa"/>
          </w:tcPr>
          <w:p w:rsidR="00F3413D" w:rsidRDefault="00F3413D" w:rsidP="007A24C1">
            <w:r>
              <w:t>The prescriber will be alerted via a “pop-up” message – an “alert or prompt” – e.g. if attempting to prescribe an antimicrobial which is contra-indicated because of an allergy or a drug interaction</w:t>
            </w:r>
          </w:p>
        </w:tc>
      </w:tr>
      <w:tr w:rsidR="00D907B4" w:rsidTr="00D907B4">
        <w:trPr>
          <w:trHeight w:val="732"/>
        </w:trPr>
        <w:tc>
          <w:tcPr>
            <w:tcW w:w="2376" w:type="dxa"/>
            <w:vMerge w:val="restart"/>
          </w:tcPr>
          <w:p w:rsidR="00D907B4" w:rsidRPr="00510D74" w:rsidRDefault="00D907B4" w:rsidP="007A24C1">
            <w:pPr>
              <w:rPr>
                <w:b/>
              </w:rPr>
            </w:pPr>
            <w:r w:rsidRPr="00510D74">
              <w:rPr>
                <w:b/>
              </w:rPr>
              <w:t>Active</w:t>
            </w:r>
            <w:r>
              <w:rPr>
                <w:b/>
              </w:rPr>
              <w:t xml:space="preserve"> prescription</w:t>
            </w:r>
            <w:r w:rsidRPr="00510D74">
              <w:rPr>
                <w:b/>
              </w:rPr>
              <w:t xml:space="preserve"> surveillance</w:t>
            </w:r>
          </w:p>
        </w:tc>
        <w:tc>
          <w:tcPr>
            <w:tcW w:w="6866" w:type="dxa"/>
          </w:tcPr>
          <w:p w:rsidR="00D907B4" w:rsidRDefault="00D907B4" w:rsidP="00D907B4">
            <w:r>
              <w:t xml:space="preserve">Active prescription surveillance refers to the application of surveillance data in real-time for identification of </w:t>
            </w:r>
            <w:proofErr w:type="gramStart"/>
            <w:r>
              <w:t>patients</w:t>
            </w:r>
            <w:proofErr w:type="gramEnd"/>
            <w:r>
              <w:t xml:space="preserve"> currently prescribed antimicrobial therapy.  Software features allow prioritisation of patients for intervention by the antimicrobial stewardship team (AST).</w:t>
            </w:r>
          </w:p>
        </w:tc>
      </w:tr>
      <w:tr w:rsidR="00D907B4" w:rsidTr="007A24C1">
        <w:trPr>
          <w:trHeight w:val="731"/>
        </w:trPr>
        <w:tc>
          <w:tcPr>
            <w:tcW w:w="2376" w:type="dxa"/>
            <w:vMerge/>
          </w:tcPr>
          <w:p w:rsidR="00D907B4" w:rsidRPr="00510D74" w:rsidRDefault="00D907B4" w:rsidP="007A24C1">
            <w:pPr>
              <w:rPr>
                <w:b/>
              </w:rPr>
            </w:pPr>
          </w:p>
        </w:tc>
        <w:tc>
          <w:tcPr>
            <w:tcW w:w="6866" w:type="dxa"/>
          </w:tcPr>
          <w:p w:rsidR="00D907B4" w:rsidRDefault="00D907B4" w:rsidP="00D907B4">
            <w:r>
              <w:t>Active prescription surveillance r</w:t>
            </w:r>
            <w:r w:rsidRPr="00B85DC9">
              <w:t>eports would typically include: patient name, date of birth, hospital number, inpatient location in the hospital, drug name, drug dose, start date, stop date (if specified), presc</w:t>
            </w:r>
            <w:r>
              <w:t>riber and responsible senior physician.</w:t>
            </w:r>
          </w:p>
        </w:tc>
      </w:tr>
      <w:tr w:rsidR="00F3413D" w:rsidTr="007A24C1">
        <w:tc>
          <w:tcPr>
            <w:tcW w:w="2376" w:type="dxa"/>
          </w:tcPr>
          <w:p w:rsidR="00F3413D" w:rsidRPr="00510D74" w:rsidRDefault="00F3413D" w:rsidP="007A24C1">
            <w:pPr>
              <w:rPr>
                <w:b/>
              </w:rPr>
            </w:pPr>
            <w:r>
              <w:rPr>
                <w:b/>
              </w:rPr>
              <w:t>Prescribing trend s</w:t>
            </w:r>
            <w:r w:rsidRPr="00510D74">
              <w:rPr>
                <w:b/>
              </w:rPr>
              <w:t>urveillance</w:t>
            </w:r>
          </w:p>
        </w:tc>
        <w:tc>
          <w:tcPr>
            <w:tcW w:w="6866" w:type="dxa"/>
          </w:tcPr>
          <w:p w:rsidR="00F3413D" w:rsidRDefault="00F3413D" w:rsidP="007A24C1">
            <w:r>
              <w:t>Prescribing trend surveillance refers to the review of retrospective data relating to antimicrobial prescribing and administration – typically as trends over time. Prescribing trend surveillance allows continuous monitoring of performance for the purposes of controls assurance and for evaluating the impact of stewardship interventions.</w:t>
            </w:r>
          </w:p>
        </w:tc>
      </w:tr>
      <w:tr w:rsidR="00F3413D" w:rsidTr="007A24C1">
        <w:tc>
          <w:tcPr>
            <w:tcW w:w="2376" w:type="dxa"/>
          </w:tcPr>
          <w:p w:rsidR="00F3413D" w:rsidRPr="00510D74" w:rsidRDefault="00F3413D" w:rsidP="007A24C1">
            <w:pPr>
              <w:rPr>
                <w:b/>
              </w:rPr>
            </w:pPr>
            <w:r w:rsidRPr="00510D74">
              <w:rPr>
                <w:b/>
              </w:rPr>
              <w:t>Order Sets</w:t>
            </w:r>
          </w:p>
        </w:tc>
        <w:tc>
          <w:tcPr>
            <w:tcW w:w="6866" w:type="dxa"/>
          </w:tcPr>
          <w:p w:rsidR="00F3413D" w:rsidRDefault="00F3413D" w:rsidP="007A24C1">
            <w:r>
              <w:t>This software feature allows the prescriber to select an infection (e.g. pneumonia, community-acquired, severe) and the system will automatically populate the prescription with the locally pre-defined treatment regimen (single drug or combination of drugs) at standard doses.</w:t>
            </w:r>
          </w:p>
        </w:tc>
      </w:tr>
      <w:tr w:rsidR="00F3413D" w:rsidTr="007A24C1">
        <w:tc>
          <w:tcPr>
            <w:tcW w:w="2376" w:type="dxa"/>
          </w:tcPr>
          <w:p w:rsidR="00F3413D" w:rsidRDefault="00F3413D" w:rsidP="007A24C1">
            <w:pPr>
              <w:rPr>
                <w:b/>
              </w:rPr>
            </w:pPr>
            <w:r>
              <w:rPr>
                <w:b/>
              </w:rPr>
              <w:t>Critical antimicrobial</w:t>
            </w:r>
          </w:p>
        </w:tc>
        <w:tc>
          <w:tcPr>
            <w:tcW w:w="6866" w:type="dxa"/>
          </w:tcPr>
          <w:p w:rsidR="00F3413D" w:rsidRDefault="00F3413D" w:rsidP="007A24C1">
            <w:r>
              <w:t xml:space="preserve">An antimicrobial may be designated “critical” by a hospital AST according to local priorities – for example, broad-spectrum antimicrobials such as carbapenems or antimicrobials with a narrow therapeutic range such as </w:t>
            </w:r>
            <w:proofErr w:type="spellStart"/>
            <w:r>
              <w:t>colistin</w:t>
            </w:r>
            <w:proofErr w:type="spellEnd"/>
            <w:r>
              <w:t>. A prescriber may be alerted when prescribing a critical antimicrobial with an appropriate locally-defined message containing details of actions required when prescribing.</w:t>
            </w:r>
          </w:p>
        </w:tc>
      </w:tr>
      <w:tr w:rsidR="00F3413D" w:rsidTr="007A24C1">
        <w:tc>
          <w:tcPr>
            <w:tcW w:w="2376" w:type="dxa"/>
          </w:tcPr>
          <w:p w:rsidR="00F3413D" w:rsidRPr="00510D74" w:rsidRDefault="00F3413D" w:rsidP="007A24C1">
            <w:pPr>
              <w:rPr>
                <w:b/>
              </w:rPr>
            </w:pPr>
            <w:r>
              <w:rPr>
                <w:b/>
              </w:rPr>
              <w:t>Restricted antimicrobial</w:t>
            </w:r>
          </w:p>
        </w:tc>
        <w:tc>
          <w:tcPr>
            <w:tcW w:w="6866" w:type="dxa"/>
          </w:tcPr>
          <w:p w:rsidR="00F3413D" w:rsidRPr="00510D74" w:rsidRDefault="00F3413D" w:rsidP="007A24C1">
            <w:r>
              <w:t xml:space="preserve">An antimicrobial may be designated “restricted” by a hospital AST on grounds of financial cost, propensity to predispose to </w:t>
            </w:r>
            <w:r>
              <w:rPr>
                <w:i/>
              </w:rPr>
              <w:t xml:space="preserve">Clostridium difficile </w:t>
            </w:r>
            <w:r>
              <w:t>infection or local decision to reserve for multidrug-resistant infections. Prescribing of restricted antimicrobials requires pre-authorisation by a medical microbiologist or infectious diseases physician (“restricted antimicrobial authorisation”) or prescribing is limited by the prescribing software to senior clinicians (“restricted antimicrobial block”).</w:t>
            </w:r>
          </w:p>
        </w:tc>
      </w:tr>
      <w:tr w:rsidR="00F3413D" w:rsidTr="007A24C1">
        <w:tc>
          <w:tcPr>
            <w:tcW w:w="2376" w:type="dxa"/>
          </w:tcPr>
          <w:p w:rsidR="00F3413D" w:rsidRPr="00510D74" w:rsidRDefault="00F3413D" w:rsidP="007A24C1">
            <w:pPr>
              <w:rPr>
                <w:b/>
              </w:rPr>
            </w:pPr>
            <w:r w:rsidRPr="00510D74">
              <w:rPr>
                <w:b/>
              </w:rPr>
              <w:lastRenderedPageBreak/>
              <w:t>Soft Stops</w:t>
            </w:r>
          </w:p>
        </w:tc>
        <w:tc>
          <w:tcPr>
            <w:tcW w:w="6866" w:type="dxa"/>
          </w:tcPr>
          <w:p w:rsidR="00F3413D" w:rsidRDefault="00F3413D" w:rsidP="007A24C1">
            <w:r>
              <w:t>This software feature allows the prescriber to nominate a date when the antimicrobial prescription should be reviewed with a view to stopping, changing treatment or switching route of administration to oral. After the review date has passed, the drug will remain visible and available to nursing staff to administer but will be prominently highlighted as being past the review (soft stop) date</w:t>
            </w:r>
          </w:p>
        </w:tc>
      </w:tr>
      <w:tr w:rsidR="00F3413D" w:rsidTr="007A24C1">
        <w:tc>
          <w:tcPr>
            <w:tcW w:w="2376" w:type="dxa"/>
          </w:tcPr>
          <w:p w:rsidR="00F3413D" w:rsidRPr="005677E0" w:rsidRDefault="00F3413D" w:rsidP="007A24C1">
            <w:pPr>
              <w:rPr>
                <w:b/>
              </w:rPr>
            </w:pPr>
            <w:r w:rsidRPr="005677E0">
              <w:rPr>
                <w:b/>
              </w:rPr>
              <w:t>Blood level monitoring order set</w:t>
            </w:r>
          </w:p>
        </w:tc>
        <w:tc>
          <w:tcPr>
            <w:tcW w:w="6866" w:type="dxa"/>
          </w:tcPr>
          <w:p w:rsidR="00F3413D" w:rsidRDefault="00F3413D" w:rsidP="007A24C1">
            <w:r w:rsidRPr="00B85DC9">
              <w:t>When a relevant drug is prescribed, the</w:t>
            </w:r>
            <w:r>
              <w:t xml:space="preserve"> EPMA</w:t>
            </w:r>
            <w:r w:rsidRPr="00B85DC9">
              <w:t xml:space="preserve"> system will automatically pa</w:t>
            </w:r>
            <w:r>
              <w:t xml:space="preserve">ir the drug prescription with an order </w:t>
            </w:r>
            <w:r w:rsidRPr="00B85DC9">
              <w:t>for a blood specimen to be taken at an appropriate time post-dose</w:t>
            </w:r>
            <w:r>
              <w:t>.</w:t>
            </w:r>
          </w:p>
        </w:tc>
      </w:tr>
      <w:tr w:rsidR="00F3413D" w:rsidTr="007A24C1">
        <w:tc>
          <w:tcPr>
            <w:tcW w:w="2376" w:type="dxa"/>
          </w:tcPr>
          <w:p w:rsidR="00F3413D" w:rsidRPr="00510D74" w:rsidRDefault="00F3413D" w:rsidP="007A24C1">
            <w:pPr>
              <w:rPr>
                <w:b/>
              </w:rPr>
            </w:pPr>
            <w:r>
              <w:rPr>
                <w:b/>
              </w:rPr>
              <w:t>Drug-indication mismatch</w:t>
            </w:r>
          </w:p>
        </w:tc>
        <w:tc>
          <w:tcPr>
            <w:tcW w:w="6866" w:type="dxa"/>
          </w:tcPr>
          <w:p w:rsidR="00F3413D" w:rsidRDefault="00F3413D" w:rsidP="007A24C1">
            <w:r>
              <w:t>A mismatch occurs when a prescribed antimicrobial is not appropriate or unauthorised for the recorded indication/provisional diagnosis.</w:t>
            </w:r>
          </w:p>
        </w:tc>
      </w:tr>
      <w:tr w:rsidR="00F3413D" w:rsidTr="007A24C1">
        <w:tc>
          <w:tcPr>
            <w:tcW w:w="2376" w:type="dxa"/>
          </w:tcPr>
          <w:p w:rsidR="00F3413D" w:rsidRPr="00510D74" w:rsidRDefault="00F3413D" w:rsidP="007A24C1">
            <w:pPr>
              <w:rPr>
                <w:b/>
              </w:rPr>
            </w:pPr>
            <w:r>
              <w:rPr>
                <w:b/>
              </w:rPr>
              <w:t>Days of Therapy (DOTs)</w:t>
            </w:r>
          </w:p>
        </w:tc>
        <w:tc>
          <w:tcPr>
            <w:tcW w:w="6866" w:type="dxa"/>
          </w:tcPr>
          <w:p w:rsidR="00F3413D" w:rsidRPr="001218A1" w:rsidRDefault="00F3413D" w:rsidP="007A24C1">
            <w:r w:rsidRPr="00B85DC9">
              <w:t xml:space="preserve">One DOT represents the </w:t>
            </w:r>
            <w:r>
              <w:t>administration of a single systemic antimicrobial</w:t>
            </w:r>
            <w:r w:rsidRPr="00B85DC9">
              <w:t xml:space="preserve"> on a given day regardless of the number of doses administered or dosage strength. For example, admini</w:t>
            </w:r>
            <w:r>
              <w:t>stration of ceftriaxone as 4g once-daily or as 2g twice-daily for one day</w:t>
            </w:r>
            <w:r w:rsidRPr="00B85DC9">
              <w:t xml:space="preserve"> would both represent 1 DOT. A single patient receiving both vancomycin and ceftazidime</w:t>
            </w:r>
            <w:r>
              <w:t xml:space="preserve"> during the same day</w:t>
            </w:r>
            <w:r w:rsidRPr="00B85DC9">
              <w:t xml:space="preserve"> would be recorded as receiving 2 DOTs (1 of vancomycin and 1 of ceftazidime)</w:t>
            </w:r>
            <w:r>
              <w:t>.</w:t>
            </w:r>
            <w:r w:rsidRPr="00067614">
              <w:rPr>
                <w:noProof/>
                <w:vertAlign w:val="superscript"/>
              </w:rPr>
              <w:t>47</w:t>
            </w:r>
            <w:r>
              <w:t xml:space="preserve">  </w:t>
            </w:r>
          </w:p>
        </w:tc>
      </w:tr>
      <w:tr w:rsidR="00F3413D" w:rsidTr="007A24C1">
        <w:tc>
          <w:tcPr>
            <w:tcW w:w="2376" w:type="dxa"/>
          </w:tcPr>
          <w:p w:rsidR="00F3413D" w:rsidRDefault="00F3413D" w:rsidP="007A24C1">
            <w:pPr>
              <w:rPr>
                <w:b/>
              </w:rPr>
            </w:pPr>
            <w:r>
              <w:rPr>
                <w:b/>
              </w:rPr>
              <w:t>Length of Therapy (LOT)</w:t>
            </w:r>
          </w:p>
        </w:tc>
        <w:tc>
          <w:tcPr>
            <w:tcW w:w="6866" w:type="dxa"/>
          </w:tcPr>
          <w:p w:rsidR="00F3413D" w:rsidRPr="00627FE4" w:rsidRDefault="00F3413D" w:rsidP="007A24C1">
            <w:pPr>
              <w:rPr>
                <w:lang w:val="en-US"/>
              </w:rPr>
            </w:pPr>
            <w:r w:rsidRPr="00627FE4">
              <w:rPr>
                <w:lang w:val="en-US"/>
              </w:rPr>
              <w:t xml:space="preserve">LOT </w:t>
            </w:r>
            <w:r>
              <w:rPr>
                <w:lang w:val="en-US"/>
              </w:rPr>
              <w:t xml:space="preserve">refers to antimicrobial course length and </w:t>
            </w:r>
            <w:r w:rsidRPr="00627FE4">
              <w:rPr>
                <w:lang w:val="en-US"/>
              </w:rPr>
              <w:t xml:space="preserve">is the number of sequential </w:t>
            </w:r>
            <w:r>
              <w:rPr>
                <w:lang w:val="en-US"/>
              </w:rPr>
              <w:t>days that a patient receives any</w:t>
            </w:r>
            <w:r w:rsidRPr="00627FE4">
              <w:rPr>
                <w:lang w:val="en-US"/>
              </w:rPr>
              <w:t xml:space="preserve"> systemic antimicr</w:t>
            </w:r>
            <w:r>
              <w:rPr>
                <w:lang w:val="en-US"/>
              </w:rPr>
              <w:t>obial drug(s)</w:t>
            </w:r>
            <w:r w:rsidRPr="00627FE4">
              <w:rPr>
                <w:lang w:val="en-US"/>
              </w:rPr>
              <w:t>, irrespective o</w:t>
            </w:r>
            <w:r>
              <w:rPr>
                <w:lang w:val="en-US"/>
              </w:rPr>
              <w:t xml:space="preserve">f the number of different </w:t>
            </w:r>
            <w:proofErr w:type="gramStart"/>
            <w:r>
              <w:rPr>
                <w:lang w:val="en-US"/>
              </w:rPr>
              <w:t>drugs</w:t>
            </w:r>
            <w:r w:rsidRPr="00627FE4">
              <w:rPr>
                <w:lang w:val="en-US"/>
              </w:rPr>
              <w:t>.</w:t>
            </w:r>
            <w:r w:rsidRPr="00067614">
              <w:rPr>
                <w:noProof/>
                <w:vertAlign w:val="superscript"/>
                <w:lang w:val="en-US"/>
              </w:rPr>
              <w:t>47</w:t>
            </w:r>
            <w:r w:rsidRPr="00627FE4">
              <w:rPr>
                <w:lang w:val="en-US"/>
              </w:rPr>
              <w:t xml:space="preserve"> </w:t>
            </w:r>
            <w:r>
              <w:rPr>
                <w:lang w:val="en-US"/>
              </w:rPr>
              <w:t xml:space="preserve"> A</w:t>
            </w:r>
            <w:proofErr w:type="gramEnd"/>
            <w:r>
              <w:rPr>
                <w:lang w:val="en-US"/>
              </w:rPr>
              <w:t xml:space="preserve"> prescription of intravenous piperacillin-tazobactam and vancomycin for 2 days followed by oral co-</w:t>
            </w:r>
            <w:proofErr w:type="spellStart"/>
            <w:r>
              <w:rPr>
                <w:lang w:val="en-US"/>
              </w:rPr>
              <w:t>amoxiclav</w:t>
            </w:r>
            <w:proofErr w:type="spellEnd"/>
            <w:r>
              <w:rPr>
                <w:lang w:val="en-US"/>
              </w:rPr>
              <w:t xml:space="preserve"> for 5 days corresponds to a LOT of 7 days.</w:t>
            </w:r>
          </w:p>
        </w:tc>
      </w:tr>
      <w:tr w:rsidR="00F3413D" w:rsidTr="007A24C1">
        <w:tc>
          <w:tcPr>
            <w:tcW w:w="2376" w:type="dxa"/>
          </w:tcPr>
          <w:p w:rsidR="00F3413D" w:rsidRDefault="00F3413D" w:rsidP="007A24C1">
            <w:pPr>
              <w:rPr>
                <w:b/>
              </w:rPr>
            </w:pPr>
            <w:r>
              <w:rPr>
                <w:b/>
              </w:rPr>
              <w:t>Point Prevalence</w:t>
            </w:r>
          </w:p>
        </w:tc>
        <w:tc>
          <w:tcPr>
            <w:tcW w:w="6866" w:type="dxa"/>
          </w:tcPr>
          <w:p w:rsidR="00F3413D" w:rsidRDefault="00F3413D" w:rsidP="007A24C1">
            <w:r>
              <w:t>Point prevalence is the proportion of hospital patients active on the EPMA system that are prescribed any antimicrobial at a specific point in time (for example at noon on the first day of each month).</w:t>
            </w:r>
          </w:p>
        </w:tc>
      </w:tr>
    </w:tbl>
    <w:p w:rsidR="00F3413D" w:rsidRDefault="00F3413D" w:rsidP="007A24C1">
      <w:pPr>
        <w:spacing w:after="0" w:line="480" w:lineRule="auto"/>
      </w:pPr>
    </w:p>
    <w:p w:rsidR="00F3413D" w:rsidRDefault="00F3413D" w:rsidP="007A24C1">
      <w:r>
        <w:br w:type="page"/>
      </w:r>
    </w:p>
    <w:p w:rsidR="00F3413D" w:rsidRDefault="00F3413D"/>
    <w:p w:rsidR="00F3413D" w:rsidRDefault="00F3413D" w:rsidP="007A24C1">
      <w:pPr>
        <w:spacing w:after="0" w:line="480" w:lineRule="auto"/>
      </w:pPr>
      <w:r>
        <w:rPr>
          <w:noProof/>
        </w:rPr>
        <w:drawing>
          <wp:inline distT="0" distB="0" distL="0" distR="0" wp14:anchorId="7BD49540" wp14:editId="256EA486">
            <wp:extent cx="5727599" cy="338997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92286"/>
                    </a:xfrm>
                    <a:prstGeom prst="rect">
                      <a:avLst/>
                    </a:prstGeom>
                    <a:noFill/>
                  </pic:spPr>
                </pic:pic>
              </a:graphicData>
            </a:graphic>
          </wp:inline>
        </w:drawing>
      </w:r>
      <w:r>
        <w:br w:type="page"/>
      </w:r>
    </w:p>
    <w:p w:rsidR="00F3413D" w:rsidRDefault="00F3413D" w:rsidP="007A24C1">
      <w:pPr>
        <w:spacing w:after="0" w:line="480" w:lineRule="auto"/>
      </w:pPr>
    </w:p>
    <w:p w:rsidR="00F3413D" w:rsidRDefault="00F3413D" w:rsidP="007A24C1">
      <w:pPr>
        <w:spacing w:after="0" w:line="480" w:lineRule="auto"/>
      </w:pPr>
    </w:p>
    <w:p w:rsidR="00F3413D" w:rsidRDefault="00F3413D">
      <w:r>
        <w:rPr>
          <w:noProof/>
        </w:rPr>
        <w:drawing>
          <wp:inline distT="0" distB="0" distL="0" distR="0" wp14:anchorId="20AA6E4A" wp14:editId="4555DCE8">
            <wp:extent cx="5774432" cy="3305908"/>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7986" cy="3307942"/>
                    </a:xfrm>
                    <a:prstGeom prst="rect">
                      <a:avLst/>
                    </a:prstGeom>
                    <a:noFill/>
                  </pic:spPr>
                </pic:pic>
              </a:graphicData>
            </a:graphic>
          </wp:inline>
        </w:drawing>
      </w:r>
      <w:r>
        <w:br w:type="page"/>
      </w:r>
    </w:p>
    <w:p w:rsidR="00F3413D" w:rsidRDefault="00F3413D" w:rsidP="007A24C1">
      <w:pPr>
        <w:spacing w:after="0" w:line="480" w:lineRule="auto"/>
        <w:jc w:val="center"/>
      </w:pPr>
      <w:proofErr w:type="gramStart"/>
      <w:r>
        <w:rPr>
          <w:b/>
        </w:rPr>
        <w:lastRenderedPageBreak/>
        <w:t>Table 2.</w:t>
      </w:r>
      <w:proofErr w:type="gramEnd"/>
      <w:r>
        <w:rPr>
          <w:b/>
        </w:rPr>
        <w:t xml:space="preserve"> </w:t>
      </w:r>
      <w:r w:rsidRPr="002A30CA">
        <w:rPr>
          <w:b/>
        </w:rPr>
        <w:t xml:space="preserve"> </w:t>
      </w:r>
      <w:r>
        <w:rPr>
          <w:b/>
        </w:rPr>
        <w:t>Prescribing Prompt software features ranked in order of respondent-assigned priority</w:t>
      </w:r>
    </w:p>
    <w:tbl>
      <w:tblPr>
        <w:tblStyle w:val="TableGrid"/>
        <w:tblW w:w="0" w:type="auto"/>
        <w:tblLook w:val="04A0" w:firstRow="1" w:lastRow="0" w:firstColumn="1" w:lastColumn="0" w:noHBand="0" w:noVBand="1"/>
      </w:tblPr>
      <w:tblGrid>
        <w:gridCol w:w="1451"/>
        <w:gridCol w:w="1359"/>
        <w:gridCol w:w="1274"/>
        <w:gridCol w:w="1274"/>
        <w:gridCol w:w="1274"/>
        <w:gridCol w:w="1274"/>
        <w:gridCol w:w="1274"/>
      </w:tblGrid>
      <w:tr w:rsidR="00F3413D" w:rsidRPr="002A30CA" w:rsidTr="007A24C1">
        <w:tc>
          <w:tcPr>
            <w:tcW w:w="1451" w:type="dxa"/>
            <w:vAlign w:val="center"/>
          </w:tcPr>
          <w:p w:rsidR="00F3413D" w:rsidRPr="002A30CA" w:rsidRDefault="00F3413D" w:rsidP="007A24C1">
            <w:pPr>
              <w:jc w:val="center"/>
              <w:rPr>
                <w:b/>
                <w:bCs/>
              </w:rPr>
            </w:pPr>
            <w:r w:rsidRPr="002A30CA">
              <w:rPr>
                <w:b/>
                <w:bCs/>
              </w:rPr>
              <w:t>Software feature</w:t>
            </w:r>
          </w:p>
        </w:tc>
        <w:tc>
          <w:tcPr>
            <w:tcW w:w="1359" w:type="dxa"/>
            <w:vAlign w:val="center"/>
          </w:tcPr>
          <w:p w:rsidR="00F3413D" w:rsidRPr="002A30CA" w:rsidRDefault="00F3413D" w:rsidP="007A24C1">
            <w:pPr>
              <w:jc w:val="center"/>
              <w:rPr>
                <w:b/>
                <w:bCs/>
              </w:rPr>
            </w:pPr>
            <w:r>
              <w:rPr>
                <w:b/>
                <w:bCs/>
              </w:rPr>
              <w:t>Number of responses</w:t>
            </w:r>
          </w:p>
        </w:tc>
        <w:tc>
          <w:tcPr>
            <w:tcW w:w="1274" w:type="dxa"/>
            <w:vAlign w:val="center"/>
          </w:tcPr>
          <w:p w:rsidR="00F3413D" w:rsidRPr="002A30CA" w:rsidRDefault="00F3413D" w:rsidP="007A24C1">
            <w:pPr>
              <w:jc w:val="center"/>
              <w:rPr>
                <w:b/>
                <w:bCs/>
              </w:rPr>
            </w:pPr>
            <w:r w:rsidRPr="002A30CA">
              <w:rPr>
                <w:b/>
                <w:bCs/>
              </w:rPr>
              <w:t>Essential</w:t>
            </w:r>
          </w:p>
        </w:tc>
        <w:tc>
          <w:tcPr>
            <w:tcW w:w="1274" w:type="dxa"/>
            <w:vAlign w:val="center"/>
          </w:tcPr>
          <w:p w:rsidR="00F3413D" w:rsidRPr="002A30CA" w:rsidRDefault="00F3413D" w:rsidP="007A24C1">
            <w:pPr>
              <w:jc w:val="center"/>
              <w:rPr>
                <w:b/>
                <w:bCs/>
              </w:rPr>
            </w:pPr>
            <w:r w:rsidRPr="002A30CA">
              <w:rPr>
                <w:b/>
                <w:bCs/>
              </w:rPr>
              <w:t>High priority</w:t>
            </w:r>
          </w:p>
        </w:tc>
        <w:tc>
          <w:tcPr>
            <w:tcW w:w="1274" w:type="dxa"/>
            <w:vAlign w:val="center"/>
          </w:tcPr>
          <w:p w:rsidR="00F3413D" w:rsidRPr="002A30CA" w:rsidRDefault="00F3413D" w:rsidP="007A24C1">
            <w:pPr>
              <w:jc w:val="center"/>
              <w:rPr>
                <w:b/>
                <w:bCs/>
              </w:rPr>
            </w:pPr>
            <w:r w:rsidRPr="002A30CA">
              <w:rPr>
                <w:b/>
                <w:bCs/>
              </w:rPr>
              <w:t>Medium priority</w:t>
            </w:r>
          </w:p>
        </w:tc>
        <w:tc>
          <w:tcPr>
            <w:tcW w:w="1274" w:type="dxa"/>
            <w:vAlign w:val="center"/>
          </w:tcPr>
          <w:p w:rsidR="00F3413D" w:rsidRPr="002A30CA" w:rsidRDefault="00F3413D" w:rsidP="007A24C1">
            <w:pPr>
              <w:jc w:val="center"/>
              <w:rPr>
                <w:b/>
                <w:bCs/>
              </w:rPr>
            </w:pPr>
            <w:r w:rsidRPr="002A30CA">
              <w:rPr>
                <w:b/>
                <w:bCs/>
              </w:rPr>
              <w:t>Low priority</w:t>
            </w:r>
          </w:p>
        </w:tc>
        <w:tc>
          <w:tcPr>
            <w:tcW w:w="1274" w:type="dxa"/>
            <w:vAlign w:val="center"/>
          </w:tcPr>
          <w:p w:rsidR="00F3413D" w:rsidRPr="002A30CA" w:rsidRDefault="00F3413D" w:rsidP="007A24C1">
            <w:pPr>
              <w:jc w:val="center"/>
              <w:rPr>
                <w:b/>
                <w:bCs/>
              </w:rPr>
            </w:pPr>
            <w:r w:rsidRPr="002A30CA">
              <w:rPr>
                <w:b/>
                <w:bCs/>
              </w:rPr>
              <w:t>Not a priority</w:t>
            </w:r>
          </w:p>
        </w:tc>
      </w:tr>
      <w:tr w:rsidR="00F3413D" w:rsidRPr="002A30CA" w:rsidTr="007A24C1">
        <w:tc>
          <w:tcPr>
            <w:tcW w:w="1451" w:type="dxa"/>
            <w:vAlign w:val="center"/>
          </w:tcPr>
          <w:p w:rsidR="00F3413D" w:rsidRPr="002A30CA" w:rsidRDefault="00F3413D" w:rsidP="007A24C1">
            <w:pPr>
              <w:jc w:val="center"/>
              <w:rPr>
                <w:b/>
              </w:rPr>
            </w:pPr>
            <w:r w:rsidRPr="002A30CA">
              <w:rPr>
                <w:b/>
              </w:rPr>
              <w:t>Allergy checker</w:t>
            </w:r>
          </w:p>
        </w:tc>
        <w:tc>
          <w:tcPr>
            <w:tcW w:w="1359" w:type="dxa"/>
            <w:vAlign w:val="center"/>
          </w:tcPr>
          <w:p w:rsidR="00F3413D" w:rsidRPr="005A599F" w:rsidRDefault="00F3413D" w:rsidP="007A24C1">
            <w:pPr>
              <w:spacing w:line="480" w:lineRule="auto"/>
              <w:jc w:val="center"/>
            </w:pPr>
            <w:r w:rsidRPr="005A599F">
              <w:t>142</w:t>
            </w:r>
          </w:p>
        </w:tc>
        <w:tc>
          <w:tcPr>
            <w:tcW w:w="1274" w:type="dxa"/>
            <w:vAlign w:val="center"/>
          </w:tcPr>
          <w:p w:rsidR="00F3413D" w:rsidRPr="005A599F" w:rsidRDefault="00F3413D" w:rsidP="007A24C1">
            <w:pPr>
              <w:spacing w:line="480" w:lineRule="auto"/>
              <w:jc w:val="center"/>
            </w:pPr>
            <w:r w:rsidRPr="005A599F">
              <w:rPr>
                <w:rFonts w:cs="Microsoft Sans Serif"/>
              </w:rPr>
              <w:t>80.3%</w:t>
            </w:r>
          </w:p>
        </w:tc>
        <w:tc>
          <w:tcPr>
            <w:tcW w:w="1274" w:type="dxa"/>
            <w:vAlign w:val="center"/>
          </w:tcPr>
          <w:p w:rsidR="00F3413D" w:rsidRPr="005A599F" w:rsidRDefault="00F3413D" w:rsidP="007A24C1">
            <w:pPr>
              <w:spacing w:line="480" w:lineRule="auto"/>
              <w:jc w:val="center"/>
            </w:pPr>
            <w:r w:rsidRPr="005A599F">
              <w:rPr>
                <w:rFonts w:cs="Microsoft Sans Serif"/>
              </w:rPr>
              <w:t>14.8%</w:t>
            </w:r>
          </w:p>
        </w:tc>
        <w:tc>
          <w:tcPr>
            <w:tcW w:w="1274" w:type="dxa"/>
            <w:vAlign w:val="center"/>
          </w:tcPr>
          <w:p w:rsidR="00F3413D" w:rsidRPr="005A599F" w:rsidRDefault="00F3413D" w:rsidP="007A24C1">
            <w:pPr>
              <w:spacing w:line="480" w:lineRule="auto"/>
              <w:jc w:val="center"/>
            </w:pPr>
            <w:r w:rsidRPr="005A599F">
              <w:rPr>
                <w:rFonts w:cs="Microsoft Sans Serif"/>
              </w:rPr>
              <w:t>3.5%</w:t>
            </w:r>
          </w:p>
        </w:tc>
        <w:tc>
          <w:tcPr>
            <w:tcW w:w="1274" w:type="dxa"/>
            <w:vAlign w:val="center"/>
          </w:tcPr>
          <w:p w:rsidR="00F3413D" w:rsidRPr="005A599F" w:rsidRDefault="00F3413D" w:rsidP="007A24C1">
            <w:pPr>
              <w:spacing w:line="480" w:lineRule="auto"/>
              <w:jc w:val="center"/>
            </w:pPr>
            <w:r w:rsidRPr="005A599F">
              <w:rPr>
                <w:rFonts w:cs="Microsoft Sans Serif"/>
              </w:rPr>
              <w:t>1.4%</w:t>
            </w:r>
          </w:p>
        </w:tc>
        <w:tc>
          <w:tcPr>
            <w:tcW w:w="1274" w:type="dxa"/>
            <w:vAlign w:val="center"/>
          </w:tcPr>
          <w:p w:rsidR="00F3413D" w:rsidRPr="005A599F" w:rsidRDefault="00F3413D" w:rsidP="007A24C1">
            <w:pPr>
              <w:spacing w:line="480" w:lineRule="auto"/>
              <w:jc w:val="center"/>
            </w:pPr>
            <w:r w:rsidRPr="005A599F">
              <w:rPr>
                <w:rFonts w:cs="Microsoft Sans Serif"/>
              </w:rPr>
              <w:t>0.0%</w:t>
            </w:r>
          </w:p>
        </w:tc>
      </w:tr>
      <w:tr w:rsidR="00F3413D" w:rsidRPr="002A30CA" w:rsidTr="007A24C1">
        <w:tc>
          <w:tcPr>
            <w:tcW w:w="1451" w:type="dxa"/>
            <w:vAlign w:val="center"/>
          </w:tcPr>
          <w:p w:rsidR="00F3413D" w:rsidRPr="002A30CA" w:rsidRDefault="00F3413D" w:rsidP="007A24C1">
            <w:pPr>
              <w:jc w:val="center"/>
              <w:rPr>
                <w:b/>
              </w:rPr>
            </w:pPr>
            <w:r w:rsidRPr="002A30CA">
              <w:rPr>
                <w:b/>
              </w:rPr>
              <w:t>Indication prompt</w:t>
            </w:r>
          </w:p>
        </w:tc>
        <w:tc>
          <w:tcPr>
            <w:tcW w:w="1359" w:type="dxa"/>
            <w:vAlign w:val="center"/>
          </w:tcPr>
          <w:p w:rsidR="00F3413D" w:rsidRPr="005A599F" w:rsidRDefault="00F3413D" w:rsidP="007A24C1">
            <w:pPr>
              <w:spacing w:line="480" w:lineRule="auto"/>
              <w:jc w:val="center"/>
            </w:pPr>
            <w:r w:rsidRPr="005A599F">
              <w:t>139</w:t>
            </w:r>
          </w:p>
        </w:tc>
        <w:tc>
          <w:tcPr>
            <w:tcW w:w="1274" w:type="dxa"/>
            <w:vAlign w:val="center"/>
          </w:tcPr>
          <w:p w:rsidR="00F3413D" w:rsidRPr="005A599F" w:rsidRDefault="00F3413D" w:rsidP="007A24C1">
            <w:pPr>
              <w:spacing w:line="480" w:lineRule="auto"/>
              <w:jc w:val="center"/>
            </w:pPr>
            <w:r w:rsidRPr="005A599F">
              <w:rPr>
                <w:rFonts w:cs="Microsoft Sans Serif"/>
              </w:rPr>
              <w:t>56.8%</w:t>
            </w:r>
          </w:p>
        </w:tc>
        <w:tc>
          <w:tcPr>
            <w:tcW w:w="1274" w:type="dxa"/>
            <w:vAlign w:val="center"/>
          </w:tcPr>
          <w:p w:rsidR="00F3413D" w:rsidRPr="005A599F" w:rsidRDefault="00F3413D" w:rsidP="007A24C1">
            <w:pPr>
              <w:spacing w:line="480" w:lineRule="auto"/>
              <w:jc w:val="center"/>
            </w:pPr>
            <w:r w:rsidRPr="005A599F">
              <w:rPr>
                <w:rFonts w:cs="Microsoft Sans Serif"/>
              </w:rPr>
              <w:t>30.9%</w:t>
            </w:r>
          </w:p>
        </w:tc>
        <w:tc>
          <w:tcPr>
            <w:tcW w:w="1274" w:type="dxa"/>
            <w:vAlign w:val="center"/>
          </w:tcPr>
          <w:p w:rsidR="00F3413D" w:rsidRPr="005A599F" w:rsidRDefault="00F3413D" w:rsidP="007A24C1">
            <w:pPr>
              <w:spacing w:line="480" w:lineRule="auto"/>
              <w:jc w:val="center"/>
            </w:pPr>
            <w:r w:rsidRPr="005A599F">
              <w:rPr>
                <w:rFonts w:cs="Microsoft Sans Serif"/>
              </w:rPr>
              <w:t>10.8%</w:t>
            </w:r>
          </w:p>
        </w:tc>
        <w:tc>
          <w:tcPr>
            <w:tcW w:w="1274" w:type="dxa"/>
            <w:vAlign w:val="center"/>
          </w:tcPr>
          <w:p w:rsidR="00F3413D" w:rsidRPr="005A599F" w:rsidRDefault="00F3413D" w:rsidP="007A24C1">
            <w:pPr>
              <w:spacing w:line="480" w:lineRule="auto"/>
              <w:jc w:val="center"/>
            </w:pPr>
            <w:r w:rsidRPr="005A599F">
              <w:rPr>
                <w:rFonts w:cs="Microsoft Sans Serif"/>
              </w:rPr>
              <w:t>1.4%</w:t>
            </w:r>
          </w:p>
        </w:tc>
        <w:tc>
          <w:tcPr>
            <w:tcW w:w="1274" w:type="dxa"/>
            <w:vAlign w:val="center"/>
          </w:tcPr>
          <w:p w:rsidR="00F3413D" w:rsidRPr="005A599F" w:rsidRDefault="00F3413D" w:rsidP="007A24C1">
            <w:pPr>
              <w:spacing w:line="480" w:lineRule="auto"/>
              <w:jc w:val="center"/>
            </w:pPr>
            <w:r w:rsidRPr="005A599F">
              <w:rPr>
                <w:rFonts w:cs="Microsoft Sans Serif"/>
              </w:rPr>
              <w:t>0.0%</w:t>
            </w:r>
          </w:p>
        </w:tc>
      </w:tr>
      <w:tr w:rsidR="00F3413D" w:rsidRPr="002A30CA" w:rsidTr="007A24C1">
        <w:tc>
          <w:tcPr>
            <w:tcW w:w="1451" w:type="dxa"/>
            <w:vAlign w:val="center"/>
          </w:tcPr>
          <w:p w:rsidR="00F3413D" w:rsidRPr="002A30CA" w:rsidRDefault="00F3413D" w:rsidP="007A24C1">
            <w:pPr>
              <w:jc w:val="center"/>
              <w:rPr>
                <w:b/>
              </w:rPr>
            </w:pPr>
            <w:r w:rsidRPr="002A30CA">
              <w:rPr>
                <w:b/>
              </w:rPr>
              <w:t>Interaction checker</w:t>
            </w:r>
          </w:p>
        </w:tc>
        <w:tc>
          <w:tcPr>
            <w:tcW w:w="1359" w:type="dxa"/>
            <w:vAlign w:val="center"/>
          </w:tcPr>
          <w:p w:rsidR="00F3413D" w:rsidRPr="005A599F" w:rsidRDefault="00F3413D" w:rsidP="007A24C1">
            <w:pPr>
              <w:spacing w:line="480" w:lineRule="auto"/>
              <w:jc w:val="center"/>
            </w:pPr>
            <w:r w:rsidRPr="005A599F">
              <w:t>143</w:t>
            </w:r>
          </w:p>
        </w:tc>
        <w:tc>
          <w:tcPr>
            <w:tcW w:w="1274" w:type="dxa"/>
            <w:vAlign w:val="center"/>
          </w:tcPr>
          <w:p w:rsidR="00F3413D" w:rsidRPr="005A599F" w:rsidRDefault="00F3413D" w:rsidP="007A24C1">
            <w:pPr>
              <w:spacing w:line="480" w:lineRule="auto"/>
              <w:jc w:val="center"/>
            </w:pPr>
            <w:r w:rsidRPr="005A599F">
              <w:rPr>
                <w:rFonts w:cs="Microsoft Sans Serif"/>
              </w:rPr>
              <w:t>45.5%</w:t>
            </w:r>
          </w:p>
        </w:tc>
        <w:tc>
          <w:tcPr>
            <w:tcW w:w="1274" w:type="dxa"/>
            <w:vAlign w:val="center"/>
          </w:tcPr>
          <w:p w:rsidR="00F3413D" w:rsidRPr="005A599F" w:rsidRDefault="00F3413D" w:rsidP="007A24C1">
            <w:pPr>
              <w:spacing w:line="480" w:lineRule="auto"/>
              <w:jc w:val="center"/>
            </w:pPr>
            <w:r w:rsidRPr="005A599F">
              <w:rPr>
                <w:rFonts w:cs="Microsoft Sans Serif"/>
              </w:rPr>
              <w:t>35.7%</w:t>
            </w:r>
          </w:p>
        </w:tc>
        <w:tc>
          <w:tcPr>
            <w:tcW w:w="1274" w:type="dxa"/>
            <w:vAlign w:val="center"/>
          </w:tcPr>
          <w:p w:rsidR="00F3413D" w:rsidRPr="005A599F" w:rsidRDefault="00F3413D" w:rsidP="007A24C1">
            <w:pPr>
              <w:spacing w:line="480" w:lineRule="auto"/>
              <w:jc w:val="center"/>
            </w:pPr>
            <w:r w:rsidRPr="005A599F">
              <w:rPr>
                <w:rFonts w:cs="Microsoft Sans Serif"/>
              </w:rPr>
              <w:t>14.7%</w:t>
            </w:r>
          </w:p>
        </w:tc>
        <w:tc>
          <w:tcPr>
            <w:tcW w:w="1274" w:type="dxa"/>
            <w:vAlign w:val="center"/>
          </w:tcPr>
          <w:p w:rsidR="00F3413D" w:rsidRPr="005A599F" w:rsidRDefault="00F3413D" w:rsidP="007A24C1">
            <w:pPr>
              <w:spacing w:line="480" w:lineRule="auto"/>
              <w:jc w:val="center"/>
            </w:pPr>
            <w:r w:rsidRPr="005A599F">
              <w:rPr>
                <w:rFonts w:cs="Microsoft Sans Serif"/>
              </w:rPr>
              <w:t>4.2%</w:t>
            </w:r>
          </w:p>
        </w:tc>
        <w:tc>
          <w:tcPr>
            <w:tcW w:w="1274" w:type="dxa"/>
            <w:vAlign w:val="center"/>
          </w:tcPr>
          <w:p w:rsidR="00F3413D" w:rsidRPr="005A599F" w:rsidRDefault="00F3413D" w:rsidP="007A24C1">
            <w:pPr>
              <w:spacing w:line="480" w:lineRule="auto"/>
              <w:jc w:val="center"/>
            </w:pPr>
            <w:r w:rsidRPr="005A599F">
              <w:rPr>
                <w:rFonts w:cs="Microsoft Sans Serif"/>
              </w:rPr>
              <w:t>0.0%</w:t>
            </w:r>
          </w:p>
        </w:tc>
      </w:tr>
      <w:tr w:rsidR="00F3413D" w:rsidRPr="002A30CA" w:rsidTr="007A24C1">
        <w:tc>
          <w:tcPr>
            <w:tcW w:w="1451" w:type="dxa"/>
            <w:vAlign w:val="center"/>
          </w:tcPr>
          <w:p w:rsidR="00F3413D" w:rsidRPr="002A30CA" w:rsidRDefault="00F3413D" w:rsidP="007A24C1">
            <w:pPr>
              <w:jc w:val="center"/>
              <w:rPr>
                <w:b/>
              </w:rPr>
            </w:pPr>
            <w:r w:rsidRPr="002A30CA">
              <w:rPr>
                <w:b/>
              </w:rPr>
              <w:t>Soft stop</w:t>
            </w:r>
          </w:p>
        </w:tc>
        <w:tc>
          <w:tcPr>
            <w:tcW w:w="1359" w:type="dxa"/>
            <w:vAlign w:val="center"/>
          </w:tcPr>
          <w:p w:rsidR="00F3413D" w:rsidRPr="005A599F" w:rsidRDefault="00F3413D" w:rsidP="007A24C1">
            <w:pPr>
              <w:spacing w:line="480" w:lineRule="auto"/>
              <w:jc w:val="center"/>
            </w:pPr>
            <w:r w:rsidRPr="005A599F">
              <w:t>141</w:t>
            </w:r>
          </w:p>
        </w:tc>
        <w:tc>
          <w:tcPr>
            <w:tcW w:w="1274" w:type="dxa"/>
            <w:vAlign w:val="center"/>
          </w:tcPr>
          <w:p w:rsidR="00F3413D" w:rsidRPr="005A599F" w:rsidRDefault="00F3413D" w:rsidP="007A24C1">
            <w:pPr>
              <w:spacing w:line="480" w:lineRule="auto"/>
              <w:jc w:val="center"/>
            </w:pPr>
            <w:r w:rsidRPr="005A599F">
              <w:rPr>
                <w:rFonts w:cs="Microsoft Sans Serif"/>
              </w:rPr>
              <w:t>38.3%</w:t>
            </w:r>
          </w:p>
        </w:tc>
        <w:tc>
          <w:tcPr>
            <w:tcW w:w="1274" w:type="dxa"/>
            <w:vAlign w:val="center"/>
          </w:tcPr>
          <w:p w:rsidR="00F3413D" w:rsidRPr="005A599F" w:rsidRDefault="00F3413D" w:rsidP="007A24C1">
            <w:pPr>
              <w:spacing w:line="480" w:lineRule="auto"/>
              <w:jc w:val="center"/>
            </w:pPr>
            <w:r w:rsidRPr="005A599F">
              <w:rPr>
                <w:rFonts w:cs="Microsoft Sans Serif"/>
              </w:rPr>
              <w:t>51.1%</w:t>
            </w:r>
          </w:p>
        </w:tc>
        <w:tc>
          <w:tcPr>
            <w:tcW w:w="1274" w:type="dxa"/>
            <w:vAlign w:val="center"/>
          </w:tcPr>
          <w:p w:rsidR="00F3413D" w:rsidRPr="005A599F" w:rsidRDefault="00F3413D" w:rsidP="007A24C1">
            <w:pPr>
              <w:spacing w:line="480" w:lineRule="auto"/>
              <w:jc w:val="center"/>
            </w:pPr>
            <w:r w:rsidRPr="005A599F">
              <w:rPr>
                <w:rFonts w:cs="Microsoft Sans Serif"/>
              </w:rPr>
              <w:t>7.1%</w:t>
            </w:r>
          </w:p>
        </w:tc>
        <w:tc>
          <w:tcPr>
            <w:tcW w:w="1274" w:type="dxa"/>
            <w:vAlign w:val="center"/>
          </w:tcPr>
          <w:p w:rsidR="00F3413D" w:rsidRPr="005A599F" w:rsidRDefault="00F3413D" w:rsidP="007A24C1">
            <w:pPr>
              <w:spacing w:line="480" w:lineRule="auto"/>
              <w:jc w:val="center"/>
            </w:pPr>
            <w:r w:rsidRPr="005A599F">
              <w:rPr>
                <w:rFonts w:cs="Microsoft Sans Serif"/>
              </w:rPr>
              <w:t>2.8%</w:t>
            </w:r>
          </w:p>
        </w:tc>
        <w:tc>
          <w:tcPr>
            <w:tcW w:w="1274" w:type="dxa"/>
            <w:vAlign w:val="center"/>
          </w:tcPr>
          <w:p w:rsidR="00F3413D" w:rsidRPr="005A599F" w:rsidRDefault="00F3413D" w:rsidP="007A24C1">
            <w:pPr>
              <w:spacing w:line="480" w:lineRule="auto"/>
              <w:jc w:val="center"/>
            </w:pPr>
            <w:r w:rsidRPr="005A599F">
              <w:rPr>
                <w:rFonts w:cs="Microsoft Sans Serif"/>
              </w:rPr>
              <w:t>0.7%</w:t>
            </w:r>
          </w:p>
        </w:tc>
      </w:tr>
      <w:tr w:rsidR="00F3413D" w:rsidRPr="002A30CA" w:rsidTr="007A24C1">
        <w:tc>
          <w:tcPr>
            <w:tcW w:w="1451" w:type="dxa"/>
            <w:vAlign w:val="center"/>
          </w:tcPr>
          <w:p w:rsidR="00F3413D" w:rsidRPr="002A30CA" w:rsidRDefault="00F3413D" w:rsidP="007A24C1">
            <w:pPr>
              <w:jc w:val="center"/>
              <w:rPr>
                <w:b/>
              </w:rPr>
            </w:pPr>
            <w:r w:rsidRPr="002A30CA">
              <w:rPr>
                <w:b/>
              </w:rPr>
              <w:t>Blood level prompt</w:t>
            </w:r>
          </w:p>
        </w:tc>
        <w:tc>
          <w:tcPr>
            <w:tcW w:w="1359" w:type="dxa"/>
            <w:vAlign w:val="center"/>
          </w:tcPr>
          <w:p w:rsidR="00F3413D" w:rsidRPr="005A599F" w:rsidRDefault="00F3413D" w:rsidP="007A24C1">
            <w:pPr>
              <w:spacing w:line="480" w:lineRule="auto"/>
              <w:jc w:val="center"/>
            </w:pPr>
            <w:r w:rsidRPr="005A599F">
              <w:t>140</w:t>
            </w:r>
          </w:p>
        </w:tc>
        <w:tc>
          <w:tcPr>
            <w:tcW w:w="1274" w:type="dxa"/>
            <w:vAlign w:val="center"/>
          </w:tcPr>
          <w:p w:rsidR="00F3413D" w:rsidRPr="005A599F" w:rsidRDefault="00F3413D" w:rsidP="007A24C1">
            <w:pPr>
              <w:spacing w:line="480" w:lineRule="auto"/>
              <w:jc w:val="center"/>
            </w:pPr>
            <w:r w:rsidRPr="005A599F">
              <w:rPr>
                <w:rFonts w:cs="Microsoft Sans Serif"/>
              </w:rPr>
              <w:t>35.0%</w:t>
            </w:r>
          </w:p>
        </w:tc>
        <w:tc>
          <w:tcPr>
            <w:tcW w:w="1274" w:type="dxa"/>
            <w:vAlign w:val="center"/>
          </w:tcPr>
          <w:p w:rsidR="00F3413D" w:rsidRPr="005A599F" w:rsidRDefault="00F3413D" w:rsidP="007A24C1">
            <w:pPr>
              <w:spacing w:line="480" w:lineRule="auto"/>
              <w:jc w:val="center"/>
            </w:pPr>
            <w:r w:rsidRPr="005A599F">
              <w:rPr>
                <w:rFonts w:cs="Microsoft Sans Serif"/>
              </w:rPr>
              <w:t>46.4%</w:t>
            </w:r>
          </w:p>
        </w:tc>
        <w:tc>
          <w:tcPr>
            <w:tcW w:w="1274" w:type="dxa"/>
            <w:vAlign w:val="center"/>
          </w:tcPr>
          <w:p w:rsidR="00F3413D" w:rsidRPr="005A599F" w:rsidRDefault="00F3413D" w:rsidP="007A24C1">
            <w:pPr>
              <w:spacing w:line="480" w:lineRule="auto"/>
              <w:jc w:val="center"/>
            </w:pPr>
            <w:r w:rsidRPr="005A599F">
              <w:rPr>
                <w:rFonts w:cs="Microsoft Sans Serif"/>
              </w:rPr>
              <w:t>15.7%</w:t>
            </w:r>
          </w:p>
        </w:tc>
        <w:tc>
          <w:tcPr>
            <w:tcW w:w="1274" w:type="dxa"/>
            <w:vAlign w:val="center"/>
          </w:tcPr>
          <w:p w:rsidR="00F3413D" w:rsidRPr="005A599F" w:rsidRDefault="00F3413D" w:rsidP="007A24C1">
            <w:pPr>
              <w:spacing w:line="480" w:lineRule="auto"/>
              <w:jc w:val="center"/>
            </w:pPr>
            <w:r w:rsidRPr="005A599F">
              <w:rPr>
                <w:rFonts w:cs="Microsoft Sans Serif"/>
              </w:rPr>
              <w:t>2.9%</w:t>
            </w:r>
          </w:p>
        </w:tc>
        <w:tc>
          <w:tcPr>
            <w:tcW w:w="1274" w:type="dxa"/>
            <w:vAlign w:val="center"/>
          </w:tcPr>
          <w:p w:rsidR="00F3413D" w:rsidRPr="005A599F" w:rsidRDefault="00F3413D" w:rsidP="007A24C1">
            <w:pPr>
              <w:spacing w:line="480" w:lineRule="auto"/>
              <w:jc w:val="center"/>
            </w:pPr>
            <w:r w:rsidRPr="005A599F">
              <w:rPr>
                <w:rFonts w:cs="Microsoft Sans Serif"/>
              </w:rPr>
              <w:t>0.0%</w:t>
            </w:r>
          </w:p>
        </w:tc>
      </w:tr>
      <w:tr w:rsidR="00F3413D" w:rsidRPr="002A30CA" w:rsidTr="007A24C1">
        <w:tc>
          <w:tcPr>
            <w:tcW w:w="1451" w:type="dxa"/>
            <w:vAlign w:val="center"/>
          </w:tcPr>
          <w:p w:rsidR="00F3413D" w:rsidRPr="002A30CA" w:rsidRDefault="00F3413D" w:rsidP="007A24C1">
            <w:pPr>
              <w:jc w:val="center"/>
              <w:rPr>
                <w:b/>
              </w:rPr>
            </w:pPr>
            <w:r w:rsidRPr="002A30CA">
              <w:rPr>
                <w:b/>
              </w:rPr>
              <w:t>Dose checker (children)</w:t>
            </w:r>
          </w:p>
        </w:tc>
        <w:tc>
          <w:tcPr>
            <w:tcW w:w="1359" w:type="dxa"/>
            <w:vAlign w:val="center"/>
          </w:tcPr>
          <w:p w:rsidR="00F3413D" w:rsidRPr="005A599F" w:rsidRDefault="00F3413D" w:rsidP="007A24C1">
            <w:pPr>
              <w:spacing w:line="480" w:lineRule="auto"/>
              <w:jc w:val="center"/>
            </w:pPr>
            <w:r w:rsidRPr="005A599F">
              <w:t>142</w:t>
            </w:r>
          </w:p>
        </w:tc>
        <w:tc>
          <w:tcPr>
            <w:tcW w:w="1274" w:type="dxa"/>
            <w:vAlign w:val="center"/>
          </w:tcPr>
          <w:p w:rsidR="00F3413D" w:rsidRPr="005A599F" w:rsidRDefault="00F3413D" w:rsidP="007A24C1">
            <w:pPr>
              <w:spacing w:line="480" w:lineRule="auto"/>
              <w:jc w:val="center"/>
            </w:pPr>
            <w:r w:rsidRPr="005A599F">
              <w:rPr>
                <w:rFonts w:cs="Microsoft Sans Serif"/>
              </w:rPr>
              <w:t>33.8%</w:t>
            </w:r>
          </w:p>
        </w:tc>
        <w:tc>
          <w:tcPr>
            <w:tcW w:w="1274" w:type="dxa"/>
            <w:vAlign w:val="center"/>
          </w:tcPr>
          <w:p w:rsidR="00F3413D" w:rsidRPr="005A599F" w:rsidRDefault="00F3413D" w:rsidP="007A24C1">
            <w:pPr>
              <w:spacing w:line="480" w:lineRule="auto"/>
              <w:jc w:val="center"/>
            </w:pPr>
            <w:r w:rsidRPr="005A599F">
              <w:rPr>
                <w:rFonts w:cs="Microsoft Sans Serif"/>
              </w:rPr>
              <w:t>44.4%</w:t>
            </w:r>
          </w:p>
        </w:tc>
        <w:tc>
          <w:tcPr>
            <w:tcW w:w="1274" w:type="dxa"/>
            <w:vAlign w:val="center"/>
          </w:tcPr>
          <w:p w:rsidR="00F3413D" w:rsidRPr="005A599F" w:rsidRDefault="00F3413D" w:rsidP="007A24C1">
            <w:pPr>
              <w:spacing w:line="480" w:lineRule="auto"/>
              <w:jc w:val="center"/>
            </w:pPr>
            <w:r w:rsidRPr="005A599F">
              <w:rPr>
                <w:rFonts w:cs="Microsoft Sans Serif"/>
              </w:rPr>
              <w:t>19.0%</w:t>
            </w:r>
          </w:p>
        </w:tc>
        <w:tc>
          <w:tcPr>
            <w:tcW w:w="1274" w:type="dxa"/>
            <w:vAlign w:val="center"/>
          </w:tcPr>
          <w:p w:rsidR="00F3413D" w:rsidRPr="005A599F" w:rsidRDefault="00F3413D" w:rsidP="007A24C1">
            <w:pPr>
              <w:spacing w:line="480" w:lineRule="auto"/>
              <w:jc w:val="center"/>
            </w:pPr>
            <w:r w:rsidRPr="005A599F">
              <w:rPr>
                <w:rFonts w:cs="Microsoft Sans Serif"/>
              </w:rPr>
              <w:t>2.1%</w:t>
            </w:r>
          </w:p>
        </w:tc>
        <w:tc>
          <w:tcPr>
            <w:tcW w:w="1274" w:type="dxa"/>
            <w:vAlign w:val="center"/>
          </w:tcPr>
          <w:p w:rsidR="00F3413D" w:rsidRPr="005A599F" w:rsidRDefault="00F3413D" w:rsidP="007A24C1">
            <w:pPr>
              <w:spacing w:line="480" w:lineRule="auto"/>
              <w:jc w:val="center"/>
            </w:pPr>
            <w:r w:rsidRPr="005A599F">
              <w:rPr>
                <w:rFonts w:cs="Microsoft Sans Serif"/>
              </w:rPr>
              <w:t>0.7%</w:t>
            </w:r>
          </w:p>
        </w:tc>
      </w:tr>
      <w:tr w:rsidR="00F3413D" w:rsidRPr="002A30CA" w:rsidTr="007A24C1">
        <w:tc>
          <w:tcPr>
            <w:tcW w:w="1451" w:type="dxa"/>
            <w:vAlign w:val="center"/>
          </w:tcPr>
          <w:p w:rsidR="00F3413D" w:rsidRPr="002A30CA" w:rsidRDefault="00F3413D" w:rsidP="007A24C1">
            <w:pPr>
              <w:jc w:val="center"/>
              <w:rPr>
                <w:b/>
              </w:rPr>
            </w:pPr>
            <w:r w:rsidRPr="002A30CA">
              <w:rPr>
                <w:b/>
              </w:rPr>
              <w:t>Dose checker (adults)</w:t>
            </w:r>
          </w:p>
        </w:tc>
        <w:tc>
          <w:tcPr>
            <w:tcW w:w="1359" w:type="dxa"/>
            <w:vAlign w:val="center"/>
          </w:tcPr>
          <w:p w:rsidR="00F3413D" w:rsidRPr="005A599F" w:rsidRDefault="00F3413D" w:rsidP="007A24C1">
            <w:pPr>
              <w:spacing w:line="480" w:lineRule="auto"/>
              <w:jc w:val="center"/>
            </w:pPr>
            <w:r w:rsidRPr="005A599F">
              <w:t>141</w:t>
            </w:r>
          </w:p>
        </w:tc>
        <w:tc>
          <w:tcPr>
            <w:tcW w:w="1274" w:type="dxa"/>
            <w:vAlign w:val="center"/>
          </w:tcPr>
          <w:p w:rsidR="00F3413D" w:rsidRPr="005A599F" w:rsidRDefault="00F3413D" w:rsidP="007A24C1">
            <w:pPr>
              <w:spacing w:line="480" w:lineRule="auto"/>
              <w:jc w:val="center"/>
            </w:pPr>
            <w:r w:rsidRPr="005A599F">
              <w:rPr>
                <w:rFonts w:cs="Microsoft Sans Serif"/>
              </w:rPr>
              <w:t>25.5%</w:t>
            </w:r>
          </w:p>
        </w:tc>
        <w:tc>
          <w:tcPr>
            <w:tcW w:w="1274" w:type="dxa"/>
            <w:vAlign w:val="center"/>
          </w:tcPr>
          <w:p w:rsidR="00F3413D" w:rsidRPr="005A599F" w:rsidRDefault="00F3413D" w:rsidP="007A24C1">
            <w:pPr>
              <w:spacing w:line="480" w:lineRule="auto"/>
              <w:jc w:val="center"/>
            </w:pPr>
            <w:r w:rsidRPr="005A599F">
              <w:rPr>
                <w:rFonts w:cs="Microsoft Sans Serif"/>
              </w:rPr>
              <w:t>48.2%</w:t>
            </w:r>
          </w:p>
        </w:tc>
        <w:tc>
          <w:tcPr>
            <w:tcW w:w="1274" w:type="dxa"/>
            <w:vAlign w:val="center"/>
          </w:tcPr>
          <w:p w:rsidR="00F3413D" w:rsidRPr="005A599F" w:rsidRDefault="00F3413D" w:rsidP="007A24C1">
            <w:pPr>
              <w:spacing w:line="480" w:lineRule="auto"/>
              <w:jc w:val="center"/>
            </w:pPr>
            <w:r w:rsidRPr="005A599F">
              <w:rPr>
                <w:rFonts w:cs="Microsoft Sans Serif"/>
              </w:rPr>
              <w:t>22.0%</w:t>
            </w:r>
          </w:p>
        </w:tc>
        <w:tc>
          <w:tcPr>
            <w:tcW w:w="1274" w:type="dxa"/>
            <w:vAlign w:val="center"/>
          </w:tcPr>
          <w:p w:rsidR="00F3413D" w:rsidRPr="005A599F" w:rsidRDefault="00F3413D" w:rsidP="007A24C1">
            <w:pPr>
              <w:spacing w:line="480" w:lineRule="auto"/>
              <w:jc w:val="center"/>
            </w:pPr>
            <w:r w:rsidRPr="005A599F">
              <w:rPr>
                <w:rFonts w:cs="Microsoft Sans Serif"/>
              </w:rPr>
              <w:t>3.5%</w:t>
            </w:r>
          </w:p>
        </w:tc>
        <w:tc>
          <w:tcPr>
            <w:tcW w:w="1274" w:type="dxa"/>
            <w:vAlign w:val="center"/>
          </w:tcPr>
          <w:p w:rsidR="00F3413D" w:rsidRPr="005A599F" w:rsidRDefault="00F3413D" w:rsidP="007A24C1">
            <w:pPr>
              <w:spacing w:line="480" w:lineRule="auto"/>
              <w:jc w:val="center"/>
            </w:pPr>
            <w:r w:rsidRPr="005A599F">
              <w:rPr>
                <w:rFonts w:cs="Microsoft Sans Serif"/>
              </w:rPr>
              <w:t>0.7%</w:t>
            </w:r>
          </w:p>
        </w:tc>
      </w:tr>
      <w:tr w:rsidR="00F3413D" w:rsidRPr="002A30CA" w:rsidTr="007A24C1">
        <w:tc>
          <w:tcPr>
            <w:tcW w:w="1451" w:type="dxa"/>
            <w:vAlign w:val="center"/>
          </w:tcPr>
          <w:p w:rsidR="00F3413D" w:rsidRPr="002A30CA" w:rsidRDefault="00F3413D" w:rsidP="007A24C1">
            <w:pPr>
              <w:jc w:val="center"/>
              <w:rPr>
                <w:b/>
              </w:rPr>
            </w:pPr>
            <w:r w:rsidRPr="002A30CA">
              <w:rPr>
                <w:b/>
              </w:rPr>
              <w:t>Critical antimicrobial prompt</w:t>
            </w:r>
          </w:p>
        </w:tc>
        <w:tc>
          <w:tcPr>
            <w:tcW w:w="1359" w:type="dxa"/>
            <w:vAlign w:val="center"/>
          </w:tcPr>
          <w:p w:rsidR="00F3413D" w:rsidRPr="005A599F" w:rsidRDefault="00F3413D" w:rsidP="007A24C1">
            <w:pPr>
              <w:spacing w:line="480" w:lineRule="auto"/>
              <w:jc w:val="center"/>
            </w:pPr>
            <w:r w:rsidRPr="005A599F">
              <w:t>141</w:t>
            </w:r>
          </w:p>
        </w:tc>
        <w:tc>
          <w:tcPr>
            <w:tcW w:w="1274" w:type="dxa"/>
            <w:vAlign w:val="center"/>
          </w:tcPr>
          <w:p w:rsidR="00F3413D" w:rsidRPr="005A599F" w:rsidRDefault="00F3413D" w:rsidP="007A24C1">
            <w:pPr>
              <w:spacing w:line="480" w:lineRule="auto"/>
              <w:jc w:val="center"/>
            </w:pPr>
            <w:r w:rsidRPr="005A599F">
              <w:rPr>
                <w:rFonts w:cs="Microsoft Sans Serif"/>
              </w:rPr>
              <w:t>24.1%</w:t>
            </w:r>
          </w:p>
        </w:tc>
        <w:tc>
          <w:tcPr>
            <w:tcW w:w="1274" w:type="dxa"/>
            <w:vAlign w:val="center"/>
          </w:tcPr>
          <w:p w:rsidR="00F3413D" w:rsidRPr="005A599F" w:rsidRDefault="00F3413D" w:rsidP="007A24C1">
            <w:pPr>
              <w:spacing w:line="480" w:lineRule="auto"/>
              <w:jc w:val="center"/>
            </w:pPr>
            <w:r w:rsidRPr="005A599F">
              <w:rPr>
                <w:rFonts w:cs="Microsoft Sans Serif"/>
              </w:rPr>
              <w:t>48.2%</w:t>
            </w:r>
          </w:p>
        </w:tc>
        <w:tc>
          <w:tcPr>
            <w:tcW w:w="1274" w:type="dxa"/>
            <w:vAlign w:val="center"/>
          </w:tcPr>
          <w:p w:rsidR="00F3413D" w:rsidRPr="005A599F" w:rsidRDefault="00F3413D" w:rsidP="007A24C1">
            <w:pPr>
              <w:spacing w:line="480" w:lineRule="auto"/>
              <w:jc w:val="center"/>
            </w:pPr>
            <w:r w:rsidRPr="005A599F">
              <w:rPr>
                <w:rFonts w:cs="Microsoft Sans Serif"/>
              </w:rPr>
              <w:t>21.3%</w:t>
            </w:r>
          </w:p>
        </w:tc>
        <w:tc>
          <w:tcPr>
            <w:tcW w:w="1274" w:type="dxa"/>
            <w:vAlign w:val="center"/>
          </w:tcPr>
          <w:p w:rsidR="00F3413D" w:rsidRPr="005A599F" w:rsidRDefault="00F3413D" w:rsidP="007A24C1">
            <w:pPr>
              <w:spacing w:line="480" w:lineRule="auto"/>
              <w:jc w:val="center"/>
            </w:pPr>
            <w:r w:rsidRPr="005A599F">
              <w:rPr>
                <w:rFonts w:cs="Microsoft Sans Serif"/>
              </w:rPr>
              <w:t>4.3%</w:t>
            </w:r>
          </w:p>
        </w:tc>
        <w:tc>
          <w:tcPr>
            <w:tcW w:w="1274" w:type="dxa"/>
            <w:vAlign w:val="center"/>
          </w:tcPr>
          <w:p w:rsidR="00F3413D" w:rsidRPr="005A599F" w:rsidRDefault="00F3413D" w:rsidP="007A24C1">
            <w:pPr>
              <w:spacing w:line="480" w:lineRule="auto"/>
              <w:jc w:val="center"/>
            </w:pPr>
            <w:r w:rsidRPr="005A599F">
              <w:rPr>
                <w:rFonts w:cs="Microsoft Sans Serif"/>
              </w:rPr>
              <w:t>2.1%</w:t>
            </w:r>
          </w:p>
        </w:tc>
      </w:tr>
      <w:tr w:rsidR="00F3413D" w:rsidRPr="002A30CA" w:rsidTr="007A24C1">
        <w:tc>
          <w:tcPr>
            <w:tcW w:w="1451" w:type="dxa"/>
            <w:vAlign w:val="center"/>
          </w:tcPr>
          <w:p w:rsidR="00F3413D" w:rsidRPr="002A30CA" w:rsidRDefault="00F3413D" w:rsidP="007A24C1">
            <w:pPr>
              <w:jc w:val="center"/>
              <w:rPr>
                <w:b/>
              </w:rPr>
            </w:pPr>
            <w:r w:rsidRPr="002A30CA">
              <w:rPr>
                <w:b/>
              </w:rPr>
              <w:t>Indication order set</w:t>
            </w:r>
          </w:p>
        </w:tc>
        <w:tc>
          <w:tcPr>
            <w:tcW w:w="1359" w:type="dxa"/>
            <w:vAlign w:val="center"/>
          </w:tcPr>
          <w:p w:rsidR="00F3413D" w:rsidRPr="005A599F" w:rsidRDefault="00F3413D" w:rsidP="007A24C1">
            <w:pPr>
              <w:spacing w:line="480" w:lineRule="auto"/>
              <w:jc w:val="center"/>
            </w:pPr>
            <w:r w:rsidRPr="005A599F">
              <w:t>143</w:t>
            </w:r>
          </w:p>
        </w:tc>
        <w:tc>
          <w:tcPr>
            <w:tcW w:w="1274" w:type="dxa"/>
            <w:vAlign w:val="center"/>
          </w:tcPr>
          <w:p w:rsidR="00F3413D" w:rsidRPr="005A599F" w:rsidRDefault="00F3413D" w:rsidP="007A24C1">
            <w:pPr>
              <w:spacing w:line="480" w:lineRule="auto"/>
              <w:jc w:val="center"/>
            </w:pPr>
            <w:r w:rsidRPr="005A599F">
              <w:rPr>
                <w:rFonts w:cs="Microsoft Sans Serif"/>
              </w:rPr>
              <w:t>21.7%</w:t>
            </w:r>
          </w:p>
        </w:tc>
        <w:tc>
          <w:tcPr>
            <w:tcW w:w="1274" w:type="dxa"/>
            <w:vAlign w:val="center"/>
          </w:tcPr>
          <w:p w:rsidR="00F3413D" w:rsidRPr="005A599F" w:rsidRDefault="00F3413D" w:rsidP="007A24C1">
            <w:pPr>
              <w:spacing w:line="480" w:lineRule="auto"/>
              <w:jc w:val="center"/>
            </w:pPr>
            <w:r w:rsidRPr="005A599F">
              <w:rPr>
                <w:rFonts w:cs="Microsoft Sans Serif"/>
              </w:rPr>
              <w:t>45.5%</w:t>
            </w:r>
          </w:p>
        </w:tc>
        <w:tc>
          <w:tcPr>
            <w:tcW w:w="1274" w:type="dxa"/>
            <w:vAlign w:val="center"/>
          </w:tcPr>
          <w:p w:rsidR="00F3413D" w:rsidRPr="005A599F" w:rsidRDefault="00F3413D" w:rsidP="007A24C1">
            <w:pPr>
              <w:spacing w:line="480" w:lineRule="auto"/>
              <w:jc w:val="center"/>
            </w:pPr>
            <w:r w:rsidRPr="005A599F">
              <w:rPr>
                <w:rFonts w:cs="Microsoft Sans Serif"/>
              </w:rPr>
              <w:t>25.2%</w:t>
            </w:r>
          </w:p>
        </w:tc>
        <w:tc>
          <w:tcPr>
            <w:tcW w:w="1274" w:type="dxa"/>
            <w:vAlign w:val="center"/>
          </w:tcPr>
          <w:p w:rsidR="00F3413D" w:rsidRPr="005A599F" w:rsidRDefault="00F3413D" w:rsidP="007A24C1">
            <w:pPr>
              <w:spacing w:line="480" w:lineRule="auto"/>
              <w:jc w:val="center"/>
            </w:pPr>
            <w:r w:rsidRPr="005A599F">
              <w:rPr>
                <w:rFonts w:cs="Microsoft Sans Serif"/>
              </w:rPr>
              <w:t>4.9%</w:t>
            </w:r>
          </w:p>
        </w:tc>
        <w:tc>
          <w:tcPr>
            <w:tcW w:w="1274" w:type="dxa"/>
            <w:vAlign w:val="center"/>
          </w:tcPr>
          <w:p w:rsidR="00F3413D" w:rsidRPr="005A599F" w:rsidRDefault="00F3413D" w:rsidP="007A24C1">
            <w:pPr>
              <w:spacing w:line="480" w:lineRule="auto"/>
              <w:jc w:val="center"/>
            </w:pPr>
            <w:r w:rsidRPr="005A599F">
              <w:rPr>
                <w:rFonts w:cs="Microsoft Sans Serif"/>
              </w:rPr>
              <w:t>2.8%</w:t>
            </w:r>
          </w:p>
        </w:tc>
      </w:tr>
      <w:tr w:rsidR="00F3413D" w:rsidRPr="002A30CA" w:rsidTr="007A24C1">
        <w:tc>
          <w:tcPr>
            <w:tcW w:w="1451" w:type="dxa"/>
            <w:vAlign w:val="center"/>
          </w:tcPr>
          <w:p w:rsidR="00F3413D" w:rsidRPr="002A30CA" w:rsidRDefault="00F3413D" w:rsidP="007A24C1">
            <w:pPr>
              <w:jc w:val="center"/>
              <w:rPr>
                <w:b/>
              </w:rPr>
            </w:pPr>
            <w:r w:rsidRPr="002A30CA">
              <w:rPr>
                <w:b/>
              </w:rPr>
              <w:t>Blood level order set</w:t>
            </w:r>
          </w:p>
        </w:tc>
        <w:tc>
          <w:tcPr>
            <w:tcW w:w="1359" w:type="dxa"/>
            <w:vAlign w:val="center"/>
          </w:tcPr>
          <w:p w:rsidR="00F3413D" w:rsidRPr="005A599F" w:rsidRDefault="00F3413D" w:rsidP="007A24C1">
            <w:pPr>
              <w:spacing w:line="480" w:lineRule="auto"/>
              <w:jc w:val="center"/>
            </w:pPr>
            <w:r w:rsidRPr="005A599F">
              <w:t>140</w:t>
            </w:r>
          </w:p>
        </w:tc>
        <w:tc>
          <w:tcPr>
            <w:tcW w:w="1274" w:type="dxa"/>
            <w:vAlign w:val="center"/>
          </w:tcPr>
          <w:p w:rsidR="00F3413D" w:rsidRPr="005A599F" w:rsidRDefault="00F3413D" w:rsidP="007A24C1">
            <w:pPr>
              <w:spacing w:line="480" w:lineRule="auto"/>
              <w:jc w:val="center"/>
            </w:pPr>
            <w:r w:rsidRPr="005A599F">
              <w:rPr>
                <w:rFonts w:cs="Microsoft Sans Serif"/>
              </w:rPr>
              <w:t>21.4%</w:t>
            </w:r>
          </w:p>
        </w:tc>
        <w:tc>
          <w:tcPr>
            <w:tcW w:w="1274" w:type="dxa"/>
            <w:vAlign w:val="center"/>
          </w:tcPr>
          <w:p w:rsidR="00F3413D" w:rsidRPr="005A599F" w:rsidRDefault="00F3413D" w:rsidP="007A24C1">
            <w:pPr>
              <w:spacing w:line="480" w:lineRule="auto"/>
              <w:jc w:val="center"/>
            </w:pPr>
            <w:r w:rsidRPr="005A599F">
              <w:rPr>
                <w:rFonts w:cs="Microsoft Sans Serif"/>
              </w:rPr>
              <w:t>39.3%</w:t>
            </w:r>
          </w:p>
        </w:tc>
        <w:tc>
          <w:tcPr>
            <w:tcW w:w="1274" w:type="dxa"/>
            <w:vAlign w:val="center"/>
          </w:tcPr>
          <w:p w:rsidR="00F3413D" w:rsidRPr="005A599F" w:rsidRDefault="00F3413D" w:rsidP="007A24C1">
            <w:pPr>
              <w:spacing w:line="480" w:lineRule="auto"/>
              <w:jc w:val="center"/>
            </w:pPr>
            <w:r w:rsidRPr="005A599F">
              <w:rPr>
                <w:rFonts w:cs="Microsoft Sans Serif"/>
              </w:rPr>
              <w:t>29.3%</w:t>
            </w:r>
          </w:p>
        </w:tc>
        <w:tc>
          <w:tcPr>
            <w:tcW w:w="1274" w:type="dxa"/>
            <w:vAlign w:val="center"/>
          </w:tcPr>
          <w:p w:rsidR="00F3413D" w:rsidRPr="005A599F" w:rsidRDefault="00F3413D" w:rsidP="007A24C1">
            <w:pPr>
              <w:spacing w:line="480" w:lineRule="auto"/>
              <w:jc w:val="center"/>
            </w:pPr>
            <w:r w:rsidRPr="005A599F">
              <w:rPr>
                <w:rFonts w:cs="Microsoft Sans Serif"/>
              </w:rPr>
              <w:t>9.3%</w:t>
            </w:r>
          </w:p>
        </w:tc>
        <w:tc>
          <w:tcPr>
            <w:tcW w:w="1274" w:type="dxa"/>
            <w:vAlign w:val="center"/>
          </w:tcPr>
          <w:p w:rsidR="00F3413D" w:rsidRPr="005A599F" w:rsidRDefault="00F3413D" w:rsidP="007A24C1">
            <w:pPr>
              <w:spacing w:line="480" w:lineRule="auto"/>
              <w:jc w:val="center"/>
            </w:pPr>
            <w:r w:rsidRPr="005A599F">
              <w:rPr>
                <w:rFonts w:cs="Microsoft Sans Serif"/>
              </w:rPr>
              <w:t>0.7%</w:t>
            </w:r>
          </w:p>
        </w:tc>
      </w:tr>
      <w:tr w:rsidR="00F3413D" w:rsidRPr="002A30CA" w:rsidTr="007A24C1">
        <w:tc>
          <w:tcPr>
            <w:tcW w:w="1451" w:type="dxa"/>
            <w:vAlign w:val="center"/>
          </w:tcPr>
          <w:p w:rsidR="00F3413D" w:rsidRPr="002A30CA" w:rsidRDefault="00F3413D" w:rsidP="007A24C1">
            <w:pPr>
              <w:jc w:val="center"/>
              <w:rPr>
                <w:b/>
              </w:rPr>
            </w:pPr>
            <w:r w:rsidRPr="002A30CA">
              <w:rPr>
                <w:b/>
              </w:rPr>
              <w:t>Restricted antimicrobial require authorisation</w:t>
            </w:r>
          </w:p>
        </w:tc>
        <w:tc>
          <w:tcPr>
            <w:tcW w:w="1359" w:type="dxa"/>
            <w:vAlign w:val="center"/>
          </w:tcPr>
          <w:p w:rsidR="00F3413D" w:rsidRPr="005A599F" w:rsidRDefault="00F3413D" w:rsidP="007A24C1">
            <w:pPr>
              <w:spacing w:line="480" w:lineRule="auto"/>
              <w:jc w:val="center"/>
            </w:pPr>
            <w:r w:rsidRPr="005A599F">
              <w:t>142</w:t>
            </w:r>
          </w:p>
        </w:tc>
        <w:tc>
          <w:tcPr>
            <w:tcW w:w="1274" w:type="dxa"/>
            <w:vAlign w:val="center"/>
          </w:tcPr>
          <w:p w:rsidR="00F3413D" w:rsidRPr="005A599F" w:rsidRDefault="00F3413D" w:rsidP="007A24C1">
            <w:pPr>
              <w:spacing w:line="480" w:lineRule="auto"/>
              <w:jc w:val="center"/>
            </w:pPr>
            <w:r w:rsidRPr="005A599F">
              <w:rPr>
                <w:rFonts w:cs="Microsoft Sans Serif"/>
              </w:rPr>
              <w:t>18.3%</w:t>
            </w:r>
          </w:p>
        </w:tc>
        <w:tc>
          <w:tcPr>
            <w:tcW w:w="1274" w:type="dxa"/>
            <w:vAlign w:val="center"/>
          </w:tcPr>
          <w:p w:rsidR="00F3413D" w:rsidRPr="005A599F" w:rsidRDefault="00F3413D" w:rsidP="007A24C1">
            <w:pPr>
              <w:spacing w:line="480" w:lineRule="auto"/>
              <w:jc w:val="center"/>
            </w:pPr>
            <w:r w:rsidRPr="005A599F">
              <w:rPr>
                <w:rFonts w:cs="Microsoft Sans Serif"/>
              </w:rPr>
              <w:t>25.4%</w:t>
            </w:r>
          </w:p>
        </w:tc>
        <w:tc>
          <w:tcPr>
            <w:tcW w:w="1274" w:type="dxa"/>
            <w:vAlign w:val="center"/>
          </w:tcPr>
          <w:p w:rsidR="00F3413D" w:rsidRPr="005A599F" w:rsidRDefault="00F3413D" w:rsidP="007A24C1">
            <w:pPr>
              <w:spacing w:line="480" w:lineRule="auto"/>
              <w:jc w:val="center"/>
            </w:pPr>
            <w:r w:rsidRPr="005A599F">
              <w:rPr>
                <w:rFonts w:cs="Microsoft Sans Serif"/>
              </w:rPr>
              <w:t>30.3%</w:t>
            </w:r>
          </w:p>
        </w:tc>
        <w:tc>
          <w:tcPr>
            <w:tcW w:w="1274" w:type="dxa"/>
            <w:vAlign w:val="center"/>
          </w:tcPr>
          <w:p w:rsidR="00F3413D" w:rsidRPr="005A599F" w:rsidRDefault="00F3413D" w:rsidP="007A24C1">
            <w:pPr>
              <w:spacing w:line="480" w:lineRule="auto"/>
              <w:jc w:val="center"/>
            </w:pPr>
            <w:r w:rsidRPr="005A599F">
              <w:rPr>
                <w:rFonts w:cs="Microsoft Sans Serif"/>
              </w:rPr>
              <w:t>17.6%</w:t>
            </w:r>
          </w:p>
        </w:tc>
        <w:tc>
          <w:tcPr>
            <w:tcW w:w="1274" w:type="dxa"/>
            <w:vAlign w:val="center"/>
          </w:tcPr>
          <w:p w:rsidR="00F3413D" w:rsidRPr="005A599F" w:rsidRDefault="00F3413D" w:rsidP="007A24C1">
            <w:pPr>
              <w:spacing w:line="480" w:lineRule="auto"/>
              <w:jc w:val="center"/>
            </w:pPr>
            <w:r w:rsidRPr="005A599F">
              <w:rPr>
                <w:rFonts w:cs="Microsoft Sans Serif"/>
              </w:rPr>
              <w:t>8.5%</w:t>
            </w:r>
          </w:p>
        </w:tc>
      </w:tr>
      <w:tr w:rsidR="00F3413D" w:rsidRPr="002A30CA" w:rsidTr="007A24C1">
        <w:tc>
          <w:tcPr>
            <w:tcW w:w="1451" w:type="dxa"/>
            <w:vAlign w:val="center"/>
          </w:tcPr>
          <w:p w:rsidR="00F3413D" w:rsidRPr="002A30CA" w:rsidRDefault="00F3413D" w:rsidP="007A24C1">
            <w:pPr>
              <w:jc w:val="center"/>
              <w:rPr>
                <w:b/>
              </w:rPr>
            </w:pPr>
            <w:r w:rsidRPr="002A30CA">
              <w:rPr>
                <w:b/>
              </w:rPr>
              <w:t>Restricted antimicrobial block by prescriber</w:t>
            </w:r>
          </w:p>
        </w:tc>
        <w:tc>
          <w:tcPr>
            <w:tcW w:w="1359" w:type="dxa"/>
            <w:vAlign w:val="center"/>
          </w:tcPr>
          <w:p w:rsidR="00F3413D" w:rsidRPr="005A599F" w:rsidRDefault="00F3413D" w:rsidP="007A24C1">
            <w:pPr>
              <w:spacing w:line="480" w:lineRule="auto"/>
              <w:jc w:val="center"/>
            </w:pPr>
            <w:r w:rsidRPr="005A599F">
              <w:t>140</w:t>
            </w:r>
          </w:p>
        </w:tc>
        <w:tc>
          <w:tcPr>
            <w:tcW w:w="1274" w:type="dxa"/>
            <w:vAlign w:val="center"/>
          </w:tcPr>
          <w:p w:rsidR="00F3413D" w:rsidRPr="005A599F" w:rsidRDefault="00F3413D" w:rsidP="007A24C1">
            <w:pPr>
              <w:spacing w:line="480" w:lineRule="auto"/>
              <w:jc w:val="center"/>
            </w:pPr>
            <w:r w:rsidRPr="005A599F">
              <w:rPr>
                <w:rFonts w:cs="Microsoft Sans Serif"/>
              </w:rPr>
              <w:t>15.7%</w:t>
            </w:r>
          </w:p>
        </w:tc>
        <w:tc>
          <w:tcPr>
            <w:tcW w:w="1274" w:type="dxa"/>
            <w:vAlign w:val="center"/>
          </w:tcPr>
          <w:p w:rsidR="00F3413D" w:rsidRPr="005A599F" w:rsidRDefault="00F3413D" w:rsidP="007A24C1">
            <w:pPr>
              <w:spacing w:line="480" w:lineRule="auto"/>
              <w:jc w:val="center"/>
            </w:pPr>
            <w:r w:rsidRPr="005A599F">
              <w:rPr>
                <w:rFonts w:cs="Microsoft Sans Serif"/>
              </w:rPr>
              <w:t>31.4%</w:t>
            </w:r>
          </w:p>
        </w:tc>
        <w:tc>
          <w:tcPr>
            <w:tcW w:w="1274" w:type="dxa"/>
            <w:vAlign w:val="center"/>
          </w:tcPr>
          <w:p w:rsidR="00F3413D" w:rsidRPr="005A599F" w:rsidRDefault="00F3413D" w:rsidP="007A24C1">
            <w:pPr>
              <w:spacing w:line="480" w:lineRule="auto"/>
              <w:jc w:val="center"/>
            </w:pPr>
            <w:r w:rsidRPr="005A599F">
              <w:rPr>
                <w:rFonts w:cs="Microsoft Sans Serif"/>
              </w:rPr>
              <w:t>26.4%</w:t>
            </w:r>
          </w:p>
        </w:tc>
        <w:tc>
          <w:tcPr>
            <w:tcW w:w="1274" w:type="dxa"/>
            <w:vAlign w:val="center"/>
          </w:tcPr>
          <w:p w:rsidR="00F3413D" w:rsidRPr="005A599F" w:rsidRDefault="00F3413D" w:rsidP="007A24C1">
            <w:pPr>
              <w:spacing w:line="480" w:lineRule="auto"/>
              <w:jc w:val="center"/>
            </w:pPr>
            <w:r w:rsidRPr="005A599F">
              <w:rPr>
                <w:rFonts w:cs="Microsoft Sans Serif"/>
              </w:rPr>
              <w:t>16.4%</w:t>
            </w:r>
          </w:p>
        </w:tc>
        <w:tc>
          <w:tcPr>
            <w:tcW w:w="1274" w:type="dxa"/>
            <w:vAlign w:val="center"/>
          </w:tcPr>
          <w:p w:rsidR="00F3413D" w:rsidRPr="005A599F" w:rsidRDefault="00F3413D" w:rsidP="007A24C1">
            <w:pPr>
              <w:spacing w:line="480" w:lineRule="auto"/>
              <w:jc w:val="center"/>
            </w:pPr>
            <w:r w:rsidRPr="005A599F">
              <w:rPr>
                <w:rFonts w:cs="Microsoft Sans Serif"/>
              </w:rPr>
              <w:t>10.0%</w:t>
            </w:r>
          </w:p>
        </w:tc>
      </w:tr>
    </w:tbl>
    <w:p w:rsidR="00F3413D" w:rsidRDefault="00F3413D" w:rsidP="007A24C1">
      <w:pPr>
        <w:spacing w:after="0" w:line="480" w:lineRule="auto"/>
      </w:pPr>
    </w:p>
    <w:p w:rsidR="00F3413D" w:rsidRDefault="00F3413D">
      <w:r>
        <w:br w:type="page"/>
      </w:r>
    </w:p>
    <w:p w:rsidR="00F3413D" w:rsidRDefault="00F3413D" w:rsidP="007A24C1">
      <w:pPr>
        <w:spacing w:after="0" w:line="360" w:lineRule="auto"/>
        <w:jc w:val="center"/>
      </w:pPr>
      <w:proofErr w:type="gramStart"/>
      <w:r>
        <w:rPr>
          <w:b/>
          <w:bCs/>
        </w:rPr>
        <w:lastRenderedPageBreak/>
        <w:t>Table 3.</w:t>
      </w:r>
      <w:proofErr w:type="gramEnd"/>
      <w:r w:rsidRPr="00251FB1">
        <w:rPr>
          <w:b/>
          <w:bCs/>
        </w:rPr>
        <w:t xml:space="preserve"> </w:t>
      </w:r>
      <w:r>
        <w:rPr>
          <w:b/>
          <w:bCs/>
        </w:rPr>
        <w:t xml:space="preserve"> </w:t>
      </w:r>
      <w:r w:rsidRPr="00251FB1">
        <w:rPr>
          <w:b/>
          <w:bCs/>
        </w:rPr>
        <w:t xml:space="preserve">Differences in software feature priority </w:t>
      </w:r>
      <w:r>
        <w:rPr>
          <w:b/>
          <w:bCs/>
        </w:rPr>
        <w:t xml:space="preserve">assignment </w:t>
      </w:r>
      <w:r w:rsidRPr="00251FB1">
        <w:rPr>
          <w:b/>
          <w:bCs/>
        </w:rPr>
        <w:t>between respondent groups found to be statistically significant</w:t>
      </w:r>
    </w:p>
    <w:tbl>
      <w:tblPr>
        <w:tblStyle w:val="TableGrid"/>
        <w:tblW w:w="0" w:type="auto"/>
        <w:tblLook w:val="04A0" w:firstRow="1" w:lastRow="0" w:firstColumn="1" w:lastColumn="0" w:noHBand="0" w:noVBand="1"/>
      </w:tblPr>
      <w:tblGrid>
        <w:gridCol w:w="1523"/>
        <w:gridCol w:w="3224"/>
        <w:gridCol w:w="1554"/>
        <w:gridCol w:w="1611"/>
        <w:gridCol w:w="1330"/>
      </w:tblGrid>
      <w:tr w:rsidR="00D907B4" w:rsidRPr="00234A52" w:rsidTr="007A24C1">
        <w:tc>
          <w:tcPr>
            <w:tcW w:w="1523" w:type="dxa"/>
          </w:tcPr>
          <w:p w:rsidR="00F3413D" w:rsidRPr="00234A52" w:rsidRDefault="00F3413D" w:rsidP="007A24C1">
            <w:pPr>
              <w:rPr>
                <w:b/>
                <w:bCs/>
              </w:rPr>
            </w:pPr>
            <w:r w:rsidRPr="00234A52">
              <w:rPr>
                <w:b/>
                <w:bCs/>
              </w:rPr>
              <w:t>Domain</w:t>
            </w:r>
            <w:r>
              <w:rPr>
                <w:b/>
                <w:bCs/>
              </w:rPr>
              <w:t xml:space="preserve"> / Respondent group</w:t>
            </w:r>
          </w:p>
        </w:tc>
        <w:tc>
          <w:tcPr>
            <w:tcW w:w="3224" w:type="dxa"/>
          </w:tcPr>
          <w:p w:rsidR="00F3413D" w:rsidRPr="00234A52" w:rsidRDefault="00F3413D" w:rsidP="007A24C1">
            <w:pPr>
              <w:rPr>
                <w:b/>
                <w:bCs/>
              </w:rPr>
            </w:pPr>
            <w:r w:rsidRPr="00234A52">
              <w:rPr>
                <w:b/>
                <w:bCs/>
              </w:rPr>
              <w:t>Software feature</w:t>
            </w:r>
          </w:p>
        </w:tc>
        <w:tc>
          <w:tcPr>
            <w:tcW w:w="3165" w:type="dxa"/>
            <w:gridSpan w:val="2"/>
          </w:tcPr>
          <w:p w:rsidR="00F3413D" w:rsidRPr="00234A52" w:rsidRDefault="00F3413D" w:rsidP="00D907B4">
            <w:pPr>
              <w:rPr>
                <w:b/>
                <w:bCs/>
              </w:rPr>
            </w:pPr>
            <w:r w:rsidRPr="00234A52">
              <w:rPr>
                <w:b/>
                <w:bCs/>
              </w:rPr>
              <w:t>Respondent group (% of responses rated essential)</w:t>
            </w:r>
          </w:p>
        </w:tc>
        <w:tc>
          <w:tcPr>
            <w:tcW w:w="1330" w:type="dxa"/>
          </w:tcPr>
          <w:p w:rsidR="00F3413D" w:rsidRPr="00234A52" w:rsidRDefault="00F3413D" w:rsidP="007A24C1">
            <w:pPr>
              <w:rPr>
                <w:b/>
                <w:bCs/>
              </w:rPr>
            </w:pPr>
            <w:r w:rsidRPr="00234A52">
              <w:rPr>
                <w:b/>
                <w:bCs/>
              </w:rPr>
              <w:t>Mann-Whitney U test p-value</w:t>
            </w:r>
          </w:p>
        </w:tc>
      </w:tr>
      <w:tr w:rsidR="00D907B4" w:rsidRPr="00234A52" w:rsidTr="007A24C1">
        <w:tc>
          <w:tcPr>
            <w:tcW w:w="1523" w:type="dxa"/>
          </w:tcPr>
          <w:p w:rsidR="00F3413D" w:rsidRPr="00234A52" w:rsidRDefault="00F3413D" w:rsidP="007A24C1">
            <w:pPr>
              <w:rPr>
                <w:b/>
                <w:bCs/>
              </w:rPr>
            </w:pPr>
            <w:r w:rsidRPr="00234A52">
              <w:rPr>
                <w:b/>
                <w:bCs/>
              </w:rPr>
              <w:t>Professional group</w:t>
            </w:r>
          </w:p>
        </w:tc>
        <w:tc>
          <w:tcPr>
            <w:tcW w:w="3224" w:type="dxa"/>
          </w:tcPr>
          <w:p w:rsidR="00F3413D" w:rsidRPr="00234A52" w:rsidRDefault="00F3413D" w:rsidP="007A24C1">
            <w:pPr>
              <w:rPr>
                <w:b/>
                <w:bCs/>
              </w:rPr>
            </w:pPr>
          </w:p>
        </w:tc>
        <w:tc>
          <w:tcPr>
            <w:tcW w:w="1554" w:type="dxa"/>
          </w:tcPr>
          <w:p w:rsidR="00F3413D" w:rsidRPr="00234A52" w:rsidRDefault="00F3413D" w:rsidP="007A24C1">
            <w:pPr>
              <w:rPr>
                <w:b/>
                <w:bCs/>
              </w:rPr>
            </w:pPr>
            <w:r w:rsidRPr="00234A52">
              <w:rPr>
                <w:b/>
                <w:bCs/>
              </w:rPr>
              <w:t>Pharmacists</w:t>
            </w:r>
          </w:p>
        </w:tc>
        <w:tc>
          <w:tcPr>
            <w:tcW w:w="1611" w:type="dxa"/>
          </w:tcPr>
          <w:p w:rsidR="00F3413D" w:rsidRPr="00234A52" w:rsidRDefault="00F3413D" w:rsidP="007A24C1">
            <w:pPr>
              <w:rPr>
                <w:b/>
                <w:bCs/>
              </w:rPr>
            </w:pPr>
            <w:r w:rsidRPr="00234A52">
              <w:rPr>
                <w:b/>
                <w:bCs/>
              </w:rPr>
              <w:t>Medical microbiologists</w:t>
            </w:r>
          </w:p>
        </w:tc>
        <w:tc>
          <w:tcPr>
            <w:tcW w:w="1330" w:type="dxa"/>
          </w:tcPr>
          <w:p w:rsidR="00F3413D" w:rsidRPr="00234A52" w:rsidRDefault="00F3413D" w:rsidP="007A24C1">
            <w:pPr>
              <w:rPr>
                <w:b/>
                <w:bCs/>
              </w:rPr>
            </w:pPr>
          </w:p>
        </w:tc>
      </w:tr>
      <w:tr w:rsidR="00D907B4" w:rsidTr="007A24C1">
        <w:tc>
          <w:tcPr>
            <w:tcW w:w="1523" w:type="dxa"/>
            <w:vMerge w:val="restart"/>
          </w:tcPr>
          <w:p w:rsidR="00F3413D" w:rsidRPr="00234A52" w:rsidRDefault="00F3413D" w:rsidP="007A24C1">
            <w:pPr>
              <w:rPr>
                <w:b/>
                <w:bCs/>
              </w:rPr>
            </w:pPr>
            <w:r w:rsidRPr="00234A52">
              <w:rPr>
                <w:b/>
                <w:bCs/>
              </w:rPr>
              <w:t>Prescribing prompts</w:t>
            </w:r>
          </w:p>
        </w:tc>
        <w:tc>
          <w:tcPr>
            <w:tcW w:w="3224" w:type="dxa"/>
          </w:tcPr>
          <w:p w:rsidR="00F3413D" w:rsidRDefault="00F3413D" w:rsidP="007A24C1">
            <w:r>
              <w:t>Allergy checker</w:t>
            </w:r>
          </w:p>
        </w:tc>
        <w:tc>
          <w:tcPr>
            <w:tcW w:w="1554" w:type="dxa"/>
          </w:tcPr>
          <w:p w:rsidR="00F3413D" w:rsidRDefault="00F3413D" w:rsidP="007A24C1">
            <w:r>
              <w:t>90%</w:t>
            </w:r>
          </w:p>
        </w:tc>
        <w:tc>
          <w:tcPr>
            <w:tcW w:w="1611" w:type="dxa"/>
          </w:tcPr>
          <w:p w:rsidR="00F3413D" w:rsidRDefault="00F3413D" w:rsidP="007A24C1">
            <w:r>
              <w:t>69%</w:t>
            </w:r>
          </w:p>
        </w:tc>
        <w:tc>
          <w:tcPr>
            <w:tcW w:w="1330" w:type="dxa"/>
          </w:tcPr>
          <w:p w:rsidR="00F3413D" w:rsidRDefault="00F3413D" w:rsidP="00D907B4">
            <w:r>
              <w:t>p=0.003</w:t>
            </w:r>
            <w:r w:rsidR="00D907B4">
              <w:t xml:space="preserve"> </w:t>
            </w:r>
            <w:r>
              <w:t>(n=68, 52)</w:t>
            </w:r>
          </w:p>
        </w:tc>
      </w:tr>
      <w:tr w:rsidR="00D907B4" w:rsidTr="007A24C1">
        <w:tc>
          <w:tcPr>
            <w:tcW w:w="1523" w:type="dxa"/>
            <w:vMerge/>
          </w:tcPr>
          <w:p w:rsidR="00F3413D" w:rsidRPr="00234A52" w:rsidRDefault="00F3413D" w:rsidP="007A24C1">
            <w:pPr>
              <w:rPr>
                <w:b/>
                <w:bCs/>
              </w:rPr>
            </w:pPr>
          </w:p>
        </w:tc>
        <w:tc>
          <w:tcPr>
            <w:tcW w:w="3224" w:type="dxa"/>
          </w:tcPr>
          <w:p w:rsidR="00F3413D" w:rsidRDefault="00F3413D" w:rsidP="007A24C1">
            <w:r>
              <w:t>Indication prompt</w:t>
            </w:r>
          </w:p>
        </w:tc>
        <w:tc>
          <w:tcPr>
            <w:tcW w:w="1554" w:type="dxa"/>
          </w:tcPr>
          <w:p w:rsidR="00F3413D" w:rsidRDefault="00F3413D" w:rsidP="007A24C1">
            <w:r>
              <w:t>73%</w:t>
            </w:r>
          </w:p>
        </w:tc>
        <w:tc>
          <w:tcPr>
            <w:tcW w:w="1611" w:type="dxa"/>
          </w:tcPr>
          <w:p w:rsidR="00F3413D" w:rsidRDefault="00F3413D" w:rsidP="007A24C1">
            <w:r>
              <w:t>39%</w:t>
            </w:r>
          </w:p>
        </w:tc>
        <w:tc>
          <w:tcPr>
            <w:tcW w:w="1330" w:type="dxa"/>
          </w:tcPr>
          <w:p w:rsidR="00F3413D" w:rsidRDefault="00F3413D" w:rsidP="00D907B4">
            <w:r>
              <w:t>p&lt;0.001</w:t>
            </w:r>
            <w:r w:rsidR="00D907B4">
              <w:t xml:space="preserve"> </w:t>
            </w:r>
            <w:r>
              <w:t>(n=67, 51)</w:t>
            </w:r>
          </w:p>
        </w:tc>
      </w:tr>
      <w:tr w:rsidR="00D907B4" w:rsidTr="007A24C1">
        <w:tc>
          <w:tcPr>
            <w:tcW w:w="1523" w:type="dxa"/>
            <w:vMerge/>
          </w:tcPr>
          <w:p w:rsidR="00F3413D" w:rsidRPr="00234A52" w:rsidRDefault="00F3413D" w:rsidP="007A24C1">
            <w:pPr>
              <w:rPr>
                <w:b/>
                <w:bCs/>
              </w:rPr>
            </w:pPr>
          </w:p>
        </w:tc>
        <w:tc>
          <w:tcPr>
            <w:tcW w:w="3224" w:type="dxa"/>
          </w:tcPr>
          <w:p w:rsidR="00F3413D" w:rsidRDefault="00F3413D" w:rsidP="007A24C1">
            <w:r>
              <w:t>Treatment protocols</w:t>
            </w:r>
          </w:p>
        </w:tc>
        <w:tc>
          <w:tcPr>
            <w:tcW w:w="1554" w:type="dxa"/>
          </w:tcPr>
          <w:p w:rsidR="00F3413D" w:rsidRDefault="00F3413D" w:rsidP="007A24C1">
            <w:r>
              <w:t>28%</w:t>
            </w:r>
          </w:p>
        </w:tc>
        <w:tc>
          <w:tcPr>
            <w:tcW w:w="1611" w:type="dxa"/>
          </w:tcPr>
          <w:p w:rsidR="00F3413D" w:rsidRDefault="00F3413D" w:rsidP="007A24C1">
            <w:r>
              <w:t>15%</w:t>
            </w:r>
          </w:p>
        </w:tc>
        <w:tc>
          <w:tcPr>
            <w:tcW w:w="1330" w:type="dxa"/>
          </w:tcPr>
          <w:p w:rsidR="00F3413D" w:rsidRDefault="00F3413D" w:rsidP="00D907B4">
            <w:r>
              <w:t>p=0.003</w:t>
            </w:r>
            <w:r w:rsidR="00D907B4">
              <w:t xml:space="preserve"> </w:t>
            </w:r>
            <w:r>
              <w:t>(n=68, 53)</w:t>
            </w:r>
          </w:p>
        </w:tc>
      </w:tr>
      <w:tr w:rsidR="00D907B4" w:rsidTr="007A24C1">
        <w:tc>
          <w:tcPr>
            <w:tcW w:w="1523" w:type="dxa"/>
            <w:vMerge/>
          </w:tcPr>
          <w:p w:rsidR="00F3413D" w:rsidRPr="00234A52" w:rsidRDefault="00F3413D" w:rsidP="007A24C1">
            <w:pPr>
              <w:rPr>
                <w:b/>
                <w:bCs/>
              </w:rPr>
            </w:pPr>
          </w:p>
        </w:tc>
        <w:tc>
          <w:tcPr>
            <w:tcW w:w="3224" w:type="dxa"/>
          </w:tcPr>
          <w:p w:rsidR="00F3413D" w:rsidRDefault="00F3413D" w:rsidP="007A24C1">
            <w:r>
              <w:t>Dose checker (adults)</w:t>
            </w:r>
          </w:p>
        </w:tc>
        <w:tc>
          <w:tcPr>
            <w:tcW w:w="1554" w:type="dxa"/>
          </w:tcPr>
          <w:p w:rsidR="00F3413D" w:rsidRDefault="00F3413D" w:rsidP="007A24C1">
            <w:r>
              <w:t>16%</w:t>
            </w:r>
          </w:p>
        </w:tc>
        <w:tc>
          <w:tcPr>
            <w:tcW w:w="1611" w:type="dxa"/>
          </w:tcPr>
          <w:p w:rsidR="00F3413D" w:rsidRDefault="00F3413D" w:rsidP="007A24C1">
            <w:r>
              <w:t>34%</w:t>
            </w:r>
          </w:p>
        </w:tc>
        <w:tc>
          <w:tcPr>
            <w:tcW w:w="1330" w:type="dxa"/>
          </w:tcPr>
          <w:p w:rsidR="00F3413D" w:rsidRDefault="00F3413D" w:rsidP="00D907B4">
            <w:r>
              <w:t>p=0.023</w:t>
            </w:r>
            <w:r w:rsidR="00D907B4">
              <w:t xml:space="preserve"> </w:t>
            </w:r>
            <w:r>
              <w:t>(n=68, 53)</w:t>
            </w:r>
          </w:p>
        </w:tc>
      </w:tr>
      <w:tr w:rsidR="00D907B4" w:rsidTr="007A24C1">
        <w:tc>
          <w:tcPr>
            <w:tcW w:w="1523" w:type="dxa"/>
            <w:vMerge/>
          </w:tcPr>
          <w:p w:rsidR="00F3413D" w:rsidRPr="00234A52" w:rsidRDefault="00F3413D" w:rsidP="007A24C1">
            <w:pPr>
              <w:rPr>
                <w:b/>
                <w:bCs/>
              </w:rPr>
            </w:pPr>
          </w:p>
        </w:tc>
        <w:tc>
          <w:tcPr>
            <w:tcW w:w="3224" w:type="dxa"/>
          </w:tcPr>
          <w:p w:rsidR="00F3413D" w:rsidRDefault="00F3413D" w:rsidP="007A24C1">
            <w:r>
              <w:t>Interaction checker</w:t>
            </w:r>
          </w:p>
        </w:tc>
        <w:tc>
          <w:tcPr>
            <w:tcW w:w="1554" w:type="dxa"/>
          </w:tcPr>
          <w:p w:rsidR="00F3413D" w:rsidRDefault="00F3413D" w:rsidP="007A24C1">
            <w:r>
              <w:t>34%</w:t>
            </w:r>
          </w:p>
        </w:tc>
        <w:tc>
          <w:tcPr>
            <w:tcW w:w="1611" w:type="dxa"/>
          </w:tcPr>
          <w:p w:rsidR="00F3413D" w:rsidRDefault="00F3413D" w:rsidP="007A24C1">
            <w:r>
              <w:t>51%</w:t>
            </w:r>
          </w:p>
        </w:tc>
        <w:tc>
          <w:tcPr>
            <w:tcW w:w="1330" w:type="dxa"/>
          </w:tcPr>
          <w:p w:rsidR="00F3413D" w:rsidRDefault="00F3413D" w:rsidP="00D907B4">
            <w:r>
              <w:t>p=0.047</w:t>
            </w:r>
            <w:r w:rsidR="00D907B4">
              <w:t xml:space="preserve"> </w:t>
            </w:r>
            <w:r>
              <w:t>(n=68, 53)</w:t>
            </w:r>
          </w:p>
        </w:tc>
      </w:tr>
      <w:tr w:rsidR="00D907B4" w:rsidTr="007A24C1">
        <w:tc>
          <w:tcPr>
            <w:tcW w:w="1523" w:type="dxa"/>
            <w:vMerge w:val="restart"/>
          </w:tcPr>
          <w:p w:rsidR="00F3413D" w:rsidRPr="00234A52" w:rsidRDefault="00F3413D" w:rsidP="007A24C1">
            <w:pPr>
              <w:rPr>
                <w:b/>
                <w:bCs/>
              </w:rPr>
            </w:pPr>
            <w:r w:rsidRPr="00234A52">
              <w:rPr>
                <w:b/>
                <w:bCs/>
              </w:rPr>
              <w:t xml:space="preserve">Active </w:t>
            </w:r>
            <w:r>
              <w:rPr>
                <w:b/>
                <w:bCs/>
              </w:rPr>
              <w:t xml:space="preserve">prescription </w:t>
            </w:r>
            <w:r w:rsidRPr="00234A52">
              <w:rPr>
                <w:b/>
                <w:bCs/>
              </w:rPr>
              <w:t>surveillance</w:t>
            </w:r>
          </w:p>
        </w:tc>
        <w:tc>
          <w:tcPr>
            <w:tcW w:w="3224" w:type="dxa"/>
          </w:tcPr>
          <w:p w:rsidR="00F3413D" w:rsidRDefault="00F3413D" w:rsidP="007A24C1">
            <w:r>
              <w:t>Drug-indication mismatch</w:t>
            </w:r>
          </w:p>
        </w:tc>
        <w:tc>
          <w:tcPr>
            <w:tcW w:w="1554" w:type="dxa"/>
          </w:tcPr>
          <w:p w:rsidR="00F3413D" w:rsidRDefault="00F3413D" w:rsidP="007A24C1">
            <w:r>
              <w:t>35%</w:t>
            </w:r>
          </w:p>
        </w:tc>
        <w:tc>
          <w:tcPr>
            <w:tcW w:w="1611" w:type="dxa"/>
          </w:tcPr>
          <w:p w:rsidR="00F3413D" w:rsidRDefault="00F3413D" w:rsidP="007A24C1">
            <w:r>
              <w:t>25%</w:t>
            </w:r>
          </w:p>
        </w:tc>
        <w:tc>
          <w:tcPr>
            <w:tcW w:w="1330" w:type="dxa"/>
          </w:tcPr>
          <w:p w:rsidR="00F3413D" w:rsidRDefault="00F3413D" w:rsidP="00D907B4">
            <w:r>
              <w:t>p=0.031</w:t>
            </w:r>
            <w:r w:rsidR="00D907B4">
              <w:t xml:space="preserve"> </w:t>
            </w:r>
            <w:r>
              <w:t>(n=65, 49)</w:t>
            </w:r>
          </w:p>
        </w:tc>
      </w:tr>
      <w:tr w:rsidR="00D907B4" w:rsidTr="007A24C1">
        <w:tc>
          <w:tcPr>
            <w:tcW w:w="1523" w:type="dxa"/>
            <w:vMerge/>
          </w:tcPr>
          <w:p w:rsidR="00F3413D" w:rsidRPr="00234A52" w:rsidRDefault="00F3413D" w:rsidP="007A24C1">
            <w:pPr>
              <w:rPr>
                <w:b/>
                <w:bCs/>
              </w:rPr>
            </w:pPr>
          </w:p>
        </w:tc>
        <w:tc>
          <w:tcPr>
            <w:tcW w:w="3224" w:type="dxa"/>
          </w:tcPr>
          <w:p w:rsidR="00F3413D" w:rsidRDefault="00F3413D" w:rsidP="007A24C1">
            <w:r>
              <w:t>Long IV/oral course</w:t>
            </w:r>
          </w:p>
        </w:tc>
        <w:tc>
          <w:tcPr>
            <w:tcW w:w="1554" w:type="dxa"/>
          </w:tcPr>
          <w:p w:rsidR="00F3413D" w:rsidRDefault="00F3413D" w:rsidP="007A24C1">
            <w:r>
              <w:t>31%</w:t>
            </w:r>
          </w:p>
        </w:tc>
        <w:tc>
          <w:tcPr>
            <w:tcW w:w="1611" w:type="dxa"/>
          </w:tcPr>
          <w:p w:rsidR="00F3413D" w:rsidRDefault="00F3413D" w:rsidP="007A24C1">
            <w:r>
              <w:t>24%</w:t>
            </w:r>
          </w:p>
        </w:tc>
        <w:tc>
          <w:tcPr>
            <w:tcW w:w="1330" w:type="dxa"/>
          </w:tcPr>
          <w:p w:rsidR="00F3413D" w:rsidRDefault="00F3413D" w:rsidP="00D907B4">
            <w:r>
              <w:t>p=0.041</w:t>
            </w:r>
            <w:r w:rsidR="00D907B4">
              <w:t xml:space="preserve"> </w:t>
            </w:r>
            <w:r>
              <w:t>(n=65, 50)</w:t>
            </w:r>
          </w:p>
        </w:tc>
      </w:tr>
      <w:tr w:rsidR="00D907B4" w:rsidRPr="00234A52" w:rsidTr="007A24C1">
        <w:tc>
          <w:tcPr>
            <w:tcW w:w="1523" w:type="dxa"/>
          </w:tcPr>
          <w:p w:rsidR="00F3413D" w:rsidRPr="00234A52" w:rsidRDefault="00F3413D" w:rsidP="007A24C1">
            <w:pPr>
              <w:rPr>
                <w:b/>
                <w:bCs/>
              </w:rPr>
            </w:pPr>
            <w:r w:rsidRPr="00234A52">
              <w:rPr>
                <w:b/>
                <w:bCs/>
              </w:rPr>
              <w:t>EPMA experience</w:t>
            </w:r>
          </w:p>
        </w:tc>
        <w:tc>
          <w:tcPr>
            <w:tcW w:w="3224" w:type="dxa"/>
          </w:tcPr>
          <w:p w:rsidR="00F3413D" w:rsidRPr="00234A52" w:rsidRDefault="00F3413D" w:rsidP="007A24C1">
            <w:pPr>
              <w:rPr>
                <w:b/>
                <w:bCs/>
              </w:rPr>
            </w:pPr>
          </w:p>
        </w:tc>
        <w:tc>
          <w:tcPr>
            <w:tcW w:w="1554" w:type="dxa"/>
          </w:tcPr>
          <w:p w:rsidR="00F3413D" w:rsidRPr="00234A52" w:rsidRDefault="00F3413D" w:rsidP="007A24C1">
            <w:pPr>
              <w:rPr>
                <w:b/>
                <w:bCs/>
              </w:rPr>
            </w:pPr>
            <w:r w:rsidRPr="00234A52">
              <w:rPr>
                <w:b/>
                <w:bCs/>
              </w:rPr>
              <w:t>EPMA-experienced</w:t>
            </w:r>
          </w:p>
        </w:tc>
        <w:tc>
          <w:tcPr>
            <w:tcW w:w="1611" w:type="dxa"/>
          </w:tcPr>
          <w:p w:rsidR="00F3413D" w:rsidRPr="00234A52" w:rsidRDefault="00F3413D" w:rsidP="007A24C1">
            <w:pPr>
              <w:rPr>
                <w:b/>
                <w:bCs/>
              </w:rPr>
            </w:pPr>
            <w:r w:rsidRPr="00234A52">
              <w:rPr>
                <w:b/>
                <w:bCs/>
              </w:rPr>
              <w:t>Non EPMA-experienced</w:t>
            </w:r>
          </w:p>
        </w:tc>
        <w:tc>
          <w:tcPr>
            <w:tcW w:w="1330" w:type="dxa"/>
          </w:tcPr>
          <w:p w:rsidR="00F3413D" w:rsidRPr="00234A52" w:rsidRDefault="00F3413D" w:rsidP="007A24C1">
            <w:pPr>
              <w:rPr>
                <w:b/>
                <w:bCs/>
              </w:rPr>
            </w:pPr>
          </w:p>
        </w:tc>
      </w:tr>
      <w:tr w:rsidR="00D907B4" w:rsidTr="007A24C1">
        <w:tc>
          <w:tcPr>
            <w:tcW w:w="1523" w:type="dxa"/>
            <w:vMerge w:val="restart"/>
          </w:tcPr>
          <w:p w:rsidR="00F3413D" w:rsidRPr="00234A52" w:rsidRDefault="00F3413D" w:rsidP="007A24C1">
            <w:pPr>
              <w:rPr>
                <w:b/>
                <w:bCs/>
              </w:rPr>
            </w:pPr>
            <w:r w:rsidRPr="00234A52">
              <w:rPr>
                <w:b/>
                <w:bCs/>
              </w:rPr>
              <w:t>Prescribing prompts</w:t>
            </w:r>
          </w:p>
        </w:tc>
        <w:tc>
          <w:tcPr>
            <w:tcW w:w="3224" w:type="dxa"/>
          </w:tcPr>
          <w:p w:rsidR="00F3413D" w:rsidRDefault="00F3413D" w:rsidP="007A24C1">
            <w:r>
              <w:t>Indication prompt</w:t>
            </w:r>
          </w:p>
        </w:tc>
        <w:tc>
          <w:tcPr>
            <w:tcW w:w="1554" w:type="dxa"/>
          </w:tcPr>
          <w:p w:rsidR="00F3413D" w:rsidRDefault="00F3413D" w:rsidP="007A24C1">
            <w:r>
              <w:t>66%</w:t>
            </w:r>
          </w:p>
        </w:tc>
        <w:tc>
          <w:tcPr>
            <w:tcW w:w="1611" w:type="dxa"/>
          </w:tcPr>
          <w:p w:rsidR="00F3413D" w:rsidRDefault="00F3413D" w:rsidP="007A24C1">
            <w:r>
              <w:t>47%</w:t>
            </w:r>
          </w:p>
        </w:tc>
        <w:tc>
          <w:tcPr>
            <w:tcW w:w="1330" w:type="dxa"/>
          </w:tcPr>
          <w:p w:rsidR="00F3413D" w:rsidRDefault="00F3413D" w:rsidP="00D907B4">
            <w:r>
              <w:t>p=0.049</w:t>
            </w:r>
            <w:r w:rsidR="00D907B4">
              <w:t xml:space="preserve"> </w:t>
            </w:r>
            <w:r>
              <w:t>(n=68, 68)</w:t>
            </w:r>
          </w:p>
        </w:tc>
      </w:tr>
      <w:tr w:rsidR="00D907B4" w:rsidTr="007A24C1">
        <w:tc>
          <w:tcPr>
            <w:tcW w:w="1523" w:type="dxa"/>
            <w:vMerge/>
          </w:tcPr>
          <w:p w:rsidR="00F3413D" w:rsidRPr="00234A52" w:rsidRDefault="00F3413D" w:rsidP="007A24C1">
            <w:pPr>
              <w:rPr>
                <w:b/>
                <w:bCs/>
              </w:rPr>
            </w:pPr>
          </w:p>
        </w:tc>
        <w:tc>
          <w:tcPr>
            <w:tcW w:w="3224" w:type="dxa"/>
          </w:tcPr>
          <w:p w:rsidR="00F3413D" w:rsidRDefault="00F3413D" w:rsidP="007A24C1">
            <w:r>
              <w:t>R</w:t>
            </w:r>
            <w:r w:rsidRPr="006E1379">
              <w:t>estricted antimicrobial block</w:t>
            </w:r>
          </w:p>
        </w:tc>
        <w:tc>
          <w:tcPr>
            <w:tcW w:w="1554" w:type="dxa"/>
          </w:tcPr>
          <w:p w:rsidR="00F3413D" w:rsidRDefault="00F3413D" w:rsidP="007A24C1">
            <w:r>
              <w:t>12%</w:t>
            </w:r>
          </w:p>
        </w:tc>
        <w:tc>
          <w:tcPr>
            <w:tcW w:w="1611" w:type="dxa"/>
          </w:tcPr>
          <w:p w:rsidR="00F3413D" w:rsidRDefault="00F3413D" w:rsidP="007A24C1">
            <w:r>
              <w:t>17%</w:t>
            </w:r>
          </w:p>
        </w:tc>
        <w:tc>
          <w:tcPr>
            <w:tcW w:w="1330" w:type="dxa"/>
          </w:tcPr>
          <w:p w:rsidR="00F3413D" w:rsidRDefault="00F3413D" w:rsidP="00D907B4">
            <w:r>
              <w:t>p=0.011</w:t>
            </w:r>
            <w:r w:rsidR="00D907B4">
              <w:t xml:space="preserve"> </w:t>
            </w:r>
            <w:r>
              <w:t>(n=67, 70)</w:t>
            </w:r>
          </w:p>
        </w:tc>
      </w:tr>
      <w:tr w:rsidR="00D907B4" w:rsidTr="007A24C1">
        <w:tc>
          <w:tcPr>
            <w:tcW w:w="1523" w:type="dxa"/>
            <w:vMerge/>
          </w:tcPr>
          <w:p w:rsidR="00F3413D" w:rsidRPr="00234A52" w:rsidRDefault="00F3413D" w:rsidP="007A24C1">
            <w:pPr>
              <w:rPr>
                <w:b/>
                <w:bCs/>
              </w:rPr>
            </w:pPr>
          </w:p>
        </w:tc>
        <w:tc>
          <w:tcPr>
            <w:tcW w:w="3224" w:type="dxa"/>
          </w:tcPr>
          <w:p w:rsidR="00F3413D" w:rsidRDefault="00F3413D" w:rsidP="007A24C1">
            <w:r>
              <w:t>Dose checker (children)</w:t>
            </w:r>
          </w:p>
        </w:tc>
        <w:tc>
          <w:tcPr>
            <w:tcW w:w="1554" w:type="dxa"/>
          </w:tcPr>
          <w:p w:rsidR="00F3413D" w:rsidRDefault="00F3413D" w:rsidP="007A24C1">
            <w:r>
              <w:t>26%</w:t>
            </w:r>
          </w:p>
        </w:tc>
        <w:tc>
          <w:tcPr>
            <w:tcW w:w="1611" w:type="dxa"/>
          </w:tcPr>
          <w:p w:rsidR="00F3413D" w:rsidRDefault="00F3413D" w:rsidP="007A24C1">
            <w:r>
              <w:t>39%</w:t>
            </w:r>
          </w:p>
        </w:tc>
        <w:tc>
          <w:tcPr>
            <w:tcW w:w="1330" w:type="dxa"/>
          </w:tcPr>
          <w:p w:rsidR="00F3413D" w:rsidRDefault="00F3413D" w:rsidP="00D907B4">
            <w:r>
              <w:t>p=0.024</w:t>
            </w:r>
            <w:r w:rsidR="00D907B4">
              <w:t xml:space="preserve"> </w:t>
            </w:r>
            <w:r>
              <w:t>(n=68, 70)</w:t>
            </w:r>
          </w:p>
        </w:tc>
      </w:tr>
      <w:tr w:rsidR="00D907B4" w:rsidTr="007A24C1">
        <w:tc>
          <w:tcPr>
            <w:tcW w:w="1523" w:type="dxa"/>
            <w:vMerge/>
          </w:tcPr>
          <w:p w:rsidR="00F3413D" w:rsidRPr="00234A52" w:rsidRDefault="00F3413D" w:rsidP="007A24C1">
            <w:pPr>
              <w:rPr>
                <w:b/>
                <w:bCs/>
              </w:rPr>
            </w:pPr>
          </w:p>
        </w:tc>
        <w:tc>
          <w:tcPr>
            <w:tcW w:w="3224" w:type="dxa"/>
          </w:tcPr>
          <w:p w:rsidR="00F3413D" w:rsidRDefault="00F3413D" w:rsidP="007A24C1">
            <w:r>
              <w:t>Blood level monitoring alert</w:t>
            </w:r>
          </w:p>
        </w:tc>
        <w:tc>
          <w:tcPr>
            <w:tcW w:w="1554" w:type="dxa"/>
          </w:tcPr>
          <w:p w:rsidR="00F3413D" w:rsidRDefault="00F3413D" w:rsidP="007A24C1">
            <w:r>
              <w:t>24%</w:t>
            </w:r>
          </w:p>
        </w:tc>
        <w:tc>
          <w:tcPr>
            <w:tcW w:w="1611" w:type="dxa"/>
          </w:tcPr>
          <w:p w:rsidR="00F3413D" w:rsidRDefault="00F3413D" w:rsidP="007A24C1">
            <w:r>
              <w:t>44%</w:t>
            </w:r>
          </w:p>
        </w:tc>
        <w:tc>
          <w:tcPr>
            <w:tcW w:w="1330" w:type="dxa"/>
          </w:tcPr>
          <w:p w:rsidR="00F3413D" w:rsidRDefault="00F3413D" w:rsidP="00D907B4">
            <w:r>
              <w:t>p=0.033</w:t>
            </w:r>
            <w:r w:rsidR="00D907B4">
              <w:t xml:space="preserve"> </w:t>
            </w:r>
            <w:r>
              <w:t>(n=67, 70)</w:t>
            </w:r>
          </w:p>
        </w:tc>
      </w:tr>
      <w:tr w:rsidR="00D907B4" w:rsidTr="007A24C1">
        <w:tc>
          <w:tcPr>
            <w:tcW w:w="1523" w:type="dxa"/>
            <w:vMerge w:val="restart"/>
          </w:tcPr>
          <w:p w:rsidR="00F3413D" w:rsidRPr="00234A52" w:rsidRDefault="00F3413D" w:rsidP="007A24C1">
            <w:pPr>
              <w:rPr>
                <w:b/>
                <w:bCs/>
              </w:rPr>
            </w:pPr>
            <w:r w:rsidRPr="00234A52">
              <w:rPr>
                <w:b/>
                <w:bCs/>
              </w:rPr>
              <w:t xml:space="preserve">Active </w:t>
            </w:r>
            <w:r>
              <w:rPr>
                <w:b/>
                <w:bCs/>
              </w:rPr>
              <w:t xml:space="preserve">prescription </w:t>
            </w:r>
            <w:r w:rsidRPr="00234A52">
              <w:rPr>
                <w:b/>
                <w:bCs/>
              </w:rPr>
              <w:lastRenderedPageBreak/>
              <w:t>surveillance</w:t>
            </w:r>
          </w:p>
        </w:tc>
        <w:tc>
          <w:tcPr>
            <w:tcW w:w="3224" w:type="dxa"/>
          </w:tcPr>
          <w:p w:rsidR="00F3413D" w:rsidRDefault="00F3413D" w:rsidP="007A24C1">
            <w:r>
              <w:lastRenderedPageBreak/>
              <w:t>D</w:t>
            </w:r>
            <w:r w:rsidRPr="00447F75">
              <w:t>aily report of newly-prescribed critical antimicrobials</w:t>
            </w:r>
          </w:p>
        </w:tc>
        <w:tc>
          <w:tcPr>
            <w:tcW w:w="1554" w:type="dxa"/>
          </w:tcPr>
          <w:p w:rsidR="00F3413D" w:rsidRDefault="00F3413D" w:rsidP="007A24C1">
            <w:r>
              <w:t>64%</w:t>
            </w:r>
          </w:p>
        </w:tc>
        <w:tc>
          <w:tcPr>
            <w:tcW w:w="1611" w:type="dxa"/>
          </w:tcPr>
          <w:p w:rsidR="00F3413D" w:rsidRDefault="00F3413D" w:rsidP="007A24C1">
            <w:r>
              <w:t>40%</w:t>
            </w:r>
          </w:p>
        </w:tc>
        <w:tc>
          <w:tcPr>
            <w:tcW w:w="1330" w:type="dxa"/>
          </w:tcPr>
          <w:p w:rsidR="00F3413D" w:rsidRDefault="00F3413D" w:rsidP="00D907B4">
            <w:r>
              <w:t>p=0.015</w:t>
            </w:r>
            <w:r w:rsidR="00D907B4">
              <w:t xml:space="preserve"> </w:t>
            </w:r>
            <w:r>
              <w:t>(n=64, 68)</w:t>
            </w:r>
          </w:p>
        </w:tc>
      </w:tr>
      <w:tr w:rsidR="00D907B4" w:rsidTr="007A24C1">
        <w:tc>
          <w:tcPr>
            <w:tcW w:w="1523" w:type="dxa"/>
            <w:vMerge/>
          </w:tcPr>
          <w:p w:rsidR="00F3413D" w:rsidRPr="00234A52" w:rsidRDefault="00F3413D" w:rsidP="007A24C1">
            <w:pPr>
              <w:rPr>
                <w:b/>
                <w:bCs/>
              </w:rPr>
            </w:pPr>
          </w:p>
        </w:tc>
        <w:tc>
          <w:tcPr>
            <w:tcW w:w="3224" w:type="dxa"/>
          </w:tcPr>
          <w:p w:rsidR="00F3413D" w:rsidRDefault="00F3413D" w:rsidP="007A24C1">
            <w:r>
              <w:t>D</w:t>
            </w:r>
            <w:r w:rsidRPr="009A2594">
              <w:t>aily report of any</w:t>
            </w:r>
            <w:r>
              <w:t xml:space="preserve"> newly-prescribed antimicrobial</w:t>
            </w:r>
          </w:p>
        </w:tc>
        <w:tc>
          <w:tcPr>
            <w:tcW w:w="1554" w:type="dxa"/>
          </w:tcPr>
          <w:p w:rsidR="00F3413D" w:rsidRDefault="00F3413D" w:rsidP="007A24C1">
            <w:r>
              <w:t>23%</w:t>
            </w:r>
          </w:p>
        </w:tc>
        <w:tc>
          <w:tcPr>
            <w:tcW w:w="1611" w:type="dxa"/>
          </w:tcPr>
          <w:p w:rsidR="00F3413D" w:rsidRDefault="00F3413D" w:rsidP="007A24C1">
            <w:r>
              <w:t>16%</w:t>
            </w:r>
          </w:p>
        </w:tc>
        <w:tc>
          <w:tcPr>
            <w:tcW w:w="1330" w:type="dxa"/>
          </w:tcPr>
          <w:p w:rsidR="00F3413D" w:rsidRDefault="00F3413D" w:rsidP="00D907B4">
            <w:r>
              <w:t>p=0.024</w:t>
            </w:r>
            <w:r w:rsidR="00D907B4">
              <w:t xml:space="preserve"> </w:t>
            </w:r>
            <w:r>
              <w:t>(n=64, 68)</w:t>
            </w:r>
          </w:p>
        </w:tc>
      </w:tr>
      <w:tr w:rsidR="00D907B4" w:rsidRPr="00234A52" w:rsidTr="007A24C1">
        <w:tc>
          <w:tcPr>
            <w:tcW w:w="1523" w:type="dxa"/>
          </w:tcPr>
          <w:p w:rsidR="00F3413D" w:rsidRPr="00234A52" w:rsidRDefault="00F3413D" w:rsidP="007A24C1">
            <w:pPr>
              <w:rPr>
                <w:b/>
                <w:bCs/>
              </w:rPr>
            </w:pPr>
            <w:r w:rsidRPr="00234A52">
              <w:rPr>
                <w:b/>
                <w:bCs/>
              </w:rPr>
              <w:lastRenderedPageBreak/>
              <w:t>Hospital type</w:t>
            </w:r>
          </w:p>
        </w:tc>
        <w:tc>
          <w:tcPr>
            <w:tcW w:w="3224" w:type="dxa"/>
          </w:tcPr>
          <w:p w:rsidR="00F3413D" w:rsidRPr="00234A52" w:rsidRDefault="00F3413D" w:rsidP="007A24C1">
            <w:pPr>
              <w:rPr>
                <w:b/>
                <w:bCs/>
              </w:rPr>
            </w:pPr>
          </w:p>
        </w:tc>
        <w:tc>
          <w:tcPr>
            <w:tcW w:w="1554" w:type="dxa"/>
          </w:tcPr>
          <w:p w:rsidR="00F3413D" w:rsidRPr="00234A52" w:rsidRDefault="00F3413D" w:rsidP="007A24C1">
            <w:pPr>
              <w:rPr>
                <w:b/>
                <w:bCs/>
              </w:rPr>
            </w:pPr>
            <w:r w:rsidRPr="00234A52">
              <w:rPr>
                <w:b/>
                <w:bCs/>
              </w:rPr>
              <w:t>Teaching</w:t>
            </w:r>
          </w:p>
        </w:tc>
        <w:tc>
          <w:tcPr>
            <w:tcW w:w="1611" w:type="dxa"/>
          </w:tcPr>
          <w:p w:rsidR="00F3413D" w:rsidRPr="00234A52" w:rsidRDefault="00F3413D" w:rsidP="007A24C1">
            <w:pPr>
              <w:rPr>
                <w:b/>
                <w:bCs/>
              </w:rPr>
            </w:pPr>
            <w:r w:rsidRPr="00234A52">
              <w:rPr>
                <w:b/>
                <w:bCs/>
              </w:rPr>
              <w:t>District General</w:t>
            </w:r>
          </w:p>
        </w:tc>
        <w:tc>
          <w:tcPr>
            <w:tcW w:w="1330" w:type="dxa"/>
          </w:tcPr>
          <w:p w:rsidR="00F3413D" w:rsidRPr="00234A52" w:rsidRDefault="00F3413D" w:rsidP="007A24C1">
            <w:pPr>
              <w:rPr>
                <w:b/>
                <w:bCs/>
              </w:rPr>
            </w:pPr>
          </w:p>
        </w:tc>
      </w:tr>
      <w:tr w:rsidR="00D907B4" w:rsidTr="007A24C1">
        <w:tc>
          <w:tcPr>
            <w:tcW w:w="1523" w:type="dxa"/>
          </w:tcPr>
          <w:p w:rsidR="00F3413D" w:rsidRPr="00234A52" w:rsidRDefault="00F3413D" w:rsidP="007A24C1">
            <w:pPr>
              <w:rPr>
                <w:b/>
                <w:bCs/>
              </w:rPr>
            </w:pPr>
            <w:r>
              <w:rPr>
                <w:b/>
                <w:bCs/>
              </w:rPr>
              <w:t xml:space="preserve">Prescribing trend </w:t>
            </w:r>
            <w:r w:rsidRPr="00234A52">
              <w:rPr>
                <w:b/>
                <w:bCs/>
              </w:rPr>
              <w:t>surveillance</w:t>
            </w:r>
          </w:p>
        </w:tc>
        <w:tc>
          <w:tcPr>
            <w:tcW w:w="3224" w:type="dxa"/>
          </w:tcPr>
          <w:p w:rsidR="00F3413D" w:rsidRDefault="00F3413D" w:rsidP="007A24C1">
            <w:r>
              <w:t>R</w:t>
            </w:r>
            <w:r w:rsidRPr="007E7985">
              <w:t>eport of trends in proportion of stat doses where administration was delayed</w:t>
            </w:r>
          </w:p>
        </w:tc>
        <w:tc>
          <w:tcPr>
            <w:tcW w:w="1554" w:type="dxa"/>
          </w:tcPr>
          <w:p w:rsidR="00F3413D" w:rsidRDefault="00F3413D" w:rsidP="007A24C1">
            <w:r>
              <w:t>28%</w:t>
            </w:r>
          </w:p>
        </w:tc>
        <w:tc>
          <w:tcPr>
            <w:tcW w:w="1611" w:type="dxa"/>
          </w:tcPr>
          <w:p w:rsidR="00F3413D" w:rsidRDefault="00F3413D" w:rsidP="007A24C1">
            <w:r>
              <w:t>18%</w:t>
            </w:r>
          </w:p>
        </w:tc>
        <w:tc>
          <w:tcPr>
            <w:tcW w:w="1330" w:type="dxa"/>
          </w:tcPr>
          <w:p w:rsidR="00F3413D" w:rsidRDefault="00F3413D" w:rsidP="00D907B4">
            <w:r>
              <w:t>p=0.034</w:t>
            </w:r>
            <w:r w:rsidR="00D907B4">
              <w:t xml:space="preserve"> </w:t>
            </w:r>
            <w:r>
              <w:t>(n=55, 65)</w:t>
            </w:r>
          </w:p>
        </w:tc>
      </w:tr>
    </w:tbl>
    <w:p w:rsidR="00F3413D" w:rsidRDefault="00F3413D" w:rsidP="007A24C1">
      <w:pPr>
        <w:spacing w:after="0" w:line="480" w:lineRule="auto"/>
      </w:pPr>
    </w:p>
    <w:p w:rsidR="00F3413D" w:rsidRDefault="00F3413D">
      <w:pPr>
        <w:rPr>
          <w:b/>
        </w:rPr>
      </w:pPr>
      <w:r>
        <w:rPr>
          <w:b/>
        </w:rPr>
        <w:br w:type="page"/>
      </w:r>
    </w:p>
    <w:p w:rsidR="00F3413D" w:rsidRDefault="00F3413D" w:rsidP="007A24C1">
      <w:pPr>
        <w:spacing w:after="0" w:line="360" w:lineRule="auto"/>
        <w:jc w:val="center"/>
        <w:rPr>
          <w:b/>
        </w:rPr>
      </w:pPr>
      <w:proofErr w:type="gramStart"/>
      <w:r>
        <w:rPr>
          <w:b/>
        </w:rPr>
        <w:lastRenderedPageBreak/>
        <w:t>Figure 3.</w:t>
      </w:r>
      <w:proofErr w:type="gramEnd"/>
      <w:r>
        <w:rPr>
          <w:b/>
        </w:rPr>
        <w:t xml:space="preserve">  Respondent opinions of the likely impact of Prescribing Prompt software features </w:t>
      </w:r>
    </w:p>
    <w:p w:rsidR="00F3413D" w:rsidRPr="001D04EA" w:rsidRDefault="00F3413D" w:rsidP="007A24C1">
      <w:pPr>
        <w:spacing w:after="0" w:line="360" w:lineRule="auto"/>
        <w:jc w:val="center"/>
        <w:rPr>
          <w:b/>
        </w:rPr>
      </w:pPr>
      <w:proofErr w:type="gramStart"/>
      <w:r>
        <w:rPr>
          <w:b/>
        </w:rPr>
        <w:t>on</w:t>
      </w:r>
      <w:proofErr w:type="gramEnd"/>
      <w:r>
        <w:rPr>
          <w:b/>
        </w:rPr>
        <w:t xml:space="preserve"> clinical, microbiological and process outcomes</w:t>
      </w:r>
    </w:p>
    <w:p w:rsidR="00F3413D" w:rsidRDefault="00F3413D" w:rsidP="007A24C1">
      <w:pPr>
        <w:rPr>
          <w:b/>
        </w:rPr>
      </w:pPr>
      <w:r>
        <w:rPr>
          <w:noProof/>
        </w:rPr>
        <w:drawing>
          <wp:inline distT="0" distB="0" distL="0" distR="0" wp14:anchorId="0A0889D3" wp14:editId="049C1974">
            <wp:extent cx="5724829" cy="3445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81" cy="3450305"/>
                    </a:xfrm>
                    <a:prstGeom prst="rect">
                      <a:avLst/>
                    </a:prstGeom>
                    <a:noFill/>
                  </pic:spPr>
                </pic:pic>
              </a:graphicData>
            </a:graphic>
          </wp:inline>
        </w:drawing>
      </w:r>
    </w:p>
    <w:p w:rsidR="00F3413D" w:rsidRDefault="00F3413D">
      <w:pPr>
        <w:rPr>
          <w:b/>
        </w:rPr>
      </w:pPr>
    </w:p>
    <w:p w:rsidR="00F3413D" w:rsidRDefault="00F3413D">
      <w:pPr>
        <w:rPr>
          <w:b/>
        </w:rPr>
      </w:pPr>
      <w:r>
        <w:rPr>
          <w:b/>
        </w:rPr>
        <w:br w:type="page"/>
      </w:r>
    </w:p>
    <w:p w:rsidR="00F3413D" w:rsidRDefault="00F3413D" w:rsidP="007A24C1">
      <w:pPr>
        <w:rPr>
          <w:b/>
        </w:rPr>
      </w:pPr>
      <w:proofErr w:type="gramStart"/>
      <w:r>
        <w:rPr>
          <w:b/>
        </w:rPr>
        <w:lastRenderedPageBreak/>
        <w:t>Table 4.</w:t>
      </w:r>
      <w:proofErr w:type="gramEnd"/>
      <w:r>
        <w:rPr>
          <w:b/>
        </w:rPr>
        <w:t xml:space="preserve">  </w:t>
      </w:r>
      <w:r w:rsidRPr="00475D63">
        <w:rPr>
          <w:b/>
        </w:rPr>
        <w:t xml:space="preserve">Active </w:t>
      </w:r>
      <w:r>
        <w:rPr>
          <w:b/>
        </w:rPr>
        <w:t xml:space="preserve">Prescription </w:t>
      </w:r>
      <w:r w:rsidRPr="00475D63">
        <w:rPr>
          <w:b/>
        </w:rPr>
        <w:t>Surveillance software features ranked in order of</w:t>
      </w:r>
      <w:r>
        <w:rPr>
          <w:b/>
        </w:rPr>
        <w:t xml:space="preserve"> respondent-assigned</w:t>
      </w:r>
      <w:r w:rsidRPr="00475D63">
        <w:rPr>
          <w:b/>
        </w:rPr>
        <w:t xml:space="preserve"> priority</w:t>
      </w:r>
    </w:p>
    <w:tbl>
      <w:tblPr>
        <w:tblStyle w:val="TableGrid"/>
        <w:tblW w:w="0" w:type="auto"/>
        <w:tblLayout w:type="fixed"/>
        <w:tblLook w:val="04A0" w:firstRow="1" w:lastRow="0" w:firstColumn="1" w:lastColumn="0" w:noHBand="0" w:noVBand="1"/>
      </w:tblPr>
      <w:tblGrid>
        <w:gridCol w:w="1668"/>
        <w:gridCol w:w="1275"/>
        <w:gridCol w:w="1219"/>
        <w:gridCol w:w="1219"/>
        <w:gridCol w:w="1219"/>
        <w:gridCol w:w="1219"/>
        <w:gridCol w:w="1220"/>
      </w:tblGrid>
      <w:tr w:rsidR="00F3413D" w:rsidRPr="00475D63" w:rsidTr="007A24C1">
        <w:tc>
          <w:tcPr>
            <w:tcW w:w="1668" w:type="dxa"/>
            <w:vAlign w:val="center"/>
          </w:tcPr>
          <w:p w:rsidR="00F3413D" w:rsidRPr="00475D63" w:rsidRDefault="00F3413D" w:rsidP="007A24C1">
            <w:pPr>
              <w:jc w:val="center"/>
              <w:rPr>
                <w:b/>
                <w:bCs/>
              </w:rPr>
            </w:pPr>
            <w:r w:rsidRPr="00475D63">
              <w:rPr>
                <w:b/>
                <w:bCs/>
              </w:rPr>
              <w:t>Software feature</w:t>
            </w:r>
          </w:p>
        </w:tc>
        <w:tc>
          <w:tcPr>
            <w:tcW w:w="1275" w:type="dxa"/>
            <w:vAlign w:val="center"/>
          </w:tcPr>
          <w:p w:rsidR="00F3413D" w:rsidRPr="00475D63" w:rsidRDefault="00F3413D" w:rsidP="007A24C1">
            <w:pPr>
              <w:jc w:val="center"/>
              <w:rPr>
                <w:b/>
                <w:bCs/>
              </w:rPr>
            </w:pPr>
            <w:r w:rsidRPr="00475D63">
              <w:rPr>
                <w:b/>
                <w:bCs/>
              </w:rPr>
              <w:t>Number of responses</w:t>
            </w:r>
          </w:p>
        </w:tc>
        <w:tc>
          <w:tcPr>
            <w:tcW w:w="1219" w:type="dxa"/>
            <w:vAlign w:val="center"/>
          </w:tcPr>
          <w:p w:rsidR="00F3413D" w:rsidRPr="00475D63" w:rsidRDefault="00F3413D" w:rsidP="007A24C1">
            <w:pPr>
              <w:jc w:val="center"/>
              <w:rPr>
                <w:b/>
                <w:bCs/>
              </w:rPr>
            </w:pPr>
            <w:r w:rsidRPr="00475D63">
              <w:rPr>
                <w:b/>
                <w:bCs/>
              </w:rPr>
              <w:t>Essential</w:t>
            </w:r>
          </w:p>
        </w:tc>
        <w:tc>
          <w:tcPr>
            <w:tcW w:w="1219" w:type="dxa"/>
            <w:vAlign w:val="center"/>
          </w:tcPr>
          <w:p w:rsidR="00F3413D" w:rsidRPr="00475D63" w:rsidRDefault="00F3413D" w:rsidP="007A24C1">
            <w:pPr>
              <w:jc w:val="center"/>
              <w:rPr>
                <w:b/>
                <w:bCs/>
              </w:rPr>
            </w:pPr>
            <w:r w:rsidRPr="00475D63">
              <w:rPr>
                <w:b/>
                <w:bCs/>
              </w:rPr>
              <w:t>High priority</w:t>
            </w:r>
          </w:p>
        </w:tc>
        <w:tc>
          <w:tcPr>
            <w:tcW w:w="1219" w:type="dxa"/>
            <w:vAlign w:val="center"/>
          </w:tcPr>
          <w:p w:rsidR="00F3413D" w:rsidRPr="00475D63" w:rsidRDefault="00F3413D" w:rsidP="007A24C1">
            <w:pPr>
              <w:jc w:val="center"/>
              <w:rPr>
                <w:b/>
                <w:bCs/>
              </w:rPr>
            </w:pPr>
            <w:r w:rsidRPr="00475D63">
              <w:rPr>
                <w:b/>
                <w:bCs/>
              </w:rPr>
              <w:t>Medium priority</w:t>
            </w:r>
          </w:p>
        </w:tc>
        <w:tc>
          <w:tcPr>
            <w:tcW w:w="1219" w:type="dxa"/>
            <w:vAlign w:val="center"/>
          </w:tcPr>
          <w:p w:rsidR="00F3413D" w:rsidRPr="00475D63" w:rsidRDefault="00F3413D" w:rsidP="007A24C1">
            <w:pPr>
              <w:jc w:val="center"/>
              <w:rPr>
                <w:b/>
                <w:bCs/>
              </w:rPr>
            </w:pPr>
            <w:r w:rsidRPr="00475D63">
              <w:rPr>
                <w:b/>
                <w:bCs/>
              </w:rPr>
              <w:t>Low priority</w:t>
            </w:r>
          </w:p>
        </w:tc>
        <w:tc>
          <w:tcPr>
            <w:tcW w:w="1220" w:type="dxa"/>
            <w:vAlign w:val="center"/>
          </w:tcPr>
          <w:p w:rsidR="00F3413D" w:rsidRPr="00475D63" w:rsidRDefault="00F3413D" w:rsidP="007A24C1">
            <w:pPr>
              <w:jc w:val="center"/>
              <w:rPr>
                <w:b/>
                <w:bCs/>
              </w:rPr>
            </w:pPr>
            <w:r w:rsidRPr="00475D63">
              <w:rPr>
                <w:b/>
                <w:bCs/>
              </w:rPr>
              <w:t>Not a priority</w:t>
            </w:r>
          </w:p>
        </w:tc>
      </w:tr>
      <w:tr w:rsidR="00F3413D" w:rsidRPr="00475D63" w:rsidTr="007A24C1">
        <w:tc>
          <w:tcPr>
            <w:tcW w:w="1668" w:type="dxa"/>
            <w:vAlign w:val="center"/>
          </w:tcPr>
          <w:p w:rsidR="00F3413D" w:rsidRPr="00475D63" w:rsidRDefault="00F3413D" w:rsidP="007A24C1">
            <w:pPr>
              <w:jc w:val="center"/>
              <w:rPr>
                <w:b/>
              </w:rPr>
            </w:pPr>
            <w:r w:rsidRPr="00475D63">
              <w:rPr>
                <w:b/>
              </w:rPr>
              <w:t>New Rx of critical drug</w:t>
            </w:r>
          </w:p>
        </w:tc>
        <w:tc>
          <w:tcPr>
            <w:tcW w:w="1275" w:type="dxa"/>
            <w:vAlign w:val="center"/>
          </w:tcPr>
          <w:p w:rsidR="00F3413D" w:rsidRPr="00475D63" w:rsidRDefault="00F3413D" w:rsidP="007A24C1">
            <w:pPr>
              <w:jc w:val="center"/>
            </w:pPr>
            <w:r w:rsidRPr="00475D63">
              <w:t>135</w:t>
            </w:r>
          </w:p>
        </w:tc>
        <w:tc>
          <w:tcPr>
            <w:tcW w:w="1219" w:type="dxa"/>
            <w:vAlign w:val="center"/>
          </w:tcPr>
          <w:p w:rsidR="00F3413D" w:rsidRPr="00475D63" w:rsidRDefault="00F3413D" w:rsidP="007A24C1">
            <w:pPr>
              <w:jc w:val="center"/>
            </w:pPr>
            <w:r w:rsidRPr="00475D63">
              <w:rPr>
                <w:rFonts w:cs="Microsoft Sans Serif"/>
              </w:rPr>
              <w:t>51.9%</w:t>
            </w:r>
          </w:p>
        </w:tc>
        <w:tc>
          <w:tcPr>
            <w:tcW w:w="1219" w:type="dxa"/>
            <w:vAlign w:val="center"/>
          </w:tcPr>
          <w:p w:rsidR="00F3413D" w:rsidRPr="00475D63" w:rsidRDefault="00F3413D" w:rsidP="007A24C1">
            <w:pPr>
              <w:jc w:val="center"/>
            </w:pPr>
            <w:r w:rsidRPr="00475D63">
              <w:rPr>
                <w:rFonts w:cs="Microsoft Sans Serif"/>
              </w:rPr>
              <w:t>41.5%</w:t>
            </w:r>
          </w:p>
        </w:tc>
        <w:tc>
          <w:tcPr>
            <w:tcW w:w="1219" w:type="dxa"/>
            <w:vAlign w:val="center"/>
          </w:tcPr>
          <w:p w:rsidR="00F3413D" w:rsidRPr="00475D63" w:rsidRDefault="00F3413D" w:rsidP="007A24C1">
            <w:pPr>
              <w:jc w:val="center"/>
            </w:pPr>
            <w:r w:rsidRPr="00475D63">
              <w:rPr>
                <w:rFonts w:cs="Microsoft Sans Serif"/>
              </w:rPr>
              <w:t>6.7%</w:t>
            </w:r>
          </w:p>
        </w:tc>
        <w:tc>
          <w:tcPr>
            <w:tcW w:w="1219" w:type="dxa"/>
            <w:vAlign w:val="center"/>
          </w:tcPr>
          <w:p w:rsidR="00F3413D" w:rsidRPr="00475D63" w:rsidRDefault="00F3413D" w:rsidP="007A24C1">
            <w:pPr>
              <w:jc w:val="center"/>
            </w:pPr>
            <w:r w:rsidRPr="00475D63">
              <w:rPr>
                <w:rFonts w:cs="Microsoft Sans Serif"/>
              </w:rPr>
              <w:t>0.0%</w:t>
            </w:r>
          </w:p>
        </w:tc>
        <w:tc>
          <w:tcPr>
            <w:tcW w:w="1220" w:type="dxa"/>
            <w:vAlign w:val="center"/>
          </w:tcPr>
          <w:p w:rsidR="00F3413D" w:rsidRPr="00475D63" w:rsidRDefault="00F3413D" w:rsidP="007A24C1">
            <w:pPr>
              <w:jc w:val="center"/>
            </w:pPr>
            <w:r w:rsidRPr="00475D63">
              <w:rPr>
                <w:rFonts w:cs="Microsoft Sans Serif"/>
              </w:rPr>
              <w:t>0.0%</w:t>
            </w:r>
          </w:p>
        </w:tc>
      </w:tr>
      <w:tr w:rsidR="00F3413D" w:rsidRPr="00475D63" w:rsidTr="007A24C1">
        <w:tc>
          <w:tcPr>
            <w:tcW w:w="1668" w:type="dxa"/>
            <w:vAlign w:val="center"/>
          </w:tcPr>
          <w:p w:rsidR="00F3413D" w:rsidRPr="00475D63" w:rsidRDefault="00F3413D" w:rsidP="007A24C1">
            <w:pPr>
              <w:jc w:val="center"/>
              <w:rPr>
                <w:b/>
              </w:rPr>
            </w:pPr>
            <w:r w:rsidRPr="00475D63">
              <w:rPr>
                <w:b/>
              </w:rPr>
              <w:t>Ongoing Rx of critical drug</w:t>
            </w:r>
          </w:p>
        </w:tc>
        <w:tc>
          <w:tcPr>
            <w:tcW w:w="1275" w:type="dxa"/>
            <w:vAlign w:val="center"/>
          </w:tcPr>
          <w:p w:rsidR="00F3413D" w:rsidRPr="00475D63" w:rsidRDefault="00F3413D" w:rsidP="007A24C1">
            <w:pPr>
              <w:jc w:val="center"/>
            </w:pPr>
            <w:r w:rsidRPr="00475D63">
              <w:t>135</w:t>
            </w:r>
          </w:p>
        </w:tc>
        <w:tc>
          <w:tcPr>
            <w:tcW w:w="1219" w:type="dxa"/>
            <w:vAlign w:val="center"/>
          </w:tcPr>
          <w:p w:rsidR="00F3413D" w:rsidRPr="00475D63" w:rsidRDefault="00F3413D" w:rsidP="007A24C1">
            <w:pPr>
              <w:jc w:val="center"/>
            </w:pPr>
            <w:r w:rsidRPr="00475D63">
              <w:rPr>
                <w:rFonts w:cs="Microsoft Sans Serif"/>
              </w:rPr>
              <w:t>42.2%</w:t>
            </w:r>
          </w:p>
        </w:tc>
        <w:tc>
          <w:tcPr>
            <w:tcW w:w="1219" w:type="dxa"/>
            <w:vAlign w:val="center"/>
          </w:tcPr>
          <w:p w:rsidR="00F3413D" w:rsidRPr="00475D63" w:rsidRDefault="00F3413D" w:rsidP="007A24C1">
            <w:pPr>
              <w:jc w:val="center"/>
            </w:pPr>
            <w:r w:rsidRPr="00475D63">
              <w:rPr>
                <w:rFonts w:cs="Microsoft Sans Serif"/>
              </w:rPr>
              <w:t>42.2%</w:t>
            </w:r>
          </w:p>
        </w:tc>
        <w:tc>
          <w:tcPr>
            <w:tcW w:w="1219" w:type="dxa"/>
            <w:vAlign w:val="center"/>
          </w:tcPr>
          <w:p w:rsidR="00F3413D" w:rsidRPr="00475D63" w:rsidRDefault="00F3413D" w:rsidP="007A24C1">
            <w:pPr>
              <w:jc w:val="center"/>
            </w:pPr>
            <w:r w:rsidRPr="00475D63">
              <w:rPr>
                <w:rFonts w:cs="Microsoft Sans Serif"/>
              </w:rPr>
              <w:t>15.6%</w:t>
            </w:r>
          </w:p>
        </w:tc>
        <w:tc>
          <w:tcPr>
            <w:tcW w:w="1219" w:type="dxa"/>
            <w:vAlign w:val="center"/>
          </w:tcPr>
          <w:p w:rsidR="00F3413D" w:rsidRPr="00475D63" w:rsidRDefault="00F3413D" w:rsidP="007A24C1">
            <w:pPr>
              <w:jc w:val="center"/>
            </w:pPr>
            <w:r w:rsidRPr="00475D63">
              <w:rPr>
                <w:rFonts w:cs="Microsoft Sans Serif"/>
              </w:rPr>
              <w:t>0.0%</w:t>
            </w:r>
          </w:p>
        </w:tc>
        <w:tc>
          <w:tcPr>
            <w:tcW w:w="1220" w:type="dxa"/>
            <w:vAlign w:val="center"/>
          </w:tcPr>
          <w:p w:rsidR="00F3413D" w:rsidRPr="00475D63" w:rsidRDefault="00F3413D" w:rsidP="007A24C1">
            <w:pPr>
              <w:jc w:val="center"/>
            </w:pPr>
            <w:r w:rsidRPr="00475D63">
              <w:rPr>
                <w:rFonts w:cs="Microsoft Sans Serif"/>
              </w:rPr>
              <w:t>0.0%</w:t>
            </w:r>
          </w:p>
        </w:tc>
      </w:tr>
      <w:tr w:rsidR="00F3413D" w:rsidRPr="00475D63" w:rsidTr="007A24C1">
        <w:tc>
          <w:tcPr>
            <w:tcW w:w="1668" w:type="dxa"/>
            <w:vAlign w:val="center"/>
          </w:tcPr>
          <w:p w:rsidR="00F3413D" w:rsidRPr="00475D63" w:rsidRDefault="00F3413D" w:rsidP="007A24C1">
            <w:pPr>
              <w:jc w:val="center"/>
              <w:rPr>
                <w:b/>
              </w:rPr>
            </w:pPr>
            <w:r w:rsidRPr="00475D63">
              <w:rPr>
                <w:b/>
              </w:rPr>
              <w:t>Drug-indication mismatch</w:t>
            </w:r>
          </w:p>
        </w:tc>
        <w:tc>
          <w:tcPr>
            <w:tcW w:w="1275" w:type="dxa"/>
            <w:vAlign w:val="center"/>
          </w:tcPr>
          <w:p w:rsidR="00F3413D" w:rsidRPr="00475D63" w:rsidRDefault="00F3413D" w:rsidP="007A24C1">
            <w:pPr>
              <w:jc w:val="center"/>
            </w:pPr>
            <w:r w:rsidRPr="00475D63">
              <w:t>134</w:t>
            </w:r>
          </w:p>
        </w:tc>
        <w:tc>
          <w:tcPr>
            <w:tcW w:w="1219" w:type="dxa"/>
            <w:vAlign w:val="center"/>
          </w:tcPr>
          <w:p w:rsidR="00F3413D" w:rsidRPr="00475D63" w:rsidRDefault="00F3413D" w:rsidP="007A24C1">
            <w:pPr>
              <w:jc w:val="center"/>
            </w:pPr>
            <w:r w:rsidRPr="00475D63">
              <w:rPr>
                <w:rFonts w:cs="Microsoft Sans Serif"/>
              </w:rPr>
              <w:t>31.3%</w:t>
            </w:r>
          </w:p>
        </w:tc>
        <w:tc>
          <w:tcPr>
            <w:tcW w:w="1219" w:type="dxa"/>
            <w:vAlign w:val="center"/>
          </w:tcPr>
          <w:p w:rsidR="00F3413D" w:rsidRPr="00475D63" w:rsidRDefault="00F3413D" w:rsidP="007A24C1">
            <w:pPr>
              <w:jc w:val="center"/>
            </w:pPr>
            <w:r w:rsidRPr="00475D63">
              <w:rPr>
                <w:rFonts w:cs="Microsoft Sans Serif"/>
              </w:rPr>
              <w:t>47.8%</w:t>
            </w:r>
          </w:p>
        </w:tc>
        <w:tc>
          <w:tcPr>
            <w:tcW w:w="1219" w:type="dxa"/>
            <w:vAlign w:val="center"/>
          </w:tcPr>
          <w:p w:rsidR="00F3413D" w:rsidRPr="00475D63" w:rsidRDefault="00F3413D" w:rsidP="007A24C1">
            <w:pPr>
              <w:jc w:val="center"/>
            </w:pPr>
            <w:r w:rsidRPr="00475D63">
              <w:rPr>
                <w:rFonts w:cs="Microsoft Sans Serif"/>
              </w:rPr>
              <w:t>17.9%</w:t>
            </w:r>
          </w:p>
        </w:tc>
        <w:tc>
          <w:tcPr>
            <w:tcW w:w="1219" w:type="dxa"/>
            <w:vAlign w:val="center"/>
          </w:tcPr>
          <w:p w:rsidR="00F3413D" w:rsidRPr="00475D63" w:rsidRDefault="00F3413D" w:rsidP="007A24C1">
            <w:pPr>
              <w:jc w:val="center"/>
            </w:pPr>
            <w:r w:rsidRPr="00475D63">
              <w:rPr>
                <w:rFonts w:cs="Microsoft Sans Serif"/>
              </w:rPr>
              <w:t>3.0%</w:t>
            </w:r>
          </w:p>
        </w:tc>
        <w:tc>
          <w:tcPr>
            <w:tcW w:w="1220" w:type="dxa"/>
            <w:vAlign w:val="center"/>
          </w:tcPr>
          <w:p w:rsidR="00F3413D" w:rsidRPr="00475D63" w:rsidRDefault="00F3413D" w:rsidP="007A24C1">
            <w:pPr>
              <w:jc w:val="center"/>
            </w:pPr>
            <w:r w:rsidRPr="00475D63">
              <w:rPr>
                <w:rFonts w:cs="Microsoft Sans Serif"/>
              </w:rPr>
              <w:t>0.0%</w:t>
            </w:r>
          </w:p>
        </w:tc>
      </w:tr>
      <w:tr w:rsidR="00F3413D" w:rsidRPr="00475D63" w:rsidTr="007A24C1">
        <w:tc>
          <w:tcPr>
            <w:tcW w:w="1668" w:type="dxa"/>
            <w:vAlign w:val="center"/>
          </w:tcPr>
          <w:p w:rsidR="00F3413D" w:rsidRPr="00475D63" w:rsidRDefault="00F3413D" w:rsidP="007A24C1">
            <w:pPr>
              <w:jc w:val="center"/>
              <w:rPr>
                <w:b/>
              </w:rPr>
            </w:pPr>
            <w:r w:rsidRPr="00475D63">
              <w:rPr>
                <w:b/>
              </w:rPr>
              <w:t>Long IV/oral course</w:t>
            </w:r>
          </w:p>
        </w:tc>
        <w:tc>
          <w:tcPr>
            <w:tcW w:w="1275" w:type="dxa"/>
            <w:vAlign w:val="center"/>
          </w:tcPr>
          <w:p w:rsidR="00F3413D" w:rsidRPr="00475D63" w:rsidRDefault="00F3413D" w:rsidP="007A24C1">
            <w:pPr>
              <w:jc w:val="center"/>
            </w:pPr>
            <w:r w:rsidRPr="00475D63">
              <w:t>135</w:t>
            </w:r>
          </w:p>
        </w:tc>
        <w:tc>
          <w:tcPr>
            <w:tcW w:w="1219" w:type="dxa"/>
            <w:vAlign w:val="center"/>
          </w:tcPr>
          <w:p w:rsidR="00F3413D" w:rsidRPr="00475D63" w:rsidRDefault="00F3413D" w:rsidP="007A24C1">
            <w:pPr>
              <w:jc w:val="center"/>
            </w:pPr>
            <w:r w:rsidRPr="00475D63">
              <w:rPr>
                <w:rFonts w:cs="Microsoft Sans Serif"/>
              </w:rPr>
              <w:t>28.9%</w:t>
            </w:r>
          </w:p>
        </w:tc>
        <w:tc>
          <w:tcPr>
            <w:tcW w:w="1219" w:type="dxa"/>
            <w:vAlign w:val="center"/>
          </w:tcPr>
          <w:p w:rsidR="00F3413D" w:rsidRPr="00475D63" w:rsidRDefault="00F3413D" w:rsidP="007A24C1">
            <w:pPr>
              <w:jc w:val="center"/>
            </w:pPr>
            <w:r w:rsidRPr="00475D63">
              <w:rPr>
                <w:rFonts w:cs="Microsoft Sans Serif"/>
              </w:rPr>
              <w:t>54.8%</w:t>
            </w:r>
          </w:p>
        </w:tc>
        <w:tc>
          <w:tcPr>
            <w:tcW w:w="1219" w:type="dxa"/>
            <w:vAlign w:val="center"/>
          </w:tcPr>
          <w:p w:rsidR="00F3413D" w:rsidRPr="00475D63" w:rsidRDefault="00F3413D" w:rsidP="007A24C1">
            <w:pPr>
              <w:jc w:val="center"/>
            </w:pPr>
            <w:r w:rsidRPr="00475D63">
              <w:rPr>
                <w:rFonts w:cs="Microsoft Sans Serif"/>
              </w:rPr>
              <w:t>14.8%</w:t>
            </w:r>
          </w:p>
        </w:tc>
        <w:tc>
          <w:tcPr>
            <w:tcW w:w="1219" w:type="dxa"/>
            <w:vAlign w:val="center"/>
          </w:tcPr>
          <w:p w:rsidR="00F3413D" w:rsidRPr="00475D63" w:rsidRDefault="00F3413D" w:rsidP="007A24C1">
            <w:pPr>
              <w:jc w:val="center"/>
            </w:pPr>
            <w:r w:rsidRPr="00475D63">
              <w:rPr>
                <w:rFonts w:cs="Microsoft Sans Serif"/>
              </w:rPr>
              <w:t>0.7%</w:t>
            </w:r>
          </w:p>
        </w:tc>
        <w:tc>
          <w:tcPr>
            <w:tcW w:w="1220" w:type="dxa"/>
            <w:vAlign w:val="center"/>
          </w:tcPr>
          <w:p w:rsidR="00F3413D" w:rsidRPr="00475D63" w:rsidRDefault="00F3413D" w:rsidP="007A24C1">
            <w:pPr>
              <w:jc w:val="center"/>
            </w:pPr>
            <w:r w:rsidRPr="00475D63">
              <w:rPr>
                <w:rFonts w:cs="Microsoft Sans Serif"/>
              </w:rPr>
              <w:t>0.7%</w:t>
            </w:r>
          </w:p>
        </w:tc>
      </w:tr>
      <w:tr w:rsidR="00F3413D" w:rsidRPr="00475D63" w:rsidTr="007A24C1">
        <w:tc>
          <w:tcPr>
            <w:tcW w:w="1668" w:type="dxa"/>
            <w:vAlign w:val="center"/>
          </w:tcPr>
          <w:p w:rsidR="00F3413D" w:rsidRPr="00475D63" w:rsidRDefault="00F3413D" w:rsidP="007A24C1">
            <w:pPr>
              <w:jc w:val="center"/>
              <w:rPr>
                <w:b/>
              </w:rPr>
            </w:pPr>
            <w:r w:rsidRPr="00475D63">
              <w:rPr>
                <w:b/>
              </w:rPr>
              <w:t xml:space="preserve">Missed </w:t>
            </w:r>
            <w:proofErr w:type="spellStart"/>
            <w:r w:rsidRPr="00475D63">
              <w:rPr>
                <w:b/>
              </w:rPr>
              <w:t>Abx</w:t>
            </w:r>
            <w:proofErr w:type="spellEnd"/>
            <w:r w:rsidRPr="00475D63">
              <w:rPr>
                <w:b/>
              </w:rPr>
              <w:t xml:space="preserve"> doses</w:t>
            </w:r>
          </w:p>
        </w:tc>
        <w:tc>
          <w:tcPr>
            <w:tcW w:w="1275" w:type="dxa"/>
            <w:vAlign w:val="center"/>
          </w:tcPr>
          <w:p w:rsidR="00F3413D" w:rsidRPr="00475D63" w:rsidRDefault="00F3413D" w:rsidP="007A24C1">
            <w:pPr>
              <w:jc w:val="center"/>
            </w:pPr>
            <w:r w:rsidRPr="00475D63">
              <w:t>132</w:t>
            </w:r>
          </w:p>
        </w:tc>
        <w:tc>
          <w:tcPr>
            <w:tcW w:w="1219" w:type="dxa"/>
            <w:vAlign w:val="center"/>
          </w:tcPr>
          <w:p w:rsidR="00F3413D" w:rsidRPr="00475D63" w:rsidRDefault="00F3413D" w:rsidP="007A24C1">
            <w:pPr>
              <w:jc w:val="center"/>
            </w:pPr>
            <w:r w:rsidRPr="00475D63">
              <w:rPr>
                <w:rFonts w:cs="Microsoft Sans Serif"/>
              </w:rPr>
              <w:t>26.5%</w:t>
            </w:r>
          </w:p>
        </w:tc>
        <w:tc>
          <w:tcPr>
            <w:tcW w:w="1219" w:type="dxa"/>
            <w:vAlign w:val="center"/>
          </w:tcPr>
          <w:p w:rsidR="00F3413D" w:rsidRPr="00475D63" w:rsidRDefault="00F3413D" w:rsidP="007A24C1">
            <w:pPr>
              <w:jc w:val="center"/>
            </w:pPr>
            <w:r w:rsidRPr="00475D63">
              <w:rPr>
                <w:rFonts w:cs="Microsoft Sans Serif"/>
              </w:rPr>
              <w:t>43.9%</w:t>
            </w:r>
          </w:p>
        </w:tc>
        <w:tc>
          <w:tcPr>
            <w:tcW w:w="1219" w:type="dxa"/>
            <w:vAlign w:val="center"/>
          </w:tcPr>
          <w:p w:rsidR="00F3413D" w:rsidRPr="00475D63" w:rsidRDefault="00F3413D" w:rsidP="007A24C1">
            <w:pPr>
              <w:jc w:val="center"/>
            </w:pPr>
            <w:r w:rsidRPr="00475D63">
              <w:rPr>
                <w:rFonts w:cs="Microsoft Sans Serif"/>
              </w:rPr>
              <w:t>22.7%</w:t>
            </w:r>
          </w:p>
        </w:tc>
        <w:tc>
          <w:tcPr>
            <w:tcW w:w="1219" w:type="dxa"/>
            <w:vAlign w:val="center"/>
          </w:tcPr>
          <w:p w:rsidR="00F3413D" w:rsidRPr="00475D63" w:rsidRDefault="00F3413D" w:rsidP="007A24C1">
            <w:pPr>
              <w:jc w:val="center"/>
            </w:pPr>
            <w:r w:rsidRPr="00475D63">
              <w:rPr>
                <w:rFonts w:cs="Microsoft Sans Serif"/>
              </w:rPr>
              <w:t>6.1%</w:t>
            </w:r>
          </w:p>
        </w:tc>
        <w:tc>
          <w:tcPr>
            <w:tcW w:w="1220" w:type="dxa"/>
            <w:vAlign w:val="center"/>
          </w:tcPr>
          <w:p w:rsidR="00F3413D" w:rsidRPr="00475D63" w:rsidRDefault="00F3413D" w:rsidP="007A24C1">
            <w:pPr>
              <w:jc w:val="center"/>
            </w:pPr>
            <w:r w:rsidRPr="00475D63">
              <w:rPr>
                <w:rFonts w:cs="Microsoft Sans Serif"/>
              </w:rPr>
              <w:t>0.8%</w:t>
            </w:r>
          </w:p>
        </w:tc>
      </w:tr>
      <w:tr w:rsidR="00F3413D" w:rsidRPr="00475D63" w:rsidTr="007A24C1">
        <w:tc>
          <w:tcPr>
            <w:tcW w:w="1668" w:type="dxa"/>
            <w:vAlign w:val="center"/>
          </w:tcPr>
          <w:p w:rsidR="00F3413D" w:rsidRPr="00475D63" w:rsidRDefault="00F3413D" w:rsidP="007A24C1">
            <w:pPr>
              <w:jc w:val="center"/>
              <w:rPr>
                <w:b/>
              </w:rPr>
            </w:pPr>
            <w:r w:rsidRPr="00475D63">
              <w:rPr>
                <w:b/>
              </w:rPr>
              <w:t>Long IV course</w:t>
            </w:r>
          </w:p>
        </w:tc>
        <w:tc>
          <w:tcPr>
            <w:tcW w:w="1275" w:type="dxa"/>
            <w:vAlign w:val="center"/>
          </w:tcPr>
          <w:p w:rsidR="00F3413D" w:rsidRPr="00475D63" w:rsidRDefault="00F3413D" w:rsidP="007A24C1">
            <w:pPr>
              <w:jc w:val="center"/>
            </w:pPr>
            <w:r w:rsidRPr="00475D63">
              <w:t>132</w:t>
            </w:r>
          </w:p>
        </w:tc>
        <w:tc>
          <w:tcPr>
            <w:tcW w:w="1219" w:type="dxa"/>
            <w:vAlign w:val="center"/>
          </w:tcPr>
          <w:p w:rsidR="00F3413D" w:rsidRPr="00475D63" w:rsidRDefault="00F3413D" w:rsidP="007A24C1">
            <w:pPr>
              <w:jc w:val="center"/>
            </w:pPr>
            <w:r w:rsidRPr="00475D63">
              <w:rPr>
                <w:rFonts w:cs="Microsoft Sans Serif"/>
              </w:rPr>
              <w:t>25.0%</w:t>
            </w:r>
          </w:p>
        </w:tc>
        <w:tc>
          <w:tcPr>
            <w:tcW w:w="1219" w:type="dxa"/>
            <w:vAlign w:val="center"/>
          </w:tcPr>
          <w:p w:rsidR="00F3413D" w:rsidRPr="00475D63" w:rsidRDefault="00F3413D" w:rsidP="007A24C1">
            <w:pPr>
              <w:jc w:val="center"/>
            </w:pPr>
            <w:r w:rsidRPr="00475D63">
              <w:rPr>
                <w:rFonts w:cs="Microsoft Sans Serif"/>
              </w:rPr>
              <w:t>59.8%</w:t>
            </w:r>
          </w:p>
        </w:tc>
        <w:tc>
          <w:tcPr>
            <w:tcW w:w="1219" w:type="dxa"/>
            <w:vAlign w:val="center"/>
          </w:tcPr>
          <w:p w:rsidR="00F3413D" w:rsidRPr="00475D63" w:rsidRDefault="00F3413D" w:rsidP="007A24C1">
            <w:pPr>
              <w:jc w:val="center"/>
            </w:pPr>
            <w:r w:rsidRPr="00475D63">
              <w:rPr>
                <w:rFonts w:cs="Microsoft Sans Serif"/>
              </w:rPr>
              <w:t>14.4%</w:t>
            </w:r>
          </w:p>
        </w:tc>
        <w:tc>
          <w:tcPr>
            <w:tcW w:w="1219" w:type="dxa"/>
            <w:vAlign w:val="center"/>
          </w:tcPr>
          <w:p w:rsidR="00F3413D" w:rsidRPr="00475D63" w:rsidRDefault="00F3413D" w:rsidP="007A24C1">
            <w:pPr>
              <w:jc w:val="center"/>
            </w:pPr>
            <w:r w:rsidRPr="00475D63">
              <w:rPr>
                <w:rFonts w:cs="Microsoft Sans Serif"/>
              </w:rPr>
              <w:t>0.8%</w:t>
            </w:r>
          </w:p>
        </w:tc>
        <w:tc>
          <w:tcPr>
            <w:tcW w:w="1220" w:type="dxa"/>
            <w:vAlign w:val="center"/>
          </w:tcPr>
          <w:p w:rsidR="00F3413D" w:rsidRPr="00475D63" w:rsidRDefault="00F3413D" w:rsidP="007A24C1">
            <w:pPr>
              <w:jc w:val="center"/>
            </w:pPr>
            <w:r w:rsidRPr="00475D63">
              <w:rPr>
                <w:rFonts w:cs="Microsoft Sans Serif"/>
              </w:rPr>
              <w:t>0.0%</w:t>
            </w:r>
          </w:p>
        </w:tc>
      </w:tr>
      <w:tr w:rsidR="00F3413D" w:rsidRPr="00475D63" w:rsidTr="007A24C1">
        <w:tc>
          <w:tcPr>
            <w:tcW w:w="1668" w:type="dxa"/>
            <w:vAlign w:val="center"/>
          </w:tcPr>
          <w:p w:rsidR="00F3413D" w:rsidRPr="00475D63" w:rsidRDefault="00F3413D" w:rsidP="007A24C1">
            <w:pPr>
              <w:jc w:val="center"/>
              <w:rPr>
                <w:b/>
              </w:rPr>
            </w:pPr>
            <w:r w:rsidRPr="00475D63">
              <w:rPr>
                <w:b/>
              </w:rPr>
              <w:t>High-dose aminoglycoside</w:t>
            </w:r>
          </w:p>
        </w:tc>
        <w:tc>
          <w:tcPr>
            <w:tcW w:w="1275" w:type="dxa"/>
            <w:vAlign w:val="center"/>
          </w:tcPr>
          <w:p w:rsidR="00F3413D" w:rsidRPr="00475D63" w:rsidRDefault="00F3413D" w:rsidP="007A24C1">
            <w:pPr>
              <w:jc w:val="center"/>
            </w:pPr>
            <w:r w:rsidRPr="00475D63">
              <w:t>133</w:t>
            </w:r>
          </w:p>
        </w:tc>
        <w:tc>
          <w:tcPr>
            <w:tcW w:w="1219" w:type="dxa"/>
            <w:vAlign w:val="center"/>
          </w:tcPr>
          <w:p w:rsidR="00F3413D" w:rsidRPr="00475D63" w:rsidRDefault="00F3413D" w:rsidP="007A24C1">
            <w:pPr>
              <w:jc w:val="center"/>
            </w:pPr>
            <w:r w:rsidRPr="00475D63">
              <w:rPr>
                <w:rFonts w:cs="Microsoft Sans Serif"/>
              </w:rPr>
              <w:t>23.3%</w:t>
            </w:r>
          </w:p>
        </w:tc>
        <w:tc>
          <w:tcPr>
            <w:tcW w:w="1219" w:type="dxa"/>
            <w:vAlign w:val="center"/>
          </w:tcPr>
          <w:p w:rsidR="00F3413D" w:rsidRPr="00475D63" w:rsidRDefault="00F3413D" w:rsidP="007A24C1">
            <w:pPr>
              <w:jc w:val="center"/>
            </w:pPr>
            <w:r w:rsidRPr="00475D63">
              <w:rPr>
                <w:rFonts w:cs="Microsoft Sans Serif"/>
              </w:rPr>
              <w:t>40.6%</w:t>
            </w:r>
          </w:p>
        </w:tc>
        <w:tc>
          <w:tcPr>
            <w:tcW w:w="1219" w:type="dxa"/>
            <w:vAlign w:val="center"/>
          </w:tcPr>
          <w:p w:rsidR="00F3413D" w:rsidRPr="00475D63" w:rsidRDefault="00F3413D" w:rsidP="007A24C1">
            <w:pPr>
              <w:jc w:val="center"/>
            </w:pPr>
            <w:r w:rsidRPr="00475D63">
              <w:rPr>
                <w:rFonts w:cs="Microsoft Sans Serif"/>
              </w:rPr>
              <w:t>25.6%</w:t>
            </w:r>
          </w:p>
        </w:tc>
        <w:tc>
          <w:tcPr>
            <w:tcW w:w="1219" w:type="dxa"/>
            <w:vAlign w:val="center"/>
          </w:tcPr>
          <w:p w:rsidR="00F3413D" w:rsidRPr="00475D63" w:rsidRDefault="00F3413D" w:rsidP="007A24C1">
            <w:pPr>
              <w:jc w:val="center"/>
            </w:pPr>
            <w:r w:rsidRPr="00475D63">
              <w:rPr>
                <w:rFonts w:cs="Microsoft Sans Serif"/>
              </w:rPr>
              <w:t>9.0%</w:t>
            </w:r>
          </w:p>
        </w:tc>
        <w:tc>
          <w:tcPr>
            <w:tcW w:w="1220" w:type="dxa"/>
            <w:vAlign w:val="center"/>
          </w:tcPr>
          <w:p w:rsidR="00F3413D" w:rsidRPr="00475D63" w:rsidRDefault="00F3413D" w:rsidP="007A24C1">
            <w:pPr>
              <w:jc w:val="center"/>
            </w:pPr>
            <w:r w:rsidRPr="00475D63">
              <w:rPr>
                <w:rFonts w:cs="Microsoft Sans Serif"/>
              </w:rPr>
              <w:t>1.5%</w:t>
            </w:r>
          </w:p>
        </w:tc>
      </w:tr>
      <w:tr w:rsidR="00F3413D" w:rsidRPr="00475D63" w:rsidTr="007A24C1">
        <w:tc>
          <w:tcPr>
            <w:tcW w:w="1668" w:type="dxa"/>
            <w:vAlign w:val="center"/>
          </w:tcPr>
          <w:p w:rsidR="00F3413D" w:rsidRPr="00475D63" w:rsidRDefault="00F3413D" w:rsidP="007A24C1">
            <w:pPr>
              <w:jc w:val="center"/>
              <w:rPr>
                <w:b/>
              </w:rPr>
            </w:pPr>
            <w:r w:rsidRPr="00475D63">
              <w:rPr>
                <w:b/>
              </w:rPr>
              <w:t>New Rx for sepsis of unknown origin</w:t>
            </w:r>
          </w:p>
        </w:tc>
        <w:tc>
          <w:tcPr>
            <w:tcW w:w="1275" w:type="dxa"/>
            <w:vAlign w:val="center"/>
          </w:tcPr>
          <w:p w:rsidR="00F3413D" w:rsidRPr="00475D63" w:rsidRDefault="00F3413D" w:rsidP="007A24C1">
            <w:pPr>
              <w:jc w:val="center"/>
            </w:pPr>
            <w:r w:rsidRPr="00475D63">
              <w:t>134</w:t>
            </w:r>
          </w:p>
        </w:tc>
        <w:tc>
          <w:tcPr>
            <w:tcW w:w="1219" w:type="dxa"/>
            <w:vAlign w:val="center"/>
          </w:tcPr>
          <w:p w:rsidR="00F3413D" w:rsidRPr="00475D63" w:rsidRDefault="00F3413D" w:rsidP="007A24C1">
            <w:pPr>
              <w:jc w:val="center"/>
            </w:pPr>
            <w:r w:rsidRPr="00475D63">
              <w:rPr>
                <w:rFonts w:cs="Microsoft Sans Serif"/>
              </w:rPr>
              <w:t>20.1%</w:t>
            </w:r>
          </w:p>
        </w:tc>
        <w:tc>
          <w:tcPr>
            <w:tcW w:w="1219" w:type="dxa"/>
            <w:vAlign w:val="center"/>
          </w:tcPr>
          <w:p w:rsidR="00F3413D" w:rsidRPr="00475D63" w:rsidRDefault="00F3413D" w:rsidP="007A24C1">
            <w:pPr>
              <w:jc w:val="center"/>
            </w:pPr>
            <w:r w:rsidRPr="00475D63">
              <w:rPr>
                <w:rFonts w:cs="Microsoft Sans Serif"/>
              </w:rPr>
              <w:t>57.5%</w:t>
            </w:r>
          </w:p>
        </w:tc>
        <w:tc>
          <w:tcPr>
            <w:tcW w:w="1219" w:type="dxa"/>
            <w:vAlign w:val="center"/>
          </w:tcPr>
          <w:p w:rsidR="00F3413D" w:rsidRPr="00475D63" w:rsidRDefault="00F3413D" w:rsidP="007A24C1">
            <w:pPr>
              <w:jc w:val="center"/>
            </w:pPr>
            <w:r w:rsidRPr="00475D63">
              <w:rPr>
                <w:rFonts w:cs="Microsoft Sans Serif"/>
              </w:rPr>
              <w:t>19.4%</w:t>
            </w:r>
          </w:p>
        </w:tc>
        <w:tc>
          <w:tcPr>
            <w:tcW w:w="1219" w:type="dxa"/>
            <w:vAlign w:val="center"/>
          </w:tcPr>
          <w:p w:rsidR="00F3413D" w:rsidRPr="00475D63" w:rsidRDefault="00F3413D" w:rsidP="007A24C1">
            <w:pPr>
              <w:jc w:val="center"/>
            </w:pPr>
            <w:r w:rsidRPr="00475D63">
              <w:rPr>
                <w:rFonts w:cs="Microsoft Sans Serif"/>
              </w:rPr>
              <w:t>1.5%</w:t>
            </w:r>
          </w:p>
        </w:tc>
        <w:tc>
          <w:tcPr>
            <w:tcW w:w="1220" w:type="dxa"/>
            <w:vAlign w:val="center"/>
          </w:tcPr>
          <w:p w:rsidR="00F3413D" w:rsidRPr="00475D63" w:rsidRDefault="00F3413D" w:rsidP="007A24C1">
            <w:pPr>
              <w:jc w:val="center"/>
            </w:pPr>
            <w:r w:rsidRPr="00475D63">
              <w:rPr>
                <w:rFonts w:cs="Microsoft Sans Serif"/>
              </w:rPr>
              <w:t>1.5%</w:t>
            </w:r>
          </w:p>
        </w:tc>
      </w:tr>
      <w:tr w:rsidR="00F3413D" w:rsidRPr="00475D63" w:rsidTr="007A24C1">
        <w:tc>
          <w:tcPr>
            <w:tcW w:w="1668" w:type="dxa"/>
            <w:vAlign w:val="center"/>
          </w:tcPr>
          <w:p w:rsidR="00F3413D" w:rsidRPr="00475D63" w:rsidRDefault="00F3413D" w:rsidP="007A24C1">
            <w:pPr>
              <w:jc w:val="center"/>
              <w:rPr>
                <w:b/>
              </w:rPr>
            </w:pPr>
            <w:r w:rsidRPr="00475D63">
              <w:rPr>
                <w:b/>
              </w:rPr>
              <w:t>New Rx of any antibiotic</w:t>
            </w:r>
          </w:p>
        </w:tc>
        <w:tc>
          <w:tcPr>
            <w:tcW w:w="1275" w:type="dxa"/>
            <w:vAlign w:val="center"/>
          </w:tcPr>
          <w:p w:rsidR="00F3413D" w:rsidRPr="00475D63" w:rsidRDefault="00F3413D" w:rsidP="007A24C1">
            <w:pPr>
              <w:jc w:val="center"/>
            </w:pPr>
            <w:r w:rsidRPr="00475D63">
              <w:t>136</w:t>
            </w:r>
          </w:p>
        </w:tc>
        <w:tc>
          <w:tcPr>
            <w:tcW w:w="1219" w:type="dxa"/>
            <w:vAlign w:val="center"/>
          </w:tcPr>
          <w:p w:rsidR="00F3413D" w:rsidRPr="00475D63" w:rsidRDefault="00F3413D" w:rsidP="007A24C1">
            <w:pPr>
              <w:jc w:val="center"/>
            </w:pPr>
            <w:r w:rsidRPr="00475D63">
              <w:rPr>
                <w:rFonts w:cs="Microsoft Sans Serif"/>
              </w:rPr>
              <w:t>19.1%</w:t>
            </w:r>
          </w:p>
        </w:tc>
        <w:tc>
          <w:tcPr>
            <w:tcW w:w="1219" w:type="dxa"/>
            <w:vAlign w:val="center"/>
          </w:tcPr>
          <w:p w:rsidR="00F3413D" w:rsidRPr="00475D63" w:rsidRDefault="00F3413D" w:rsidP="007A24C1">
            <w:pPr>
              <w:jc w:val="center"/>
            </w:pPr>
            <w:r w:rsidRPr="00475D63">
              <w:rPr>
                <w:rFonts w:cs="Microsoft Sans Serif"/>
              </w:rPr>
              <w:t>27.9%</w:t>
            </w:r>
          </w:p>
        </w:tc>
        <w:tc>
          <w:tcPr>
            <w:tcW w:w="1219" w:type="dxa"/>
            <w:vAlign w:val="center"/>
          </w:tcPr>
          <w:p w:rsidR="00F3413D" w:rsidRPr="00475D63" w:rsidRDefault="00F3413D" w:rsidP="007A24C1">
            <w:pPr>
              <w:jc w:val="center"/>
            </w:pPr>
            <w:r w:rsidRPr="00475D63">
              <w:rPr>
                <w:rFonts w:cs="Microsoft Sans Serif"/>
              </w:rPr>
              <w:t>33.1%</w:t>
            </w:r>
          </w:p>
        </w:tc>
        <w:tc>
          <w:tcPr>
            <w:tcW w:w="1219" w:type="dxa"/>
            <w:vAlign w:val="center"/>
          </w:tcPr>
          <w:p w:rsidR="00F3413D" w:rsidRPr="00475D63" w:rsidRDefault="00F3413D" w:rsidP="007A24C1">
            <w:pPr>
              <w:jc w:val="center"/>
            </w:pPr>
            <w:r w:rsidRPr="00475D63">
              <w:rPr>
                <w:rFonts w:cs="Microsoft Sans Serif"/>
              </w:rPr>
              <w:t>17.6%</w:t>
            </w:r>
          </w:p>
        </w:tc>
        <w:tc>
          <w:tcPr>
            <w:tcW w:w="1220" w:type="dxa"/>
            <w:vAlign w:val="center"/>
          </w:tcPr>
          <w:p w:rsidR="00F3413D" w:rsidRPr="00475D63" w:rsidRDefault="00F3413D" w:rsidP="007A24C1">
            <w:pPr>
              <w:jc w:val="center"/>
            </w:pPr>
            <w:r w:rsidRPr="00475D63">
              <w:rPr>
                <w:rFonts w:cs="Microsoft Sans Serif"/>
              </w:rPr>
              <w:t>2.2%</w:t>
            </w:r>
          </w:p>
        </w:tc>
      </w:tr>
      <w:tr w:rsidR="00F3413D" w:rsidRPr="00475D63" w:rsidTr="007A24C1">
        <w:tc>
          <w:tcPr>
            <w:tcW w:w="1668" w:type="dxa"/>
            <w:vAlign w:val="center"/>
          </w:tcPr>
          <w:p w:rsidR="00F3413D" w:rsidRPr="00475D63" w:rsidRDefault="00F3413D" w:rsidP="007A24C1">
            <w:pPr>
              <w:jc w:val="center"/>
              <w:rPr>
                <w:b/>
              </w:rPr>
            </w:pPr>
            <w:r w:rsidRPr="00475D63">
              <w:rPr>
                <w:b/>
              </w:rPr>
              <w:t>Ongoing Rx of any antibiotic</w:t>
            </w:r>
          </w:p>
        </w:tc>
        <w:tc>
          <w:tcPr>
            <w:tcW w:w="1275" w:type="dxa"/>
            <w:vAlign w:val="center"/>
          </w:tcPr>
          <w:p w:rsidR="00F3413D" w:rsidRPr="00475D63" w:rsidRDefault="00F3413D" w:rsidP="007A24C1">
            <w:pPr>
              <w:jc w:val="center"/>
            </w:pPr>
            <w:r w:rsidRPr="00475D63">
              <w:t>133</w:t>
            </w:r>
          </w:p>
        </w:tc>
        <w:tc>
          <w:tcPr>
            <w:tcW w:w="1219" w:type="dxa"/>
            <w:vAlign w:val="center"/>
          </w:tcPr>
          <w:p w:rsidR="00F3413D" w:rsidRPr="00475D63" w:rsidRDefault="00F3413D" w:rsidP="007A24C1">
            <w:pPr>
              <w:jc w:val="center"/>
            </w:pPr>
            <w:r w:rsidRPr="00475D63">
              <w:rPr>
                <w:rFonts w:cs="Microsoft Sans Serif"/>
              </w:rPr>
              <w:t>13.5%</w:t>
            </w:r>
          </w:p>
        </w:tc>
        <w:tc>
          <w:tcPr>
            <w:tcW w:w="1219" w:type="dxa"/>
            <w:vAlign w:val="center"/>
          </w:tcPr>
          <w:p w:rsidR="00F3413D" w:rsidRPr="00475D63" w:rsidRDefault="00F3413D" w:rsidP="007A24C1">
            <w:pPr>
              <w:jc w:val="center"/>
            </w:pPr>
            <w:r w:rsidRPr="00475D63">
              <w:rPr>
                <w:rFonts w:cs="Microsoft Sans Serif"/>
              </w:rPr>
              <w:t>30.8%</w:t>
            </w:r>
          </w:p>
        </w:tc>
        <w:tc>
          <w:tcPr>
            <w:tcW w:w="1219" w:type="dxa"/>
            <w:vAlign w:val="center"/>
          </w:tcPr>
          <w:p w:rsidR="00F3413D" w:rsidRPr="00475D63" w:rsidRDefault="00F3413D" w:rsidP="007A24C1">
            <w:pPr>
              <w:jc w:val="center"/>
            </w:pPr>
            <w:r w:rsidRPr="00475D63">
              <w:rPr>
                <w:rFonts w:cs="Microsoft Sans Serif"/>
              </w:rPr>
              <w:t>36.1%</w:t>
            </w:r>
          </w:p>
        </w:tc>
        <w:tc>
          <w:tcPr>
            <w:tcW w:w="1219" w:type="dxa"/>
            <w:vAlign w:val="center"/>
          </w:tcPr>
          <w:p w:rsidR="00F3413D" w:rsidRPr="00475D63" w:rsidRDefault="00F3413D" w:rsidP="007A24C1">
            <w:pPr>
              <w:jc w:val="center"/>
            </w:pPr>
            <w:r w:rsidRPr="00475D63">
              <w:rPr>
                <w:rFonts w:cs="Microsoft Sans Serif"/>
              </w:rPr>
              <w:t>15.0%</w:t>
            </w:r>
          </w:p>
        </w:tc>
        <w:tc>
          <w:tcPr>
            <w:tcW w:w="1220" w:type="dxa"/>
            <w:vAlign w:val="center"/>
          </w:tcPr>
          <w:p w:rsidR="00F3413D" w:rsidRPr="00475D63" w:rsidRDefault="00F3413D" w:rsidP="007A24C1">
            <w:pPr>
              <w:jc w:val="center"/>
            </w:pPr>
            <w:r w:rsidRPr="00475D63">
              <w:rPr>
                <w:rFonts w:cs="Microsoft Sans Serif"/>
              </w:rPr>
              <w:t>4.5%</w:t>
            </w:r>
          </w:p>
        </w:tc>
      </w:tr>
      <w:tr w:rsidR="00F3413D" w:rsidRPr="00475D63" w:rsidTr="007A24C1">
        <w:tc>
          <w:tcPr>
            <w:tcW w:w="1668" w:type="dxa"/>
            <w:vAlign w:val="center"/>
          </w:tcPr>
          <w:p w:rsidR="00F3413D" w:rsidRPr="00475D63" w:rsidRDefault="00F3413D" w:rsidP="007A24C1">
            <w:pPr>
              <w:jc w:val="center"/>
              <w:rPr>
                <w:b/>
              </w:rPr>
            </w:pPr>
            <w:r w:rsidRPr="00475D63">
              <w:rPr>
                <w:b/>
              </w:rPr>
              <w:t>New Rx for  diagnosis of interest</w:t>
            </w:r>
          </w:p>
        </w:tc>
        <w:tc>
          <w:tcPr>
            <w:tcW w:w="1275" w:type="dxa"/>
            <w:vAlign w:val="center"/>
          </w:tcPr>
          <w:p w:rsidR="00F3413D" w:rsidRPr="00475D63" w:rsidRDefault="00F3413D" w:rsidP="007A24C1">
            <w:pPr>
              <w:jc w:val="center"/>
            </w:pPr>
            <w:r w:rsidRPr="00475D63">
              <w:t>135</w:t>
            </w:r>
          </w:p>
        </w:tc>
        <w:tc>
          <w:tcPr>
            <w:tcW w:w="1219" w:type="dxa"/>
            <w:vAlign w:val="center"/>
          </w:tcPr>
          <w:p w:rsidR="00F3413D" w:rsidRPr="00475D63" w:rsidRDefault="00F3413D" w:rsidP="007A24C1">
            <w:pPr>
              <w:jc w:val="center"/>
            </w:pPr>
            <w:r w:rsidRPr="00475D63">
              <w:rPr>
                <w:rFonts w:cs="Microsoft Sans Serif"/>
              </w:rPr>
              <w:t>13.3%</w:t>
            </w:r>
          </w:p>
        </w:tc>
        <w:tc>
          <w:tcPr>
            <w:tcW w:w="1219" w:type="dxa"/>
            <w:vAlign w:val="center"/>
          </w:tcPr>
          <w:p w:rsidR="00F3413D" w:rsidRPr="00475D63" w:rsidRDefault="00F3413D" w:rsidP="007A24C1">
            <w:pPr>
              <w:jc w:val="center"/>
            </w:pPr>
            <w:r w:rsidRPr="00475D63">
              <w:rPr>
                <w:rFonts w:cs="Microsoft Sans Serif"/>
              </w:rPr>
              <w:t>51.9%</w:t>
            </w:r>
          </w:p>
        </w:tc>
        <w:tc>
          <w:tcPr>
            <w:tcW w:w="1219" w:type="dxa"/>
            <w:vAlign w:val="center"/>
          </w:tcPr>
          <w:p w:rsidR="00F3413D" w:rsidRPr="00475D63" w:rsidRDefault="00F3413D" w:rsidP="007A24C1">
            <w:pPr>
              <w:jc w:val="center"/>
            </w:pPr>
            <w:r w:rsidRPr="00475D63">
              <w:rPr>
                <w:rFonts w:cs="Microsoft Sans Serif"/>
              </w:rPr>
              <w:t>30.4%</w:t>
            </w:r>
          </w:p>
        </w:tc>
        <w:tc>
          <w:tcPr>
            <w:tcW w:w="1219" w:type="dxa"/>
            <w:vAlign w:val="center"/>
          </w:tcPr>
          <w:p w:rsidR="00F3413D" w:rsidRPr="00475D63" w:rsidRDefault="00F3413D" w:rsidP="007A24C1">
            <w:pPr>
              <w:jc w:val="center"/>
            </w:pPr>
            <w:r w:rsidRPr="00475D63">
              <w:rPr>
                <w:rFonts w:cs="Microsoft Sans Serif"/>
              </w:rPr>
              <w:t>3.0%</w:t>
            </w:r>
          </w:p>
        </w:tc>
        <w:tc>
          <w:tcPr>
            <w:tcW w:w="1220" w:type="dxa"/>
            <w:vAlign w:val="center"/>
          </w:tcPr>
          <w:p w:rsidR="00F3413D" w:rsidRPr="00475D63" w:rsidRDefault="00F3413D" w:rsidP="007A24C1">
            <w:pPr>
              <w:jc w:val="center"/>
            </w:pPr>
            <w:r w:rsidRPr="00475D63">
              <w:rPr>
                <w:rFonts w:cs="Microsoft Sans Serif"/>
              </w:rPr>
              <w:t>1.5%</w:t>
            </w:r>
          </w:p>
        </w:tc>
      </w:tr>
    </w:tbl>
    <w:p w:rsidR="00F3413D" w:rsidRDefault="00F3413D" w:rsidP="007A24C1">
      <w:pPr>
        <w:rPr>
          <w:b/>
        </w:rPr>
      </w:pPr>
    </w:p>
    <w:p w:rsidR="00F3413D" w:rsidRDefault="00F3413D" w:rsidP="007A24C1">
      <w:pPr>
        <w:rPr>
          <w:b/>
        </w:rPr>
      </w:pPr>
    </w:p>
    <w:p w:rsidR="00F3413D" w:rsidRDefault="00F3413D">
      <w:pPr>
        <w:rPr>
          <w:b/>
        </w:rPr>
      </w:pPr>
      <w:r>
        <w:rPr>
          <w:b/>
        </w:rPr>
        <w:br w:type="page"/>
      </w:r>
    </w:p>
    <w:p w:rsidR="00F3413D" w:rsidRDefault="00F3413D" w:rsidP="007A24C1">
      <w:pPr>
        <w:spacing w:after="0" w:line="360" w:lineRule="auto"/>
        <w:jc w:val="center"/>
        <w:rPr>
          <w:b/>
        </w:rPr>
      </w:pPr>
      <w:proofErr w:type="gramStart"/>
      <w:r>
        <w:rPr>
          <w:b/>
        </w:rPr>
        <w:lastRenderedPageBreak/>
        <w:t>Figure 4.</w:t>
      </w:r>
      <w:proofErr w:type="gramEnd"/>
      <w:r w:rsidRPr="00E1661A">
        <w:rPr>
          <w:b/>
        </w:rPr>
        <w:t xml:space="preserve"> </w:t>
      </w:r>
      <w:r w:rsidRPr="00D00805">
        <w:rPr>
          <w:b/>
        </w:rPr>
        <w:t xml:space="preserve">Respondent opinions of the likely impact of </w:t>
      </w:r>
      <w:r>
        <w:rPr>
          <w:b/>
        </w:rPr>
        <w:t>Active Prescription Surveillance</w:t>
      </w:r>
      <w:r w:rsidRPr="00D00805">
        <w:rPr>
          <w:b/>
        </w:rPr>
        <w:t xml:space="preserve"> software features on clinical, microbiological and process outcomes</w:t>
      </w:r>
    </w:p>
    <w:p w:rsidR="00F3413D" w:rsidRDefault="00F3413D" w:rsidP="007A24C1">
      <w:pPr>
        <w:rPr>
          <w:b/>
        </w:rPr>
      </w:pPr>
      <w:r>
        <w:rPr>
          <w:noProof/>
        </w:rPr>
        <w:drawing>
          <wp:inline distT="0" distB="0" distL="0" distR="0" wp14:anchorId="73893AA6" wp14:editId="729BE564">
            <wp:extent cx="5650502" cy="3400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154" cy="3404428"/>
                    </a:xfrm>
                    <a:prstGeom prst="rect">
                      <a:avLst/>
                    </a:prstGeom>
                    <a:noFill/>
                  </pic:spPr>
                </pic:pic>
              </a:graphicData>
            </a:graphic>
          </wp:inline>
        </w:drawing>
      </w:r>
    </w:p>
    <w:p w:rsidR="00F3413D" w:rsidRDefault="00F3413D">
      <w:pPr>
        <w:rPr>
          <w:b/>
        </w:rPr>
      </w:pPr>
      <w:r>
        <w:rPr>
          <w:b/>
        </w:rPr>
        <w:br w:type="page"/>
      </w:r>
    </w:p>
    <w:p w:rsidR="00F3413D" w:rsidRDefault="00F3413D" w:rsidP="007A24C1">
      <w:pPr>
        <w:jc w:val="center"/>
        <w:rPr>
          <w:b/>
        </w:rPr>
      </w:pPr>
      <w:proofErr w:type="gramStart"/>
      <w:r>
        <w:rPr>
          <w:b/>
        </w:rPr>
        <w:lastRenderedPageBreak/>
        <w:t>Table 5.</w:t>
      </w:r>
      <w:proofErr w:type="gramEnd"/>
      <w:r>
        <w:rPr>
          <w:b/>
        </w:rPr>
        <w:t xml:space="preserve">  Prescribing Trend</w:t>
      </w:r>
      <w:r w:rsidRPr="00A17564">
        <w:rPr>
          <w:b/>
        </w:rPr>
        <w:t xml:space="preserve"> Surveillance software features ranked in order of</w:t>
      </w:r>
      <w:r>
        <w:rPr>
          <w:b/>
        </w:rPr>
        <w:t xml:space="preserve"> respondent-assigned</w:t>
      </w:r>
      <w:r w:rsidRPr="00A17564">
        <w:rPr>
          <w:b/>
        </w:rPr>
        <w:t xml:space="preserve"> priority</w:t>
      </w:r>
    </w:p>
    <w:tbl>
      <w:tblPr>
        <w:tblStyle w:val="TableGrid"/>
        <w:tblW w:w="0" w:type="auto"/>
        <w:tblLook w:val="04A0" w:firstRow="1" w:lastRow="0" w:firstColumn="1" w:lastColumn="0" w:noHBand="0" w:noVBand="1"/>
      </w:tblPr>
      <w:tblGrid>
        <w:gridCol w:w="1417"/>
        <w:gridCol w:w="1359"/>
        <w:gridCol w:w="1280"/>
        <w:gridCol w:w="1281"/>
        <w:gridCol w:w="1281"/>
        <w:gridCol w:w="1281"/>
        <w:gridCol w:w="1281"/>
      </w:tblGrid>
      <w:tr w:rsidR="00F3413D" w:rsidRPr="00A17564" w:rsidTr="007A24C1">
        <w:tc>
          <w:tcPr>
            <w:tcW w:w="1417" w:type="dxa"/>
            <w:vAlign w:val="center"/>
          </w:tcPr>
          <w:p w:rsidR="00F3413D" w:rsidRPr="00A17564" w:rsidRDefault="00F3413D" w:rsidP="007A24C1">
            <w:pPr>
              <w:jc w:val="center"/>
              <w:rPr>
                <w:b/>
                <w:bCs/>
              </w:rPr>
            </w:pPr>
            <w:r w:rsidRPr="00A17564">
              <w:rPr>
                <w:b/>
                <w:bCs/>
              </w:rPr>
              <w:t>Software feature</w:t>
            </w:r>
          </w:p>
        </w:tc>
        <w:tc>
          <w:tcPr>
            <w:tcW w:w="1359" w:type="dxa"/>
            <w:vAlign w:val="center"/>
          </w:tcPr>
          <w:p w:rsidR="00F3413D" w:rsidRPr="00A17564" w:rsidRDefault="00F3413D" w:rsidP="007A24C1">
            <w:pPr>
              <w:jc w:val="center"/>
              <w:rPr>
                <w:b/>
                <w:bCs/>
              </w:rPr>
            </w:pPr>
            <w:r w:rsidRPr="00A17564">
              <w:rPr>
                <w:b/>
                <w:bCs/>
              </w:rPr>
              <w:t>Number of responses</w:t>
            </w:r>
          </w:p>
        </w:tc>
        <w:tc>
          <w:tcPr>
            <w:tcW w:w="1280" w:type="dxa"/>
            <w:vAlign w:val="center"/>
          </w:tcPr>
          <w:p w:rsidR="00F3413D" w:rsidRPr="00A17564" w:rsidRDefault="00F3413D" w:rsidP="007A24C1">
            <w:pPr>
              <w:jc w:val="center"/>
              <w:rPr>
                <w:b/>
                <w:bCs/>
              </w:rPr>
            </w:pPr>
            <w:r w:rsidRPr="00A17564">
              <w:rPr>
                <w:b/>
                <w:bCs/>
              </w:rPr>
              <w:t>Essential</w:t>
            </w:r>
          </w:p>
        </w:tc>
        <w:tc>
          <w:tcPr>
            <w:tcW w:w="1281" w:type="dxa"/>
            <w:vAlign w:val="center"/>
          </w:tcPr>
          <w:p w:rsidR="00F3413D" w:rsidRPr="00A17564" w:rsidRDefault="00F3413D" w:rsidP="007A24C1">
            <w:pPr>
              <w:jc w:val="center"/>
              <w:rPr>
                <w:b/>
                <w:bCs/>
              </w:rPr>
            </w:pPr>
            <w:r w:rsidRPr="00A17564">
              <w:rPr>
                <w:b/>
                <w:bCs/>
              </w:rPr>
              <w:t>High priority</w:t>
            </w:r>
          </w:p>
        </w:tc>
        <w:tc>
          <w:tcPr>
            <w:tcW w:w="1281" w:type="dxa"/>
            <w:vAlign w:val="center"/>
          </w:tcPr>
          <w:p w:rsidR="00F3413D" w:rsidRPr="00A17564" w:rsidRDefault="00F3413D" w:rsidP="007A24C1">
            <w:pPr>
              <w:jc w:val="center"/>
              <w:rPr>
                <w:b/>
                <w:bCs/>
              </w:rPr>
            </w:pPr>
            <w:r w:rsidRPr="00A17564">
              <w:rPr>
                <w:b/>
                <w:bCs/>
              </w:rPr>
              <w:t>Medium priority</w:t>
            </w:r>
          </w:p>
        </w:tc>
        <w:tc>
          <w:tcPr>
            <w:tcW w:w="1281" w:type="dxa"/>
            <w:vAlign w:val="center"/>
          </w:tcPr>
          <w:p w:rsidR="00F3413D" w:rsidRPr="00A17564" w:rsidRDefault="00F3413D" w:rsidP="007A24C1">
            <w:pPr>
              <w:jc w:val="center"/>
              <w:rPr>
                <w:b/>
                <w:bCs/>
              </w:rPr>
            </w:pPr>
            <w:r w:rsidRPr="00A17564">
              <w:rPr>
                <w:b/>
                <w:bCs/>
              </w:rPr>
              <w:t>Low priority</w:t>
            </w:r>
          </w:p>
        </w:tc>
        <w:tc>
          <w:tcPr>
            <w:tcW w:w="1281" w:type="dxa"/>
            <w:vAlign w:val="center"/>
          </w:tcPr>
          <w:p w:rsidR="00F3413D" w:rsidRPr="00A17564" w:rsidRDefault="00F3413D" w:rsidP="007A24C1">
            <w:pPr>
              <w:jc w:val="center"/>
              <w:rPr>
                <w:b/>
                <w:bCs/>
              </w:rPr>
            </w:pPr>
            <w:r w:rsidRPr="00A17564">
              <w:rPr>
                <w:b/>
                <w:bCs/>
              </w:rPr>
              <w:t>Not a priority</w:t>
            </w:r>
          </w:p>
        </w:tc>
      </w:tr>
      <w:tr w:rsidR="00F3413D" w:rsidRPr="00A17564" w:rsidTr="007A24C1">
        <w:tc>
          <w:tcPr>
            <w:tcW w:w="1417" w:type="dxa"/>
            <w:vAlign w:val="center"/>
          </w:tcPr>
          <w:p w:rsidR="00F3413D" w:rsidRPr="00A17564" w:rsidRDefault="00F3413D" w:rsidP="007A24C1">
            <w:pPr>
              <w:jc w:val="center"/>
              <w:rPr>
                <w:b/>
              </w:rPr>
            </w:pPr>
            <w:r w:rsidRPr="00A17564">
              <w:rPr>
                <w:b/>
              </w:rPr>
              <w:t>Trends in point prevalence</w:t>
            </w:r>
          </w:p>
        </w:tc>
        <w:tc>
          <w:tcPr>
            <w:tcW w:w="1359" w:type="dxa"/>
            <w:vAlign w:val="center"/>
          </w:tcPr>
          <w:p w:rsidR="00F3413D" w:rsidRPr="00A17564" w:rsidRDefault="00F3413D" w:rsidP="007A24C1">
            <w:pPr>
              <w:jc w:val="center"/>
            </w:pPr>
            <w:r w:rsidRPr="00A17564">
              <w:t>130</w:t>
            </w:r>
          </w:p>
        </w:tc>
        <w:tc>
          <w:tcPr>
            <w:tcW w:w="1280" w:type="dxa"/>
            <w:vAlign w:val="center"/>
          </w:tcPr>
          <w:p w:rsidR="00F3413D" w:rsidRPr="00A17564" w:rsidRDefault="00F3413D" w:rsidP="007A24C1">
            <w:pPr>
              <w:jc w:val="center"/>
            </w:pPr>
            <w:r w:rsidRPr="00A17564">
              <w:rPr>
                <w:rFonts w:cs="Microsoft Sans Serif"/>
              </w:rPr>
              <w:t>29.2%</w:t>
            </w:r>
          </w:p>
        </w:tc>
        <w:tc>
          <w:tcPr>
            <w:tcW w:w="1281" w:type="dxa"/>
            <w:vAlign w:val="center"/>
          </w:tcPr>
          <w:p w:rsidR="00F3413D" w:rsidRPr="00A17564" w:rsidRDefault="00F3413D" w:rsidP="007A24C1">
            <w:pPr>
              <w:jc w:val="center"/>
            </w:pPr>
            <w:r w:rsidRPr="00A17564">
              <w:rPr>
                <w:rFonts w:cs="Microsoft Sans Serif"/>
              </w:rPr>
              <w:t>44.6%</w:t>
            </w:r>
          </w:p>
        </w:tc>
        <w:tc>
          <w:tcPr>
            <w:tcW w:w="1281" w:type="dxa"/>
            <w:vAlign w:val="center"/>
          </w:tcPr>
          <w:p w:rsidR="00F3413D" w:rsidRPr="00A17564" w:rsidRDefault="00F3413D" w:rsidP="007A24C1">
            <w:pPr>
              <w:jc w:val="center"/>
            </w:pPr>
            <w:r w:rsidRPr="00A17564">
              <w:rPr>
                <w:rFonts w:cs="Microsoft Sans Serif"/>
              </w:rPr>
              <w:t>23.1%</w:t>
            </w:r>
          </w:p>
        </w:tc>
        <w:tc>
          <w:tcPr>
            <w:tcW w:w="1281" w:type="dxa"/>
            <w:vAlign w:val="center"/>
          </w:tcPr>
          <w:p w:rsidR="00F3413D" w:rsidRPr="00A17564" w:rsidRDefault="00F3413D" w:rsidP="007A24C1">
            <w:pPr>
              <w:jc w:val="center"/>
            </w:pPr>
            <w:r w:rsidRPr="00A17564">
              <w:rPr>
                <w:rFonts w:cs="Microsoft Sans Serif"/>
              </w:rPr>
              <w:t>2.3%</w:t>
            </w:r>
          </w:p>
        </w:tc>
        <w:tc>
          <w:tcPr>
            <w:tcW w:w="1281" w:type="dxa"/>
            <w:vAlign w:val="center"/>
          </w:tcPr>
          <w:p w:rsidR="00F3413D" w:rsidRPr="00A17564" w:rsidRDefault="00F3413D" w:rsidP="007A24C1">
            <w:pPr>
              <w:jc w:val="center"/>
            </w:pPr>
            <w:r w:rsidRPr="00A17564">
              <w:rPr>
                <w:rFonts w:cs="Microsoft Sans Serif"/>
              </w:rPr>
              <w:t>0.8%</w:t>
            </w:r>
          </w:p>
        </w:tc>
      </w:tr>
      <w:tr w:rsidR="00F3413D" w:rsidRPr="00A17564" w:rsidTr="007A24C1">
        <w:tc>
          <w:tcPr>
            <w:tcW w:w="1417" w:type="dxa"/>
            <w:vAlign w:val="center"/>
          </w:tcPr>
          <w:p w:rsidR="00F3413D" w:rsidRPr="00A17564" w:rsidRDefault="00F3413D" w:rsidP="007A24C1">
            <w:pPr>
              <w:jc w:val="center"/>
              <w:rPr>
                <w:b/>
              </w:rPr>
            </w:pPr>
            <w:r w:rsidRPr="00A17564">
              <w:rPr>
                <w:b/>
              </w:rPr>
              <w:t>Trends in missed doses</w:t>
            </w:r>
          </w:p>
        </w:tc>
        <w:tc>
          <w:tcPr>
            <w:tcW w:w="1359" w:type="dxa"/>
            <w:vAlign w:val="center"/>
          </w:tcPr>
          <w:p w:rsidR="00F3413D" w:rsidRPr="00A17564" w:rsidRDefault="00F3413D" w:rsidP="007A24C1">
            <w:pPr>
              <w:jc w:val="center"/>
            </w:pPr>
            <w:r w:rsidRPr="00A17564">
              <w:t>130</w:t>
            </w:r>
          </w:p>
        </w:tc>
        <w:tc>
          <w:tcPr>
            <w:tcW w:w="1280" w:type="dxa"/>
            <w:vAlign w:val="center"/>
          </w:tcPr>
          <w:p w:rsidR="00F3413D" w:rsidRPr="00A17564" w:rsidRDefault="00F3413D" w:rsidP="007A24C1">
            <w:pPr>
              <w:jc w:val="center"/>
            </w:pPr>
            <w:r w:rsidRPr="00A17564">
              <w:rPr>
                <w:rFonts w:cs="Microsoft Sans Serif"/>
              </w:rPr>
              <w:t>26.9%</w:t>
            </w:r>
          </w:p>
        </w:tc>
        <w:tc>
          <w:tcPr>
            <w:tcW w:w="1281" w:type="dxa"/>
            <w:vAlign w:val="center"/>
          </w:tcPr>
          <w:p w:rsidR="00F3413D" w:rsidRPr="00A17564" w:rsidRDefault="00F3413D" w:rsidP="007A24C1">
            <w:pPr>
              <w:jc w:val="center"/>
            </w:pPr>
            <w:r w:rsidRPr="00A17564">
              <w:rPr>
                <w:rFonts w:cs="Microsoft Sans Serif"/>
              </w:rPr>
              <w:t>45.4%</w:t>
            </w:r>
          </w:p>
        </w:tc>
        <w:tc>
          <w:tcPr>
            <w:tcW w:w="1281" w:type="dxa"/>
            <w:vAlign w:val="center"/>
          </w:tcPr>
          <w:p w:rsidR="00F3413D" w:rsidRPr="00A17564" w:rsidRDefault="00F3413D" w:rsidP="007A24C1">
            <w:pPr>
              <w:jc w:val="center"/>
            </w:pPr>
            <w:r w:rsidRPr="00A17564">
              <w:rPr>
                <w:rFonts w:cs="Microsoft Sans Serif"/>
              </w:rPr>
              <w:t>24.6%</w:t>
            </w:r>
          </w:p>
        </w:tc>
        <w:tc>
          <w:tcPr>
            <w:tcW w:w="1281" w:type="dxa"/>
            <w:vAlign w:val="center"/>
          </w:tcPr>
          <w:p w:rsidR="00F3413D" w:rsidRPr="00A17564" w:rsidRDefault="00F3413D" w:rsidP="007A24C1">
            <w:pPr>
              <w:jc w:val="center"/>
            </w:pPr>
            <w:r w:rsidRPr="00A17564">
              <w:rPr>
                <w:rFonts w:cs="Microsoft Sans Serif"/>
              </w:rPr>
              <w:t>2.3%</w:t>
            </w:r>
          </w:p>
        </w:tc>
        <w:tc>
          <w:tcPr>
            <w:tcW w:w="1281" w:type="dxa"/>
            <w:vAlign w:val="center"/>
          </w:tcPr>
          <w:p w:rsidR="00F3413D" w:rsidRPr="00A17564" w:rsidRDefault="00F3413D" w:rsidP="007A24C1">
            <w:pPr>
              <w:jc w:val="center"/>
            </w:pPr>
            <w:r w:rsidRPr="00A17564">
              <w:rPr>
                <w:rFonts w:cs="Microsoft Sans Serif"/>
              </w:rPr>
              <w:t>0.8%</w:t>
            </w:r>
          </w:p>
        </w:tc>
      </w:tr>
      <w:tr w:rsidR="00F3413D" w:rsidRPr="00A17564" w:rsidTr="007A24C1">
        <w:tc>
          <w:tcPr>
            <w:tcW w:w="1417" w:type="dxa"/>
            <w:vAlign w:val="center"/>
          </w:tcPr>
          <w:p w:rsidR="00F3413D" w:rsidRPr="00A17564" w:rsidRDefault="00F3413D" w:rsidP="007A24C1">
            <w:pPr>
              <w:jc w:val="center"/>
              <w:rPr>
                <w:b/>
              </w:rPr>
            </w:pPr>
            <w:r w:rsidRPr="00A17564">
              <w:rPr>
                <w:b/>
              </w:rPr>
              <w:t>Trends in delayed stat doses</w:t>
            </w:r>
          </w:p>
        </w:tc>
        <w:tc>
          <w:tcPr>
            <w:tcW w:w="1359" w:type="dxa"/>
            <w:vAlign w:val="center"/>
          </w:tcPr>
          <w:p w:rsidR="00F3413D" w:rsidRPr="00A17564" w:rsidRDefault="00F3413D" w:rsidP="007A24C1">
            <w:pPr>
              <w:jc w:val="center"/>
            </w:pPr>
            <w:r w:rsidRPr="00A17564">
              <w:t>130</w:t>
            </w:r>
          </w:p>
        </w:tc>
        <w:tc>
          <w:tcPr>
            <w:tcW w:w="1280" w:type="dxa"/>
            <w:vAlign w:val="center"/>
          </w:tcPr>
          <w:p w:rsidR="00F3413D" w:rsidRPr="00A17564" w:rsidRDefault="00F3413D" w:rsidP="007A24C1">
            <w:pPr>
              <w:jc w:val="center"/>
            </w:pPr>
            <w:r w:rsidRPr="00A17564">
              <w:rPr>
                <w:rFonts w:cs="Microsoft Sans Serif"/>
              </w:rPr>
              <w:t>23.1%</w:t>
            </w:r>
          </w:p>
        </w:tc>
        <w:tc>
          <w:tcPr>
            <w:tcW w:w="1281" w:type="dxa"/>
            <w:vAlign w:val="center"/>
          </w:tcPr>
          <w:p w:rsidR="00F3413D" w:rsidRPr="00A17564" w:rsidRDefault="00F3413D" w:rsidP="007A24C1">
            <w:pPr>
              <w:jc w:val="center"/>
            </w:pPr>
            <w:r w:rsidRPr="00A17564">
              <w:rPr>
                <w:rFonts w:cs="Microsoft Sans Serif"/>
              </w:rPr>
              <w:t>53.8%</w:t>
            </w:r>
          </w:p>
        </w:tc>
        <w:tc>
          <w:tcPr>
            <w:tcW w:w="1281" w:type="dxa"/>
            <w:vAlign w:val="center"/>
          </w:tcPr>
          <w:p w:rsidR="00F3413D" w:rsidRPr="00A17564" w:rsidRDefault="00F3413D" w:rsidP="007A24C1">
            <w:pPr>
              <w:jc w:val="center"/>
            </w:pPr>
            <w:r w:rsidRPr="00A17564">
              <w:rPr>
                <w:rFonts w:cs="Microsoft Sans Serif"/>
              </w:rPr>
              <w:t>19.2%</w:t>
            </w:r>
          </w:p>
        </w:tc>
        <w:tc>
          <w:tcPr>
            <w:tcW w:w="1281" w:type="dxa"/>
            <w:vAlign w:val="center"/>
          </w:tcPr>
          <w:p w:rsidR="00F3413D" w:rsidRPr="00A17564" w:rsidRDefault="00F3413D" w:rsidP="007A24C1">
            <w:pPr>
              <w:jc w:val="center"/>
            </w:pPr>
            <w:r w:rsidRPr="00A17564">
              <w:rPr>
                <w:rFonts w:cs="Microsoft Sans Serif"/>
              </w:rPr>
              <w:t>3.8%</w:t>
            </w:r>
          </w:p>
        </w:tc>
        <w:tc>
          <w:tcPr>
            <w:tcW w:w="1281" w:type="dxa"/>
            <w:vAlign w:val="center"/>
          </w:tcPr>
          <w:p w:rsidR="00F3413D" w:rsidRPr="00A17564" w:rsidRDefault="00F3413D" w:rsidP="007A24C1">
            <w:pPr>
              <w:jc w:val="center"/>
            </w:pPr>
            <w:r w:rsidRPr="00A17564">
              <w:rPr>
                <w:rFonts w:cs="Microsoft Sans Serif"/>
              </w:rPr>
              <w:t>0.0%</w:t>
            </w:r>
          </w:p>
        </w:tc>
      </w:tr>
      <w:tr w:rsidR="00F3413D" w:rsidRPr="00A17564" w:rsidTr="007A24C1">
        <w:tc>
          <w:tcPr>
            <w:tcW w:w="1417" w:type="dxa"/>
            <w:vAlign w:val="center"/>
          </w:tcPr>
          <w:p w:rsidR="00F3413D" w:rsidRPr="00A17564" w:rsidRDefault="00F3413D" w:rsidP="007A24C1">
            <w:pPr>
              <w:jc w:val="center"/>
              <w:rPr>
                <w:b/>
              </w:rPr>
            </w:pPr>
            <w:r w:rsidRPr="00A17564">
              <w:rPr>
                <w:b/>
              </w:rPr>
              <w:t>Trends in total days of therapy (DOTs)</w:t>
            </w:r>
          </w:p>
        </w:tc>
        <w:tc>
          <w:tcPr>
            <w:tcW w:w="1359" w:type="dxa"/>
            <w:vAlign w:val="center"/>
          </w:tcPr>
          <w:p w:rsidR="00F3413D" w:rsidRPr="00A17564" w:rsidRDefault="00F3413D" w:rsidP="007A24C1">
            <w:pPr>
              <w:jc w:val="center"/>
            </w:pPr>
            <w:r w:rsidRPr="00A17564">
              <w:t>130</w:t>
            </w:r>
          </w:p>
        </w:tc>
        <w:tc>
          <w:tcPr>
            <w:tcW w:w="1280" w:type="dxa"/>
            <w:vAlign w:val="center"/>
          </w:tcPr>
          <w:p w:rsidR="00F3413D" w:rsidRPr="00A17564" w:rsidRDefault="00F3413D" w:rsidP="007A24C1">
            <w:pPr>
              <w:jc w:val="center"/>
            </w:pPr>
            <w:r w:rsidRPr="00A17564">
              <w:rPr>
                <w:rFonts w:cs="Microsoft Sans Serif"/>
              </w:rPr>
              <w:t>13.1%</w:t>
            </w:r>
          </w:p>
        </w:tc>
        <w:tc>
          <w:tcPr>
            <w:tcW w:w="1281" w:type="dxa"/>
            <w:vAlign w:val="center"/>
          </w:tcPr>
          <w:p w:rsidR="00F3413D" w:rsidRPr="00A17564" w:rsidRDefault="00F3413D" w:rsidP="007A24C1">
            <w:pPr>
              <w:jc w:val="center"/>
            </w:pPr>
            <w:r w:rsidRPr="00A17564">
              <w:rPr>
                <w:rFonts w:cs="Microsoft Sans Serif"/>
              </w:rPr>
              <w:t>39.2%</w:t>
            </w:r>
          </w:p>
        </w:tc>
        <w:tc>
          <w:tcPr>
            <w:tcW w:w="1281" w:type="dxa"/>
            <w:vAlign w:val="center"/>
          </w:tcPr>
          <w:p w:rsidR="00F3413D" w:rsidRPr="00A17564" w:rsidRDefault="00F3413D" w:rsidP="007A24C1">
            <w:pPr>
              <w:jc w:val="center"/>
            </w:pPr>
            <w:r w:rsidRPr="00A17564">
              <w:rPr>
                <w:rFonts w:cs="Microsoft Sans Serif"/>
              </w:rPr>
              <w:t>37.7%</w:t>
            </w:r>
          </w:p>
        </w:tc>
        <w:tc>
          <w:tcPr>
            <w:tcW w:w="1281" w:type="dxa"/>
            <w:vAlign w:val="center"/>
          </w:tcPr>
          <w:p w:rsidR="00F3413D" w:rsidRPr="00A17564" w:rsidRDefault="00F3413D" w:rsidP="007A24C1">
            <w:pPr>
              <w:jc w:val="center"/>
            </w:pPr>
            <w:r w:rsidRPr="00A17564">
              <w:rPr>
                <w:rFonts w:cs="Microsoft Sans Serif"/>
              </w:rPr>
              <w:t>7.7%</w:t>
            </w:r>
          </w:p>
        </w:tc>
        <w:tc>
          <w:tcPr>
            <w:tcW w:w="1281" w:type="dxa"/>
            <w:vAlign w:val="center"/>
          </w:tcPr>
          <w:p w:rsidR="00F3413D" w:rsidRPr="00A17564" w:rsidRDefault="00F3413D" w:rsidP="007A24C1">
            <w:pPr>
              <w:jc w:val="center"/>
            </w:pPr>
            <w:r w:rsidRPr="00A17564">
              <w:rPr>
                <w:rFonts w:cs="Microsoft Sans Serif"/>
              </w:rPr>
              <w:t>2.3%</w:t>
            </w:r>
          </w:p>
        </w:tc>
      </w:tr>
      <w:tr w:rsidR="00F3413D" w:rsidRPr="00A17564" w:rsidTr="007A24C1">
        <w:tc>
          <w:tcPr>
            <w:tcW w:w="1417" w:type="dxa"/>
            <w:vAlign w:val="center"/>
          </w:tcPr>
          <w:p w:rsidR="00F3413D" w:rsidRPr="00A17564" w:rsidRDefault="00F3413D" w:rsidP="007A24C1">
            <w:pPr>
              <w:jc w:val="center"/>
              <w:rPr>
                <w:b/>
              </w:rPr>
            </w:pPr>
            <w:r w:rsidRPr="00A17564">
              <w:rPr>
                <w:b/>
              </w:rPr>
              <w:t>Trends in average length of therapy (LOT)</w:t>
            </w:r>
          </w:p>
        </w:tc>
        <w:tc>
          <w:tcPr>
            <w:tcW w:w="1359" w:type="dxa"/>
            <w:vAlign w:val="center"/>
          </w:tcPr>
          <w:p w:rsidR="00F3413D" w:rsidRPr="00A17564" w:rsidRDefault="00F3413D" w:rsidP="007A24C1">
            <w:pPr>
              <w:jc w:val="center"/>
            </w:pPr>
            <w:r w:rsidRPr="00A17564">
              <w:t>131</w:t>
            </w:r>
          </w:p>
        </w:tc>
        <w:tc>
          <w:tcPr>
            <w:tcW w:w="1280" w:type="dxa"/>
            <w:vAlign w:val="center"/>
          </w:tcPr>
          <w:p w:rsidR="00F3413D" w:rsidRPr="00A17564" w:rsidRDefault="00F3413D" w:rsidP="007A24C1">
            <w:pPr>
              <w:jc w:val="center"/>
            </w:pPr>
            <w:r w:rsidRPr="00A17564">
              <w:rPr>
                <w:rFonts w:cs="Microsoft Sans Serif"/>
              </w:rPr>
              <w:t>13.0%</w:t>
            </w:r>
          </w:p>
        </w:tc>
        <w:tc>
          <w:tcPr>
            <w:tcW w:w="1281" w:type="dxa"/>
            <w:vAlign w:val="center"/>
          </w:tcPr>
          <w:p w:rsidR="00F3413D" w:rsidRPr="00A17564" w:rsidRDefault="00F3413D" w:rsidP="007A24C1">
            <w:pPr>
              <w:jc w:val="center"/>
            </w:pPr>
            <w:r w:rsidRPr="00A17564">
              <w:rPr>
                <w:rFonts w:cs="Microsoft Sans Serif"/>
              </w:rPr>
              <w:t>53.4%</w:t>
            </w:r>
          </w:p>
        </w:tc>
        <w:tc>
          <w:tcPr>
            <w:tcW w:w="1281" w:type="dxa"/>
            <w:vAlign w:val="center"/>
          </w:tcPr>
          <w:p w:rsidR="00F3413D" w:rsidRPr="00A17564" w:rsidRDefault="00F3413D" w:rsidP="007A24C1">
            <w:pPr>
              <w:jc w:val="center"/>
            </w:pPr>
            <w:r w:rsidRPr="00A17564">
              <w:rPr>
                <w:rFonts w:cs="Microsoft Sans Serif"/>
              </w:rPr>
              <w:t>29.0%</w:t>
            </w:r>
          </w:p>
        </w:tc>
        <w:tc>
          <w:tcPr>
            <w:tcW w:w="1281" w:type="dxa"/>
            <w:vAlign w:val="center"/>
          </w:tcPr>
          <w:p w:rsidR="00F3413D" w:rsidRPr="00A17564" w:rsidRDefault="00F3413D" w:rsidP="007A24C1">
            <w:pPr>
              <w:jc w:val="center"/>
            </w:pPr>
            <w:r w:rsidRPr="00A17564">
              <w:rPr>
                <w:rFonts w:cs="Microsoft Sans Serif"/>
              </w:rPr>
              <w:t>3.8%</w:t>
            </w:r>
          </w:p>
        </w:tc>
        <w:tc>
          <w:tcPr>
            <w:tcW w:w="1281" w:type="dxa"/>
            <w:vAlign w:val="center"/>
          </w:tcPr>
          <w:p w:rsidR="00F3413D" w:rsidRPr="00A17564" w:rsidRDefault="00F3413D" w:rsidP="007A24C1">
            <w:pPr>
              <w:jc w:val="center"/>
            </w:pPr>
            <w:r w:rsidRPr="00A17564">
              <w:rPr>
                <w:rFonts w:cs="Microsoft Sans Serif"/>
              </w:rPr>
              <w:t>0.8%</w:t>
            </w:r>
          </w:p>
        </w:tc>
      </w:tr>
    </w:tbl>
    <w:p w:rsidR="00F3413D" w:rsidRDefault="00F3413D" w:rsidP="007A24C1">
      <w:pPr>
        <w:rPr>
          <w:b/>
        </w:rPr>
      </w:pPr>
    </w:p>
    <w:p w:rsidR="00F3413D" w:rsidRDefault="00F3413D" w:rsidP="007A24C1">
      <w:pPr>
        <w:rPr>
          <w:b/>
        </w:rPr>
      </w:pPr>
    </w:p>
    <w:p w:rsidR="00F3413D" w:rsidRDefault="00F3413D">
      <w:pPr>
        <w:rPr>
          <w:b/>
        </w:rPr>
      </w:pPr>
      <w:r>
        <w:rPr>
          <w:b/>
        </w:rPr>
        <w:br w:type="page"/>
      </w:r>
    </w:p>
    <w:p w:rsidR="00F3413D" w:rsidRPr="00C77CB6" w:rsidRDefault="00F3413D" w:rsidP="007A24C1">
      <w:pPr>
        <w:spacing w:after="0" w:line="360" w:lineRule="auto"/>
        <w:jc w:val="center"/>
        <w:rPr>
          <w:noProof/>
          <w:lang w:eastAsia="en-GB"/>
        </w:rPr>
      </w:pPr>
      <w:r w:rsidRPr="0035302A">
        <w:rPr>
          <w:b/>
        </w:rPr>
        <w:lastRenderedPageBreak/>
        <w:t xml:space="preserve">Figure 5: </w:t>
      </w:r>
      <w:r>
        <w:rPr>
          <w:b/>
        </w:rPr>
        <w:t xml:space="preserve"> </w:t>
      </w:r>
      <w:r w:rsidRPr="0044399C">
        <w:rPr>
          <w:b/>
        </w:rPr>
        <w:t>Respondent opinions</w:t>
      </w:r>
      <w:r>
        <w:rPr>
          <w:b/>
        </w:rPr>
        <w:t xml:space="preserve"> of the likely impact of Prescribing Trend </w:t>
      </w:r>
      <w:r w:rsidRPr="0044399C">
        <w:rPr>
          <w:b/>
        </w:rPr>
        <w:t>Surveillance software features on clinical, microbiological and process outcomes</w:t>
      </w:r>
    </w:p>
    <w:p w:rsidR="00F3413D" w:rsidRDefault="00F3413D" w:rsidP="007A24C1">
      <w:pPr>
        <w:rPr>
          <w:b/>
        </w:rPr>
      </w:pPr>
      <w:r>
        <w:rPr>
          <w:noProof/>
        </w:rPr>
        <w:drawing>
          <wp:inline distT="0" distB="0" distL="0" distR="0" wp14:anchorId="61BC2D87" wp14:editId="0B2B8C28">
            <wp:extent cx="5696279" cy="3362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4030" cy="3366900"/>
                    </a:xfrm>
                    <a:prstGeom prst="rect">
                      <a:avLst/>
                    </a:prstGeom>
                    <a:noFill/>
                  </pic:spPr>
                </pic:pic>
              </a:graphicData>
            </a:graphic>
          </wp:inline>
        </w:drawing>
      </w:r>
    </w:p>
    <w:p w:rsidR="00F3413D" w:rsidRDefault="00F3413D">
      <w:pPr>
        <w:rPr>
          <w:b/>
        </w:rPr>
      </w:pPr>
      <w:r>
        <w:rPr>
          <w:b/>
        </w:rPr>
        <w:br w:type="page"/>
      </w:r>
    </w:p>
    <w:p w:rsidR="00F3413D" w:rsidRDefault="00F3413D" w:rsidP="007A24C1">
      <w:pPr>
        <w:spacing w:after="0" w:line="360" w:lineRule="auto"/>
        <w:jc w:val="center"/>
        <w:rPr>
          <w:b/>
        </w:rPr>
      </w:pPr>
      <w:r w:rsidRPr="00FD5ADF">
        <w:rPr>
          <w:b/>
        </w:rPr>
        <w:lastRenderedPageBreak/>
        <w:t>Table</w:t>
      </w:r>
      <w:r>
        <w:rPr>
          <w:b/>
        </w:rPr>
        <w:t xml:space="preserve"> 6: </w:t>
      </w:r>
      <w:r w:rsidRPr="00FD5ADF">
        <w:rPr>
          <w:b/>
        </w:rPr>
        <w:t xml:space="preserve">Respondent opinions </w:t>
      </w:r>
      <w:r>
        <w:rPr>
          <w:b/>
        </w:rPr>
        <w:t xml:space="preserve">of technical aspects of prescribing trend </w:t>
      </w:r>
      <w:r w:rsidRPr="00FD5ADF">
        <w:rPr>
          <w:b/>
        </w:rPr>
        <w:t>surveillance reporting software features</w:t>
      </w:r>
      <w:r>
        <w:rPr>
          <w:b/>
        </w:rPr>
        <w:t xml:space="preserve"> ranked in order of respondent-assigned priority</w:t>
      </w:r>
    </w:p>
    <w:tbl>
      <w:tblPr>
        <w:tblStyle w:val="TableGrid"/>
        <w:tblW w:w="0" w:type="auto"/>
        <w:tblLayout w:type="fixed"/>
        <w:tblLook w:val="04A0" w:firstRow="1" w:lastRow="0" w:firstColumn="1" w:lastColumn="0" w:noHBand="0" w:noVBand="1"/>
      </w:tblPr>
      <w:tblGrid>
        <w:gridCol w:w="1668"/>
        <w:gridCol w:w="1134"/>
        <w:gridCol w:w="1275"/>
        <w:gridCol w:w="1276"/>
        <w:gridCol w:w="1275"/>
        <w:gridCol w:w="1276"/>
        <w:gridCol w:w="1276"/>
      </w:tblGrid>
      <w:tr w:rsidR="00F3413D" w:rsidRPr="00FD5ADF" w:rsidTr="007A24C1">
        <w:tc>
          <w:tcPr>
            <w:tcW w:w="1668" w:type="dxa"/>
            <w:vMerge w:val="restart"/>
          </w:tcPr>
          <w:p w:rsidR="00F3413D" w:rsidRPr="00FD5ADF" w:rsidRDefault="00F3413D" w:rsidP="007A24C1">
            <w:pPr>
              <w:rPr>
                <w:bCs/>
              </w:rPr>
            </w:pPr>
          </w:p>
        </w:tc>
        <w:tc>
          <w:tcPr>
            <w:tcW w:w="1134" w:type="dxa"/>
            <w:vMerge w:val="restart"/>
          </w:tcPr>
          <w:p w:rsidR="00F3413D" w:rsidRPr="00FD5ADF" w:rsidRDefault="00F3413D" w:rsidP="007A24C1">
            <w:pPr>
              <w:rPr>
                <w:b/>
                <w:bCs/>
              </w:rPr>
            </w:pPr>
            <w:r w:rsidRPr="00FD5ADF">
              <w:rPr>
                <w:rFonts w:eastAsia="Times New Roman" w:cs="Microsoft Sans Serif"/>
                <w:b/>
                <w:bCs/>
              </w:rPr>
              <w:t>Response Count</w:t>
            </w:r>
          </w:p>
        </w:tc>
        <w:tc>
          <w:tcPr>
            <w:tcW w:w="6378" w:type="dxa"/>
            <w:gridSpan w:val="5"/>
          </w:tcPr>
          <w:p w:rsidR="00F3413D" w:rsidRPr="00FD5ADF" w:rsidRDefault="00F3413D" w:rsidP="007A24C1">
            <w:pPr>
              <w:jc w:val="center"/>
              <w:rPr>
                <w:b/>
                <w:bCs/>
              </w:rPr>
            </w:pPr>
            <w:r w:rsidRPr="00FD5ADF">
              <w:rPr>
                <w:b/>
                <w:bCs/>
              </w:rPr>
              <w:t>Importance attributed by respondents</w:t>
            </w:r>
          </w:p>
        </w:tc>
      </w:tr>
      <w:tr w:rsidR="00F3413D" w:rsidRPr="00FD5ADF" w:rsidTr="007A24C1">
        <w:trPr>
          <w:trHeight w:val="255"/>
        </w:trPr>
        <w:tc>
          <w:tcPr>
            <w:tcW w:w="1668" w:type="dxa"/>
            <w:vMerge/>
            <w:noWrap/>
          </w:tcPr>
          <w:p w:rsidR="00F3413D" w:rsidRPr="00FD5ADF" w:rsidRDefault="00F3413D" w:rsidP="007A24C1">
            <w:pPr>
              <w:rPr>
                <w:rFonts w:eastAsia="Times New Roman" w:cs="Microsoft Sans Serif"/>
              </w:rPr>
            </w:pPr>
          </w:p>
        </w:tc>
        <w:tc>
          <w:tcPr>
            <w:tcW w:w="1134" w:type="dxa"/>
            <w:vMerge/>
            <w:noWrap/>
          </w:tcPr>
          <w:p w:rsidR="00F3413D" w:rsidRPr="00FD5ADF" w:rsidRDefault="00F3413D" w:rsidP="007A24C1">
            <w:pPr>
              <w:rPr>
                <w:rFonts w:eastAsia="Times New Roman" w:cs="Microsoft Sans Serif"/>
              </w:rPr>
            </w:pPr>
          </w:p>
        </w:tc>
        <w:tc>
          <w:tcPr>
            <w:tcW w:w="1275" w:type="dxa"/>
            <w:noWrap/>
          </w:tcPr>
          <w:p w:rsidR="00F3413D" w:rsidRPr="00FD5ADF" w:rsidRDefault="00F3413D" w:rsidP="007A24C1">
            <w:pPr>
              <w:rPr>
                <w:rFonts w:eastAsia="Times New Roman" w:cs="Microsoft Sans Serif"/>
                <w:b/>
                <w:bCs/>
              </w:rPr>
            </w:pPr>
            <w:r>
              <w:rPr>
                <w:rFonts w:eastAsia="Times New Roman" w:cs="Microsoft Sans Serif"/>
                <w:b/>
                <w:bCs/>
              </w:rPr>
              <w:t>Very high</w:t>
            </w:r>
          </w:p>
        </w:tc>
        <w:tc>
          <w:tcPr>
            <w:tcW w:w="1276" w:type="dxa"/>
            <w:noWrap/>
          </w:tcPr>
          <w:p w:rsidR="00F3413D" w:rsidRPr="00FD5ADF" w:rsidRDefault="00F3413D" w:rsidP="007A24C1">
            <w:pPr>
              <w:rPr>
                <w:rFonts w:eastAsia="Times New Roman" w:cs="Microsoft Sans Serif"/>
                <w:b/>
                <w:bCs/>
              </w:rPr>
            </w:pPr>
            <w:r>
              <w:rPr>
                <w:rFonts w:eastAsia="Times New Roman" w:cs="Microsoft Sans Serif"/>
                <w:b/>
                <w:bCs/>
              </w:rPr>
              <w:t>High</w:t>
            </w:r>
          </w:p>
        </w:tc>
        <w:tc>
          <w:tcPr>
            <w:tcW w:w="1275" w:type="dxa"/>
            <w:noWrap/>
          </w:tcPr>
          <w:p w:rsidR="00F3413D" w:rsidRPr="00FD5ADF" w:rsidRDefault="00F3413D" w:rsidP="007A24C1">
            <w:pPr>
              <w:rPr>
                <w:rFonts w:eastAsia="Times New Roman" w:cs="Microsoft Sans Serif"/>
                <w:b/>
                <w:bCs/>
              </w:rPr>
            </w:pPr>
            <w:r w:rsidRPr="00FD5ADF">
              <w:rPr>
                <w:rFonts w:eastAsia="Times New Roman" w:cs="Microsoft Sans Serif"/>
                <w:b/>
                <w:bCs/>
              </w:rPr>
              <w:t>Moderate</w:t>
            </w:r>
          </w:p>
        </w:tc>
        <w:tc>
          <w:tcPr>
            <w:tcW w:w="1276" w:type="dxa"/>
            <w:noWrap/>
          </w:tcPr>
          <w:p w:rsidR="00F3413D" w:rsidRPr="00FD5ADF" w:rsidRDefault="00F3413D" w:rsidP="007A24C1">
            <w:pPr>
              <w:rPr>
                <w:rFonts w:eastAsia="Times New Roman" w:cs="Microsoft Sans Serif"/>
                <w:b/>
                <w:bCs/>
              </w:rPr>
            </w:pPr>
            <w:r>
              <w:rPr>
                <w:rFonts w:eastAsia="Times New Roman" w:cs="Microsoft Sans Serif"/>
                <w:b/>
                <w:bCs/>
              </w:rPr>
              <w:t>Some</w:t>
            </w:r>
          </w:p>
        </w:tc>
        <w:tc>
          <w:tcPr>
            <w:tcW w:w="1276" w:type="dxa"/>
            <w:noWrap/>
          </w:tcPr>
          <w:p w:rsidR="00F3413D" w:rsidRPr="00FD5ADF" w:rsidRDefault="00F3413D" w:rsidP="007A24C1">
            <w:pPr>
              <w:rPr>
                <w:rFonts w:eastAsia="Times New Roman" w:cs="Microsoft Sans Serif"/>
                <w:b/>
                <w:bCs/>
              </w:rPr>
            </w:pPr>
            <w:r>
              <w:rPr>
                <w:rFonts w:eastAsia="Times New Roman" w:cs="Microsoft Sans Serif"/>
                <w:b/>
                <w:bCs/>
              </w:rPr>
              <w:t>None</w:t>
            </w:r>
          </w:p>
        </w:tc>
      </w:tr>
      <w:tr w:rsidR="00F3413D" w:rsidRPr="00FD5ADF" w:rsidTr="007A24C1">
        <w:trPr>
          <w:trHeight w:val="255"/>
        </w:trPr>
        <w:tc>
          <w:tcPr>
            <w:tcW w:w="9180" w:type="dxa"/>
            <w:gridSpan w:val="7"/>
            <w:noWrap/>
          </w:tcPr>
          <w:p w:rsidR="00F3413D" w:rsidRPr="00FD5ADF" w:rsidRDefault="00F3413D" w:rsidP="007A24C1">
            <w:pPr>
              <w:spacing w:before="120" w:after="120"/>
              <w:rPr>
                <w:rFonts w:eastAsia="Times New Roman" w:cs="Microsoft Sans Serif"/>
              </w:rPr>
            </w:pPr>
            <w:r w:rsidRPr="005B2058">
              <w:rPr>
                <w:rFonts w:eastAsia="Times New Roman" w:cs="Microsoft Sans Serif"/>
                <w:b/>
                <w:bCs/>
              </w:rPr>
              <w:t>ACTIVITY DENOMINATOR</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EPMA patient days (total number of patients multiplied by number of days)</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130</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16.2%</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40.0%</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31.5%</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10.8%</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1.5%</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EPMA admissions (new patients)</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130</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13.8%</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38.5%</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36.2%</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10.8%</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0.8%</w:t>
            </w:r>
          </w:p>
        </w:tc>
      </w:tr>
      <w:tr w:rsidR="00F3413D" w:rsidRPr="00FD5ADF" w:rsidTr="007A24C1">
        <w:trPr>
          <w:trHeight w:val="255"/>
        </w:trPr>
        <w:tc>
          <w:tcPr>
            <w:tcW w:w="9180" w:type="dxa"/>
            <w:gridSpan w:val="7"/>
            <w:noWrap/>
          </w:tcPr>
          <w:p w:rsidR="00F3413D" w:rsidRPr="00FD5ADF" w:rsidRDefault="00F3413D" w:rsidP="007A24C1">
            <w:pPr>
              <w:spacing w:before="120" w:after="120"/>
              <w:rPr>
                <w:rFonts w:eastAsia="Times New Roman" w:cs="Microsoft Sans Serif"/>
              </w:rPr>
            </w:pPr>
            <w:r w:rsidRPr="005B2058">
              <w:rPr>
                <w:rFonts w:eastAsia="Times New Roman" w:cs="Microsoft Sans Serif"/>
                <w:b/>
                <w:bCs/>
              </w:rPr>
              <w:t>REPORT TIME INTERVALS</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Annually</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130</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48.5%</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31.5%</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13.1%</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3.8%</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3.1%</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Quarterly</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130</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40.0%</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42.3%</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13.8%</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2.3%</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1.5%</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Monthly</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130</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24.6%</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36.9%</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29.2%</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6.9%</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2.3%</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Weekly</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129</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7.8%</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20.9%</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27.9%</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28.7%</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14.7%</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Daily</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130</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4.6%</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15.4%</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22.3%</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26.2%</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31.5%</w:t>
            </w:r>
          </w:p>
        </w:tc>
      </w:tr>
      <w:tr w:rsidR="00F3413D" w:rsidRPr="00FD5ADF" w:rsidTr="007A24C1">
        <w:trPr>
          <w:trHeight w:val="255"/>
        </w:trPr>
        <w:tc>
          <w:tcPr>
            <w:tcW w:w="9180" w:type="dxa"/>
            <w:gridSpan w:val="7"/>
            <w:noWrap/>
          </w:tcPr>
          <w:p w:rsidR="00F3413D" w:rsidRPr="00FD5ADF" w:rsidRDefault="00F3413D" w:rsidP="007A24C1">
            <w:pPr>
              <w:spacing w:before="120" w:after="120"/>
              <w:rPr>
                <w:rFonts w:eastAsia="Times New Roman" w:cs="Microsoft Sans Serif"/>
              </w:rPr>
            </w:pPr>
            <w:r>
              <w:rPr>
                <w:rFonts w:eastAsia="Times New Roman" w:cs="Microsoft Sans Serif"/>
                <w:b/>
                <w:bCs/>
              </w:rPr>
              <w:t>HOSPITAL SUBDIVISIONS</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Whole hospital</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129</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49.6%</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38.8%</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6.2%</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4.7%</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0.8%</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Clinical speciality</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128</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42.2%</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41.4%</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11.7%</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3.9%</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0.8%</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Hospital departments</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128</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40.6%</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36.7%</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16.4%</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4.7%</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1.6%</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Wards</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128</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32.8%</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39.1%</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21.1%</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5.5%</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1.6%</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 xml:space="preserve">Responsible consultant </w:t>
            </w:r>
            <w:r>
              <w:rPr>
                <w:rFonts w:eastAsia="Times New Roman" w:cs="Microsoft Sans Serif"/>
                <w:b/>
                <w:bCs/>
              </w:rPr>
              <w:t>physician</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129</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32.6%</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37.2%</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20.2%</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9.3%</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0.8%</w:t>
            </w:r>
          </w:p>
        </w:tc>
      </w:tr>
      <w:tr w:rsidR="00F3413D" w:rsidRPr="00FD5ADF" w:rsidTr="007A24C1">
        <w:trPr>
          <w:trHeight w:val="255"/>
        </w:trPr>
        <w:tc>
          <w:tcPr>
            <w:tcW w:w="9180" w:type="dxa"/>
            <w:gridSpan w:val="7"/>
            <w:noWrap/>
          </w:tcPr>
          <w:p w:rsidR="00F3413D" w:rsidRPr="00FD5ADF" w:rsidRDefault="00F3413D" w:rsidP="007A24C1">
            <w:pPr>
              <w:spacing w:before="120" w:after="120"/>
              <w:rPr>
                <w:rFonts w:eastAsia="Times New Roman" w:cs="Microsoft Sans Serif"/>
              </w:rPr>
            </w:pPr>
            <w:r w:rsidRPr="00FF05E2">
              <w:rPr>
                <w:rFonts w:eastAsia="Times New Roman" w:cs="Microsoft Sans Serif"/>
                <w:b/>
                <w:bCs/>
              </w:rPr>
              <w:lastRenderedPageBreak/>
              <w:t>DRUG GROUPINGS</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Individual drugs</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129</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48.8%</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36.4%</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10.9%</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2.3%</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1.6%</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Drug class (e.g. macrolides)</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128</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41.4%</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41.4%</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13.3%</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3.9%</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0.0%</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Pr>
                <w:rFonts w:eastAsia="Times New Roman" w:cs="Microsoft Sans Serif"/>
                <w:b/>
                <w:bCs/>
              </w:rPr>
              <w:t>Locally-defined d</w:t>
            </w:r>
            <w:r w:rsidRPr="00FD5ADF">
              <w:rPr>
                <w:rFonts w:eastAsia="Times New Roman" w:cs="Microsoft Sans Serif"/>
                <w:b/>
                <w:bCs/>
              </w:rPr>
              <w:t>rug group (e.g. broad-spectrum, n</w:t>
            </w:r>
            <w:r>
              <w:rPr>
                <w:rFonts w:eastAsia="Times New Roman" w:cs="Microsoft Sans Serif"/>
                <w:b/>
                <w:bCs/>
              </w:rPr>
              <w:t>arrow-spectrum</w:t>
            </w:r>
            <w:r w:rsidRPr="00FD5ADF">
              <w:rPr>
                <w:rFonts w:eastAsia="Times New Roman" w:cs="Microsoft Sans Serif"/>
                <w:b/>
                <w:bCs/>
              </w:rPr>
              <w:t>)</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130</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40.0%</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38.5%</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16.9%</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4.6%</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0.0%</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proofErr w:type="spellStart"/>
            <w:r w:rsidRPr="00FD5ADF">
              <w:rPr>
                <w:rFonts w:eastAsia="Times New Roman" w:cs="Microsoft Sans Serif"/>
                <w:b/>
                <w:bCs/>
              </w:rPr>
              <w:t>Antibacterials</w:t>
            </w:r>
            <w:proofErr w:type="spellEnd"/>
            <w:r w:rsidRPr="00FD5ADF">
              <w:rPr>
                <w:rFonts w:eastAsia="Times New Roman" w:cs="Microsoft Sans Serif"/>
                <w:b/>
                <w:bCs/>
              </w:rPr>
              <w:t>, antifung</w:t>
            </w:r>
            <w:r>
              <w:rPr>
                <w:rFonts w:eastAsia="Times New Roman" w:cs="Microsoft Sans Serif"/>
                <w:b/>
                <w:bCs/>
              </w:rPr>
              <w:t xml:space="preserve">als, antivirals, </w:t>
            </w:r>
            <w:proofErr w:type="spellStart"/>
            <w:r>
              <w:rPr>
                <w:rFonts w:eastAsia="Times New Roman" w:cs="Microsoft Sans Serif"/>
                <w:b/>
                <w:bCs/>
              </w:rPr>
              <w:t>antiparasitics</w:t>
            </w:r>
            <w:proofErr w:type="spellEnd"/>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127</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33.9%</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37.0%</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15.7%</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13.4%</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0.0%</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Pr>
                <w:rFonts w:eastAsia="Times New Roman" w:cs="Microsoft Sans Serif"/>
                <w:b/>
                <w:bCs/>
              </w:rPr>
              <w:t>All antimicrobials</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130</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30.0%</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36.9%</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19.2%</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11.5%</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2.3%</w:t>
            </w:r>
          </w:p>
        </w:tc>
      </w:tr>
      <w:tr w:rsidR="00F3413D" w:rsidRPr="00FD5ADF" w:rsidTr="007A24C1">
        <w:trPr>
          <w:trHeight w:val="255"/>
        </w:trPr>
        <w:tc>
          <w:tcPr>
            <w:tcW w:w="1668" w:type="dxa"/>
            <w:noWrap/>
          </w:tcPr>
          <w:p w:rsidR="00F3413D" w:rsidRPr="00FD5ADF" w:rsidRDefault="00F3413D" w:rsidP="007A24C1">
            <w:pPr>
              <w:rPr>
                <w:rFonts w:eastAsia="Times New Roman" w:cs="Microsoft Sans Serif"/>
                <w:b/>
                <w:bCs/>
              </w:rPr>
            </w:pPr>
            <w:r w:rsidRPr="00FD5ADF">
              <w:rPr>
                <w:rFonts w:eastAsia="Times New Roman" w:cs="Microsoft Sans Serif"/>
                <w:b/>
                <w:bCs/>
              </w:rPr>
              <w:t>By route of administration</w:t>
            </w:r>
          </w:p>
        </w:tc>
        <w:tc>
          <w:tcPr>
            <w:tcW w:w="1134" w:type="dxa"/>
            <w:noWrap/>
          </w:tcPr>
          <w:p w:rsidR="00F3413D" w:rsidRPr="00FD5ADF" w:rsidRDefault="00F3413D" w:rsidP="007A24C1">
            <w:pPr>
              <w:jc w:val="right"/>
              <w:rPr>
                <w:rFonts w:eastAsia="Times New Roman" w:cs="Microsoft Sans Serif"/>
              </w:rPr>
            </w:pPr>
            <w:r w:rsidRPr="00FD5ADF">
              <w:rPr>
                <w:rFonts w:eastAsia="Times New Roman" w:cs="Microsoft Sans Serif"/>
              </w:rPr>
              <w:t>129</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24.0%</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40.3%</w:t>
            </w:r>
          </w:p>
        </w:tc>
        <w:tc>
          <w:tcPr>
            <w:tcW w:w="1275" w:type="dxa"/>
            <w:noWrap/>
          </w:tcPr>
          <w:p w:rsidR="00F3413D" w:rsidRPr="00FD5ADF" w:rsidRDefault="00F3413D" w:rsidP="007A24C1">
            <w:pPr>
              <w:jc w:val="right"/>
              <w:rPr>
                <w:rFonts w:eastAsia="Times New Roman" w:cs="Microsoft Sans Serif"/>
              </w:rPr>
            </w:pPr>
            <w:r w:rsidRPr="00FD5ADF">
              <w:rPr>
                <w:rFonts w:eastAsia="Times New Roman" w:cs="Microsoft Sans Serif"/>
              </w:rPr>
              <w:t>24.8%</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8.5%</w:t>
            </w:r>
          </w:p>
        </w:tc>
        <w:tc>
          <w:tcPr>
            <w:tcW w:w="1276" w:type="dxa"/>
            <w:noWrap/>
          </w:tcPr>
          <w:p w:rsidR="00F3413D" w:rsidRPr="00FD5ADF" w:rsidRDefault="00F3413D" w:rsidP="007A24C1">
            <w:pPr>
              <w:jc w:val="right"/>
              <w:rPr>
                <w:rFonts w:eastAsia="Times New Roman" w:cs="Microsoft Sans Serif"/>
              </w:rPr>
            </w:pPr>
            <w:r w:rsidRPr="00FD5ADF">
              <w:rPr>
                <w:rFonts w:eastAsia="Times New Roman" w:cs="Microsoft Sans Serif"/>
              </w:rPr>
              <w:t>2.3%</w:t>
            </w:r>
          </w:p>
        </w:tc>
      </w:tr>
    </w:tbl>
    <w:p w:rsidR="00F3413D" w:rsidRDefault="00F3413D" w:rsidP="007A24C1">
      <w:pPr>
        <w:rPr>
          <w:b/>
        </w:rPr>
      </w:pPr>
    </w:p>
    <w:p w:rsidR="00F3413D" w:rsidRDefault="00F3413D" w:rsidP="007A24C1">
      <w:pPr>
        <w:rPr>
          <w:b/>
        </w:rPr>
      </w:pPr>
    </w:p>
    <w:p w:rsidR="00F3413D" w:rsidRDefault="00F3413D">
      <w:pPr>
        <w:rPr>
          <w:b/>
        </w:rPr>
      </w:pPr>
      <w:r>
        <w:rPr>
          <w:b/>
        </w:rPr>
        <w:br w:type="page"/>
      </w:r>
    </w:p>
    <w:p w:rsidR="00F3413D" w:rsidRDefault="00F3413D" w:rsidP="007A24C1">
      <w:pPr>
        <w:spacing w:after="0" w:line="360" w:lineRule="auto"/>
        <w:jc w:val="center"/>
        <w:rPr>
          <w:b/>
        </w:rPr>
      </w:pPr>
      <w:proofErr w:type="gramStart"/>
      <w:r w:rsidRPr="00302CDB">
        <w:rPr>
          <w:b/>
        </w:rPr>
        <w:lastRenderedPageBreak/>
        <w:t>Table 7.</w:t>
      </w:r>
      <w:proofErr w:type="gramEnd"/>
      <w:r w:rsidRPr="00302CDB">
        <w:rPr>
          <w:b/>
        </w:rPr>
        <w:t xml:space="preserve"> </w:t>
      </w:r>
      <w:r>
        <w:rPr>
          <w:b/>
        </w:rPr>
        <w:t xml:space="preserve"> </w:t>
      </w:r>
      <w:r w:rsidRPr="00302CDB">
        <w:rPr>
          <w:b/>
        </w:rPr>
        <w:t>Thematic analysis of freetext narrative responses to the question:</w:t>
      </w:r>
      <w:r>
        <w:rPr>
          <w:b/>
        </w:rPr>
        <w:t xml:space="preserve"> </w:t>
      </w:r>
      <w:r w:rsidRPr="00302CDB">
        <w:rPr>
          <w:b/>
        </w:rPr>
        <w:t>“Do you have any other suggestions for potential functionality for electronic prescribing and med</w:t>
      </w:r>
      <w:r>
        <w:rPr>
          <w:b/>
        </w:rPr>
        <w:t>icines administration systems?”</w:t>
      </w:r>
    </w:p>
    <w:tbl>
      <w:tblPr>
        <w:tblStyle w:val="TableGrid"/>
        <w:tblW w:w="0" w:type="auto"/>
        <w:tblLook w:val="04A0" w:firstRow="1" w:lastRow="0" w:firstColumn="1" w:lastColumn="0" w:noHBand="0" w:noVBand="1"/>
      </w:tblPr>
      <w:tblGrid>
        <w:gridCol w:w="3075"/>
        <w:gridCol w:w="1168"/>
        <w:gridCol w:w="4999"/>
      </w:tblGrid>
      <w:tr w:rsidR="00F3413D" w:rsidTr="007A24C1">
        <w:tc>
          <w:tcPr>
            <w:tcW w:w="3075" w:type="dxa"/>
          </w:tcPr>
          <w:p w:rsidR="00F3413D" w:rsidRPr="005B1160" w:rsidRDefault="00F3413D" w:rsidP="007A24C1">
            <w:pPr>
              <w:spacing w:line="480" w:lineRule="auto"/>
              <w:rPr>
                <w:b/>
              </w:rPr>
            </w:pPr>
            <w:r w:rsidRPr="005B1160">
              <w:rPr>
                <w:b/>
              </w:rPr>
              <w:t>Theme</w:t>
            </w:r>
          </w:p>
        </w:tc>
        <w:tc>
          <w:tcPr>
            <w:tcW w:w="1168" w:type="dxa"/>
          </w:tcPr>
          <w:p w:rsidR="00F3413D" w:rsidRPr="005B1160" w:rsidRDefault="00F3413D" w:rsidP="007A24C1">
            <w:pPr>
              <w:spacing w:line="480" w:lineRule="auto"/>
              <w:rPr>
                <w:b/>
              </w:rPr>
            </w:pPr>
            <w:r w:rsidRPr="005B1160">
              <w:rPr>
                <w:b/>
              </w:rPr>
              <w:t>Frequency</w:t>
            </w:r>
          </w:p>
        </w:tc>
        <w:tc>
          <w:tcPr>
            <w:tcW w:w="4999" w:type="dxa"/>
          </w:tcPr>
          <w:p w:rsidR="00F3413D" w:rsidRPr="005B1160" w:rsidRDefault="00F3413D" w:rsidP="007A24C1">
            <w:pPr>
              <w:spacing w:line="480" w:lineRule="auto"/>
              <w:rPr>
                <w:b/>
              </w:rPr>
            </w:pPr>
            <w:r w:rsidRPr="005B1160">
              <w:rPr>
                <w:b/>
              </w:rPr>
              <w:t>Details of additional user requirements</w:t>
            </w:r>
          </w:p>
        </w:tc>
      </w:tr>
      <w:tr w:rsidR="00D907B4" w:rsidTr="00D907B4">
        <w:trPr>
          <w:trHeight w:val="280"/>
        </w:trPr>
        <w:tc>
          <w:tcPr>
            <w:tcW w:w="3075" w:type="dxa"/>
            <w:vMerge w:val="restart"/>
          </w:tcPr>
          <w:p w:rsidR="00D907B4" w:rsidRDefault="00D907B4" w:rsidP="007A24C1">
            <w:pPr>
              <w:rPr>
                <w:bCs/>
              </w:rPr>
            </w:pPr>
            <w:r>
              <w:rPr>
                <w:bCs/>
              </w:rPr>
              <w:t>Microbiology laboratory system interface</w:t>
            </w:r>
          </w:p>
        </w:tc>
        <w:tc>
          <w:tcPr>
            <w:tcW w:w="1168" w:type="dxa"/>
            <w:vMerge w:val="restart"/>
          </w:tcPr>
          <w:p w:rsidR="00D907B4" w:rsidRDefault="00D907B4" w:rsidP="007A24C1">
            <w:pPr>
              <w:rPr>
                <w:bCs/>
              </w:rPr>
            </w:pPr>
            <w:r>
              <w:rPr>
                <w:bCs/>
              </w:rPr>
              <w:t>13</w:t>
            </w:r>
          </w:p>
        </w:tc>
        <w:tc>
          <w:tcPr>
            <w:tcW w:w="4999" w:type="dxa"/>
          </w:tcPr>
          <w:p w:rsidR="00D907B4" w:rsidRPr="00D907B4" w:rsidRDefault="00D907B4" w:rsidP="00D907B4">
            <w:pPr>
              <w:pStyle w:val="ListParagraph"/>
              <w:numPr>
                <w:ilvl w:val="0"/>
                <w:numId w:val="3"/>
              </w:numPr>
              <w:spacing w:after="0" w:line="240" w:lineRule="auto"/>
              <w:rPr>
                <w:bCs/>
              </w:rPr>
            </w:pPr>
            <w:r>
              <w:rPr>
                <w:bCs/>
              </w:rPr>
              <w:t>Susceptibility testing – prescription conflict (“drug-bug mismatch”)</w:t>
            </w:r>
          </w:p>
        </w:tc>
      </w:tr>
      <w:tr w:rsidR="00D907B4" w:rsidTr="007A24C1">
        <w:trPr>
          <w:trHeight w:val="279"/>
        </w:trPr>
        <w:tc>
          <w:tcPr>
            <w:tcW w:w="3075" w:type="dxa"/>
            <w:vMerge/>
          </w:tcPr>
          <w:p w:rsidR="00D907B4" w:rsidRDefault="00D907B4" w:rsidP="007A24C1">
            <w:pPr>
              <w:rPr>
                <w:bCs/>
              </w:rPr>
            </w:pPr>
          </w:p>
        </w:tc>
        <w:tc>
          <w:tcPr>
            <w:tcW w:w="1168" w:type="dxa"/>
            <w:vMerge/>
          </w:tcPr>
          <w:p w:rsidR="00D907B4" w:rsidRDefault="00D907B4" w:rsidP="007A24C1">
            <w:pPr>
              <w:rPr>
                <w:bCs/>
              </w:rPr>
            </w:pPr>
          </w:p>
        </w:tc>
        <w:tc>
          <w:tcPr>
            <w:tcW w:w="4999" w:type="dxa"/>
          </w:tcPr>
          <w:p w:rsidR="00D907B4" w:rsidRDefault="00D907B4" w:rsidP="00F3413D">
            <w:pPr>
              <w:pStyle w:val="ListParagraph"/>
              <w:numPr>
                <w:ilvl w:val="0"/>
                <w:numId w:val="3"/>
              </w:numPr>
              <w:spacing w:after="0" w:line="240" w:lineRule="auto"/>
              <w:rPr>
                <w:bCs/>
              </w:rPr>
            </w:pPr>
            <w:r>
              <w:rPr>
                <w:bCs/>
              </w:rPr>
              <w:t>Previous microbiology including healthcare-associated infections</w:t>
            </w:r>
          </w:p>
        </w:tc>
      </w:tr>
      <w:tr w:rsidR="00D907B4" w:rsidTr="00D907B4">
        <w:trPr>
          <w:trHeight w:val="235"/>
        </w:trPr>
        <w:tc>
          <w:tcPr>
            <w:tcW w:w="3075" w:type="dxa"/>
            <w:vMerge w:val="restart"/>
          </w:tcPr>
          <w:p w:rsidR="00D907B4" w:rsidRDefault="00D907B4" w:rsidP="007A24C1">
            <w:pPr>
              <w:rPr>
                <w:bCs/>
              </w:rPr>
            </w:pPr>
            <w:r>
              <w:rPr>
                <w:bCs/>
              </w:rPr>
              <w:t>Reporting functions</w:t>
            </w:r>
          </w:p>
        </w:tc>
        <w:tc>
          <w:tcPr>
            <w:tcW w:w="1168" w:type="dxa"/>
            <w:vMerge w:val="restart"/>
          </w:tcPr>
          <w:p w:rsidR="00D907B4" w:rsidRDefault="00D907B4" w:rsidP="007A24C1">
            <w:pPr>
              <w:rPr>
                <w:bCs/>
              </w:rPr>
            </w:pPr>
            <w:r>
              <w:rPr>
                <w:bCs/>
              </w:rPr>
              <w:t>9</w:t>
            </w:r>
          </w:p>
        </w:tc>
        <w:tc>
          <w:tcPr>
            <w:tcW w:w="4999" w:type="dxa"/>
          </w:tcPr>
          <w:p w:rsidR="00D907B4" w:rsidRPr="00535B7F" w:rsidRDefault="00D907B4" w:rsidP="00D907B4">
            <w:pPr>
              <w:pStyle w:val="ListParagraph"/>
              <w:numPr>
                <w:ilvl w:val="0"/>
                <w:numId w:val="5"/>
              </w:numPr>
              <w:spacing w:after="0" w:line="240" w:lineRule="auto"/>
              <w:rPr>
                <w:bCs/>
              </w:rPr>
            </w:pPr>
            <w:r>
              <w:rPr>
                <w:bCs/>
              </w:rPr>
              <w:t>Flexibility of reporting – capacity to customise reports locally</w:t>
            </w:r>
          </w:p>
        </w:tc>
      </w:tr>
      <w:tr w:rsidR="00D907B4" w:rsidTr="007A24C1">
        <w:trPr>
          <w:trHeight w:val="235"/>
        </w:trPr>
        <w:tc>
          <w:tcPr>
            <w:tcW w:w="3075" w:type="dxa"/>
            <w:vMerge/>
          </w:tcPr>
          <w:p w:rsidR="00D907B4" w:rsidRDefault="00D907B4" w:rsidP="007A24C1">
            <w:pPr>
              <w:rPr>
                <w:bCs/>
              </w:rPr>
            </w:pPr>
          </w:p>
        </w:tc>
        <w:tc>
          <w:tcPr>
            <w:tcW w:w="1168" w:type="dxa"/>
            <w:vMerge/>
          </w:tcPr>
          <w:p w:rsidR="00D907B4" w:rsidRDefault="00D907B4" w:rsidP="007A24C1">
            <w:pPr>
              <w:rPr>
                <w:bCs/>
              </w:rPr>
            </w:pPr>
          </w:p>
        </w:tc>
        <w:tc>
          <w:tcPr>
            <w:tcW w:w="4999" w:type="dxa"/>
          </w:tcPr>
          <w:p w:rsidR="00D907B4" w:rsidRPr="00D907B4" w:rsidRDefault="00D907B4" w:rsidP="00D907B4">
            <w:pPr>
              <w:pStyle w:val="ListParagraph"/>
              <w:numPr>
                <w:ilvl w:val="0"/>
                <w:numId w:val="5"/>
              </w:numPr>
              <w:spacing w:after="0" w:line="240" w:lineRule="auto"/>
              <w:rPr>
                <w:bCs/>
              </w:rPr>
            </w:pPr>
            <w:r>
              <w:rPr>
                <w:bCs/>
              </w:rPr>
              <w:t>Reporting to national standard (Start Smart – Then Focus)</w:t>
            </w:r>
          </w:p>
        </w:tc>
      </w:tr>
      <w:tr w:rsidR="00D907B4" w:rsidTr="007A24C1">
        <w:trPr>
          <w:trHeight w:val="235"/>
        </w:trPr>
        <w:tc>
          <w:tcPr>
            <w:tcW w:w="3075" w:type="dxa"/>
            <w:vMerge/>
          </w:tcPr>
          <w:p w:rsidR="00D907B4" w:rsidRDefault="00D907B4" w:rsidP="007A24C1">
            <w:pPr>
              <w:rPr>
                <w:bCs/>
              </w:rPr>
            </w:pPr>
          </w:p>
        </w:tc>
        <w:tc>
          <w:tcPr>
            <w:tcW w:w="1168" w:type="dxa"/>
            <w:vMerge/>
          </w:tcPr>
          <w:p w:rsidR="00D907B4" w:rsidRDefault="00D907B4" w:rsidP="007A24C1">
            <w:pPr>
              <w:rPr>
                <w:bCs/>
              </w:rPr>
            </w:pPr>
          </w:p>
        </w:tc>
        <w:tc>
          <w:tcPr>
            <w:tcW w:w="4999" w:type="dxa"/>
          </w:tcPr>
          <w:p w:rsidR="00D907B4" w:rsidRDefault="00D907B4" w:rsidP="00F3413D">
            <w:pPr>
              <w:pStyle w:val="ListParagraph"/>
              <w:numPr>
                <w:ilvl w:val="0"/>
                <w:numId w:val="5"/>
              </w:numPr>
              <w:spacing w:after="0" w:line="240" w:lineRule="auto"/>
              <w:rPr>
                <w:bCs/>
              </w:rPr>
            </w:pPr>
            <w:r>
              <w:rPr>
                <w:bCs/>
              </w:rPr>
              <w:t>Defined daily doses in addition to DOTs</w:t>
            </w:r>
          </w:p>
        </w:tc>
      </w:tr>
      <w:tr w:rsidR="00D907B4" w:rsidTr="00D907B4">
        <w:trPr>
          <w:trHeight w:val="189"/>
        </w:trPr>
        <w:tc>
          <w:tcPr>
            <w:tcW w:w="3075" w:type="dxa"/>
            <w:vMerge w:val="restart"/>
          </w:tcPr>
          <w:p w:rsidR="00D907B4" w:rsidRDefault="00D907B4" w:rsidP="007A24C1">
            <w:pPr>
              <w:rPr>
                <w:bCs/>
              </w:rPr>
            </w:pPr>
            <w:r w:rsidRPr="001032B6">
              <w:rPr>
                <w:bCs/>
              </w:rPr>
              <w:t>Clinical information system interface</w:t>
            </w:r>
          </w:p>
        </w:tc>
        <w:tc>
          <w:tcPr>
            <w:tcW w:w="1168" w:type="dxa"/>
            <w:vMerge w:val="restart"/>
          </w:tcPr>
          <w:p w:rsidR="00D907B4" w:rsidRDefault="00D907B4" w:rsidP="007A24C1">
            <w:pPr>
              <w:rPr>
                <w:bCs/>
              </w:rPr>
            </w:pPr>
            <w:r>
              <w:rPr>
                <w:bCs/>
              </w:rPr>
              <w:t>5</w:t>
            </w:r>
          </w:p>
        </w:tc>
        <w:tc>
          <w:tcPr>
            <w:tcW w:w="4999" w:type="dxa"/>
          </w:tcPr>
          <w:p w:rsidR="00D907B4" w:rsidRPr="001032B6" w:rsidRDefault="00D907B4" w:rsidP="00D907B4">
            <w:pPr>
              <w:pStyle w:val="ListParagraph"/>
              <w:numPr>
                <w:ilvl w:val="0"/>
                <w:numId w:val="4"/>
              </w:numPr>
              <w:spacing w:after="0" w:line="240" w:lineRule="auto"/>
              <w:rPr>
                <w:bCs/>
              </w:rPr>
            </w:pPr>
            <w:r>
              <w:rPr>
                <w:bCs/>
              </w:rPr>
              <w:t>Link to guidelines</w:t>
            </w:r>
          </w:p>
        </w:tc>
      </w:tr>
      <w:tr w:rsidR="00D907B4" w:rsidTr="007A24C1">
        <w:trPr>
          <w:trHeight w:val="189"/>
        </w:trPr>
        <w:tc>
          <w:tcPr>
            <w:tcW w:w="3075" w:type="dxa"/>
            <w:vMerge/>
          </w:tcPr>
          <w:p w:rsidR="00D907B4" w:rsidRPr="001032B6" w:rsidRDefault="00D907B4" w:rsidP="007A24C1">
            <w:pPr>
              <w:rPr>
                <w:bCs/>
              </w:rPr>
            </w:pPr>
          </w:p>
        </w:tc>
        <w:tc>
          <w:tcPr>
            <w:tcW w:w="1168" w:type="dxa"/>
            <w:vMerge/>
          </w:tcPr>
          <w:p w:rsidR="00D907B4" w:rsidRDefault="00D907B4" w:rsidP="007A24C1">
            <w:pPr>
              <w:rPr>
                <w:bCs/>
              </w:rPr>
            </w:pPr>
          </w:p>
        </w:tc>
        <w:tc>
          <w:tcPr>
            <w:tcW w:w="4999" w:type="dxa"/>
          </w:tcPr>
          <w:p w:rsidR="00D907B4" w:rsidRDefault="00D907B4" w:rsidP="00D907B4">
            <w:pPr>
              <w:pStyle w:val="ListParagraph"/>
              <w:numPr>
                <w:ilvl w:val="0"/>
                <w:numId w:val="4"/>
              </w:numPr>
              <w:spacing w:after="0" w:line="240" w:lineRule="auto"/>
              <w:rPr>
                <w:bCs/>
              </w:rPr>
            </w:pPr>
            <w:r>
              <w:rPr>
                <w:bCs/>
              </w:rPr>
              <w:t>Drug information: adverse effects, drug administration, drug monitoring</w:t>
            </w:r>
          </w:p>
        </w:tc>
      </w:tr>
      <w:tr w:rsidR="00D907B4" w:rsidTr="007A24C1">
        <w:trPr>
          <w:trHeight w:val="189"/>
        </w:trPr>
        <w:tc>
          <w:tcPr>
            <w:tcW w:w="3075" w:type="dxa"/>
            <w:vMerge/>
          </w:tcPr>
          <w:p w:rsidR="00D907B4" w:rsidRPr="001032B6" w:rsidRDefault="00D907B4" w:rsidP="007A24C1">
            <w:pPr>
              <w:rPr>
                <w:bCs/>
              </w:rPr>
            </w:pPr>
          </w:p>
        </w:tc>
        <w:tc>
          <w:tcPr>
            <w:tcW w:w="1168" w:type="dxa"/>
            <w:vMerge/>
          </w:tcPr>
          <w:p w:rsidR="00D907B4" w:rsidRDefault="00D907B4" w:rsidP="007A24C1">
            <w:pPr>
              <w:rPr>
                <w:bCs/>
              </w:rPr>
            </w:pPr>
          </w:p>
        </w:tc>
        <w:tc>
          <w:tcPr>
            <w:tcW w:w="4999" w:type="dxa"/>
          </w:tcPr>
          <w:p w:rsidR="00D907B4" w:rsidRDefault="00D907B4" w:rsidP="00F3413D">
            <w:pPr>
              <w:pStyle w:val="ListParagraph"/>
              <w:numPr>
                <w:ilvl w:val="0"/>
                <w:numId w:val="4"/>
              </w:numPr>
              <w:spacing w:after="0" w:line="240" w:lineRule="auto"/>
              <w:rPr>
                <w:bCs/>
              </w:rPr>
            </w:pPr>
            <w:r>
              <w:rPr>
                <w:bCs/>
              </w:rPr>
              <w:t>Disease severity scoring systems</w:t>
            </w:r>
          </w:p>
        </w:tc>
      </w:tr>
      <w:tr w:rsidR="00D907B4" w:rsidTr="00D907B4">
        <w:trPr>
          <w:trHeight w:val="145"/>
        </w:trPr>
        <w:tc>
          <w:tcPr>
            <w:tcW w:w="3075" w:type="dxa"/>
            <w:vMerge w:val="restart"/>
          </w:tcPr>
          <w:p w:rsidR="00D907B4" w:rsidRDefault="00D907B4" w:rsidP="007A24C1">
            <w:pPr>
              <w:rPr>
                <w:bCs/>
              </w:rPr>
            </w:pPr>
            <w:r>
              <w:rPr>
                <w:bCs/>
              </w:rPr>
              <w:t>Restriction systems</w:t>
            </w:r>
          </w:p>
        </w:tc>
        <w:tc>
          <w:tcPr>
            <w:tcW w:w="1168" w:type="dxa"/>
            <w:vMerge w:val="restart"/>
          </w:tcPr>
          <w:p w:rsidR="00D907B4" w:rsidRDefault="00D907B4" w:rsidP="007A24C1">
            <w:pPr>
              <w:rPr>
                <w:bCs/>
              </w:rPr>
            </w:pPr>
            <w:r>
              <w:rPr>
                <w:bCs/>
              </w:rPr>
              <w:t>5</w:t>
            </w:r>
          </w:p>
        </w:tc>
        <w:tc>
          <w:tcPr>
            <w:tcW w:w="4999" w:type="dxa"/>
          </w:tcPr>
          <w:p w:rsidR="00D907B4" w:rsidRPr="00A81A84" w:rsidRDefault="00D907B4" w:rsidP="00D907B4">
            <w:pPr>
              <w:pStyle w:val="ListParagraph"/>
              <w:numPr>
                <w:ilvl w:val="0"/>
                <w:numId w:val="6"/>
              </w:numPr>
              <w:spacing w:after="0" w:line="240" w:lineRule="auto"/>
              <w:rPr>
                <w:bCs/>
              </w:rPr>
            </w:pPr>
            <w:r>
              <w:rPr>
                <w:bCs/>
              </w:rPr>
              <w:t>Authorisation codes</w:t>
            </w:r>
          </w:p>
        </w:tc>
      </w:tr>
      <w:tr w:rsidR="00D907B4" w:rsidTr="007A24C1">
        <w:trPr>
          <w:trHeight w:val="143"/>
        </w:trPr>
        <w:tc>
          <w:tcPr>
            <w:tcW w:w="3075" w:type="dxa"/>
            <w:vMerge/>
          </w:tcPr>
          <w:p w:rsidR="00D907B4" w:rsidRDefault="00D907B4" w:rsidP="007A24C1">
            <w:pPr>
              <w:rPr>
                <w:bCs/>
              </w:rPr>
            </w:pPr>
          </w:p>
        </w:tc>
        <w:tc>
          <w:tcPr>
            <w:tcW w:w="1168" w:type="dxa"/>
            <w:vMerge/>
          </w:tcPr>
          <w:p w:rsidR="00D907B4" w:rsidRDefault="00D907B4" w:rsidP="007A24C1">
            <w:pPr>
              <w:rPr>
                <w:bCs/>
              </w:rPr>
            </w:pPr>
          </w:p>
        </w:tc>
        <w:tc>
          <w:tcPr>
            <w:tcW w:w="4999" w:type="dxa"/>
          </w:tcPr>
          <w:p w:rsidR="00D907B4" w:rsidRDefault="00D907B4" w:rsidP="00D907B4">
            <w:pPr>
              <w:pStyle w:val="ListParagraph"/>
              <w:numPr>
                <w:ilvl w:val="0"/>
                <w:numId w:val="6"/>
              </w:numPr>
              <w:spacing w:after="0" w:line="240" w:lineRule="auto"/>
              <w:rPr>
                <w:bCs/>
              </w:rPr>
            </w:pPr>
            <w:r>
              <w:rPr>
                <w:bCs/>
              </w:rPr>
              <w:t>Authorisation by named specialist</w:t>
            </w:r>
          </w:p>
        </w:tc>
      </w:tr>
      <w:tr w:rsidR="00D907B4" w:rsidTr="007A24C1">
        <w:trPr>
          <w:trHeight w:val="143"/>
        </w:trPr>
        <w:tc>
          <w:tcPr>
            <w:tcW w:w="3075" w:type="dxa"/>
            <w:vMerge/>
          </w:tcPr>
          <w:p w:rsidR="00D907B4" w:rsidRDefault="00D907B4" w:rsidP="007A24C1">
            <w:pPr>
              <w:rPr>
                <w:bCs/>
              </w:rPr>
            </w:pPr>
          </w:p>
        </w:tc>
        <w:tc>
          <w:tcPr>
            <w:tcW w:w="1168" w:type="dxa"/>
            <w:vMerge/>
          </w:tcPr>
          <w:p w:rsidR="00D907B4" w:rsidRDefault="00D907B4" w:rsidP="007A24C1">
            <w:pPr>
              <w:rPr>
                <w:bCs/>
              </w:rPr>
            </w:pPr>
          </w:p>
        </w:tc>
        <w:tc>
          <w:tcPr>
            <w:tcW w:w="4999" w:type="dxa"/>
          </w:tcPr>
          <w:p w:rsidR="00D907B4" w:rsidRDefault="00D907B4" w:rsidP="00D907B4">
            <w:pPr>
              <w:pStyle w:val="ListParagraph"/>
              <w:numPr>
                <w:ilvl w:val="0"/>
                <w:numId w:val="6"/>
              </w:numPr>
              <w:spacing w:after="0" w:line="240" w:lineRule="auto"/>
              <w:rPr>
                <w:bCs/>
              </w:rPr>
            </w:pPr>
            <w:r>
              <w:rPr>
                <w:bCs/>
              </w:rPr>
              <w:t>System access restricted to trained prescribers</w:t>
            </w:r>
          </w:p>
        </w:tc>
      </w:tr>
      <w:tr w:rsidR="00D907B4" w:rsidTr="007A24C1">
        <w:trPr>
          <w:trHeight w:val="143"/>
        </w:trPr>
        <w:tc>
          <w:tcPr>
            <w:tcW w:w="3075" w:type="dxa"/>
            <w:vMerge/>
          </w:tcPr>
          <w:p w:rsidR="00D907B4" w:rsidRDefault="00D907B4" w:rsidP="007A24C1">
            <w:pPr>
              <w:rPr>
                <w:bCs/>
              </w:rPr>
            </w:pPr>
          </w:p>
        </w:tc>
        <w:tc>
          <w:tcPr>
            <w:tcW w:w="1168" w:type="dxa"/>
            <w:vMerge/>
          </w:tcPr>
          <w:p w:rsidR="00D907B4" w:rsidRDefault="00D907B4" w:rsidP="007A24C1">
            <w:pPr>
              <w:rPr>
                <w:bCs/>
              </w:rPr>
            </w:pPr>
          </w:p>
        </w:tc>
        <w:tc>
          <w:tcPr>
            <w:tcW w:w="4999" w:type="dxa"/>
          </w:tcPr>
          <w:p w:rsidR="00D907B4" w:rsidRDefault="00D907B4" w:rsidP="00F3413D">
            <w:pPr>
              <w:pStyle w:val="ListParagraph"/>
              <w:numPr>
                <w:ilvl w:val="0"/>
                <w:numId w:val="6"/>
              </w:numPr>
              <w:spacing w:after="0" w:line="240" w:lineRule="auto"/>
              <w:rPr>
                <w:bCs/>
              </w:rPr>
            </w:pPr>
            <w:r>
              <w:rPr>
                <w:bCs/>
              </w:rPr>
              <w:t>Compulsory recording of indication</w:t>
            </w:r>
          </w:p>
        </w:tc>
      </w:tr>
      <w:tr w:rsidR="00BB25C0" w:rsidTr="00BB25C0">
        <w:trPr>
          <w:trHeight w:val="145"/>
        </w:trPr>
        <w:tc>
          <w:tcPr>
            <w:tcW w:w="3075" w:type="dxa"/>
            <w:vMerge w:val="restart"/>
          </w:tcPr>
          <w:p w:rsidR="00BB25C0" w:rsidRDefault="00BB25C0" w:rsidP="007A24C1">
            <w:pPr>
              <w:rPr>
                <w:bCs/>
              </w:rPr>
            </w:pPr>
            <w:r>
              <w:rPr>
                <w:bCs/>
              </w:rPr>
              <w:t>Additional narrative fields</w:t>
            </w:r>
          </w:p>
        </w:tc>
        <w:tc>
          <w:tcPr>
            <w:tcW w:w="1168" w:type="dxa"/>
            <w:vMerge w:val="restart"/>
          </w:tcPr>
          <w:p w:rsidR="00BB25C0" w:rsidRDefault="00BB25C0" w:rsidP="007A24C1">
            <w:pPr>
              <w:rPr>
                <w:bCs/>
              </w:rPr>
            </w:pPr>
            <w:r>
              <w:rPr>
                <w:bCs/>
              </w:rPr>
              <w:t>5</w:t>
            </w:r>
          </w:p>
        </w:tc>
        <w:tc>
          <w:tcPr>
            <w:tcW w:w="4999" w:type="dxa"/>
          </w:tcPr>
          <w:p w:rsidR="00BB25C0" w:rsidRPr="00A81A84" w:rsidRDefault="00BB25C0" w:rsidP="00BB25C0">
            <w:pPr>
              <w:pStyle w:val="ListParagraph"/>
              <w:numPr>
                <w:ilvl w:val="0"/>
                <w:numId w:val="7"/>
              </w:numPr>
              <w:spacing w:after="0" w:line="240" w:lineRule="auto"/>
              <w:rPr>
                <w:bCs/>
              </w:rPr>
            </w:pPr>
            <w:r>
              <w:rPr>
                <w:bCs/>
              </w:rPr>
              <w:t>Infection specialist advice</w:t>
            </w:r>
          </w:p>
        </w:tc>
      </w:tr>
      <w:tr w:rsidR="00BB25C0" w:rsidTr="007A24C1">
        <w:trPr>
          <w:trHeight w:val="143"/>
        </w:trPr>
        <w:tc>
          <w:tcPr>
            <w:tcW w:w="3075" w:type="dxa"/>
            <w:vMerge/>
          </w:tcPr>
          <w:p w:rsidR="00BB25C0" w:rsidRDefault="00BB25C0" w:rsidP="007A24C1">
            <w:pPr>
              <w:rPr>
                <w:bCs/>
              </w:rPr>
            </w:pPr>
          </w:p>
        </w:tc>
        <w:tc>
          <w:tcPr>
            <w:tcW w:w="1168" w:type="dxa"/>
            <w:vMerge/>
          </w:tcPr>
          <w:p w:rsidR="00BB25C0" w:rsidRDefault="00BB25C0" w:rsidP="007A24C1">
            <w:pPr>
              <w:rPr>
                <w:bCs/>
              </w:rPr>
            </w:pPr>
          </w:p>
        </w:tc>
        <w:tc>
          <w:tcPr>
            <w:tcW w:w="4999" w:type="dxa"/>
          </w:tcPr>
          <w:p w:rsidR="00BB25C0" w:rsidRDefault="00BB25C0" w:rsidP="00BB25C0">
            <w:pPr>
              <w:pStyle w:val="ListParagraph"/>
              <w:numPr>
                <w:ilvl w:val="0"/>
                <w:numId w:val="7"/>
              </w:numPr>
              <w:spacing w:after="0" w:line="240" w:lineRule="auto"/>
              <w:rPr>
                <w:bCs/>
              </w:rPr>
            </w:pPr>
            <w:r>
              <w:rPr>
                <w:bCs/>
              </w:rPr>
              <w:t>Justification for off-guideline prescribing</w:t>
            </w:r>
          </w:p>
        </w:tc>
      </w:tr>
      <w:tr w:rsidR="00BB25C0" w:rsidTr="007A24C1">
        <w:trPr>
          <w:trHeight w:val="143"/>
        </w:trPr>
        <w:tc>
          <w:tcPr>
            <w:tcW w:w="3075" w:type="dxa"/>
            <w:vMerge/>
          </w:tcPr>
          <w:p w:rsidR="00BB25C0" w:rsidRDefault="00BB25C0" w:rsidP="007A24C1">
            <w:pPr>
              <w:rPr>
                <w:bCs/>
              </w:rPr>
            </w:pPr>
          </w:p>
        </w:tc>
        <w:tc>
          <w:tcPr>
            <w:tcW w:w="1168" w:type="dxa"/>
            <w:vMerge/>
          </w:tcPr>
          <w:p w:rsidR="00BB25C0" w:rsidRDefault="00BB25C0" w:rsidP="007A24C1">
            <w:pPr>
              <w:rPr>
                <w:bCs/>
              </w:rPr>
            </w:pPr>
          </w:p>
        </w:tc>
        <w:tc>
          <w:tcPr>
            <w:tcW w:w="4999" w:type="dxa"/>
          </w:tcPr>
          <w:p w:rsidR="00BB25C0" w:rsidRDefault="00BB25C0" w:rsidP="00BB25C0">
            <w:pPr>
              <w:pStyle w:val="ListParagraph"/>
              <w:numPr>
                <w:ilvl w:val="0"/>
                <w:numId w:val="7"/>
              </w:numPr>
              <w:spacing w:after="0" w:line="240" w:lineRule="auto"/>
              <w:rPr>
                <w:bCs/>
              </w:rPr>
            </w:pPr>
            <w:r>
              <w:rPr>
                <w:bCs/>
              </w:rPr>
              <w:t>Precise nature of drug allergy</w:t>
            </w:r>
          </w:p>
        </w:tc>
      </w:tr>
      <w:tr w:rsidR="00BB25C0" w:rsidTr="007A24C1">
        <w:trPr>
          <w:trHeight w:val="143"/>
        </w:trPr>
        <w:tc>
          <w:tcPr>
            <w:tcW w:w="3075" w:type="dxa"/>
            <w:vMerge/>
          </w:tcPr>
          <w:p w:rsidR="00BB25C0" w:rsidRDefault="00BB25C0" w:rsidP="007A24C1">
            <w:pPr>
              <w:rPr>
                <w:bCs/>
              </w:rPr>
            </w:pPr>
          </w:p>
        </w:tc>
        <w:tc>
          <w:tcPr>
            <w:tcW w:w="1168" w:type="dxa"/>
            <w:vMerge/>
          </w:tcPr>
          <w:p w:rsidR="00BB25C0" w:rsidRDefault="00BB25C0" w:rsidP="007A24C1">
            <w:pPr>
              <w:rPr>
                <w:bCs/>
              </w:rPr>
            </w:pPr>
          </w:p>
        </w:tc>
        <w:tc>
          <w:tcPr>
            <w:tcW w:w="4999" w:type="dxa"/>
          </w:tcPr>
          <w:p w:rsidR="00BB25C0" w:rsidRDefault="00BB25C0" w:rsidP="00F3413D">
            <w:pPr>
              <w:pStyle w:val="ListParagraph"/>
              <w:numPr>
                <w:ilvl w:val="0"/>
                <w:numId w:val="7"/>
              </w:numPr>
              <w:spacing w:after="0" w:line="240" w:lineRule="auto"/>
              <w:rPr>
                <w:bCs/>
              </w:rPr>
            </w:pPr>
            <w:r>
              <w:rPr>
                <w:bCs/>
              </w:rPr>
              <w:t>Reasons for missed doses</w:t>
            </w:r>
          </w:p>
        </w:tc>
      </w:tr>
      <w:tr w:rsidR="00BB25C0" w:rsidTr="00BB25C0">
        <w:trPr>
          <w:trHeight w:val="142"/>
        </w:trPr>
        <w:tc>
          <w:tcPr>
            <w:tcW w:w="3075" w:type="dxa"/>
            <w:vMerge w:val="restart"/>
          </w:tcPr>
          <w:p w:rsidR="00BB25C0" w:rsidRDefault="00BB25C0" w:rsidP="007A24C1">
            <w:pPr>
              <w:rPr>
                <w:bCs/>
              </w:rPr>
            </w:pPr>
            <w:r>
              <w:rPr>
                <w:bCs/>
              </w:rPr>
              <w:t>Soft stops / review dates</w:t>
            </w:r>
          </w:p>
        </w:tc>
        <w:tc>
          <w:tcPr>
            <w:tcW w:w="1168" w:type="dxa"/>
            <w:vMerge w:val="restart"/>
          </w:tcPr>
          <w:p w:rsidR="00BB25C0" w:rsidRDefault="00BB25C0" w:rsidP="007A24C1">
            <w:pPr>
              <w:rPr>
                <w:bCs/>
              </w:rPr>
            </w:pPr>
            <w:r>
              <w:rPr>
                <w:bCs/>
              </w:rPr>
              <w:t>4</w:t>
            </w:r>
          </w:p>
        </w:tc>
        <w:tc>
          <w:tcPr>
            <w:tcW w:w="4999" w:type="dxa"/>
          </w:tcPr>
          <w:p w:rsidR="00BB25C0" w:rsidRPr="00A81A84" w:rsidRDefault="00BB25C0" w:rsidP="00BB25C0">
            <w:pPr>
              <w:pStyle w:val="ListParagraph"/>
              <w:numPr>
                <w:ilvl w:val="0"/>
                <w:numId w:val="8"/>
              </w:numPr>
              <w:spacing w:after="0" w:line="240" w:lineRule="auto"/>
              <w:rPr>
                <w:bCs/>
              </w:rPr>
            </w:pPr>
            <w:r>
              <w:rPr>
                <w:bCs/>
              </w:rPr>
              <w:t>Block administration until review</w:t>
            </w:r>
          </w:p>
        </w:tc>
      </w:tr>
      <w:tr w:rsidR="00BB25C0" w:rsidTr="007A24C1">
        <w:trPr>
          <w:trHeight w:val="141"/>
        </w:trPr>
        <w:tc>
          <w:tcPr>
            <w:tcW w:w="3075" w:type="dxa"/>
            <w:vMerge/>
          </w:tcPr>
          <w:p w:rsidR="00BB25C0" w:rsidRDefault="00BB25C0" w:rsidP="007A24C1">
            <w:pPr>
              <w:rPr>
                <w:bCs/>
              </w:rPr>
            </w:pPr>
          </w:p>
        </w:tc>
        <w:tc>
          <w:tcPr>
            <w:tcW w:w="1168" w:type="dxa"/>
            <w:vMerge/>
          </w:tcPr>
          <w:p w:rsidR="00BB25C0" w:rsidRDefault="00BB25C0" w:rsidP="007A24C1">
            <w:pPr>
              <w:rPr>
                <w:bCs/>
              </w:rPr>
            </w:pPr>
          </w:p>
        </w:tc>
        <w:tc>
          <w:tcPr>
            <w:tcW w:w="4999" w:type="dxa"/>
          </w:tcPr>
          <w:p w:rsidR="00BB25C0" w:rsidRDefault="00BB25C0" w:rsidP="00F3413D">
            <w:pPr>
              <w:pStyle w:val="ListParagraph"/>
              <w:numPr>
                <w:ilvl w:val="0"/>
                <w:numId w:val="8"/>
              </w:numPr>
              <w:spacing w:after="0" w:line="240" w:lineRule="auto"/>
              <w:rPr>
                <w:bCs/>
              </w:rPr>
            </w:pPr>
            <w:r>
              <w:rPr>
                <w:bCs/>
              </w:rPr>
              <w:t>Patient safety of automatic prescription stop</w:t>
            </w:r>
          </w:p>
        </w:tc>
      </w:tr>
      <w:tr w:rsidR="00F3413D" w:rsidTr="007A24C1">
        <w:tc>
          <w:tcPr>
            <w:tcW w:w="3075" w:type="dxa"/>
          </w:tcPr>
          <w:p w:rsidR="00F3413D" w:rsidRDefault="00F3413D" w:rsidP="007A24C1">
            <w:pPr>
              <w:rPr>
                <w:bCs/>
              </w:rPr>
            </w:pPr>
            <w:r>
              <w:rPr>
                <w:bCs/>
              </w:rPr>
              <w:t>Dosing support</w:t>
            </w:r>
          </w:p>
        </w:tc>
        <w:tc>
          <w:tcPr>
            <w:tcW w:w="1168" w:type="dxa"/>
          </w:tcPr>
          <w:p w:rsidR="00F3413D" w:rsidRDefault="00F3413D" w:rsidP="007A24C1">
            <w:pPr>
              <w:rPr>
                <w:bCs/>
              </w:rPr>
            </w:pPr>
            <w:r>
              <w:rPr>
                <w:bCs/>
              </w:rPr>
              <w:t>3</w:t>
            </w:r>
          </w:p>
        </w:tc>
        <w:tc>
          <w:tcPr>
            <w:tcW w:w="4999" w:type="dxa"/>
          </w:tcPr>
          <w:p w:rsidR="00F3413D" w:rsidRPr="00A81A84" w:rsidRDefault="00F3413D" w:rsidP="00F3413D">
            <w:pPr>
              <w:pStyle w:val="ListParagraph"/>
              <w:numPr>
                <w:ilvl w:val="0"/>
                <w:numId w:val="9"/>
              </w:numPr>
              <w:spacing w:after="0" w:line="240" w:lineRule="auto"/>
              <w:rPr>
                <w:bCs/>
              </w:rPr>
            </w:pPr>
            <w:r>
              <w:rPr>
                <w:bCs/>
              </w:rPr>
              <w:t>Dosing by age, weight and renal function</w:t>
            </w:r>
          </w:p>
        </w:tc>
      </w:tr>
      <w:tr w:rsidR="00F3413D" w:rsidTr="007A24C1">
        <w:tc>
          <w:tcPr>
            <w:tcW w:w="3075" w:type="dxa"/>
          </w:tcPr>
          <w:p w:rsidR="00F3413D" w:rsidRDefault="00F3413D" w:rsidP="007A24C1">
            <w:pPr>
              <w:rPr>
                <w:bCs/>
              </w:rPr>
            </w:pPr>
            <w:r>
              <w:rPr>
                <w:bCs/>
              </w:rPr>
              <w:t>Drug history</w:t>
            </w:r>
          </w:p>
        </w:tc>
        <w:tc>
          <w:tcPr>
            <w:tcW w:w="1168" w:type="dxa"/>
          </w:tcPr>
          <w:p w:rsidR="00F3413D" w:rsidRDefault="00F3413D" w:rsidP="007A24C1">
            <w:pPr>
              <w:rPr>
                <w:bCs/>
              </w:rPr>
            </w:pPr>
            <w:r>
              <w:rPr>
                <w:bCs/>
              </w:rPr>
              <w:t>3</w:t>
            </w:r>
          </w:p>
        </w:tc>
        <w:tc>
          <w:tcPr>
            <w:tcW w:w="4999" w:type="dxa"/>
          </w:tcPr>
          <w:p w:rsidR="00F3413D" w:rsidRPr="00C76A9F" w:rsidRDefault="00F3413D" w:rsidP="00F3413D">
            <w:pPr>
              <w:pStyle w:val="ListParagraph"/>
              <w:numPr>
                <w:ilvl w:val="0"/>
                <w:numId w:val="9"/>
              </w:numPr>
              <w:spacing w:after="0" w:line="240" w:lineRule="auto"/>
              <w:rPr>
                <w:bCs/>
              </w:rPr>
            </w:pPr>
            <w:r>
              <w:rPr>
                <w:bCs/>
              </w:rPr>
              <w:t>Primary care and previous hospital admissions</w:t>
            </w:r>
          </w:p>
        </w:tc>
      </w:tr>
      <w:tr w:rsidR="00BB25C0" w:rsidTr="00BB25C0">
        <w:trPr>
          <w:trHeight w:val="211"/>
        </w:trPr>
        <w:tc>
          <w:tcPr>
            <w:tcW w:w="3075" w:type="dxa"/>
            <w:vMerge w:val="restart"/>
          </w:tcPr>
          <w:p w:rsidR="00BB25C0" w:rsidRDefault="00BB25C0" w:rsidP="007A24C1">
            <w:pPr>
              <w:rPr>
                <w:bCs/>
              </w:rPr>
            </w:pPr>
            <w:r>
              <w:rPr>
                <w:bCs/>
              </w:rPr>
              <w:t>Stat doses</w:t>
            </w:r>
          </w:p>
        </w:tc>
        <w:tc>
          <w:tcPr>
            <w:tcW w:w="1168" w:type="dxa"/>
            <w:vMerge w:val="restart"/>
          </w:tcPr>
          <w:p w:rsidR="00BB25C0" w:rsidRDefault="00BB25C0" w:rsidP="007A24C1">
            <w:pPr>
              <w:rPr>
                <w:bCs/>
              </w:rPr>
            </w:pPr>
            <w:r>
              <w:rPr>
                <w:bCs/>
              </w:rPr>
              <w:t>3</w:t>
            </w:r>
          </w:p>
        </w:tc>
        <w:tc>
          <w:tcPr>
            <w:tcW w:w="4999" w:type="dxa"/>
          </w:tcPr>
          <w:p w:rsidR="00BB25C0" w:rsidRPr="00C76A9F" w:rsidRDefault="00BB25C0" w:rsidP="00BB25C0">
            <w:pPr>
              <w:pStyle w:val="ListParagraph"/>
              <w:numPr>
                <w:ilvl w:val="0"/>
                <w:numId w:val="9"/>
              </w:numPr>
              <w:spacing w:after="0" w:line="240" w:lineRule="auto"/>
              <w:rPr>
                <w:bCs/>
              </w:rPr>
            </w:pPr>
            <w:r>
              <w:rPr>
                <w:bCs/>
              </w:rPr>
              <w:t>Automatic associated stat dose and appropriately spaced maintenance dose</w:t>
            </w:r>
          </w:p>
        </w:tc>
      </w:tr>
      <w:tr w:rsidR="00BB25C0" w:rsidTr="007A24C1">
        <w:trPr>
          <w:trHeight w:val="210"/>
        </w:trPr>
        <w:tc>
          <w:tcPr>
            <w:tcW w:w="3075" w:type="dxa"/>
            <w:vMerge/>
          </w:tcPr>
          <w:p w:rsidR="00BB25C0" w:rsidRDefault="00BB25C0" w:rsidP="007A24C1">
            <w:pPr>
              <w:rPr>
                <w:bCs/>
              </w:rPr>
            </w:pPr>
          </w:p>
        </w:tc>
        <w:tc>
          <w:tcPr>
            <w:tcW w:w="1168" w:type="dxa"/>
            <w:vMerge/>
          </w:tcPr>
          <w:p w:rsidR="00BB25C0" w:rsidRDefault="00BB25C0" w:rsidP="007A24C1">
            <w:pPr>
              <w:rPr>
                <w:bCs/>
              </w:rPr>
            </w:pPr>
          </w:p>
        </w:tc>
        <w:tc>
          <w:tcPr>
            <w:tcW w:w="4999" w:type="dxa"/>
          </w:tcPr>
          <w:p w:rsidR="00BB25C0" w:rsidRDefault="00BB25C0" w:rsidP="00F3413D">
            <w:pPr>
              <w:pStyle w:val="ListParagraph"/>
              <w:numPr>
                <w:ilvl w:val="0"/>
                <w:numId w:val="9"/>
              </w:numPr>
              <w:spacing w:after="0" w:line="240" w:lineRule="auto"/>
              <w:rPr>
                <w:bCs/>
              </w:rPr>
            </w:pPr>
            <w:r>
              <w:rPr>
                <w:bCs/>
              </w:rPr>
              <w:t>Stat dose remains visible if delayed</w:t>
            </w:r>
          </w:p>
        </w:tc>
      </w:tr>
      <w:tr w:rsidR="00F3413D" w:rsidTr="007A24C1">
        <w:tc>
          <w:tcPr>
            <w:tcW w:w="3075" w:type="dxa"/>
          </w:tcPr>
          <w:p w:rsidR="00F3413D" w:rsidRDefault="00F3413D" w:rsidP="007A24C1">
            <w:pPr>
              <w:rPr>
                <w:bCs/>
              </w:rPr>
            </w:pPr>
            <w:r>
              <w:rPr>
                <w:bCs/>
              </w:rPr>
              <w:t>Miscellaneous</w:t>
            </w:r>
          </w:p>
        </w:tc>
        <w:tc>
          <w:tcPr>
            <w:tcW w:w="1168" w:type="dxa"/>
          </w:tcPr>
          <w:p w:rsidR="00F3413D" w:rsidRDefault="00F3413D" w:rsidP="007A24C1">
            <w:pPr>
              <w:rPr>
                <w:bCs/>
              </w:rPr>
            </w:pPr>
            <w:r>
              <w:rPr>
                <w:bCs/>
              </w:rPr>
              <w:t>19</w:t>
            </w:r>
          </w:p>
        </w:tc>
        <w:tc>
          <w:tcPr>
            <w:tcW w:w="4999" w:type="dxa"/>
          </w:tcPr>
          <w:p w:rsidR="00F3413D" w:rsidRDefault="00F3413D" w:rsidP="007A24C1">
            <w:pPr>
              <w:rPr>
                <w:bCs/>
              </w:rPr>
            </w:pPr>
          </w:p>
        </w:tc>
      </w:tr>
    </w:tbl>
    <w:p w:rsidR="00F3413D" w:rsidRDefault="00F3413D" w:rsidP="007A24C1">
      <w:pPr>
        <w:spacing w:after="0" w:line="480" w:lineRule="auto"/>
      </w:pPr>
    </w:p>
    <w:p w:rsidR="007A24C1" w:rsidRDefault="007A24C1"/>
    <w:sectPr w:rsidR="007A24C1" w:rsidSect="007A24C1">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27AFA">
      <w:pPr>
        <w:spacing w:after="0" w:line="240" w:lineRule="auto"/>
      </w:pPr>
      <w:r>
        <w:separator/>
      </w:r>
    </w:p>
  </w:endnote>
  <w:endnote w:type="continuationSeparator" w:id="0">
    <w:p w:rsidR="00000000" w:rsidRDefault="00A2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C1" w:rsidRDefault="007A2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27AFA">
      <w:pPr>
        <w:spacing w:after="0" w:line="240" w:lineRule="auto"/>
      </w:pPr>
      <w:r>
        <w:separator/>
      </w:r>
    </w:p>
  </w:footnote>
  <w:footnote w:type="continuationSeparator" w:id="0">
    <w:p w:rsidR="00000000" w:rsidRDefault="00A27A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A3935"/>
    <w:multiLevelType w:val="hybridMultilevel"/>
    <w:tmpl w:val="E1AE5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9F335C"/>
    <w:multiLevelType w:val="hybridMultilevel"/>
    <w:tmpl w:val="2660B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C0D6206"/>
    <w:multiLevelType w:val="hybridMultilevel"/>
    <w:tmpl w:val="74BE1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70E7932"/>
    <w:multiLevelType w:val="hybridMultilevel"/>
    <w:tmpl w:val="97CCD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8D47C2C"/>
    <w:multiLevelType w:val="hybridMultilevel"/>
    <w:tmpl w:val="00669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057345B"/>
    <w:multiLevelType w:val="hybridMultilevel"/>
    <w:tmpl w:val="39F496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F19725F"/>
    <w:multiLevelType w:val="hybridMultilevel"/>
    <w:tmpl w:val="0FA69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AE14A0C"/>
    <w:multiLevelType w:val="hybridMultilevel"/>
    <w:tmpl w:val="EC10E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B5A6D6D"/>
    <w:multiLevelType w:val="hybridMultilevel"/>
    <w:tmpl w:val="678CF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2"/>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s>
  <w:rsids>
    <w:rsidRoot w:val="00F3413D"/>
    <w:rsid w:val="0015131A"/>
    <w:rsid w:val="00257EE1"/>
    <w:rsid w:val="003D2E81"/>
    <w:rsid w:val="006C0FD1"/>
    <w:rsid w:val="007A24C1"/>
    <w:rsid w:val="00A27AFA"/>
    <w:rsid w:val="00BB25C0"/>
    <w:rsid w:val="00D442C1"/>
    <w:rsid w:val="00D907B4"/>
    <w:rsid w:val="00F341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1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3413D"/>
  </w:style>
  <w:style w:type="paragraph" w:styleId="ListParagraph">
    <w:name w:val="List Paragraph"/>
    <w:basedOn w:val="Normal"/>
    <w:uiPriority w:val="34"/>
    <w:qFormat/>
    <w:rsid w:val="00F3413D"/>
    <w:pPr>
      <w:ind w:left="720"/>
      <w:contextualSpacing/>
    </w:pPr>
  </w:style>
  <w:style w:type="table" w:styleId="TableGrid">
    <w:name w:val="Table Grid"/>
    <w:basedOn w:val="TableNormal"/>
    <w:uiPriority w:val="59"/>
    <w:rsid w:val="00F34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413D"/>
    <w:rPr>
      <w:color w:val="0563C1" w:themeColor="hyperlink"/>
      <w:u w:val="single"/>
    </w:rPr>
  </w:style>
  <w:style w:type="paragraph" w:styleId="BalloonText">
    <w:name w:val="Balloon Text"/>
    <w:basedOn w:val="Normal"/>
    <w:link w:val="BalloonTextChar"/>
    <w:uiPriority w:val="99"/>
    <w:semiHidden/>
    <w:unhideWhenUsed/>
    <w:rsid w:val="00F34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3D"/>
    <w:rPr>
      <w:rFonts w:ascii="Tahoma" w:hAnsi="Tahoma" w:cs="Tahoma"/>
      <w:sz w:val="16"/>
      <w:szCs w:val="16"/>
    </w:rPr>
  </w:style>
  <w:style w:type="character" w:styleId="CommentReference">
    <w:name w:val="annotation reference"/>
    <w:basedOn w:val="DefaultParagraphFont"/>
    <w:uiPriority w:val="99"/>
    <w:semiHidden/>
    <w:unhideWhenUsed/>
    <w:rsid w:val="00F3413D"/>
    <w:rPr>
      <w:sz w:val="16"/>
      <w:szCs w:val="16"/>
    </w:rPr>
  </w:style>
  <w:style w:type="paragraph" w:styleId="CommentText">
    <w:name w:val="annotation text"/>
    <w:basedOn w:val="Normal"/>
    <w:link w:val="CommentTextChar"/>
    <w:uiPriority w:val="99"/>
    <w:unhideWhenUsed/>
    <w:rsid w:val="00F3413D"/>
    <w:pPr>
      <w:spacing w:line="240" w:lineRule="auto"/>
    </w:pPr>
    <w:rPr>
      <w:sz w:val="20"/>
      <w:szCs w:val="20"/>
    </w:rPr>
  </w:style>
  <w:style w:type="character" w:customStyle="1" w:styleId="CommentTextChar">
    <w:name w:val="Comment Text Char"/>
    <w:basedOn w:val="DefaultParagraphFont"/>
    <w:link w:val="CommentText"/>
    <w:uiPriority w:val="99"/>
    <w:rsid w:val="00F3413D"/>
    <w:rPr>
      <w:sz w:val="20"/>
      <w:szCs w:val="20"/>
    </w:rPr>
  </w:style>
  <w:style w:type="paragraph" w:styleId="CommentSubject">
    <w:name w:val="annotation subject"/>
    <w:basedOn w:val="CommentText"/>
    <w:next w:val="CommentText"/>
    <w:link w:val="CommentSubjectChar"/>
    <w:uiPriority w:val="99"/>
    <w:semiHidden/>
    <w:unhideWhenUsed/>
    <w:rsid w:val="00F3413D"/>
    <w:rPr>
      <w:b/>
      <w:bCs/>
    </w:rPr>
  </w:style>
  <w:style w:type="character" w:customStyle="1" w:styleId="CommentSubjectChar">
    <w:name w:val="Comment Subject Char"/>
    <w:basedOn w:val="CommentTextChar"/>
    <w:link w:val="CommentSubject"/>
    <w:uiPriority w:val="99"/>
    <w:semiHidden/>
    <w:rsid w:val="00F3413D"/>
    <w:rPr>
      <w:b/>
      <w:bCs/>
      <w:sz w:val="20"/>
      <w:szCs w:val="20"/>
    </w:rPr>
  </w:style>
  <w:style w:type="paragraph" w:styleId="NormalWeb">
    <w:name w:val="Normal (Web)"/>
    <w:basedOn w:val="Normal"/>
    <w:uiPriority w:val="99"/>
    <w:semiHidden/>
    <w:unhideWhenUsed/>
    <w:rsid w:val="00F341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34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13D"/>
  </w:style>
  <w:style w:type="paragraph" w:styleId="Footer">
    <w:name w:val="footer"/>
    <w:basedOn w:val="Normal"/>
    <w:link w:val="FooterChar"/>
    <w:uiPriority w:val="99"/>
    <w:unhideWhenUsed/>
    <w:rsid w:val="00F34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13D"/>
  </w:style>
  <w:style w:type="character" w:styleId="FollowedHyperlink">
    <w:name w:val="FollowedHyperlink"/>
    <w:basedOn w:val="DefaultParagraphFont"/>
    <w:uiPriority w:val="99"/>
    <w:semiHidden/>
    <w:unhideWhenUsed/>
    <w:rsid w:val="00F3413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1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3413D"/>
  </w:style>
  <w:style w:type="paragraph" w:styleId="ListParagraph">
    <w:name w:val="List Paragraph"/>
    <w:basedOn w:val="Normal"/>
    <w:uiPriority w:val="34"/>
    <w:qFormat/>
    <w:rsid w:val="00F3413D"/>
    <w:pPr>
      <w:ind w:left="720"/>
      <w:contextualSpacing/>
    </w:pPr>
  </w:style>
  <w:style w:type="table" w:styleId="TableGrid">
    <w:name w:val="Table Grid"/>
    <w:basedOn w:val="TableNormal"/>
    <w:uiPriority w:val="59"/>
    <w:rsid w:val="00F34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413D"/>
    <w:rPr>
      <w:color w:val="0563C1" w:themeColor="hyperlink"/>
      <w:u w:val="single"/>
    </w:rPr>
  </w:style>
  <w:style w:type="paragraph" w:styleId="BalloonText">
    <w:name w:val="Balloon Text"/>
    <w:basedOn w:val="Normal"/>
    <w:link w:val="BalloonTextChar"/>
    <w:uiPriority w:val="99"/>
    <w:semiHidden/>
    <w:unhideWhenUsed/>
    <w:rsid w:val="00F34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3D"/>
    <w:rPr>
      <w:rFonts w:ascii="Tahoma" w:hAnsi="Tahoma" w:cs="Tahoma"/>
      <w:sz w:val="16"/>
      <w:szCs w:val="16"/>
    </w:rPr>
  </w:style>
  <w:style w:type="character" w:styleId="CommentReference">
    <w:name w:val="annotation reference"/>
    <w:basedOn w:val="DefaultParagraphFont"/>
    <w:uiPriority w:val="99"/>
    <w:semiHidden/>
    <w:unhideWhenUsed/>
    <w:rsid w:val="00F3413D"/>
    <w:rPr>
      <w:sz w:val="16"/>
      <w:szCs w:val="16"/>
    </w:rPr>
  </w:style>
  <w:style w:type="paragraph" w:styleId="CommentText">
    <w:name w:val="annotation text"/>
    <w:basedOn w:val="Normal"/>
    <w:link w:val="CommentTextChar"/>
    <w:uiPriority w:val="99"/>
    <w:unhideWhenUsed/>
    <w:rsid w:val="00F3413D"/>
    <w:pPr>
      <w:spacing w:line="240" w:lineRule="auto"/>
    </w:pPr>
    <w:rPr>
      <w:sz w:val="20"/>
      <w:szCs w:val="20"/>
    </w:rPr>
  </w:style>
  <w:style w:type="character" w:customStyle="1" w:styleId="CommentTextChar">
    <w:name w:val="Comment Text Char"/>
    <w:basedOn w:val="DefaultParagraphFont"/>
    <w:link w:val="CommentText"/>
    <w:uiPriority w:val="99"/>
    <w:rsid w:val="00F3413D"/>
    <w:rPr>
      <w:sz w:val="20"/>
      <w:szCs w:val="20"/>
    </w:rPr>
  </w:style>
  <w:style w:type="paragraph" w:styleId="CommentSubject">
    <w:name w:val="annotation subject"/>
    <w:basedOn w:val="CommentText"/>
    <w:next w:val="CommentText"/>
    <w:link w:val="CommentSubjectChar"/>
    <w:uiPriority w:val="99"/>
    <w:semiHidden/>
    <w:unhideWhenUsed/>
    <w:rsid w:val="00F3413D"/>
    <w:rPr>
      <w:b/>
      <w:bCs/>
    </w:rPr>
  </w:style>
  <w:style w:type="character" w:customStyle="1" w:styleId="CommentSubjectChar">
    <w:name w:val="Comment Subject Char"/>
    <w:basedOn w:val="CommentTextChar"/>
    <w:link w:val="CommentSubject"/>
    <w:uiPriority w:val="99"/>
    <w:semiHidden/>
    <w:rsid w:val="00F3413D"/>
    <w:rPr>
      <w:b/>
      <w:bCs/>
      <w:sz w:val="20"/>
      <w:szCs w:val="20"/>
    </w:rPr>
  </w:style>
  <w:style w:type="paragraph" w:styleId="NormalWeb">
    <w:name w:val="Normal (Web)"/>
    <w:basedOn w:val="Normal"/>
    <w:uiPriority w:val="99"/>
    <w:semiHidden/>
    <w:unhideWhenUsed/>
    <w:rsid w:val="00F341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34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13D"/>
  </w:style>
  <w:style w:type="paragraph" w:styleId="Footer">
    <w:name w:val="footer"/>
    <w:basedOn w:val="Normal"/>
    <w:link w:val="FooterChar"/>
    <w:uiPriority w:val="99"/>
    <w:unhideWhenUsed/>
    <w:rsid w:val="00F34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13D"/>
  </w:style>
  <w:style w:type="character" w:styleId="FollowedHyperlink">
    <w:name w:val="FollowedHyperlink"/>
    <w:basedOn w:val="DefaultParagraphFont"/>
    <w:uiPriority w:val="99"/>
    <w:semiHidden/>
    <w:unhideWhenUsed/>
    <w:rsid w:val="00F34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35</Pages>
  <Words>7452</Words>
  <Characters>42478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Hand</dc:creator>
  <cp:lastModifiedBy>Kieran Hand</cp:lastModifiedBy>
  <cp:revision>7</cp:revision>
  <dcterms:created xsi:type="dcterms:W3CDTF">2016-09-19T14:49:00Z</dcterms:created>
  <dcterms:modified xsi:type="dcterms:W3CDTF">2016-09-19T15:23:00Z</dcterms:modified>
</cp:coreProperties>
</file>