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B4B8F27" w14:textId="79F3B5E6" w:rsidR="00EE69E1" w:rsidRDefault="0066237A" w:rsidP="007555C8">
      <w:pPr>
        <w:spacing w:after="0" w:line="480" w:lineRule="auto"/>
        <w:jc w:val="center"/>
        <w:rPr>
          <w:b/>
          <w:bCs/>
          <w:sz w:val="28"/>
          <w:szCs w:val="28"/>
        </w:rPr>
      </w:pPr>
      <w:r w:rsidRPr="009F730F">
        <w:rPr>
          <w:b/>
          <w:bCs/>
          <w:sz w:val="28"/>
          <w:szCs w:val="28"/>
        </w:rPr>
        <w:t>Making SDGs work for climate</w:t>
      </w:r>
      <w:r w:rsidR="008D36EC">
        <w:rPr>
          <w:b/>
          <w:bCs/>
          <w:sz w:val="28"/>
          <w:szCs w:val="28"/>
        </w:rPr>
        <w:t xml:space="preserve"> </w:t>
      </w:r>
      <w:r w:rsidR="00281277">
        <w:rPr>
          <w:b/>
          <w:bCs/>
          <w:sz w:val="28"/>
          <w:szCs w:val="28"/>
        </w:rPr>
        <w:t xml:space="preserve">change </w:t>
      </w:r>
      <w:r w:rsidRPr="009F730F">
        <w:rPr>
          <w:b/>
          <w:bCs/>
          <w:sz w:val="28"/>
          <w:szCs w:val="28"/>
        </w:rPr>
        <w:t>hotspots</w:t>
      </w:r>
      <w:r w:rsidR="00DC1EA5" w:rsidRPr="00DC1EA5">
        <w:rPr>
          <w:b/>
          <w:bCs/>
          <w:sz w:val="28"/>
          <w:szCs w:val="28"/>
        </w:rPr>
        <w:t xml:space="preserve"> </w:t>
      </w:r>
    </w:p>
    <w:p w14:paraId="3CBF7E58" w14:textId="77777777" w:rsidR="00DC1EA5" w:rsidRDefault="00DC1EA5" w:rsidP="007555C8">
      <w:pPr>
        <w:spacing w:after="0" w:line="480" w:lineRule="auto"/>
        <w:jc w:val="center"/>
        <w:rPr>
          <w:b/>
          <w:bCs/>
          <w:sz w:val="28"/>
          <w:szCs w:val="28"/>
        </w:rPr>
      </w:pPr>
    </w:p>
    <w:p w14:paraId="195ED222" w14:textId="79E516E7" w:rsidR="00302A8C" w:rsidRPr="009853F0" w:rsidRDefault="00906863" w:rsidP="007555C8">
      <w:pPr>
        <w:spacing w:after="0" w:line="480" w:lineRule="auto"/>
        <w:jc w:val="center"/>
      </w:pPr>
      <w:r>
        <w:t xml:space="preserve">Sylvia </w:t>
      </w:r>
      <w:r w:rsidR="00302A8C" w:rsidRPr="00302A8C">
        <w:t>S</w:t>
      </w:r>
      <w:r w:rsidR="00ED4A02">
        <w:t>zabo</w:t>
      </w:r>
      <w:r w:rsidR="001428F3" w:rsidRPr="001428F3">
        <w:rPr>
          <w:vertAlign w:val="superscript"/>
        </w:rPr>
        <w:t>1</w:t>
      </w:r>
      <w:r w:rsidR="00ED4A02">
        <w:t xml:space="preserve">, </w:t>
      </w:r>
      <w:r>
        <w:t xml:space="preserve">Robert </w:t>
      </w:r>
      <w:r w:rsidR="00D1055A">
        <w:t xml:space="preserve">J. </w:t>
      </w:r>
      <w:r w:rsidR="00ED4A02">
        <w:t>Nicholls</w:t>
      </w:r>
      <w:r w:rsidR="001428F3" w:rsidRPr="001428F3">
        <w:rPr>
          <w:vertAlign w:val="superscript"/>
        </w:rPr>
        <w:t>2</w:t>
      </w:r>
      <w:r w:rsidR="00ED4A02">
        <w:t>,</w:t>
      </w:r>
      <w:r w:rsidR="00ED2106">
        <w:t xml:space="preserve"> Barbara Neumann</w:t>
      </w:r>
      <w:r w:rsidR="001428F3" w:rsidRPr="001428F3">
        <w:rPr>
          <w:vertAlign w:val="superscript"/>
        </w:rPr>
        <w:t>3</w:t>
      </w:r>
      <w:r w:rsidR="00ED2106">
        <w:t>,</w:t>
      </w:r>
      <w:r w:rsidR="00ED4A02">
        <w:t xml:space="preserve"> </w:t>
      </w:r>
      <w:r w:rsidR="002B488C">
        <w:t xml:space="preserve">Fabrice </w:t>
      </w:r>
      <w:r w:rsidR="000B5D25">
        <w:t xml:space="preserve">G. </w:t>
      </w:r>
      <w:r w:rsidR="002B488C">
        <w:t>Renaud</w:t>
      </w:r>
      <w:r w:rsidR="002B488C" w:rsidRPr="001428F3">
        <w:rPr>
          <w:vertAlign w:val="superscript"/>
        </w:rPr>
        <w:t>4</w:t>
      </w:r>
      <w:r w:rsidR="002B488C">
        <w:t xml:space="preserve">, </w:t>
      </w:r>
      <w:r>
        <w:t xml:space="preserve">Zoe </w:t>
      </w:r>
      <w:r w:rsidR="00530CC4">
        <w:t>Matthews</w:t>
      </w:r>
      <w:r w:rsidR="001428F3" w:rsidRPr="001428F3">
        <w:rPr>
          <w:vertAlign w:val="superscript"/>
        </w:rPr>
        <w:t>1</w:t>
      </w:r>
      <w:r w:rsidR="00530CC4">
        <w:t xml:space="preserve">, </w:t>
      </w:r>
      <w:r w:rsidR="005073E0">
        <w:t>Zita Sebesvari</w:t>
      </w:r>
      <w:r w:rsidR="001428F3" w:rsidRPr="001428F3">
        <w:rPr>
          <w:vertAlign w:val="superscript"/>
        </w:rPr>
        <w:t>4</w:t>
      </w:r>
      <w:r w:rsidR="005073E0">
        <w:t xml:space="preserve">, </w:t>
      </w:r>
      <w:r w:rsidR="00065501">
        <w:t xml:space="preserve">Amir </w:t>
      </w:r>
      <w:r w:rsidR="00065501" w:rsidRPr="006652BA">
        <w:t>AghaKouchak</w:t>
      </w:r>
      <w:r w:rsidR="001428F3" w:rsidRPr="001428F3">
        <w:rPr>
          <w:vertAlign w:val="superscript"/>
        </w:rPr>
        <w:t>5</w:t>
      </w:r>
      <w:r w:rsidR="00065501">
        <w:t xml:space="preserve">, </w:t>
      </w:r>
      <w:r w:rsidR="00C34001">
        <w:t>Roger Bales</w:t>
      </w:r>
      <w:r w:rsidR="00ED305B" w:rsidRPr="00ED305B">
        <w:rPr>
          <w:vertAlign w:val="superscript"/>
        </w:rPr>
        <w:t>6</w:t>
      </w:r>
      <w:r w:rsidR="00C34001">
        <w:t xml:space="preserve">, </w:t>
      </w:r>
      <w:r w:rsidR="00810B5B">
        <w:t>C</w:t>
      </w:r>
      <w:r w:rsidR="00EB5BD0">
        <w:t>or</w:t>
      </w:r>
      <w:r w:rsidR="00D92774">
        <w:t>r</w:t>
      </w:r>
      <w:r w:rsidR="00EB5BD0">
        <w:t>i</w:t>
      </w:r>
      <w:r w:rsidR="00D92774">
        <w:t>n</w:t>
      </w:r>
      <w:r w:rsidR="0065502B">
        <w:t>e</w:t>
      </w:r>
      <w:r w:rsidR="00EB5BD0">
        <w:t xml:space="preserve"> </w:t>
      </w:r>
      <w:r w:rsidR="00D92774">
        <w:t xml:space="preserve">Warren </w:t>
      </w:r>
      <w:r>
        <w:t>Ruktanonchai</w:t>
      </w:r>
      <w:r w:rsidR="00ED305B">
        <w:rPr>
          <w:vertAlign w:val="superscript"/>
        </w:rPr>
        <w:t>7</w:t>
      </w:r>
      <w:r w:rsidR="00E902BE">
        <w:t xml:space="preserve">, </w:t>
      </w:r>
      <w:r w:rsidR="00151315">
        <w:t>Julia Kloos</w:t>
      </w:r>
      <w:r w:rsidR="001428F3" w:rsidRPr="001428F3">
        <w:rPr>
          <w:vertAlign w:val="superscript"/>
        </w:rPr>
        <w:t>4</w:t>
      </w:r>
      <w:r w:rsidR="00E87E38">
        <w:t>,</w:t>
      </w:r>
      <w:r w:rsidR="00387730">
        <w:t xml:space="preserve"> Efi Foufoula</w:t>
      </w:r>
      <w:r w:rsidR="00245E92">
        <w:t>-</w:t>
      </w:r>
      <w:r w:rsidR="00387730">
        <w:t>Georgi</w:t>
      </w:r>
      <w:r w:rsidR="004975D9">
        <w:t>o</w:t>
      </w:r>
      <w:r w:rsidR="00387730">
        <w:t>u</w:t>
      </w:r>
      <w:r w:rsidR="00C46C88" w:rsidRPr="00C46C88">
        <w:rPr>
          <w:vertAlign w:val="superscript"/>
        </w:rPr>
        <w:t>5,</w:t>
      </w:r>
      <w:r w:rsidR="00ED305B">
        <w:rPr>
          <w:vertAlign w:val="superscript"/>
        </w:rPr>
        <w:t>8</w:t>
      </w:r>
      <w:r w:rsidR="00417400" w:rsidRPr="00417400">
        <w:t>,</w:t>
      </w:r>
      <w:r w:rsidR="00417400">
        <w:rPr>
          <w:vertAlign w:val="superscript"/>
        </w:rPr>
        <w:t xml:space="preserve"> </w:t>
      </w:r>
      <w:r w:rsidR="00654630">
        <w:t>Phi</w:t>
      </w:r>
      <w:r w:rsidR="00417400" w:rsidRPr="00417400">
        <w:t>lip</w:t>
      </w:r>
      <w:r w:rsidR="00654630">
        <w:t>p</w:t>
      </w:r>
      <w:r w:rsidR="00417400" w:rsidRPr="00417400">
        <w:t>us Wester</w:t>
      </w:r>
      <w:r w:rsidR="00ED305B">
        <w:rPr>
          <w:vertAlign w:val="superscript"/>
        </w:rPr>
        <w:t>9</w:t>
      </w:r>
      <w:r w:rsidR="00427CBA">
        <w:t>,</w:t>
      </w:r>
      <w:r w:rsidR="002C535C" w:rsidRPr="002C535C">
        <w:t xml:space="preserve"> </w:t>
      </w:r>
      <w:r w:rsidR="002C535C">
        <w:t>Marc New</w:t>
      </w:r>
      <w:r w:rsidR="001A5EFA" w:rsidRPr="001A5EFA">
        <w:rPr>
          <w:vertAlign w:val="superscript"/>
        </w:rPr>
        <w:t>10</w:t>
      </w:r>
      <w:r w:rsidR="002C535C">
        <w:t>,</w:t>
      </w:r>
      <w:r w:rsidR="00427CBA">
        <w:t xml:space="preserve"> </w:t>
      </w:r>
      <w:r w:rsidR="00421B5F">
        <w:t xml:space="preserve">Jakob </w:t>
      </w:r>
      <w:r w:rsidR="00E326DA">
        <w:t>Rhyner</w:t>
      </w:r>
      <w:r w:rsidR="00B66969">
        <w:rPr>
          <w:vertAlign w:val="superscript"/>
        </w:rPr>
        <w:t>4</w:t>
      </w:r>
      <w:r w:rsidR="009853F0">
        <w:t>, Craig Hutton</w:t>
      </w:r>
      <w:r w:rsidR="009853F0" w:rsidRPr="00634BF6">
        <w:rPr>
          <w:vertAlign w:val="superscript"/>
        </w:rPr>
        <w:t>7</w:t>
      </w:r>
    </w:p>
    <w:p w14:paraId="65B025DC" w14:textId="77777777" w:rsidR="008A7E31" w:rsidRDefault="008A7E31" w:rsidP="00ED2106">
      <w:pPr>
        <w:jc w:val="center"/>
        <w:rPr>
          <w:vertAlign w:val="superscript"/>
        </w:rPr>
      </w:pPr>
    </w:p>
    <w:p w14:paraId="31A95C03" w14:textId="77777777" w:rsidR="008A7E31" w:rsidRPr="007A2E71" w:rsidRDefault="008A7E31" w:rsidP="008A7E31">
      <w:pPr>
        <w:spacing w:after="0" w:line="480" w:lineRule="auto"/>
        <w:rPr>
          <w:b/>
          <w:bCs/>
          <w:vertAlign w:val="superscript"/>
        </w:rPr>
      </w:pPr>
      <w:bookmarkStart w:id="0" w:name="_GoBack"/>
      <w:bookmarkEnd w:id="0"/>
    </w:p>
    <w:p w14:paraId="493BB8EE" w14:textId="77777777" w:rsidR="008A7E31" w:rsidRDefault="008A7E31" w:rsidP="008A7E31">
      <w:pPr>
        <w:spacing w:after="0" w:line="480" w:lineRule="auto"/>
        <w:rPr>
          <w:lang w:val="en-US"/>
        </w:rPr>
      </w:pPr>
      <w:r w:rsidRPr="00DC5DF3">
        <w:rPr>
          <w:vertAlign w:val="superscript"/>
          <w:lang w:val="en-US"/>
        </w:rPr>
        <w:t>1</w:t>
      </w:r>
      <w:r w:rsidRPr="00DC5DF3">
        <w:rPr>
          <w:lang w:val="en-US"/>
        </w:rPr>
        <w:t xml:space="preserve"> Social Statistics and Demography, University of Southampton, Southampton SO17 1BJ, United Kingdom</w:t>
      </w:r>
    </w:p>
    <w:p w14:paraId="13325423" w14:textId="77777777" w:rsidR="008A7E31" w:rsidRPr="00DC5DF3" w:rsidRDefault="008A7E31" w:rsidP="008A7E31">
      <w:pPr>
        <w:spacing w:after="0" w:line="480" w:lineRule="auto"/>
        <w:rPr>
          <w:b/>
          <w:bCs/>
          <w:lang w:val="en-US"/>
        </w:rPr>
      </w:pPr>
      <w:r>
        <w:rPr>
          <w:vertAlign w:val="superscript"/>
          <w:lang w:val="en-US"/>
        </w:rPr>
        <w:t>2</w:t>
      </w:r>
      <w:r w:rsidRPr="00DC5DF3">
        <w:rPr>
          <w:vertAlign w:val="superscript"/>
          <w:lang w:val="en-US"/>
        </w:rPr>
        <w:t xml:space="preserve"> </w:t>
      </w:r>
      <w:r w:rsidRPr="00DC5DF3">
        <w:rPr>
          <w:lang w:val="en-US"/>
        </w:rPr>
        <w:t>Engineering and the Environment, University of Southampton, Southampton SO17 1BJ, United Kingdom</w:t>
      </w:r>
    </w:p>
    <w:p w14:paraId="0CD275BF" w14:textId="77777777" w:rsidR="008A7E31" w:rsidRPr="008A7E31" w:rsidRDefault="008A7E31" w:rsidP="0054591C">
      <w:pPr>
        <w:spacing w:after="0" w:line="480" w:lineRule="auto"/>
        <w:rPr>
          <w:lang w:val="en-US"/>
        </w:rPr>
      </w:pPr>
      <w:r w:rsidRPr="008A7E31">
        <w:rPr>
          <w:vertAlign w:val="superscript"/>
          <w:lang w:val="en-US"/>
        </w:rPr>
        <w:t xml:space="preserve">3 </w:t>
      </w:r>
      <w:r w:rsidR="0054591C" w:rsidRPr="005D6BAF">
        <w:rPr>
          <w:lang w:val="en-US"/>
        </w:rPr>
        <w:t>Institute of Geography</w:t>
      </w:r>
      <w:r w:rsidR="005D6BAF" w:rsidRPr="005D6BAF">
        <w:rPr>
          <w:lang w:val="en-US"/>
        </w:rPr>
        <w:t>,</w:t>
      </w:r>
      <w:r w:rsidR="005D6BAF">
        <w:rPr>
          <w:vertAlign w:val="superscript"/>
          <w:lang w:val="en-US"/>
        </w:rPr>
        <w:t xml:space="preserve"> </w:t>
      </w:r>
      <w:r w:rsidRPr="008A7E31">
        <w:rPr>
          <w:lang w:val="en-US"/>
        </w:rPr>
        <w:t>University of Kiel</w:t>
      </w:r>
      <w:r>
        <w:rPr>
          <w:lang w:val="en-US"/>
        </w:rPr>
        <w:t>, Germany</w:t>
      </w:r>
    </w:p>
    <w:p w14:paraId="00FBC841" w14:textId="34136B22" w:rsidR="008A7E31" w:rsidRDefault="008A7E31" w:rsidP="008A7E31">
      <w:pPr>
        <w:spacing w:after="0" w:line="480" w:lineRule="auto"/>
        <w:rPr>
          <w:lang w:val="en-US"/>
        </w:rPr>
      </w:pPr>
      <w:r>
        <w:rPr>
          <w:vertAlign w:val="superscript"/>
          <w:lang w:val="en-US"/>
        </w:rPr>
        <w:t>4</w:t>
      </w:r>
      <w:r w:rsidRPr="00DC5DF3">
        <w:rPr>
          <w:lang w:val="en-US"/>
        </w:rPr>
        <w:t xml:space="preserve"> United Nations University</w:t>
      </w:r>
      <w:r w:rsidR="003C1BBC">
        <w:rPr>
          <w:lang w:val="en-US"/>
        </w:rPr>
        <w:t xml:space="preserve"> </w:t>
      </w:r>
      <w:r w:rsidR="003C1BBC" w:rsidRPr="00DC5DF3">
        <w:rPr>
          <w:lang w:val="en-US"/>
        </w:rPr>
        <w:t>Institute for Environment and Human Security</w:t>
      </w:r>
      <w:r w:rsidRPr="00DC5DF3">
        <w:rPr>
          <w:lang w:val="en-US"/>
        </w:rPr>
        <w:t>, Bonn, Germany</w:t>
      </w:r>
    </w:p>
    <w:p w14:paraId="563E0B00" w14:textId="77777777" w:rsidR="008A7E31" w:rsidRDefault="008A7E31" w:rsidP="0054591C">
      <w:pPr>
        <w:spacing w:after="0" w:line="480" w:lineRule="auto"/>
        <w:rPr>
          <w:lang w:val="en-US"/>
        </w:rPr>
      </w:pPr>
      <w:r w:rsidRPr="008A7E31">
        <w:rPr>
          <w:vertAlign w:val="superscript"/>
          <w:lang w:val="en-US"/>
        </w:rPr>
        <w:t xml:space="preserve">5 </w:t>
      </w:r>
      <w:r w:rsidR="0054591C" w:rsidRPr="0054591C">
        <w:rPr>
          <w:lang w:val="en-US"/>
        </w:rPr>
        <w:t>Department of Civil &amp; Environmental Engineering</w:t>
      </w:r>
      <w:r w:rsidR="005D6BAF">
        <w:rPr>
          <w:lang w:val="en-US"/>
        </w:rPr>
        <w:t>,</w:t>
      </w:r>
      <w:r w:rsidR="005D6BAF" w:rsidRPr="005D6BAF">
        <w:rPr>
          <w:lang w:val="en-US"/>
        </w:rPr>
        <w:t xml:space="preserve"> </w:t>
      </w:r>
      <w:r>
        <w:rPr>
          <w:lang w:val="en-US"/>
        </w:rPr>
        <w:t>University of California, Irvine, USA</w:t>
      </w:r>
    </w:p>
    <w:p w14:paraId="2538F158" w14:textId="77777777" w:rsidR="00ED305B" w:rsidRPr="00C87825" w:rsidRDefault="00ED305B" w:rsidP="0054591C">
      <w:pPr>
        <w:spacing w:after="0" w:line="480" w:lineRule="auto"/>
        <w:rPr>
          <w:b/>
          <w:bCs/>
          <w:lang w:val="en-US"/>
        </w:rPr>
      </w:pPr>
      <w:r w:rsidRPr="00C87825">
        <w:rPr>
          <w:vertAlign w:val="superscript"/>
          <w:lang w:val="en-US"/>
        </w:rPr>
        <w:t>6</w:t>
      </w:r>
      <w:r w:rsidR="00C87825">
        <w:rPr>
          <w:vertAlign w:val="superscript"/>
          <w:lang w:val="en-US"/>
        </w:rPr>
        <w:t xml:space="preserve"> </w:t>
      </w:r>
      <w:r w:rsidR="00C87825" w:rsidRPr="00C87825">
        <w:rPr>
          <w:lang w:val="en-US"/>
        </w:rPr>
        <w:t>Sierra Nevada Research Institute, University of California</w:t>
      </w:r>
      <w:r w:rsidR="00C87825">
        <w:rPr>
          <w:lang w:val="en-US"/>
        </w:rPr>
        <w:t>, Merced, USA</w:t>
      </w:r>
    </w:p>
    <w:p w14:paraId="148F82F4" w14:textId="77777777" w:rsidR="008A7E31" w:rsidRPr="00DC5DF3" w:rsidRDefault="00ED305B" w:rsidP="008A7E31">
      <w:pPr>
        <w:spacing w:after="0" w:line="480" w:lineRule="auto"/>
        <w:rPr>
          <w:lang w:val="en-US"/>
        </w:rPr>
      </w:pPr>
      <w:r>
        <w:rPr>
          <w:vertAlign w:val="superscript"/>
          <w:lang w:val="en-US"/>
        </w:rPr>
        <w:t>7</w:t>
      </w:r>
      <w:r w:rsidR="008A7E31" w:rsidRPr="00DC5DF3">
        <w:rPr>
          <w:vertAlign w:val="superscript"/>
          <w:lang w:val="en-US"/>
        </w:rPr>
        <w:t xml:space="preserve"> </w:t>
      </w:r>
      <w:r w:rsidR="008A7E31" w:rsidRPr="00DC5DF3">
        <w:rPr>
          <w:lang w:val="en-US"/>
        </w:rPr>
        <w:t>Geography and Environment, University of Southampton, Southampton SO17 1BJ, United Kingdom</w:t>
      </w:r>
    </w:p>
    <w:p w14:paraId="609F9724" w14:textId="77777777" w:rsidR="008A7E31" w:rsidRPr="00DC5DF3" w:rsidRDefault="00ED305B" w:rsidP="008A7E31">
      <w:pPr>
        <w:spacing w:after="0" w:line="480" w:lineRule="auto"/>
        <w:rPr>
          <w:lang w:val="en-US"/>
        </w:rPr>
      </w:pPr>
      <w:r>
        <w:rPr>
          <w:vertAlign w:val="superscript"/>
          <w:lang w:val="en-US"/>
        </w:rPr>
        <w:t>8</w:t>
      </w:r>
      <w:r w:rsidR="008A7E31" w:rsidRPr="00DC5DF3">
        <w:rPr>
          <w:vertAlign w:val="superscript"/>
          <w:lang w:val="en-US"/>
        </w:rPr>
        <w:t xml:space="preserve"> </w:t>
      </w:r>
      <w:r w:rsidR="008A7E31" w:rsidRPr="00DC5DF3">
        <w:rPr>
          <w:lang w:val="en-US"/>
        </w:rPr>
        <w:t>Department of Civil, Environmental and Geo- Engineering, National Center for Earth-surface Dynamics, University of Minnesota, Minneapolis, USA</w:t>
      </w:r>
    </w:p>
    <w:p w14:paraId="65762B60" w14:textId="77777777" w:rsidR="008A7E31" w:rsidRDefault="00ED305B" w:rsidP="008A7E31">
      <w:pPr>
        <w:spacing w:after="0" w:line="480" w:lineRule="auto"/>
        <w:rPr>
          <w:bCs/>
          <w:lang w:val="en-US"/>
        </w:rPr>
      </w:pPr>
      <w:r>
        <w:rPr>
          <w:bCs/>
          <w:vertAlign w:val="superscript"/>
          <w:lang w:val="en-US"/>
        </w:rPr>
        <w:t>9</w:t>
      </w:r>
      <w:r w:rsidR="003946EF" w:rsidRPr="00D92774">
        <w:rPr>
          <w:bCs/>
          <w:lang w:val="en-US"/>
        </w:rPr>
        <w:t xml:space="preserve"> International Centre for Integrated Mountain Development (ICIMOD), Kathmandu, Nepal</w:t>
      </w:r>
    </w:p>
    <w:p w14:paraId="016ADFEA" w14:textId="77777777" w:rsidR="001A5EFA" w:rsidRPr="00D92774" w:rsidRDefault="001A5EFA" w:rsidP="001A5EFA">
      <w:pPr>
        <w:spacing w:after="0" w:line="480" w:lineRule="auto"/>
        <w:rPr>
          <w:bCs/>
          <w:lang w:val="en-US"/>
        </w:rPr>
      </w:pPr>
      <w:r w:rsidRPr="001A5EFA">
        <w:rPr>
          <w:bCs/>
          <w:vertAlign w:val="superscript"/>
          <w:lang w:val="en-US"/>
        </w:rPr>
        <w:t>10</w:t>
      </w:r>
      <w:r>
        <w:rPr>
          <w:bCs/>
          <w:lang w:val="en-US"/>
        </w:rPr>
        <w:t xml:space="preserve"> </w:t>
      </w:r>
      <w:r w:rsidRPr="001A5EFA">
        <w:rPr>
          <w:bCs/>
          <w:lang w:val="en-US"/>
        </w:rPr>
        <w:t>African Climate and Development Initiative</w:t>
      </w:r>
      <w:r>
        <w:rPr>
          <w:bCs/>
          <w:lang w:val="en-US"/>
        </w:rPr>
        <w:t xml:space="preserve"> (ACDI</w:t>
      </w:r>
      <w:r w:rsidRPr="001A5EFA">
        <w:rPr>
          <w:bCs/>
          <w:lang w:val="en-US"/>
        </w:rPr>
        <w:t>)</w:t>
      </w:r>
      <w:r>
        <w:rPr>
          <w:bCs/>
          <w:lang w:val="en-US"/>
        </w:rPr>
        <w:t xml:space="preserve">, </w:t>
      </w:r>
      <w:r w:rsidRPr="001A5EFA">
        <w:rPr>
          <w:bCs/>
          <w:lang w:val="en-US"/>
        </w:rPr>
        <w:t>University of Cape Town</w:t>
      </w:r>
      <w:r>
        <w:rPr>
          <w:bCs/>
          <w:lang w:val="en-US"/>
        </w:rPr>
        <w:t>, South Africa</w:t>
      </w:r>
    </w:p>
    <w:p w14:paraId="7C1CC5E8" w14:textId="77777777" w:rsidR="008A7E31" w:rsidRPr="00DC5DF3" w:rsidRDefault="008A7E31" w:rsidP="008A7E31">
      <w:pPr>
        <w:spacing w:after="0" w:line="480" w:lineRule="auto"/>
        <w:jc w:val="center"/>
        <w:rPr>
          <w:lang w:val="en-US"/>
        </w:rPr>
      </w:pPr>
    </w:p>
    <w:p w14:paraId="76E1546F" w14:textId="77777777" w:rsidR="008A7E31" w:rsidRPr="00DC5DF3" w:rsidRDefault="008A7E31" w:rsidP="008A7E31">
      <w:pPr>
        <w:spacing w:after="0" w:line="480" w:lineRule="auto"/>
        <w:jc w:val="center"/>
        <w:rPr>
          <w:lang w:val="en-US"/>
        </w:rPr>
      </w:pPr>
    </w:p>
    <w:p w14:paraId="3D711525" w14:textId="77777777" w:rsidR="008A7E31" w:rsidRPr="008A7E31" w:rsidRDefault="008A7E31" w:rsidP="008A7E31">
      <w:pPr>
        <w:rPr>
          <w:lang w:val="en-US"/>
        </w:rPr>
      </w:pPr>
    </w:p>
    <w:p w14:paraId="3644F8CB" w14:textId="77777777" w:rsidR="00580EEA" w:rsidRDefault="00580EEA" w:rsidP="008F5F1F">
      <w:pPr>
        <w:jc w:val="center"/>
      </w:pPr>
    </w:p>
    <w:p w14:paraId="0F09611C" w14:textId="77777777" w:rsidR="00765E72" w:rsidRDefault="00765E72" w:rsidP="008F5F1F">
      <w:pPr>
        <w:jc w:val="center"/>
      </w:pPr>
    </w:p>
    <w:p w14:paraId="75DF2F15" w14:textId="77777777" w:rsidR="00C365FC" w:rsidRPr="008B7ACF" w:rsidRDefault="00652391" w:rsidP="00C023FE">
      <w:pPr>
        <w:pStyle w:val="ListParagraph"/>
        <w:numPr>
          <w:ilvl w:val="0"/>
          <w:numId w:val="2"/>
        </w:numPr>
        <w:spacing w:after="0" w:line="480" w:lineRule="auto"/>
        <w:rPr>
          <w:b/>
          <w:bCs/>
          <w:sz w:val="24"/>
          <w:szCs w:val="24"/>
        </w:rPr>
      </w:pPr>
      <w:r w:rsidRPr="008B7ACF">
        <w:rPr>
          <w:b/>
          <w:bCs/>
          <w:sz w:val="24"/>
          <w:szCs w:val="24"/>
        </w:rPr>
        <w:lastRenderedPageBreak/>
        <w:t>Introduction</w:t>
      </w:r>
    </w:p>
    <w:p w14:paraId="0E1E3683" w14:textId="664A7C9D" w:rsidR="004F1DB7" w:rsidRDefault="005C5D2B" w:rsidP="00E26532">
      <w:pPr>
        <w:spacing w:after="0" w:line="480" w:lineRule="auto"/>
        <w:rPr>
          <w:sz w:val="24"/>
          <w:szCs w:val="24"/>
        </w:rPr>
      </w:pPr>
      <w:r>
        <w:rPr>
          <w:sz w:val="24"/>
          <w:szCs w:val="24"/>
        </w:rPr>
        <w:t xml:space="preserve">The impacts of </w:t>
      </w:r>
      <w:r w:rsidR="00A729AB">
        <w:rPr>
          <w:sz w:val="24"/>
          <w:szCs w:val="24"/>
        </w:rPr>
        <w:t xml:space="preserve">climate change </w:t>
      </w:r>
      <w:r>
        <w:rPr>
          <w:sz w:val="24"/>
          <w:szCs w:val="24"/>
        </w:rPr>
        <w:t xml:space="preserve">on people’s livelihoods </w:t>
      </w:r>
      <w:r w:rsidR="00A729AB">
        <w:rPr>
          <w:sz w:val="24"/>
          <w:szCs w:val="24"/>
        </w:rPr>
        <w:t>have been widely documented</w:t>
      </w:r>
      <w:r w:rsidR="002F29CA">
        <w:rPr>
          <w:sz w:val="24"/>
          <w:szCs w:val="24"/>
        </w:rPr>
        <w:t xml:space="preserve"> [</w:t>
      </w:r>
      <w:r w:rsidR="00056615">
        <w:rPr>
          <w:sz w:val="24"/>
          <w:szCs w:val="24"/>
        </w:rPr>
        <w:t>1</w:t>
      </w:r>
      <w:r w:rsidR="002F29CA">
        <w:rPr>
          <w:sz w:val="24"/>
          <w:szCs w:val="24"/>
        </w:rPr>
        <w:t>]</w:t>
      </w:r>
      <w:r w:rsidR="00ED2977">
        <w:rPr>
          <w:sz w:val="24"/>
          <w:szCs w:val="24"/>
        </w:rPr>
        <w:t>.</w:t>
      </w:r>
      <w:r w:rsidR="00A729AB">
        <w:rPr>
          <w:sz w:val="24"/>
          <w:szCs w:val="24"/>
        </w:rPr>
        <w:t xml:space="preserve"> </w:t>
      </w:r>
      <w:r w:rsidR="00ED2977">
        <w:rPr>
          <w:sz w:val="24"/>
          <w:szCs w:val="24"/>
        </w:rPr>
        <w:t>I</w:t>
      </w:r>
      <w:r w:rsidR="002E79FC">
        <w:rPr>
          <w:sz w:val="24"/>
          <w:szCs w:val="24"/>
        </w:rPr>
        <w:t>t is expected that climate and envi</w:t>
      </w:r>
      <w:r w:rsidR="00DD3FE7">
        <w:rPr>
          <w:sz w:val="24"/>
          <w:szCs w:val="24"/>
        </w:rPr>
        <w:t xml:space="preserve">ronmental change will </w:t>
      </w:r>
      <w:r w:rsidR="00CF7900">
        <w:rPr>
          <w:sz w:val="24"/>
          <w:szCs w:val="24"/>
        </w:rPr>
        <w:t>hamper</w:t>
      </w:r>
      <w:r w:rsidR="002E79FC">
        <w:rPr>
          <w:sz w:val="24"/>
          <w:szCs w:val="24"/>
        </w:rPr>
        <w:t xml:space="preserve"> </w:t>
      </w:r>
      <w:r w:rsidR="00DF6199">
        <w:rPr>
          <w:sz w:val="24"/>
          <w:szCs w:val="24"/>
        </w:rPr>
        <w:t>poverty</w:t>
      </w:r>
      <w:r w:rsidR="00CF7900">
        <w:rPr>
          <w:sz w:val="24"/>
          <w:szCs w:val="24"/>
        </w:rPr>
        <w:t xml:space="preserve"> reduction, or even exacerbate poverty in </w:t>
      </w:r>
      <w:r w:rsidR="007A4B6A">
        <w:rPr>
          <w:sz w:val="24"/>
          <w:szCs w:val="24"/>
        </w:rPr>
        <w:t xml:space="preserve">some or </w:t>
      </w:r>
      <w:r w:rsidR="00CF7900">
        <w:rPr>
          <w:sz w:val="24"/>
          <w:szCs w:val="24"/>
        </w:rPr>
        <w:t xml:space="preserve">all of its dimensions. </w:t>
      </w:r>
      <w:r w:rsidR="00071206">
        <w:rPr>
          <w:sz w:val="24"/>
          <w:szCs w:val="24"/>
        </w:rPr>
        <w:t xml:space="preserve">Changes in the </w:t>
      </w:r>
      <w:r w:rsidR="00E326DA">
        <w:rPr>
          <w:sz w:val="24"/>
          <w:szCs w:val="24"/>
        </w:rPr>
        <w:t>b</w:t>
      </w:r>
      <w:r w:rsidR="00E326DA" w:rsidRPr="003C725C">
        <w:rPr>
          <w:sz w:val="24"/>
          <w:szCs w:val="24"/>
        </w:rPr>
        <w:t>iophysical environment</w:t>
      </w:r>
      <w:r w:rsidR="00E26532">
        <w:rPr>
          <w:sz w:val="24"/>
          <w:szCs w:val="24"/>
        </w:rPr>
        <w:t>, such as</w:t>
      </w:r>
      <w:r w:rsidR="00E326DA" w:rsidRPr="003C725C">
        <w:rPr>
          <w:sz w:val="24"/>
          <w:szCs w:val="24"/>
        </w:rPr>
        <w:t xml:space="preserve"> </w:t>
      </w:r>
      <w:r w:rsidR="00B64E7F">
        <w:rPr>
          <w:sz w:val="24"/>
          <w:szCs w:val="24"/>
        </w:rPr>
        <w:t xml:space="preserve">droughts, flooding, </w:t>
      </w:r>
      <w:r w:rsidR="00E17456">
        <w:rPr>
          <w:sz w:val="24"/>
          <w:szCs w:val="24"/>
        </w:rPr>
        <w:t xml:space="preserve">water quantity and quality, </w:t>
      </w:r>
      <w:r w:rsidR="00E26532">
        <w:rPr>
          <w:sz w:val="24"/>
          <w:szCs w:val="24"/>
        </w:rPr>
        <w:t xml:space="preserve">and </w:t>
      </w:r>
      <w:r w:rsidR="00B64E7F">
        <w:rPr>
          <w:sz w:val="24"/>
          <w:szCs w:val="24"/>
        </w:rPr>
        <w:t>degrading ecosystems</w:t>
      </w:r>
      <w:r w:rsidR="00E26532">
        <w:rPr>
          <w:sz w:val="24"/>
          <w:szCs w:val="24"/>
        </w:rPr>
        <w:t>,</w:t>
      </w:r>
      <w:r w:rsidR="00B64E7F">
        <w:rPr>
          <w:sz w:val="24"/>
          <w:szCs w:val="24"/>
        </w:rPr>
        <w:t xml:space="preserve"> </w:t>
      </w:r>
      <w:r w:rsidR="00B8142B">
        <w:rPr>
          <w:sz w:val="24"/>
          <w:szCs w:val="24"/>
        </w:rPr>
        <w:t xml:space="preserve">are </w:t>
      </w:r>
      <w:r w:rsidR="00B64E7F">
        <w:rPr>
          <w:sz w:val="24"/>
          <w:szCs w:val="24"/>
        </w:rPr>
        <w:t xml:space="preserve">expected to affect </w:t>
      </w:r>
      <w:r>
        <w:rPr>
          <w:sz w:val="24"/>
          <w:szCs w:val="24"/>
        </w:rPr>
        <w:t xml:space="preserve">opportunities </w:t>
      </w:r>
      <w:r w:rsidR="00E26532">
        <w:rPr>
          <w:sz w:val="24"/>
          <w:szCs w:val="24"/>
        </w:rPr>
        <w:t xml:space="preserve">for people </w:t>
      </w:r>
      <w:r>
        <w:rPr>
          <w:sz w:val="24"/>
          <w:szCs w:val="24"/>
        </w:rPr>
        <w:t>to generate income</w:t>
      </w:r>
      <w:r w:rsidR="00E26532">
        <w:rPr>
          <w:sz w:val="24"/>
          <w:szCs w:val="24"/>
        </w:rPr>
        <w:t xml:space="preserve">. These changes, combined with </w:t>
      </w:r>
      <w:r w:rsidR="00E326DA">
        <w:rPr>
          <w:sz w:val="24"/>
          <w:szCs w:val="24"/>
        </w:rPr>
        <w:t>a deficiency in coping strategies</w:t>
      </w:r>
      <w:r w:rsidR="007A4B6A">
        <w:rPr>
          <w:sz w:val="24"/>
          <w:szCs w:val="24"/>
        </w:rPr>
        <w:t xml:space="preserve"> and innovation </w:t>
      </w:r>
      <w:r w:rsidR="00E17456">
        <w:rPr>
          <w:sz w:val="24"/>
          <w:szCs w:val="24"/>
        </w:rPr>
        <w:t>to ad</w:t>
      </w:r>
      <w:r w:rsidR="001C761E">
        <w:rPr>
          <w:sz w:val="24"/>
          <w:szCs w:val="24"/>
        </w:rPr>
        <w:t>a</w:t>
      </w:r>
      <w:r w:rsidR="00E17456">
        <w:rPr>
          <w:sz w:val="24"/>
          <w:szCs w:val="24"/>
        </w:rPr>
        <w:t xml:space="preserve">pt </w:t>
      </w:r>
      <w:r w:rsidR="007A4B6A">
        <w:rPr>
          <w:sz w:val="24"/>
          <w:szCs w:val="24"/>
        </w:rPr>
        <w:t>to particular climate</w:t>
      </w:r>
      <w:r w:rsidR="00E71F8C">
        <w:rPr>
          <w:sz w:val="24"/>
          <w:szCs w:val="24"/>
        </w:rPr>
        <w:t xml:space="preserve"> </w:t>
      </w:r>
      <w:r w:rsidR="007A4B6A">
        <w:rPr>
          <w:sz w:val="24"/>
          <w:szCs w:val="24"/>
        </w:rPr>
        <w:t>change threats</w:t>
      </w:r>
      <w:r w:rsidR="00E26532">
        <w:rPr>
          <w:sz w:val="24"/>
          <w:szCs w:val="24"/>
        </w:rPr>
        <w:t>, are in turn like</w:t>
      </w:r>
      <w:r w:rsidR="00E03069">
        <w:rPr>
          <w:sz w:val="24"/>
          <w:szCs w:val="24"/>
        </w:rPr>
        <w:t>l</w:t>
      </w:r>
      <w:r w:rsidR="00E26532">
        <w:rPr>
          <w:sz w:val="24"/>
          <w:szCs w:val="24"/>
        </w:rPr>
        <w:t xml:space="preserve">y to lead to increased </w:t>
      </w:r>
      <w:r w:rsidR="00E26532" w:rsidRPr="001A5EFA">
        <w:rPr>
          <w:sz w:val="24"/>
          <w:szCs w:val="24"/>
        </w:rPr>
        <w:t xml:space="preserve">economic </w:t>
      </w:r>
      <w:r w:rsidR="00E26532">
        <w:rPr>
          <w:sz w:val="24"/>
          <w:szCs w:val="24"/>
        </w:rPr>
        <w:t xml:space="preserve">and social </w:t>
      </w:r>
      <w:r w:rsidR="00E26532" w:rsidRPr="001A5EFA">
        <w:rPr>
          <w:sz w:val="24"/>
          <w:szCs w:val="24"/>
        </w:rPr>
        <w:t>vulnerability</w:t>
      </w:r>
      <w:r w:rsidR="00E26532">
        <w:rPr>
          <w:sz w:val="24"/>
          <w:szCs w:val="24"/>
        </w:rPr>
        <w:t xml:space="preserve"> of households and communities, especially amongst the poorest</w:t>
      </w:r>
      <w:r w:rsidR="00E326DA">
        <w:rPr>
          <w:sz w:val="24"/>
          <w:szCs w:val="24"/>
        </w:rPr>
        <w:t xml:space="preserve">. </w:t>
      </w:r>
    </w:p>
    <w:p w14:paraId="381DF910" w14:textId="77777777" w:rsidR="004F1DB7" w:rsidRDefault="004F1DB7" w:rsidP="00C023FE">
      <w:pPr>
        <w:spacing w:after="0" w:line="480" w:lineRule="auto"/>
        <w:rPr>
          <w:sz w:val="24"/>
          <w:szCs w:val="24"/>
        </w:rPr>
      </w:pPr>
    </w:p>
    <w:p w14:paraId="70E89A80" w14:textId="726D95DA" w:rsidR="00C53313" w:rsidRDefault="00C53313" w:rsidP="00286F10">
      <w:pPr>
        <w:tabs>
          <w:tab w:val="left" w:pos="5812"/>
        </w:tabs>
        <w:spacing w:after="0" w:line="480" w:lineRule="auto"/>
        <w:ind w:firstLine="567"/>
        <w:rPr>
          <w:sz w:val="24"/>
          <w:szCs w:val="24"/>
        </w:rPr>
      </w:pPr>
      <w:r>
        <w:rPr>
          <w:sz w:val="24"/>
          <w:szCs w:val="24"/>
        </w:rPr>
        <w:t xml:space="preserve">The impacts on communities and housholds will vary among social-ecological systems. </w:t>
      </w:r>
      <w:r w:rsidRPr="003C725C">
        <w:rPr>
          <w:sz w:val="24"/>
          <w:szCs w:val="24"/>
        </w:rPr>
        <w:t>De Souza et al.</w:t>
      </w:r>
      <w:r w:rsidR="00286F10">
        <w:rPr>
          <w:sz w:val="24"/>
          <w:szCs w:val="24"/>
        </w:rPr>
        <w:t xml:space="preserve"> </w:t>
      </w:r>
      <w:r>
        <w:rPr>
          <w:sz w:val="24"/>
          <w:szCs w:val="24"/>
        </w:rPr>
        <w:t>[2]</w:t>
      </w:r>
      <w:r w:rsidRPr="003C725C">
        <w:rPr>
          <w:sz w:val="24"/>
          <w:szCs w:val="24"/>
        </w:rPr>
        <w:t xml:space="preserve"> </w:t>
      </w:r>
      <w:r>
        <w:rPr>
          <w:sz w:val="24"/>
          <w:szCs w:val="24"/>
        </w:rPr>
        <w:t xml:space="preserve">identify three main types of </w:t>
      </w:r>
      <w:r w:rsidRPr="00EA52D6">
        <w:rPr>
          <w:sz w:val="24"/>
          <w:szCs w:val="24"/>
        </w:rPr>
        <w:t>climate</w:t>
      </w:r>
      <w:r w:rsidR="00286F10">
        <w:rPr>
          <w:sz w:val="24"/>
          <w:szCs w:val="24"/>
        </w:rPr>
        <w:t xml:space="preserve"> </w:t>
      </w:r>
      <w:r>
        <w:rPr>
          <w:sz w:val="24"/>
          <w:szCs w:val="24"/>
        </w:rPr>
        <w:t xml:space="preserve">change </w:t>
      </w:r>
      <w:r w:rsidRPr="00EA52D6">
        <w:rPr>
          <w:sz w:val="24"/>
          <w:szCs w:val="24"/>
        </w:rPr>
        <w:t>hotspots</w:t>
      </w:r>
      <w:r>
        <w:rPr>
          <w:sz w:val="24"/>
          <w:szCs w:val="24"/>
        </w:rPr>
        <w:t xml:space="preserve">, </w:t>
      </w:r>
      <w:r w:rsidR="002F261F">
        <w:rPr>
          <w:sz w:val="24"/>
          <w:szCs w:val="24"/>
        </w:rPr>
        <w:t xml:space="preserve">which they define as a combination of areas where climate change signals overlap </w:t>
      </w:r>
      <w:r w:rsidR="001D7B4F">
        <w:rPr>
          <w:sz w:val="24"/>
          <w:szCs w:val="24"/>
        </w:rPr>
        <w:t>with vulnerable communities. The climate</w:t>
      </w:r>
      <w:r w:rsidR="003566AB">
        <w:rPr>
          <w:sz w:val="24"/>
          <w:szCs w:val="24"/>
        </w:rPr>
        <w:t xml:space="preserve"> </w:t>
      </w:r>
      <w:r w:rsidR="001D7B4F">
        <w:rPr>
          <w:sz w:val="24"/>
          <w:szCs w:val="24"/>
        </w:rPr>
        <w:t xml:space="preserve">change hotspots </w:t>
      </w:r>
      <w:r>
        <w:rPr>
          <w:sz w:val="24"/>
          <w:szCs w:val="24"/>
        </w:rPr>
        <w:t xml:space="preserve">are often inter-connected and affect socio-economic development. </w:t>
      </w:r>
      <w:r w:rsidR="001D7B4F" w:rsidRPr="003C725C">
        <w:rPr>
          <w:sz w:val="24"/>
          <w:szCs w:val="24"/>
        </w:rPr>
        <w:t>De Souza et al.</w:t>
      </w:r>
      <w:r w:rsidR="001D7B4F">
        <w:rPr>
          <w:sz w:val="24"/>
          <w:szCs w:val="24"/>
        </w:rPr>
        <w:t xml:space="preserve"> [2] identified</w:t>
      </w:r>
      <w:r>
        <w:rPr>
          <w:sz w:val="24"/>
          <w:szCs w:val="24"/>
        </w:rPr>
        <w:t>: 1) deltas</w:t>
      </w:r>
      <w:r w:rsidR="001D7B4F">
        <w:rPr>
          <w:sz w:val="24"/>
          <w:szCs w:val="24"/>
        </w:rPr>
        <w:t xml:space="preserve"> in Africa and South Asia</w:t>
      </w:r>
      <w:r>
        <w:rPr>
          <w:sz w:val="24"/>
          <w:szCs w:val="24"/>
        </w:rPr>
        <w:t xml:space="preserve">, 2) semi-arid regions </w:t>
      </w:r>
      <w:r w:rsidR="001D7B4F">
        <w:rPr>
          <w:sz w:val="24"/>
          <w:szCs w:val="24"/>
        </w:rPr>
        <w:t xml:space="preserve">in Africa and parts of Asia, </w:t>
      </w:r>
      <w:r>
        <w:rPr>
          <w:sz w:val="24"/>
          <w:szCs w:val="24"/>
        </w:rPr>
        <w:t>and 3) glaciers and snowpack-dependent river basins</w:t>
      </w:r>
      <w:r w:rsidR="001D7B4F">
        <w:rPr>
          <w:sz w:val="24"/>
          <w:szCs w:val="24"/>
        </w:rPr>
        <w:t xml:space="preserve"> in the Himalayas</w:t>
      </w:r>
      <w:r w:rsidR="00286F10">
        <w:rPr>
          <w:sz w:val="24"/>
          <w:szCs w:val="24"/>
        </w:rPr>
        <w:t>.</w:t>
      </w:r>
      <w:r>
        <w:rPr>
          <w:sz w:val="24"/>
          <w:szCs w:val="24"/>
        </w:rPr>
        <w:t xml:space="preserve"> </w:t>
      </w:r>
      <w:r w:rsidR="001D7B4F">
        <w:rPr>
          <w:sz w:val="24"/>
          <w:szCs w:val="24"/>
        </w:rPr>
        <w:t xml:space="preserve">We consider these typologies as being relevant globally, covering a large portion of the </w:t>
      </w:r>
      <w:r w:rsidR="00D1796B">
        <w:rPr>
          <w:sz w:val="24"/>
          <w:szCs w:val="24"/>
        </w:rPr>
        <w:t>world</w:t>
      </w:r>
      <w:r w:rsidR="001D7B4F">
        <w:rPr>
          <w:sz w:val="24"/>
          <w:szCs w:val="24"/>
        </w:rPr>
        <w:t xml:space="preserve"> </w:t>
      </w:r>
      <w:r w:rsidR="001D7B4F">
        <w:rPr>
          <w:sz w:val="24"/>
          <w:szCs w:val="24"/>
        </w:rPr>
        <w:t xml:space="preserve">(Fig. 1). </w:t>
      </w:r>
      <w:r>
        <w:rPr>
          <w:sz w:val="24"/>
          <w:szCs w:val="24"/>
        </w:rPr>
        <w:t xml:space="preserve">These hotspots are areas that often cut across administrative boundaries and have limited political representation. As a result, they are not a focus of direct policy action, which has important implications for sustainable </w:t>
      </w:r>
      <w:r w:rsidRPr="00F95B0F">
        <w:rPr>
          <w:sz w:val="24"/>
          <w:szCs w:val="24"/>
        </w:rPr>
        <w:t>development and the well-being of local populations. In this commentary we propose climate</w:t>
      </w:r>
      <w:r w:rsidR="00E71F8C">
        <w:rPr>
          <w:sz w:val="24"/>
          <w:szCs w:val="24"/>
        </w:rPr>
        <w:t xml:space="preserve"> </w:t>
      </w:r>
      <w:r w:rsidRPr="00F95B0F">
        <w:rPr>
          <w:sz w:val="24"/>
          <w:szCs w:val="24"/>
        </w:rPr>
        <w:t>change</w:t>
      </w:r>
      <w:r w:rsidR="00E71F8C">
        <w:rPr>
          <w:sz w:val="24"/>
          <w:szCs w:val="24"/>
        </w:rPr>
        <w:t xml:space="preserve"> </w:t>
      </w:r>
      <w:r w:rsidRPr="00F95B0F">
        <w:rPr>
          <w:sz w:val="24"/>
          <w:szCs w:val="24"/>
        </w:rPr>
        <w:t>hotspot indicators that have a regional scope and should complement sub-national and national indicators. In doing so</w:t>
      </w:r>
      <w:r>
        <w:rPr>
          <w:sz w:val="24"/>
          <w:szCs w:val="24"/>
        </w:rPr>
        <w:t>,</w:t>
      </w:r>
      <w:r w:rsidRPr="00F95B0F">
        <w:rPr>
          <w:sz w:val="24"/>
          <w:szCs w:val="24"/>
        </w:rPr>
        <w:t xml:space="preserve"> this paper contributes </w:t>
      </w:r>
      <w:r w:rsidRPr="00F95B0F">
        <w:rPr>
          <w:sz w:val="24"/>
          <w:szCs w:val="24"/>
        </w:rPr>
        <w:lastRenderedPageBreak/>
        <w:t>towards the requir</w:t>
      </w:r>
      <w:r>
        <w:rPr>
          <w:sz w:val="24"/>
          <w:szCs w:val="24"/>
        </w:rPr>
        <w:t>e</w:t>
      </w:r>
      <w:r w:rsidRPr="00F95B0F">
        <w:rPr>
          <w:sz w:val="24"/>
          <w:szCs w:val="24"/>
        </w:rPr>
        <w:t>ments of the Sustainable Development Goals (SDG</w:t>
      </w:r>
      <w:r w:rsidRPr="00E26532">
        <w:rPr>
          <w:sz w:val="24"/>
          <w:szCs w:val="24"/>
        </w:rPr>
        <w:t>), the Paris Agreement of the United Nations Framework Convention on Climate</w:t>
      </w:r>
      <w:r w:rsidRPr="000B5D25">
        <w:rPr>
          <w:sz w:val="24"/>
          <w:szCs w:val="24"/>
        </w:rPr>
        <w:t xml:space="preserve"> Change</w:t>
      </w:r>
      <w:r w:rsidRPr="00907B64">
        <w:rPr>
          <w:sz w:val="24"/>
          <w:szCs w:val="24"/>
        </w:rPr>
        <w:t xml:space="preserve"> </w:t>
      </w:r>
      <w:r>
        <w:rPr>
          <w:sz w:val="24"/>
          <w:szCs w:val="24"/>
        </w:rPr>
        <w:t>(</w:t>
      </w:r>
      <w:r w:rsidRPr="00907B64">
        <w:rPr>
          <w:sz w:val="24"/>
          <w:szCs w:val="24"/>
        </w:rPr>
        <w:t>UNFCCC</w:t>
      </w:r>
      <w:r>
        <w:rPr>
          <w:sz w:val="24"/>
          <w:szCs w:val="24"/>
        </w:rPr>
        <w:t xml:space="preserve">) and the </w:t>
      </w:r>
      <w:r w:rsidRPr="00095A15">
        <w:rPr>
          <w:sz w:val="24"/>
          <w:szCs w:val="24"/>
        </w:rPr>
        <w:t>Sendai Framework for Disaster Risk Reduction</w:t>
      </w:r>
      <w:r>
        <w:rPr>
          <w:sz w:val="24"/>
          <w:szCs w:val="24"/>
        </w:rPr>
        <w:t xml:space="preserve"> (SFDRR) of t</w:t>
      </w:r>
      <w:r w:rsidRPr="00095A15">
        <w:rPr>
          <w:sz w:val="24"/>
          <w:szCs w:val="24"/>
        </w:rPr>
        <w:t>he United Nations Office for Disaster Risk Reduction (UNISDR)</w:t>
      </w:r>
      <w:r>
        <w:rPr>
          <w:sz w:val="24"/>
          <w:szCs w:val="24"/>
        </w:rPr>
        <w:t>. The United Nation</w:t>
      </w:r>
      <w:r w:rsidRPr="0054591C">
        <w:rPr>
          <w:sz w:val="24"/>
          <w:szCs w:val="24"/>
        </w:rPr>
        <w:t>s</w:t>
      </w:r>
      <w:r>
        <w:rPr>
          <w:sz w:val="24"/>
          <w:szCs w:val="24"/>
        </w:rPr>
        <w:t>’</w:t>
      </w:r>
      <w:r w:rsidRPr="0054591C">
        <w:rPr>
          <w:sz w:val="24"/>
          <w:szCs w:val="24"/>
        </w:rPr>
        <w:t xml:space="preserve"> 2030 Agenda </w:t>
      </w:r>
      <w:r>
        <w:rPr>
          <w:sz w:val="24"/>
          <w:szCs w:val="24"/>
        </w:rPr>
        <w:t>for Sustainable Development [9],</w:t>
      </w:r>
      <w:r w:rsidRPr="0054591C">
        <w:rPr>
          <w:sz w:val="24"/>
          <w:szCs w:val="24"/>
        </w:rPr>
        <w:t xml:space="preserve"> the Paris Agreement of the </w:t>
      </w:r>
      <w:r>
        <w:rPr>
          <w:sz w:val="24"/>
          <w:szCs w:val="24"/>
        </w:rPr>
        <w:t xml:space="preserve">UNFCCC [10] and </w:t>
      </w:r>
      <w:r w:rsidRPr="00412797">
        <w:rPr>
          <w:sz w:val="24"/>
          <w:szCs w:val="24"/>
        </w:rPr>
        <w:t xml:space="preserve">SFDRR </w:t>
      </w:r>
      <w:r>
        <w:rPr>
          <w:sz w:val="24"/>
          <w:szCs w:val="24"/>
        </w:rPr>
        <w:t xml:space="preserve">of the </w:t>
      </w:r>
      <w:r w:rsidRPr="00412797">
        <w:rPr>
          <w:sz w:val="24"/>
          <w:szCs w:val="24"/>
        </w:rPr>
        <w:t xml:space="preserve">UNISDR </w:t>
      </w:r>
      <w:r>
        <w:rPr>
          <w:sz w:val="24"/>
          <w:szCs w:val="24"/>
        </w:rPr>
        <w:t>[11] all acknowledge the immi</w:t>
      </w:r>
      <w:r w:rsidRPr="0054591C">
        <w:rPr>
          <w:sz w:val="24"/>
          <w:szCs w:val="24"/>
        </w:rPr>
        <w:t>nent challenge</w:t>
      </w:r>
      <w:r>
        <w:rPr>
          <w:sz w:val="24"/>
          <w:szCs w:val="24"/>
        </w:rPr>
        <w:t>s</w:t>
      </w:r>
      <w:r w:rsidRPr="0054591C">
        <w:rPr>
          <w:sz w:val="24"/>
          <w:szCs w:val="24"/>
        </w:rPr>
        <w:t xml:space="preserve"> and threat</w:t>
      </w:r>
      <w:r>
        <w:rPr>
          <w:sz w:val="24"/>
          <w:szCs w:val="24"/>
        </w:rPr>
        <w:t>s</w:t>
      </w:r>
      <w:r w:rsidRPr="0054591C">
        <w:rPr>
          <w:sz w:val="24"/>
          <w:szCs w:val="24"/>
        </w:rPr>
        <w:t xml:space="preserve"> that climate change poses to human societies and recognize the interlinkage</w:t>
      </w:r>
      <w:r>
        <w:rPr>
          <w:sz w:val="24"/>
          <w:szCs w:val="24"/>
        </w:rPr>
        <w:t>s</w:t>
      </w:r>
      <w:r w:rsidRPr="0054591C">
        <w:rPr>
          <w:sz w:val="24"/>
          <w:szCs w:val="24"/>
        </w:rPr>
        <w:t xml:space="preserve"> between resilience </w:t>
      </w:r>
      <w:r>
        <w:rPr>
          <w:sz w:val="24"/>
          <w:szCs w:val="24"/>
        </w:rPr>
        <w:t xml:space="preserve">to climate change </w:t>
      </w:r>
      <w:r w:rsidRPr="0054591C">
        <w:rPr>
          <w:sz w:val="24"/>
          <w:szCs w:val="24"/>
        </w:rPr>
        <w:t>and sustainable development</w:t>
      </w:r>
      <w:r>
        <w:rPr>
          <w:sz w:val="24"/>
          <w:szCs w:val="24"/>
        </w:rPr>
        <w:t xml:space="preserve"> [12</w:t>
      </w:r>
      <w:r w:rsidRPr="0054591C">
        <w:rPr>
          <w:sz w:val="24"/>
          <w:szCs w:val="24"/>
        </w:rPr>
        <w:t>]</w:t>
      </w:r>
      <w:r>
        <w:rPr>
          <w:sz w:val="24"/>
          <w:szCs w:val="24"/>
        </w:rPr>
        <w:t>.</w:t>
      </w:r>
    </w:p>
    <w:p w14:paraId="267C097A" w14:textId="77777777" w:rsidR="00E64F71" w:rsidRDefault="00E64F71" w:rsidP="00C023FE">
      <w:pPr>
        <w:spacing w:after="0" w:line="480" w:lineRule="auto"/>
        <w:rPr>
          <w:sz w:val="24"/>
          <w:szCs w:val="24"/>
        </w:rPr>
      </w:pPr>
    </w:p>
    <w:p w14:paraId="7F84533A" w14:textId="37EFADE9" w:rsidR="00B43C37" w:rsidRDefault="006B7906" w:rsidP="001C61E4">
      <w:pPr>
        <w:spacing w:after="0" w:line="480" w:lineRule="auto"/>
        <w:ind w:firstLine="567"/>
        <w:rPr>
          <w:sz w:val="24"/>
          <w:szCs w:val="24"/>
        </w:rPr>
      </w:pPr>
      <w:r w:rsidRPr="007B5C64">
        <w:rPr>
          <w:i/>
        </w:rPr>
        <w:t>Deltas</w:t>
      </w:r>
      <w:r>
        <w:t xml:space="preserve">, </w:t>
      </w:r>
      <w:r w:rsidRPr="006F705E">
        <w:rPr>
          <w:iCs/>
        </w:rPr>
        <w:t>the first category of climate change hospots,</w:t>
      </w:r>
      <w:r>
        <w:rPr>
          <w:i/>
        </w:rPr>
        <w:t xml:space="preserve"> </w:t>
      </w:r>
      <w:r w:rsidR="00E77C27" w:rsidRPr="007B5C64">
        <w:t>cover only</w:t>
      </w:r>
      <w:r w:rsidR="00915CAB" w:rsidRPr="007B5C64">
        <w:t xml:space="preserve"> </w:t>
      </w:r>
      <w:r w:rsidR="00224C04" w:rsidRPr="007B5C64">
        <w:t xml:space="preserve">1% of the Earth’s area, but are home to over </w:t>
      </w:r>
      <w:r w:rsidR="00C5155E" w:rsidRPr="007B5C64">
        <w:t xml:space="preserve">500 million </w:t>
      </w:r>
      <w:r w:rsidR="001D7447" w:rsidRPr="007B5C64">
        <w:t>people</w:t>
      </w:r>
      <w:r w:rsidR="00A253F9" w:rsidRPr="007B5C64">
        <w:t xml:space="preserve"> [3</w:t>
      </w:r>
      <w:r w:rsidR="000117F8" w:rsidRPr="007B5C64">
        <w:t>]</w:t>
      </w:r>
      <w:r w:rsidR="00224C04" w:rsidRPr="007B5C64">
        <w:t xml:space="preserve">. </w:t>
      </w:r>
      <w:r w:rsidR="006E5F55" w:rsidRPr="00F95B0F">
        <w:rPr>
          <w:sz w:val="24"/>
          <w:szCs w:val="24"/>
        </w:rPr>
        <w:t>Deltas are dynamic systems that are characterised by low elevation, frequent flooding and high biodiversity</w:t>
      </w:r>
      <w:r w:rsidR="004F0315">
        <w:rPr>
          <w:sz w:val="24"/>
          <w:szCs w:val="24"/>
        </w:rPr>
        <w:t>;</w:t>
      </w:r>
      <w:r w:rsidR="006E5F55" w:rsidRPr="00F95B0F">
        <w:rPr>
          <w:sz w:val="24"/>
          <w:szCs w:val="24"/>
        </w:rPr>
        <w:t xml:space="preserve"> and </w:t>
      </w:r>
      <w:r w:rsidR="004F0315">
        <w:rPr>
          <w:sz w:val="24"/>
          <w:szCs w:val="24"/>
        </w:rPr>
        <w:t xml:space="preserve">they </w:t>
      </w:r>
      <w:r w:rsidR="006E5F55" w:rsidRPr="00F95B0F">
        <w:rPr>
          <w:sz w:val="24"/>
          <w:szCs w:val="24"/>
        </w:rPr>
        <w:t>benefit from high agricultural and fisheries productivity, contributing to regional and global food security [4]. Climate change is lead</w:t>
      </w:r>
      <w:r w:rsidR="006F705E">
        <w:rPr>
          <w:sz w:val="24"/>
          <w:szCs w:val="24"/>
        </w:rPr>
        <w:t>ing</w:t>
      </w:r>
      <w:r w:rsidR="006E5F55" w:rsidRPr="00F95B0F">
        <w:rPr>
          <w:sz w:val="24"/>
          <w:szCs w:val="24"/>
        </w:rPr>
        <w:t xml:space="preserve"> to higher sea levels, </w:t>
      </w:r>
      <w:r w:rsidR="006F705E">
        <w:rPr>
          <w:sz w:val="24"/>
          <w:szCs w:val="24"/>
        </w:rPr>
        <w:t xml:space="preserve">to </w:t>
      </w:r>
      <w:r w:rsidR="006E5F55" w:rsidRPr="00F95B0F">
        <w:rPr>
          <w:sz w:val="24"/>
          <w:szCs w:val="24"/>
        </w:rPr>
        <w:t xml:space="preserve">changes in major river discharge and likely </w:t>
      </w:r>
      <w:r w:rsidR="006F705E" w:rsidRPr="00F95B0F">
        <w:rPr>
          <w:sz w:val="24"/>
          <w:szCs w:val="24"/>
        </w:rPr>
        <w:t xml:space="preserve">to </w:t>
      </w:r>
      <w:r w:rsidR="006E5F55" w:rsidRPr="00F95B0F">
        <w:rPr>
          <w:sz w:val="24"/>
          <w:szCs w:val="24"/>
        </w:rPr>
        <w:t>increase</w:t>
      </w:r>
      <w:r w:rsidR="006F705E">
        <w:rPr>
          <w:sz w:val="24"/>
          <w:szCs w:val="24"/>
        </w:rPr>
        <w:t>s</w:t>
      </w:r>
      <w:r w:rsidR="006E5F55" w:rsidRPr="00F95B0F">
        <w:rPr>
          <w:sz w:val="24"/>
          <w:szCs w:val="24"/>
        </w:rPr>
        <w:t xml:space="preserve"> in the frequency of cyclones and coastal storms in many susceptible areas. Collectively, this increases the risk of floods and salinization, often intensified by natural and human-induced land subsidence, and will affect coastal ecosystems and the services they provide [5, 6]. </w:t>
      </w:r>
      <w:r w:rsidR="006E5F55" w:rsidRPr="00F95B0F">
        <w:rPr>
          <w:i/>
          <w:sz w:val="24"/>
          <w:szCs w:val="24"/>
        </w:rPr>
        <w:t>Semi-arid regions</w:t>
      </w:r>
      <w:r w:rsidR="006E5F55" w:rsidRPr="00F95B0F">
        <w:rPr>
          <w:sz w:val="24"/>
          <w:szCs w:val="24"/>
        </w:rPr>
        <w:t xml:space="preserve"> are home to more than 2 billion people, most of them </w:t>
      </w:r>
      <w:r w:rsidR="00244A33">
        <w:rPr>
          <w:sz w:val="24"/>
          <w:szCs w:val="24"/>
        </w:rPr>
        <w:t xml:space="preserve">living </w:t>
      </w:r>
      <w:r w:rsidR="001C61E4">
        <w:rPr>
          <w:sz w:val="24"/>
          <w:szCs w:val="24"/>
        </w:rPr>
        <w:t>in developing countries (see ref. 2).</w:t>
      </w:r>
      <w:r w:rsidR="006E5F55" w:rsidRPr="00F95B0F">
        <w:rPr>
          <w:sz w:val="24"/>
          <w:szCs w:val="24"/>
        </w:rPr>
        <w:t xml:space="preserve"> </w:t>
      </w:r>
      <w:r w:rsidR="001C761E">
        <w:rPr>
          <w:sz w:val="24"/>
          <w:szCs w:val="24"/>
        </w:rPr>
        <w:t>The</w:t>
      </w:r>
      <w:r w:rsidR="003D07B2">
        <w:rPr>
          <w:sz w:val="24"/>
          <w:szCs w:val="24"/>
        </w:rPr>
        <w:t>se</w:t>
      </w:r>
      <w:r w:rsidR="001C761E">
        <w:rPr>
          <w:sz w:val="24"/>
          <w:szCs w:val="24"/>
        </w:rPr>
        <w:t xml:space="preserve"> regions</w:t>
      </w:r>
      <w:r w:rsidR="001C61E4">
        <w:rPr>
          <w:sz w:val="24"/>
          <w:szCs w:val="24"/>
        </w:rPr>
        <w:t xml:space="preserve"> </w:t>
      </w:r>
      <w:r w:rsidR="006E5F55" w:rsidRPr="00F95B0F">
        <w:rPr>
          <w:sz w:val="24"/>
          <w:szCs w:val="24"/>
        </w:rPr>
        <w:t>are sensitive to climate change due to the harsh climatic conditions already experienced</w:t>
      </w:r>
      <w:r w:rsidR="006F705E">
        <w:rPr>
          <w:sz w:val="24"/>
          <w:szCs w:val="24"/>
        </w:rPr>
        <w:t>,</w:t>
      </w:r>
      <w:r w:rsidR="006E5F55" w:rsidRPr="00F95B0F">
        <w:rPr>
          <w:sz w:val="24"/>
          <w:szCs w:val="24"/>
        </w:rPr>
        <w:t xml:space="preserve"> and are particularly vulnerable to degradation and desertification [7], with</w:t>
      </w:r>
      <w:r w:rsidR="00F95B0F">
        <w:rPr>
          <w:sz w:val="24"/>
          <w:szCs w:val="24"/>
        </w:rPr>
        <w:t xml:space="preserve"> </w:t>
      </w:r>
      <w:r w:rsidR="006E5F55" w:rsidRPr="00F95B0F">
        <w:rPr>
          <w:sz w:val="24"/>
          <w:szCs w:val="24"/>
        </w:rPr>
        <w:t>Africa</w:t>
      </w:r>
      <w:r w:rsidR="00244A33">
        <w:rPr>
          <w:sz w:val="24"/>
          <w:szCs w:val="24"/>
        </w:rPr>
        <w:t>n dryland</w:t>
      </w:r>
      <w:r w:rsidR="006E5F55" w:rsidRPr="00F95B0F">
        <w:rPr>
          <w:sz w:val="24"/>
          <w:szCs w:val="24"/>
        </w:rPr>
        <w:t xml:space="preserve"> </w:t>
      </w:r>
      <w:r w:rsidR="00244A33">
        <w:rPr>
          <w:sz w:val="24"/>
          <w:szCs w:val="24"/>
        </w:rPr>
        <w:t xml:space="preserve">populations </w:t>
      </w:r>
      <w:r w:rsidR="006E5F55" w:rsidRPr="00F95B0F">
        <w:rPr>
          <w:sz w:val="24"/>
          <w:szCs w:val="24"/>
        </w:rPr>
        <w:t>being most at risk due to the high population density in some localities and low input farming systems [8]. Most dryland areas are projected to warm faster and experience greater relative increases in aridity than more</w:t>
      </w:r>
      <w:r w:rsidR="006F705E">
        <w:rPr>
          <w:sz w:val="24"/>
          <w:szCs w:val="24"/>
        </w:rPr>
        <w:t>-</w:t>
      </w:r>
      <w:r w:rsidR="006E5F55" w:rsidRPr="00F95B0F">
        <w:rPr>
          <w:sz w:val="24"/>
          <w:szCs w:val="24"/>
        </w:rPr>
        <w:t xml:space="preserve">humid regions, exacerbating </w:t>
      </w:r>
      <w:r w:rsidR="006E5F55" w:rsidRPr="00F95B0F">
        <w:rPr>
          <w:sz w:val="24"/>
          <w:szCs w:val="24"/>
        </w:rPr>
        <w:lastRenderedPageBreak/>
        <w:t xml:space="preserve">these existing climatic sensitivities. Finally, </w:t>
      </w:r>
      <w:r w:rsidR="006E5F55" w:rsidRPr="00F95B0F">
        <w:rPr>
          <w:i/>
          <w:sz w:val="24"/>
          <w:szCs w:val="24"/>
        </w:rPr>
        <w:t>glaciers and snowpack-dependent river basins</w:t>
      </w:r>
      <w:r w:rsidR="006E5F55" w:rsidRPr="00F95B0F">
        <w:rPr>
          <w:sz w:val="24"/>
          <w:szCs w:val="24"/>
        </w:rPr>
        <w:t xml:space="preserve"> are home to more than one sixth of the world’s populatio</w:t>
      </w:r>
      <w:r w:rsidR="001C61E4">
        <w:rPr>
          <w:sz w:val="24"/>
          <w:szCs w:val="24"/>
        </w:rPr>
        <w:t xml:space="preserve">n, or over 1.2 billion people </w:t>
      </w:r>
      <w:r w:rsidR="001C61E4">
        <w:rPr>
          <w:sz w:val="24"/>
          <w:szCs w:val="24"/>
        </w:rPr>
        <w:t>(see ref. 2).</w:t>
      </w:r>
      <w:r w:rsidR="006E5F55" w:rsidRPr="00F95B0F">
        <w:rPr>
          <w:sz w:val="24"/>
          <w:szCs w:val="24"/>
        </w:rPr>
        <w:t xml:space="preserve"> They face severe  challenges</w:t>
      </w:r>
      <w:r w:rsidR="006F705E" w:rsidRPr="006F705E">
        <w:rPr>
          <w:sz w:val="24"/>
          <w:szCs w:val="24"/>
        </w:rPr>
        <w:t xml:space="preserve"> </w:t>
      </w:r>
      <w:r w:rsidR="006F705E" w:rsidRPr="00F3376C">
        <w:rPr>
          <w:sz w:val="24"/>
          <w:szCs w:val="24"/>
        </w:rPr>
        <w:t>in a warmer climate</w:t>
      </w:r>
      <w:r w:rsidR="006E5F55" w:rsidRPr="00F95B0F">
        <w:rPr>
          <w:sz w:val="24"/>
          <w:szCs w:val="24"/>
        </w:rPr>
        <w:t xml:space="preserve">, </w:t>
      </w:r>
      <w:r w:rsidR="006F705E">
        <w:rPr>
          <w:sz w:val="24"/>
          <w:szCs w:val="24"/>
        </w:rPr>
        <w:t>including</w:t>
      </w:r>
      <w:r w:rsidR="006E5F55" w:rsidRPr="00F95B0F">
        <w:rPr>
          <w:sz w:val="24"/>
          <w:szCs w:val="24"/>
        </w:rPr>
        <w:t xml:space="preserve"> </w:t>
      </w:r>
      <w:r w:rsidR="006F705E">
        <w:rPr>
          <w:sz w:val="24"/>
          <w:szCs w:val="24"/>
        </w:rPr>
        <w:t xml:space="preserve">declines in both </w:t>
      </w:r>
      <w:r w:rsidR="006F705E" w:rsidRPr="00F3376C">
        <w:rPr>
          <w:sz w:val="24"/>
          <w:szCs w:val="24"/>
        </w:rPr>
        <w:t>seasonal snowpacks and glaciers</w:t>
      </w:r>
      <w:r w:rsidR="006F705E">
        <w:rPr>
          <w:sz w:val="24"/>
          <w:szCs w:val="24"/>
        </w:rPr>
        <w:t>,</w:t>
      </w:r>
      <w:r w:rsidR="006F705E" w:rsidRPr="00F3376C">
        <w:rPr>
          <w:sz w:val="24"/>
          <w:szCs w:val="24"/>
        </w:rPr>
        <w:t xml:space="preserve"> </w:t>
      </w:r>
      <w:r w:rsidR="006E5F55" w:rsidRPr="00F95B0F">
        <w:rPr>
          <w:sz w:val="24"/>
          <w:szCs w:val="24"/>
        </w:rPr>
        <w:t xml:space="preserve">changes in </w:t>
      </w:r>
      <w:r w:rsidR="007B5C64">
        <w:rPr>
          <w:sz w:val="24"/>
          <w:szCs w:val="24"/>
        </w:rPr>
        <w:t xml:space="preserve">glacier </w:t>
      </w:r>
      <w:r w:rsidR="006F705E">
        <w:rPr>
          <w:sz w:val="24"/>
          <w:szCs w:val="24"/>
        </w:rPr>
        <w:t xml:space="preserve">and snowpack </w:t>
      </w:r>
      <w:r w:rsidR="007B5C64">
        <w:rPr>
          <w:sz w:val="24"/>
          <w:szCs w:val="24"/>
        </w:rPr>
        <w:t>melting</w:t>
      </w:r>
      <w:r w:rsidR="006E5F55" w:rsidRPr="00F3376C">
        <w:rPr>
          <w:sz w:val="24"/>
          <w:szCs w:val="24"/>
        </w:rPr>
        <w:t xml:space="preserve">, and thus water release, putting additional pressure on dams and groundwater resources. </w:t>
      </w:r>
      <w:r w:rsidR="0004625C" w:rsidRPr="00DC3EA3">
        <w:rPr>
          <w:sz w:val="24"/>
          <w:szCs w:val="24"/>
        </w:rPr>
        <w:t>Together, the</w:t>
      </w:r>
      <w:r w:rsidR="007A4B6A" w:rsidRPr="00234227">
        <w:rPr>
          <w:sz w:val="24"/>
          <w:szCs w:val="24"/>
        </w:rPr>
        <w:t xml:space="preserve"> threats to all three of these </w:t>
      </w:r>
      <w:r w:rsidR="007F05C4" w:rsidRPr="00E26532">
        <w:rPr>
          <w:sz w:val="24"/>
          <w:szCs w:val="24"/>
        </w:rPr>
        <w:t>climate hotspots</w:t>
      </w:r>
      <w:r w:rsidR="0004625C" w:rsidRPr="00E26532">
        <w:rPr>
          <w:sz w:val="24"/>
          <w:szCs w:val="24"/>
        </w:rPr>
        <w:t xml:space="preserve"> are</w:t>
      </w:r>
      <w:r w:rsidR="00E57D22" w:rsidRPr="00E26532">
        <w:rPr>
          <w:sz w:val="24"/>
          <w:szCs w:val="24"/>
        </w:rPr>
        <w:t xml:space="preserve"> </w:t>
      </w:r>
      <w:r w:rsidR="00397B5F" w:rsidRPr="00DC3EA3">
        <w:rPr>
          <w:sz w:val="24"/>
          <w:szCs w:val="24"/>
        </w:rPr>
        <w:t>exacerbated</w:t>
      </w:r>
      <w:r w:rsidR="00E57D22" w:rsidRPr="00DC3EA3">
        <w:rPr>
          <w:sz w:val="24"/>
          <w:szCs w:val="24"/>
        </w:rPr>
        <w:t xml:space="preserve"> by </w:t>
      </w:r>
      <w:r w:rsidR="006F705E" w:rsidRPr="00DC3EA3">
        <w:rPr>
          <w:sz w:val="24"/>
          <w:szCs w:val="24"/>
        </w:rPr>
        <w:t xml:space="preserve">projected </w:t>
      </w:r>
      <w:r w:rsidR="00E57D22" w:rsidRPr="00DC3EA3">
        <w:rPr>
          <w:sz w:val="24"/>
          <w:szCs w:val="24"/>
        </w:rPr>
        <w:t>high levels of population</w:t>
      </w:r>
      <w:r w:rsidR="00676AFD" w:rsidRPr="00DC3EA3">
        <w:rPr>
          <w:sz w:val="24"/>
          <w:szCs w:val="24"/>
        </w:rPr>
        <w:t xml:space="preserve"> </w:t>
      </w:r>
      <w:r w:rsidR="00DC3EA3" w:rsidRPr="00DC3EA3">
        <w:rPr>
          <w:sz w:val="24"/>
          <w:szCs w:val="24"/>
        </w:rPr>
        <w:t>growth</w:t>
      </w:r>
      <w:r w:rsidR="00397B5F">
        <w:rPr>
          <w:sz w:val="24"/>
          <w:szCs w:val="24"/>
        </w:rPr>
        <w:t>, directly</w:t>
      </w:r>
      <w:r w:rsidR="005C5D2B">
        <w:rPr>
          <w:sz w:val="24"/>
          <w:szCs w:val="24"/>
        </w:rPr>
        <w:t xml:space="preserve"> </w:t>
      </w:r>
      <w:r w:rsidR="004966CB">
        <w:rPr>
          <w:sz w:val="24"/>
          <w:szCs w:val="24"/>
        </w:rPr>
        <w:t>a</w:t>
      </w:r>
      <w:r w:rsidR="005C5D2B">
        <w:rPr>
          <w:sz w:val="24"/>
          <w:szCs w:val="24"/>
        </w:rPr>
        <w:t>ffect</w:t>
      </w:r>
      <w:r w:rsidR="004966CB">
        <w:rPr>
          <w:sz w:val="24"/>
          <w:szCs w:val="24"/>
        </w:rPr>
        <w:t>ing</w:t>
      </w:r>
      <w:r w:rsidR="000039C7">
        <w:rPr>
          <w:sz w:val="24"/>
          <w:szCs w:val="24"/>
        </w:rPr>
        <w:t xml:space="preserve"> </w:t>
      </w:r>
      <w:r w:rsidR="005C5D2B">
        <w:rPr>
          <w:sz w:val="24"/>
          <w:szCs w:val="24"/>
        </w:rPr>
        <w:t>the lives of local people</w:t>
      </w:r>
      <w:r w:rsidR="004966CB">
        <w:rPr>
          <w:sz w:val="24"/>
          <w:szCs w:val="24"/>
        </w:rPr>
        <w:t xml:space="preserve">, </w:t>
      </w:r>
      <w:r w:rsidR="000039C7">
        <w:rPr>
          <w:sz w:val="24"/>
          <w:szCs w:val="24"/>
        </w:rPr>
        <w:t xml:space="preserve">and </w:t>
      </w:r>
      <w:r w:rsidR="004200E0">
        <w:rPr>
          <w:sz w:val="24"/>
          <w:szCs w:val="24"/>
        </w:rPr>
        <w:t>trigger</w:t>
      </w:r>
      <w:r w:rsidR="004966CB">
        <w:rPr>
          <w:sz w:val="24"/>
          <w:szCs w:val="24"/>
        </w:rPr>
        <w:t>ing the potential for</w:t>
      </w:r>
      <w:r w:rsidR="004200E0">
        <w:rPr>
          <w:sz w:val="24"/>
          <w:szCs w:val="24"/>
        </w:rPr>
        <w:t xml:space="preserve"> </w:t>
      </w:r>
      <w:r w:rsidR="000039C7">
        <w:rPr>
          <w:sz w:val="24"/>
          <w:szCs w:val="24"/>
        </w:rPr>
        <w:t>increased population movement</w:t>
      </w:r>
      <w:r w:rsidR="004200E0">
        <w:rPr>
          <w:sz w:val="24"/>
          <w:szCs w:val="24"/>
        </w:rPr>
        <w:t xml:space="preserve">. </w:t>
      </w:r>
      <w:r w:rsidR="006B0620">
        <w:rPr>
          <w:sz w:val="24"/>
          <w:szCs w:val="24"/>
        </w:rPr>
        <w:t xml:space="preserve">The climatic impact on these hotspots </w:t>
      </w:r>
      <w:r w:rsidR="004200E0">
        <w:rPr>
          <w:sz w:val="24"/>
          <w:szCs w:val="24"/>
        </w:rPr>
        <w:t xml:space="preserve">calls for </w:t>
      </w:r>
      <w:r w:rsidR="00D47ADF">
        <w:rPr>
          <w:sz w:val="24"/>
          <w:szCs w:val="24"/>
        </w:rPr>
        <w:t>a substantial investment towards their integrated socio-ecological management</w:t>
      </w:r>
      <w:r w:rsidR="006F705E">
        <w:rPr>
          <w:sz w:val="24"/>
          <w:szCs w:val="24"/>
        </w:rPr>
        <w:t>,</w:t>
      </w:r>
      <w:r w:rsidR="00D47ADF">
        <w:rPr>
          <w:sz w:val="24"/>
          <w:szCs w:val="24"/>
        </w:rPr>
        <w:t xml:space="preserve"> grounded on a better </w:t>
      </w:r>
      <w:r w:rsidR="004200E0">
        <w:rPr>
          <w:sz w:val="24"/>
          <w:szCs w:val="24"/>
        </w:rPr>
        <w:t>understanding of the biophysical and socio-ecological processes and trade offs underpinning their dynamic ecosystem</w:t>
      </w:r>
      <w:r w:rsidR="006F705E">
        <w:rPr>
          <w:sz w:val="24"/>
          <w:szCs w:val="24"/>
        </w:rPr>
        <w:t>-</w:t>
      </w:r>
      <w:r w:rsidR="004200E0">
        <w:rPr>
          <w:sz w:val="24"/>
          <w:szCs w:val="24"/>
        </w:rPr>
        <w:t>servi</w:t>
      </w:r>
      <w:r w:rsidR="00D47ADF">
        <w:rPr>
          <w:sz w:val="24"/>
          <w:szCs w:val="24"/>
        </w:rPr>
        <w:t>ce provision and sustainability.</w:t>
      </w:r>
    </w:p>
    <w:p w14:paraId="1279C3F8" w14:textId="77777777" w:rsidR="00B43C37" w:rsidRDefault="00B43C37" w:rsidP="00F3376C">
      <w:pPr>
        <w:spacing w:after="0" w:line="480" w:lineRule="auto"/>
        <w:rPr>
          <w:sz w:val="24"/>
          <w:szCs w:val="24"/>
        </w:rPr>
      </w:pPr>
    </w:p>
    <w:p w14:paraId="645FCA26" w14:textId="7C6188BF" w:rsidR="000117F8" w:rsidRDefault="0054591C" w:rsidP="001C61E4">
      <w:pPr>
        <w:spacing w:after="0" w:line="480" w:lineRule="auto"/>
        <w:ind w:firstLine="567"/>
        <w:rPr>
          <w:sz w:val="24"/>
          <w:szCs w:val="24"/>
        </w:rPr>
      </w:pPr>
      <w:r w:rsidRPr="0054591C">
        <w:rPr>
          <w:sz w:val="24"/>
          <w:szCs w:val="24"/>
        </w:rPr>
        <w:t>Given the importance of</w:t>
      </w:r>
      <w:r w:rsidR="00337806">
        <w:rPr>
          <w:sz w:val="24"/>
          <w:szCs w:val="24"/>
        </w:rPr>
        <w:t xml:space="preserve"> </w:t>
      </w:r>
      <w:r w:rsidRPr="0054591C">
        <w:rPr>
          <w:sz w:val="24"/>
          <w:szCs w:val="24"/>
        </w:rPr>
        <w:t xml:space="preserve">climate hotspots to </w:t>
      </w:r>
      <w:r w:rsidR="009A58B9">
        <w:rPr>
          <w:sz w:val="24"/>
          <w:szCs w:val="24"/>
        </w:rPr>
        <w:t>societal and ecological well</w:t>
      </w:r>
      <w:r w:rsidR="006B591F">
        <w:rPr>
          <w:sz w:val="24"/>
          <w:szCs w:val="24"/>
        </w:rPr>
        <w:t>-</w:t>
      </w:r>
      <w:r w:rsidR="009A58B9">
        <w:rPr>
          <w:sz w:val="24"/>
          <w:szCs w:val="24"/>
        </w:rPr>
        <w:t>being</w:t>
      </w:r>
      <w:r w:rsidRPr="0054591C">
        <w:rPr>
          <w:sz w:val="24"/>
          <w:szCs w:val="24"/>
        </w:rPr>
        <w:t>, failing to ad</w:t>
      </w:r>
      <w:r w:rsidR="00BB16F6">
        <w:rPr>
          <w:sz w:val="24"/>
          <w:szCs w:val="24"/>
        </w:rPr>
        <w:t>equately monitor the environment</w:t>
      </w:r>
      <w:r w:rsidRPr="0054591C">
        <w:rPr>
          <w:sz w:val="24"/>
          <w:szCs w:val="24"/>
        </w:rPr>
        <w:t xml:space="preserve"> of these regions may imped</w:t>
      </w:r>
      <w:r w:rsidR="00287CB8">
        <w:rPr>
          <w:sz w:val="24"/>
          <w:szCs w:val="24"/>
        </w:rPr>
        <w:t>e</w:t>
      </w:r>
      <w:r w:rsidRPr="0054591C">
        <w:rPr>
          <w:sz w:val="24"/>
          <w:szCs w:val="24"/>
        </w:rPr>
        <w:t xml:space="preserve"> their developmental progress,</w:t>
      </w:r>
      <w:r w:rsidR="00287CB8">
        <w:rPr>
          <w:sz w:val="24"/>
          <w:szCs w:val="24"/>
        </w:rPr>
        <w:t xml:space="preserve"> and</w:t>
      </w:r>
      <w:r w:rsidRPr="0054591C">
        <w:rPr>
          <w:sz w:val="24"/>
          <w:szCs w:val="24"/>
        </w:rPr>
        <w:t xml:space="preserve"> also </w:t>
      </w:r>
      <w:r w:rsidR="00287CB8">
        <w:rPr>
          <w:sz w:val="24"/>
          <w:szCs w:val="24"/>
        </w:rPr>
        <w:t xml:space="preserve">hamper </w:t>
      </w:r>
      <w:r w:rsidRPr="0054591C">
        <w:rPr>
          <w:sz w:val="24"/>
          <w:szCs w:val="24"/>
        </w:rPr>
        <w:t xml:space="preserve">the achievement of wider SDGs. </w:t>
      </w:r>
      <w:r w:rsidR="00034E4F">
        <w:rPr>
          <w:sz w:val="24"/>
          <w:szCs w:val="24"/>
        </w:rPr>
        <w:t>It is also likely to hamper the SDG accountability framework</w:t>
      </w:r>
      <w:r w:rsidR="006F705E">
        <w:rPr>
          <w:sz w:val="24"/>
          <w:szCs w:val="24"/>
        </w:rPr>
        <w:t>,</w:t>
      </w:r>
      <w:r w:rsidR="00034E4F">
        <w:rPr>
          <w:sz w:val="24"/>
          <w:szCs w:val="24"/>
        </w:rPr>
        <w:t xml:space="preserve"> which requires monitoring not only at the global level, but also at national, regional and local scales. </w:t>
      </w:r>
      <w:r w:rsidR="009F730F">
        <w:rPr>
          <w:sz w:val="24"/>
          <w:szCs w:val="24"/>
        </w:rPr>
        <w:t>T</w:t>
      </w:r>
      <w:r w:rsidR="00CF688B">
        <w:rPr>
          <w:sz w:val="24"/>
          <w:szCs w:val="24"/>
        </w:rPr>
        <w:t xml:space="preserve">he choice of key </w:t>
      </w:r>
      <w:r w:rsidR="001C761E">
        <w:rPr>
          <w:sz w:val="24"/>
          <w:szCs w:val="24"/>
        </w:rPr>
        <w:t xml:space="preserve">environmental </w:t>
      </w:r>
      <w:r w:rsidR="00CF688B">
        <w:rPr>
          <w:sz w:val="24"/>
          <w:szCs w:val="24"/>
        </w:rPr>
        <w:t xml:space="preserve"> indicators will reflect climate and environmental priorities </w:t>
      </w:r>
      <w:r w:rsidR="006F705E">
        <w:rPr>
          <w:sz w:val="24"/>
          <w:szCs w:val="24"/>
        </w:rPr>
        <w:t xml:space="preserve">for </w:t>
      </w:r>
      <w:r w:rsidR="00CF688B">
        <w:rPr>
          <w:sz w:val="24"/>
          <w:szCs w:val="24"/>
        </w:rPr>
        <w:t>2030</w:t>
      </w:r>
      <w:r w:rsidR="006F705E">
        <w:rPr>
          <w:sz w:val="24"/>
          <w:szCs w:val="24"/>
        </w:rPr>
        <w:t>,</w:t>
      </w:r>
      <w:r w:rsidR="00CF688B">
        <w:rPr>
          <w:sz w:val="24"/>
          <w:szCs w:val="24"/>
        </w:rPr>
        <w:t xml:space="preserve"> and </w:t>
      </w:r>
      <w:r w:rsidR="006F705E">
        <w:rPr>
          <w:sz w:val="24"/>
          <w:szCs w:val="24"/>
        </w:rPr>
        <w:t>has</w:t>
      </w:r>
      <w:r w:rsidR="00CF688B">
        <w:rPr>
          <w:sz w:val="24"/>
          <w:szCs w:val="24"/>
        </w:rPr>
        <w:t xml:space="preserve"> direct implications </w:t>
      </w:r>
      <w:r w:rsidR="00CF688B" w:rsidRPr="0057215B">
        <w:rPr>
          <w:sz w:val="24"/>
          <w:szCs w:val="24"/>
        </w:rPr>
        <w:t>fo</w:t>
      </w:r>
      <w:r w:rsidR="004C703B" w:rsidRPr="0057215B">
        <w:rPr>
          <w:sz w:val="24"/>
          <w:szCs w:val="24"/>
        </w:rPr>
        <w:t>r financing for development</w:t>
      </w:r>
      <w:r w:rsidR="002B488C" w:rsidRPr="0057215B">
        <w:rPr>
          <w:sz w:val="24"/>
          <w:szCs w:val="24"/>
        </w:rPr>
        <w:t>.</w:t>
      </w:r>
      <w:r w:rsidR="00CF688B">
        <w:rPr>
          <w:sz w:val="24"/>
          <w:szCs w:val="24"/>
        </w:rPr>
        <w:t xml:space="preserve"> </w:t>
      </w:r>
      <w:r w:rsidR="000117F8">
        <w:rPr>
          <w:sz w:val="24"/>
          <w:szCs w:val="24"/>
        </w:rPr>
        <w:t>Here, we show the limitations of</w:t>
      </w:r>
      <w:r w:rsidR="003F13BE">
        <w:rPr>
          <w:sz w:val="24"/>
          <w:szCs w:val="24"/>
        </w:rPr>
        <w:t>,</w:t>
      </w:r>
      <w:r w:rsidR="000117F8">
        <w:rPr>
          <w:sz w:val="24"/>
          <w:szCs w:val="24"/>
        </w:rPr>
        <w:t xml:space="preserve"> and the gaps within</w:t>
      </w:r>
      <w:r w:rsidR="003F13BE">
        <w:rPr>
          <w:sz w:val="24"/>
          <w:szCs w:val="24"/>
        </w:rPr>
        <w:t>,</w:t>
      </w:r>
      <w:r w:rsidR="000117F8">
        <w:rPr>
          <w:sz w:val="24"/>
          <w:szCs w:val="24"/>
        </w:rPr>
        <w:t xml:space="preserve"> the currently proposed SDG </w:t>
      </w:r>
      <w:r w:rsidR="00EA245C">
        <w:rPr>
          <w:sz w:val="24"/>
          <w:szCs w:val="24"/>
        </w:rPr>
        <w:t>relevant</w:t>
      </w:r>
      <w:r w:rsidR="00FC5677">
        <w:rPr>
          <w:sz w:val="24"/>
          <w:szCs w:val="24"/>
        </w:rPr>
        <w:t>-</w:t>
      </w:r>
      <w:r w:rsidR="000117F8">
        <w:rPr>
          <w:sz w:val="24"/>
          <w:szCs w:val="24"/>
        </w:rPr>
        <w:t>ind</w:t>
      </w:r>
      <w:r w:rsidR="005C0E09">
        <w:rPr>
          <w:sz w:val="24"/>
          <w:szCs w:val="24"/>
        </w:rPr>
        <w:t>icator framework, and offer a complementary</w:t>
      </w:r>
      <w:r w:rsidR="000117F8">
        <w:rPr>
          <w:sz w:val="24"/>
          <w:szCs w:val="24"/>
        </w:rPr>
        <w:t xml:space="preserve"> approach </w:t>
      </w:r>
      <w:r w:rsidR="00FC5677">
        <w:rPr>
          <w:sz w:val="24"/>
          <w:szCs w:val="24"/>
        </w:rPr>
        <w:t>that</w:t>
      </w:r>
      <w:r w:rsidR="000117F8">
        <w:rPr>
          <w:sz w:val="24"/>
          <w:szCs w:val="24"/>
        </w:rPr>
        <w:t xml:space="preserve"> enable</w:t>
      </w:r>
      <w:r w:rsidR="00FC5677">
        <w:rPr>
          <w:sz w:val="24"/>
          <w:szCs w:val="24"/>
        </w:rPr>
        <w:t>s</w:t>
      </w:r>
      <w:r w:rsidR="000117F8">
        <w:rPr>
          <w:sz w:val="24"/>
          <w:szCs w:val="24"/>
        </w:rPr>
        <w:t xml:space="preserve"> better tracking of development progress in these key climate hotspots</w:t>
      </w:r>
      <w:r w:rsidR="00D443B5">
        <w:rPr>
          <w:sz w:val="24"/>
          <w:szCs w:val="24"/>
        </w:rPr>
        <w:t>, focusing on environmental indicators</w:t>
      </w:r>
      <w:r w:rsidR="000117F8">
        <w:rPr>
          <w:sz w:val="24"/>
          <w:szCs w:val="24"/>
        </w:rPr>
        <w:t xml:space="preserve">. Hence, this </w:t>
      </w:r>
      <w:r w:rsidR="00287CB8">
        <w:rPr>
          <w:sz w:val="24"/>
          <w:szCs w:val="24"/>
        </w:rPr>
        <w:t xml:space="preserve">piece </w:t>
      </w:r>
      <w:r w:rsidR="000117F8">
        <w:rPr>
          <w:sz w:val="24"/>
          <w:szCs w:val="24"/>
        </w:rPr>
        <w:t>contributes to progress in achieving the SDGs</w:t>
      </w:r>
      <w:r w:rsidR="00E271C9">
        <w:rPr>
          <w:sz w:val="24"/>
          <w:szCs w:val="24"/>
        </w:rPr>
        <w:t xml:space="preserve"> and improving </w:t>
      </w:r>
      <w:r w:rsidR="001C61E4">
        <w:rPr>
          <w:noProof/>
        </w:rPr>
        <w:lastRenderedPageBreak/>
        <w:drawing>
          <wp:anchor distT="0" distB="0" distL="114300" distR="114300" simplePos="0" relativeHeight="251659264" behindDoc="1" locked="0" layoutInCell="1" allowOverlap="1" wp14:anchorId="16963D99" wp14:editId="79D23193">
            <wp:simplePos x="0" y="0"/>
            <wp:positionH relativeFrom="column">
              <wp:posOffset>909</wp:posOffset>
            </wp:positionH>
            <wp:positionV relativeFrom="paragraph">
              <wp:posOffset>641350</wp:posOffset>
            </wp:positionV>
            <wp:extent cx="5731200" cy="3542400"/>
            <wp:effectExtent l="0" t="0" r="3175" b="1270"/>
            <wp:wrapTight wrapText="bothSides">
              <wp:wrapPolygon edited="0">
                <wp:start x="0" y="0"/>
                <wp:lineTo x="0" y="21492"/>
                <wp:lineTo x="21540" y="21492"/>
                <wp:lineTo x="21540" y="0"/>
                <wp:lineTo x="0" y="0"/>
              </wp:wrapPolygon>
            </wp:wrapTight>
            <wp:docPr id="1" name="Picture 1" descr="C:\Users\sms2e11\AppData\Local\Microsoft\Windows\Temporary Internet Files\Content.Outlook\3BFV7ZTM\Figure 1.png"/>
            <wp:cNvGraphicFramePr/>
            <a:graphic xmlns:a="http://schemas.openxmlformats.org/drawingml/2006/main">
              <a:graphicData uri="http://schemas.openxmlformats.org/drawingml/2006/picture">
                <pic:pic xmlns:pic="http://schemas.openxmlformats.org/drawingml/2006/picture">
                  <pic:nvPicPr>
                    <pic:cNvPr id="1" name="Picture 1" descr="C:\Users\sms2e11\AppData\Local\Microsoft\Windows\Temporary Internet Files\Content.Outlook\3BFV7ZTM\Figure 1.png"/>
                    <pic:cNvPicPr/>
                  </pic:nvPicPr>
                  <pic:blipFill rotWithShape="1">
                    <a:blip r:embed="rId8" cstate="print">
                      <a:extLst>
                        <a:ext uri="{28A0092B-C50C-407E-A947-70E740481C1C}">
                          <a14:useLocalDpi xmlns:a14="http://schemas.microsoft.com/office/drawing/2010/main" val="0"/>
                        </a:ext>
                      </a:extLst>
                    </a:blip>
                    <a:srcRect t="12678"/>
                    <a:stretch/>
                  </pic:blipFill>
                  <pic:spPr bwMode="auto">
                    <a:xfrm>
                      <a:off x="0" y="0"/>
                      <a:ext cx="5731200" cy="3542400"/>
                    </a:xfrm>
                    <a:prstGeom prst="rect">
                      <a:avLst/>
                    </a:prstGeom>
                    <a:noFill/>
                    <a:ln>
                      <a:noFill/>
                    </a:ln>
                    <a:extLst>
                      <a:ext uri="{53640926-AAD7-44D8-BBD7-CCE9431645EC}">
                        <a14:shadowObscured xmlns:a14="http://schemas.microsoft.com/office/drawing/2010/main"/>
                      </a:ext>
                    </a:extLst>
                  </pic:spPr>
                </pic:pic>
              </a:graphicData>
            </a:graphic>
          </wp:anchor>
        </w:drawing>
      </w:r>
      <w:r w:rsidR="00E271C9">
        <w:rPr>
          <w:sz w:val="24"/>
          <w:szCs w:val="24"/>
        </w:rPr>
        <w:t>people’s well-being</w:t>
      </w:r>
      <w:r w:rsidR="000117F8">
        <w:rPr>
          <w:sz w:val="24"/>
          <w:szCs w:val="24"/>
        </w:rPr>
        <w:t>.</w:t>
      </w:r>
      <w:r w:rsidR="001C61E4" w:rsidRPr="001C61E4">
        <w:rPr>
          <w:noProof/>
        </w:rPr>
        <w:t xml:space="preserve"> </w:t>
      </w:r>
      <w:r w:rsidR="001C61E4">
        <w:rPr>
          <w:noProof/>
        </w:rPr>
        <mc:AlternateContent>
          <mc:Choice Requires="wps">
            <w:drawing>
              <wp:inline distT="0" distB="0" distL="0" distR="0" wp14:anchorId="13EC503F" wp14:editId="05C9E519">
                <wp:extent cx="5943600" cy="2085975"/>
                <wp:effectExtent l="0" t="0" r="0" b="9525"/>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5943600" cy="20859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761FE1C" w14:textId="77777777" w:rsidR="001C61E4" w:rsidRPr="00EE0902" w:rsidRDefault="001C61E4" w:rsidP="001C61E4">
                            <w:pPr>
                              <w:pStyle w:val="Caption"/>
                              <w:spacing w:after="0" w:line="480" w:lineRule="auto"/>
                              <w:rPr>
                                <w:b/>
                                <w:bCs/>
                                <w:i w:val="0"/>
                                <w:iCs w:val="0"/>
                                <w:noProof/>
                                <w:color w:val="auto"/>
                                <w:sz w:val="24"/>
                                <w:szCs w:val="24"/>
                              </w:rPr>
                            </w:pPr>
                            <w:r w:rsidRPr="00EE0902">
                              <w:rPr>
                                <w:b/>
                                <w:bCs/>
                                <w:i w:val="0"/>
                                <w:iCs w:val="0"/>
                                <w:color w:val="auto"/>
                              </w:rPr>
                              <w:t xml:space="preserve">Figure </w:t>
                            </w:r>
                            <w:r w:rsidRPr="00EE0902">
                              <w:rPr>
                                <w:b/>
                                <w:bCs/>
                                <w:i w:val="0"/>
                                <w:iCs w:val="0"/>
                                <w:color w:val="auto"/>
                              </w:rPr>
                              <w:fldChar w:fldCharType="begin"/>
                            </w:r>
                            <w:r w:rsidRPr="00EE0902">
                              <w:rPr>
                                <w:b/>
                                <w:bCs/>
                                <w:i w:val="0"/>
                                <w:iCs w:val="0"/>
                                <w:color w:val="auto"/>
                              </w:rPr>
                              <w:instrText xml:space="preserve"> SEQ Figure \* ARABIC </w:instrText>
                            </w:r>
                            <w:r w:rsidRPr="00EE0902">
                              <w:rPr>
                                <w:b/>
                                <w:bCs/>
                                <w:i w:val="0"/>
                                <w:iCs w:val="0"/>
                                <w:color w:val="auto"/>
                              </w:rPr>
                              <w:fldChar w:fldCharType="separate"/>
                            </w:r>
                            <w:r>
                              <w:rPr>
                                <w:b/>
                                <w:bCs/>
                                <w:i w:val="0"/>
                                <w:iCs w:val="0"/>
                                <w:noProof/>
                                <w:color w:val="auto"/>
                              </w:rPr>
                              <w:t>1</w:t>
                            </w:r>
                            <w:r w:rsidRPr="00EE0902">
                              <w:rPr>
                                <w:b/>
                                <w:bCs/>
                                <w:i w:val="0"/>
                                <w:iCs w:val="0"/>
                                <w:color w:val="auto"/>
                              </w:rPr>
                              <w:fldChar w:fldCharType="end"/>
                            </w:r>
                            <w:r>
                              <w:rPr>
                                <w:b/>
                                <w:bCs/>
                                <w:i w:val="0"/>
                                <w:iCs w:val="0"/>
                                <w:color w:val="auto"/>
                              </w:rPr>
                              <w:t xml:space="preserve"> </w:t>
                            </w:r>
                            <w:r w:rsidRPr="00C3542F">
                              <w:rPr>
                                <w:b/>
                                <w:bCs/>
                                <w:i w:val="0"/>
                                <w:iCs w:val="0"/>
                                <w:color w:val="auto"/>
                              </w:rPr>
                              <w:t xml:space="preserve">Climate change hotspots requiring </w:t>
                            </w:r>
                            <w:r w:rsidRPr="000117F8">
                              <w:rPr>
                                <w:b/>
                                <w:bCs/>
                                <w:i w:val="0"/>
                                <w:iCs w:val="0"/>
                                <w:color w:val="auto"/>
                              </w:rPr>
                              <w:t xml:space="preserve">focused attention using the SDG indicator framework. </w:t>
                            </w:r>
                            <w:r w:rsidRPr="005C42F0">
                              <w:rPr>
                                <w:b/>
                                <w:bCs/>
                                <w:i w:val="0"/>
                                <w:iCs w:val="0"/>
                                <w:color w:val="auto"/>
                              </w:rPr>
                              <w:t xml:space="preserve">The three major types of climate hotspots used in the SDG framework are shown, including: (1) major global delta locations (green dots) [4], varied according to contemporary risk due to sea-level rise and anthropomorphic factors as outlined by Tessler et al. [13]; (2) semi-arid regions (orange) where an Aridity Index (AI) falls between 0.2 and 0.5; (3) snow and ice runoff-dependent basins (blue), defined as basins with average yearly snow/ice cover </w:t>
                            </w:r>
                            <w:r w:rsidRPr="005C42F0">
                              <w:rPr>
                                <w:b/>
                                <w:bCs/>
                                <w:i w:val="0"/>
                                <w:iCs w:val="0"/>
                                <w:color w:val="auto"/>
                                <w:u w:val="single"/>
                              </w:rPr>
                              <w:t>&gt;</w:t>
                            </w:r>
                            <w:r w:rsidRPr="005C42F0">
                              <w:rPr>
                                <w:b/>
                                <w:bCs/>
                                <w:i w:val="0"/>
                                <w:iCs w:val="0"/>
                                <w:color w:val="auto"/>
                              </w:rPr>
                              <w:t>25%; and (4) overlapping areas with both semi-arid AI and snow/ice runoff dependency (red).</w:t>
                            </w:r>
                          </w:p>
                        </w:txbxContent>
                      </wps:txbx>
                      <wps:bodyPr rot="0" vert="horz" wrap="square" lIns="0" tIns="0" rIns="0" bIns="0" anchor="t" anchorCtr="0" upright="1">
                        <a:noAutofit/>
                      </wps:bodyPr>
                    </wps:wsp>
                  </a:graphicData>
                </a:graphic>
              </wp:inline>
            </w:drawing>
          </mc:Choice>
          <mc:Fallback>
            <w:pict>
              <v:shapetype w14:anchorId="13EC503F" id="_x0000_t202" coordsize="21600,21600" o:spt="202" path="m,l,21600r21600,l21600,xe">
                <v:stroke joinstyle="miter"/>
                <v:path gradientshapeok="t" o:connecttype="rect"/>
              </v:shapetype>
              <v:shape id="Text Box 2" o:spid="_x0000_s1026" type="#_x0000_t202" style="width:468pt;height:164.2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" stroked="f">
                <v:path arrowok="t"/>
                <v:textbox inset="0,0,0,0">
                  <w:txbxContent>
                    <w:p w14:paraId="7761FE1C" w14:textId="77777777" w:rsidR="001C61E4" w:rsidRPr="00EE0902" w:rsidRDefault="001C61E4" w:rsidP="001C61E4">
                      <w:pPr>
                        <w:pStyle w:val="Caption"/>
                        <w:spacing w:after="0" w:line="480" w:lineRule="auto"/>
                        <w:rPr>
                          <w:b/>
                          <w:bCs/>
                          <w:i w:val="0"/>
                          <w:iCs w:val="0"/>
                          <w:noProof/>
                          <w:color w:val="auto"/>
                          <w:sz w:val="24"/>
                          <w:szCs w:val="24"/>
                        </w:rPr>
                      </w:pPr>
                      <w:r w:rsidRPr="00EE0902">
                        <w:rPr>
                          <w:b/>
                          <w:bCs/>
                          <w:i w:val="0"/>
                          <w:iCs w:val="0"/>
                          <w:color w:val="auto"/>
                        </w:rPr>
                        <w:t xml:space="preserve">Figure </w:t>
                      </w:r>
                      <w:r w:rsidRPr="00EE0902">
                        <w:rPr>
                          <w:b/>
                          <w:bCs/>
                          <w:i w:val="0"/>
                          <w:iCs w:val="0"/>
                          <w:color w:val="auto"/>
                        </w:rPr>
                        <w:fldChar w:fldCharType="begin"/>
                      </w:r>
                      <w:r w:rsidRPr="00EE0902">
                        <w:rPr>
                          <w:b/>
                          <w:bCs/>
                          <w:i w:val="0"/>
                          <w:iCs w:val="0"/>
                          <w:color w:val="auto"/>
                        </w:rPr>
                        <w:instrText xml:space="preserve"> SEQ Figure \* ARABIC </w:instrText>
                      </w:r>
                      <w:r w:rsidRPr="00EE0902">
                        <w:rPr>
                          <w:b/>
                          <w:bCs/>
                          <w:i w:val="0"/>
                          <w:iCs w:val="0"/>
                          <w:color w:val="auto"/>
                        </w:rPr>
                        <w:fldChar w:fldCharType="separate"/>
                      </w:r>
                      <w:r>
                        <w:rPr>
                          <w:b/>
                          <w:bCs/>
                          <w:i w:val="0"/>
                          <w:iCs w:val="0"/>
                          <w:noProof/>
                          <w:color w:val="auto"/>
                        </w:rPr>
                        <w:t>1</w:t>
                      </w:r>
                      <w:r w:rsidRPr="00EE0902">
                        <w:rPr>
                          <w:b/>
                          <w:bCs/>
                          <w:i w:val="0"/>
                          <w:iCs w:val="0"/>
                          <w:color w:val="auto"/>
                        </w:rPr>
                        <w:fldChar w:fldCharType="end"/>
                      </w:r>
                      <w:r>
                        <w:rPr>
                          <w:b/>
                          <w:bCs/>
                          <w:i w:val="0"/>
                          <w:iCs w:val="0"/>
                          <w:color w:val="auto"/>
                        </w:rPr>
                        <w:t xml:space="preserve"> </w:t>
                      </w:r>
                      <w:r w:rsidRPr="00C3542F">
                        <w:rPr>
                          <w:b/>
                          <w:bCs/>
                          <w:i w:val="0"/>
                          <w:iCs w:val="0"/>
                          <w:color w:val="auto"/>
                        </w:rPr>
                        <w:t xml:space="preserve">Climate change hotspots requiring </w:t>
                      </w:r>
                      <w:r w:rsidRPr="000117F8">
                        <w:rPr>
                          <w:b/>
                          <w:bCs/>
                          <w:i w:val="0"/>
                          <w:iCs w:val="0"/>
                          <w:color w:val="auto"/>
                        </w:rPr>
                        <w:t xml:space="preserve">focused attention using the SDG indicator framework. </w:t>
                      </w:r>
                      <w:r w:rsidRPr="005C42F0">
                        <w:rPr>
                          <w:b/>
                          <w:bCs/>
                          <w:i w:val="0"/>
                          <w:iCs w:val="0"/>
                          <w:color w:val="auto"/>
                        </w:rPr>
                        <w:t xml:space="preserve">The three major types of climate hotspots used in the SDG framework are shown, including: (1) major global delta locations (green dots) [4], varied according to contemporary risk due to sea-level rise and anthropomorphic factors as outlined by Tessler et al. [13]; (2) semi-arid regions (orange) where an Aridity Index (AI) falls between 0.2 and 0.5; (3) snow and ice runoff-dependent basins (blue), defined as basins with average yearly snow/ice cover </w:t>
                      </w:r>
                      <w:r w:rsidRPr="005C42F0">
                        <w:rPr>
                          <w:b/>
                          <w:bCs/>
                          <w:i w:val="0"/>
                          <w:iCs w:val="0"/>
                          <w:color w:val="auto"/>
                          <w:u w:val="single"/>
                        </w:rPr>
                        <w:t>&gt;</w:t>
                      </w:r>
                      <w:r w:rsidRPr="005C42F0">
                        <w:rPr>
                          <w:b/>
                          <w:bCs/>
                          <w:i w:val="0"/>
                          <w:iCs w:val="0"/>
                          <w:color w:val="auto"/>
                        </w:rPr>
                        <w:t>25%; and (4) overlapping areas with both semi-arid AI and snow/ice runoff dependency (red).</w:t>
                      </w:r>
                    </w:p>
                  </w:txbxContent>
                </v:textbox>
                <w10:anchorlock/>
              </v:shape>
            </w:pict>
          </mc:Fallback>
        </mc:AlternateContent>
      </w:r>
    </w:p>
    <w:p w14:paraId="144FC22B" w14:textId="77777777" w:rsidR="00652391" w:rsidRPr="00814D11" w:rsidRDefault="00814D11" w:rsidP="00C023FE">
      <w:pPr>
        <w:pStyle w:val="ListParagraph"/>
        <w:numPr>
          <w:ilvl w:val="0"/>
          <w:numId w:val="2"/>
        </w:numPr>
        <w:spacing w:after="0" w:line="480" w:lineRule="auto"/>
        <w:rPr>
          <w:lang w:val="it-IT"/>
        </w:rPr>
      </w:pPr>
      <w:r w:rsidRPr="00814D11">
        <w:rPr>
          <w:b/>
          <w:bCs/>
          <w:sz w:val="24"/>
          <w:szCs w:val="24"/>
          <w:lang w:val="it-IT"/>
        </w:rPr>
        <w:t>A multiscale SDG indicator framework</w:t>
      </w:r>
    </w:p>
    <w:p w14:paraId="52D89D4C" w14:textId="3AB02A8B" w:rsidR="0047497D" w:rsidRDefault="00FC5677" w:rsidP="00697509">
      <w:pPr>
        <w:pStyle w:val="ListParagraph"/>
        <w:spacing w:after="0" w:line="480" w:lineRule="auto"/>
        <w:ind w:left="0" w:firstLine="567"/>
        <w:rPr>
          <w:sz w:val="24"/>
          <w:szCs w:val="24"/>
        </w:rPr>
      </w:pPr>
      <w:r>
        <w:rPr>
          <w:sz w:val="24"/>
          <w:szCs w:val="24"/>
        </w:rPr>
        <w:t xml:space="preserve">The human-development challenges </w:t>
      </w:r>
      <w:r w:rsidR="00484066">
        <w:rPr>
          <w:sz w:val="24"/>
          <w:szCs w:val="24"/>
        </w:rPr>
        <w:t xml:space="preserve">in </w:t>
      </w:r>
      <w:r>
        <w:rPr>
          <w:sz w:val="24"/>
          <w:szCs w:val="24"/>
        </w:rPr>
        <w:t>climate hotspots are</w:t>
      </w:r>
      <w:r w:rsidRPr="008A7D43">
        <w:rPr>
          <w:sz w:val="24"/>
          <w:szCs w:val="24"/>
        </w:rPr>
        <w:t xml:space="preserve"> addressed in a n</w:t>
      </w:r>
      <w:r>
        <w:rPr>
          <w:sz w:val="24"/>
          <w:szCs w:val="24"/>
        </w:rPr>
        <w:t>umber of ways</w:t>
      </w:r>
      <w:r w:rsidRPr="0054591C">
        <w:rPr>
          <w:sz w:val="24"/>
          <w:szCs w:val="24"/>
        </w:rPr>
        <w:t xml:space="preserve"> </w:t>
      </w:r>
      <w:r>
        <w:rPr>
          <w:sz w:val="24"/>
          <w:szCs w:val="24"/>
        </w:rPr>
        <w:t>u</w:t>
      </w:r>
      <w:r w:rsidR="0054591C" w:rsidRPr="0054591C">
        <w:rPr>
          <w:sz w:val="24"/>
          <w:szCs w:val="24"/>
        </w:rPr>
        <w:t xml:space="preserve">nder the </w:t>
      </w:r>
      <w:r w:rsidR="00E21B4D">
        <w:rPr>
          <w:sz w:val="24"/>
          <w:szCs w:val="24"/>
        </w:rPr>
        <w:t xml:space="preserve">recently endorsed </w:t>
      </w:r>
      <w:r w:rsidR="00697509" w:rsidRPr="00697509">
        <w:rPr>
          <w:sz w:val="24"/>
          <w:szCs w:val="24"/>
        </w:rPr>
        <w:t>2030 Agenda for Sustainable Development</w:t>
      </w:r>
      <w:r w:rsidR="00697509" w:rsidRPr="00697509" w:rsidDel="00697509">
        <w:rPr>
          <w:sz w:val="24"/>
          <w:szCs w:val="24"/>
        </w:rPr>
        <w:t xml:space="preserve"> </w:t>
      </w:r>
      <w:r w:rsidR="00E21B4D">
        <w:rPr>
          <w:sz w:val="24"/>
          <w:szCs w:val="24"/>
        </w:rPr>
        <w:t>[</w:t>
      </w:r>
      <w:r w:rsidR="00F6576C">
        <w:rPr>
          <w:sz w:val="24"/>
          <w:szCs w:val="24"/>
        </w:rPr>
        <w:t>9</w:t>
      </w:r>
      <w:r w:rsidR="0054591C" w:rsidRPr="0054591C">
        <w:rPr>
          <w:sz w:val="24"/>
          <w:szCs w:val="24"/>
        </w:rPr>
        <w:t xml:space="preserve">] and accompanying indicator framework </w:t>
      </w:r>
      <w:r w:rsidR="00E21B4D">
        <w:rPr>
          <w:sz w:val="24"/>
          <w:szCs w:val="24"/>
        </w:rPr>
        <w:t>[</w:t>
      </w:r>
      <w:r w:rsidR="00A253F9">
        <w:rPr>
          <w:sz w:val="24"/>
          <w:szCs w:val="24"/>
        </w:rPr>
        <w:t>1</w:t>
      </w:r>
      <w:r w:rsidR="00431495">
        <w:rPr>
          <w:sz w:val="24"/>
          <w:szCs w:val="24"/>
        </w:rPr>
        <w:t>4</w:t>
      </w:r>
      <w:r w:rsidR="00A253F9">
        <w:rPr>
          <w:sz w:val="24"/>
          <w:szCs w:val="24"/>
        </w:rPr>
        <w:t>]</w:t>
      </w:r>
      <w:r w:rsidR="009F53CB">
        <w:rPr>
          <w:sz w:val="24"/>
          <w:szCs w:val="24"/>
        </w:rPr>
        <w:t>. First, there is a</w:t>
      </w:r>
      <w:r w:rsidR="009F53CB" w:rsidRPr="008A7D43">
        <w:rPr>
          <w:sz w:val="24"/>
          <w:szCs w:val="24"/>
        </w:rPr>
        <w:t xml:space="preserve"> specific goal on </w:t>
      </w:r>
      <w:r w:rsidR="000323A4">
        <w:rPr>
          <w:sz w:val="24"/>
          <w:szCs w:val="24"/>
        </w:rPr>
        <w:t xml:space="preserve">climate change – SDG </w:t>
      </w:r>
      <w:r w:rsidR="000323A4">
        <w:rPr>
          <w:sz w:val="24"/>
          <w:szCs w:val="24"/>
        </w:rPr>
        <w:lastRenderedPageBreak/>
        <w:t xml:space="preserve">13 – </w:t>
      </w:r>
      <w:r>
        <w:rPr>
          <w:sz w:val="24"/>
          <w:szCs w:val="24"/>
        </w:rPr>
        <w:t xml:space="preserve">that </w:t>
      </w:r>
      <w:r w:rsidR="009F53CB">
        <w:rPr>
          <w:sz w:val="24"/>
          <w:szCs w:val="24"/>
        </w:rPr>
        <w:t>aims to “take urgent action to combat climate change and its impacts”. This broad goal is sub-divided into five specific targets, each focusing on different responses to climate</w:t>
      </w:r>
      <w:r>
        <w:rPr>
          <w:sz w:val="24"/>
          <w:szCs w:val="24"/>
        </w:rPr>
        <w:t>-</w:t>
      </w:r>
      <w:r w:rsidR="009F53CB">
        <w:rPr>
          <w:sz w:val="24"/>
          <w:szCs w:val="24"/>
        </w:rPr>
        <w:t xml:space="preserve">induced challenges. </w:t>
      </w:r>
      <w:r w:rsidR="0054591C" w:rsidRPr="0054591C">
        <w:rPr>
          <w:sz w:val="24"/>
          <w:szCs w:val="24"/>
        </w:rPr>
        <w:t xml:space="preserve">Additionally, targets </w:t>
      </w:r>
      <w:r w:rsidR="00450F0A">
        <w:rPr>
          <w:sz w:val="24"/>
          <w:szCs w:val="24"/>
        </w:rPr>
        <w:t xml:space="preserve">and </w:t>
      </w:r>
      <w:r w:rsidR="0054591C" w:rsidRPr="0054591C">
        <w:rPr>
          <w:sz w:val="24"/>
          <w:szCs w:val="24"/>
        </w:rPr>
        <w:t>indicators relevant to climate hotspot</w:t>
      </w:r>
      <w:r w:rsidR="006D102E">
        <w:rPr>
          <w:sz w:val="24"/>
          <w:szCs w:val="24"/>
        </w:rPr>
        <w:t>s are included under other “non</w:t>
      </w:r>
      <w:r w:rsidR="0054591C" w:rsidRPr="0054591C">
        <w:rPr>
          <w:sz w:val="24"/>
          <w:szCs w:val="24"/>
        </w:rPr>
        <w:t xml:space="preserve">-climate” </w:t>
      </w:r>
      <w:r>
        <w:rPr>
          <w:sz w:val="24"/>
          <w:szCs w:val="24"/>
        </w:rPr>
        <w:t>goal</w:t>
      </w:r>
      <w:r w:rsidRPr="0054591C">
        <w:rPr>
          <w:sz w:val="24"/>
          <w:szCs w:val="24"/>
        </w:rPr>
        <w:t>s</w:t>
      </w:r>
      <w:r w:rsidR="004D41C7">
        <w:rPr>
          <w:sz w:val="24"/>
          <w:szCs w:val="24"/>
        </w:rPr>
        <w:t>,</w:t>
      </w:r>
      <w:r w:rsidR="004D41C7" w:rsidRPr="004D41C7">
        <w:rPr>
          <w:sz w:val="24"/>
          <w:szCs w:val="24"/>
        </w:rPr>
        <w:t xml:space="preserve"> </w:t>
      </w:r>
      <w:r w:rsidR="004D41C7">
        <w:rPr>
          <w:sz w:val="24"/>
          <w:szCs w:val="24"/>
        </w:rPr>
        <w:t>particularly covering different</w:t>
      </w:r>
      <w:r w:rsidR="004D41C7" w:rsidRPr="004D41C7">
        <w:rPr>
          <w:sz w:val="24"/>
          <w:szCs w:val="24"/>
        </w:rPr>
        <w:t xml:space="preserve"> social and economic dimensions</w:t>
      </w:r>
      <w:r w:rsidR="004D41C7" w:rsidRPr="004D41C7">
        <w:rPr>
          <w:sz w:val="24"/>
          <w:szCs w:val="24"/>
        </w:rPr>
        <w:t>.</w:t>
      </w:r>
      <w:r w:rsidR="00C91D6C">
        <w:rPr>
          <w:sz w:val="24"/>
          <w:szCs w:val="24"/>
        </w:rPr>
        <w:t xml:space="preserve"> </w:t>
      </w:r>
      <w:r w:rsidR="009F53CB">
        <w:rPr>
          <w:sz w:val="24"/>
          <w:szCs w:val="24"/>
        </w:rPr>
        <w:t>The proposed indicator framework has a number of potential pitfalls</w:t>
      </w:r>
      <w:r w:rsidR="00CD06ED">
        <w:rPr>
          <w:sz w:val="24"/>
          <w:szCs w:val="24"/>
        </w:rPr>
        <w:t xml:space="preserve"> </w:t>
      </w:r>
      <w:r w:rsidR="00F723C4">
        <w:rPr>
          <w:sz w:val="24"/>
          <w:szCs w:val="24"/>
        </w:rPr>
        <w:t>[15]</w:t>
      </w:r>
      <w:r w:rsidR="009F53CB">
        <w:rPr>
          <w:sz w:val="24"/>
          <w:szCs w:val="24"/>
        </w:rPr>
        <w:t xml:space="preserve">. Politically, a failure to specifically recognise the importance of investing in </w:t>
      </w:r>
      <w:r w:rsidR="003F13BE">
        <w:rPr>
          <w:sz w:val="24"/>
          <w:szCs w:val="24"/>
        </w:rPr>
        <w:t xml:space="preserve">geographically explicit </w:t>
      </w:r>
      <w:r w:rsidR="009F53CB">
        <w:rPr>
          <w:sz w:val="24"/>
          <w:szCs w:val="24"/>
        </w:rPr>
        <w:t xml:space="preserve">climate hotspots carries a risk of downplaying the significance and developmental impacts of these regions. </w:t>
      </w:r>
      <w:r w:rsidR="00287CB8">
        <w:rPr>
          <w:sz w:val="24"/>
          <w:szCs w:val="24"/>
        </w:rPr>
        <w:t>O</w:t>
      </w:r>
      <w:r w:rsidR="009F53CB">
        <w:rPr>
          <w:sz w:val="24"/>
          <w:szCs w:val="24"/>
        </w:rPr>
        <w:t>perational</w:t>
      </w:r>
      <w:r w:rsidR="00287CB8">
        <w:rPr>
          <w:sz w:val="24"/>
          <w:szCs w:val="24"/>
        </w:rPr>
        <w:t>ly</w:t>
      </w:r>
      <w:r w:rsidR="009F53CB">
        <w:rPr>
          <w:sz w:val="24"/>
          <w:szCs w:val="24"/>
        </w:rPr>
        <w:t>, while the priorities and implementation practices of local authorities, national governments and regional organisations are likely to differ, ensur</w:t>
      </w:r>
      <w:r w:rsidR="00287CB8">
        <w:rPr>
          <w:sz w:val="24"/>
          <w:szCs w:val="24"/>
        </w:rPr>
        <w:t>ing</w:t>
      </w:r>
      <w:r w:rsidR="009F53CB">
        <w:rPr>
          <w:sz w:val="24"/>
          <w:szCs w:val="24"/>
        </w:rPr>
        <w:t xml:space="preserve"> coordinated strategies between all institutions at all levels </w:t>
      </w:r>
      <w:r w:rsidR="00287CB8">
        <w:rPr>
          <w:sz w:val="24"/>
          <w:szCs w:val="24"/>
        </w:rPr>
        <w:t>is key to effective</w:t>
      </w:r>
      <w:r w:rsidR="009F53CB">
        <w:rPr>
          <w:sz w:val="24"/>
          <w:szCs w:val="24"/>
        </w:rPr>
        <w:t xml:space="preserve"> programme execution. </w:t>
      </w:r>
      <w:r>
        <w:rPr>
          <w:sz w:val="24"/>
          <w:szCs w:val="24"/>
        </w:rPr>
        <w:t>The current approach fails to explicitly consider the overall regional risks faced by</w:t>
      </w:r>
      <w:r w:rsidRPr="00FC5677">
        <w:rPr>
          <w:sz w:val="24"/>
          <w:szCs w:val="24"/>
        </w:rPr>
        <w:t xml:space="preserve"> </w:t>
      </w:r>
      <w:r w:rsidR="008D36EC">
        <w:rPr>
          <w:sz w:val="24"/>
          <w:szCs w:val="24"/>
        </w:rPr>
        <w:t xml:space="preserve">climate change hotspots </w:t>
      </w:r>
      <w:r>
        <w:rPr>
          <w:sz w:val="24"/>
          <w:szCs w:val="24"/>
        </w:rPr>
        <w:t xml:space="preserve">that cross political boundaries and require accountability mechanisms at different implementation scales. </w:t>
      </w:r>
      <w:r w:rsidR="003F13BE">
        <w:rPr>
          <w:sz w:val="24"/>
          <w:szCs w:val="24"/>
        </w:rPr>
        <w:t>Th</w:t>
      </w:r>
      <w:r>
        <w:rPr>
          <w:sz w:val="24"/>
          <w:szCs w:val="24"/>
        </w:rPr>
        <w:t>e current</w:t>
      </w:r>
      <w:r w:rsidR="003F13BE">
        <w:rPr>
          <w:sz w:val="24"/>
          <w:szCs w:val="24"/>
        </w:rPr>
        <w:t xml:space="preserve"> approach </w:t>
      </w:r>
      <w:r>
        <w:rPr>
          <w:sz w:val="24"/>
          <w:szCs w:val="24"/>
        </w:rPr>
        <w:t>outlined by the United Nations can</w:t>
      </w:r>
      <w:r w:rsidR="003F13BE">
        <w:rPr>
          <w:sz w:val="24"/>
          <w:szCs w:val="24"/>
        </w:rPr>
        <w:t xml:space="preserve"> be strengthened by ensuring </w:t>
      </w:r>
      <w:r w:rsidR="00C91D6C">
        <w:rPr>
          <w:sz w:val="24"/>
          <w:szCs w:val="24"/>
        </w:rPr>
        <w:t xml:space="preserve">that </w:t>
      </w:r>
      <w:r w:rsidR="003F13BE">
        <w:rPr>
          <w:sz w:val="24"/>
          <w:szCs w:val="24"/>
        </w:rPr>
        <w:t xml:space="preserve">localised indicator sets are relevant </w:t>
      </w:r>
      <w:r w:rsidR="003F13BE" w:rsidRPr="00DC3EA3">
        <w:rPr>
          <w:sz w:val="24"/>
          <w:szCs w:val="24"/>
        </w:rPr>
        <w:t>and available to bro</w:t>
      </w:r>
      <w:r w:rsidR="009855C1" w:rsidRPr="00DC3EA3">
        <w:rPr>
          <w:sz w:val="24"/>
          <w:szCs w:val="24"/>
        </w:rPr>
        <w:t>a</w:t>
      </w:r>
      <w:r w:rsidR="003F13BE" w:rsidRPr="00DC3EA3">
        <w:rPr>
          <w:sz w:val="24"/>
          <w:szCs w:val="24"/>
        </w:rPr>
        <w:t>der policy frameworks</w:t>
      </w:r>
      <w:r w:rsidR="003F13BE">
        <w:rPr>
          <w:sz w:val="24"/>
          <w:szCs w:val="24"/>
        </w:rPr>
        <w:t xml:space="preserve"> as well as the SDGs. </w:t>
      </w:r>
      <w:r w:rsidR="009F53CB">
        <w:rPr>
          <w:sz w:val="24"/>
          <w:szCs w:val="24"/>
        </w:rPr>
        <w:t>Stratifying indicators into groups of high</w:t>
      </w:r>
      <w:r w:rsidR="00C91D6C">
        <w:rPr>
          <w:sz w:val="24"/>
          <w:szCs w:val="24"/>
        </w:rPr>
        <w:t>-</w:t>
      </w:r>
      <w:r w:rsidR="009F53CB">
        <w:rPr>
          <w:sz w:val="24"/>
          <w:szCs w:val="24"/>
        </w:rPr>
        <w:t xml:space="preserve">level political and detailed technical indicators as proposed by Davis et al. </w:t>
      </w:r>
      <w:r w:rsidR="00F009F5">
        <w:rPr>
          <w:sz w:val="24"/>
          <w:szCs w:val="24"/>
        </w:rPr>
        <w:t>[</w:t>
      </w:r>
      <w:r w:rsidR="00A77A70">
        <w:rPr>
          <w:sz w:val="24"/>
          <w:szCs w:val="24"/>
        </w:rPr>
        <w:t>16</w:t>
      </w:r>
      <w:r w:rsidR="00CA3480">
        <w:rPr>
          <w:sz w:val="24"/>
          <w:szCs w:val="24"/>
        </w:rPr>
        <w:t xml:space="preserve">] </w:t>
      </w:r>
      <w:r w:rsidR="009F53CB">
        <w:rPr>
          <w:sz w:val="24"/>
          <w:szCs w:val="24"/>
        </w:rPr>
        <w:t xml:space="preserve">could be part of a solution, but would need to be complemented by an integrated framework </w:t>
      </w:r>
      <w:r>
        <w:rPr>
          <w:sz w:val="24"/>
          <w:szCs w:val="24"/>
        </w:rPr>
        <w:t xml:space="preserve">that </w:t>
      </w:r>
      <w:r w:rsidR="009F53CB">
        <w:rPr>
          <w:sz w:val="24"/>
          <w:szCs w:val="24"/>
        </w:rPr>
        <w:t xml:space="preserve">would incorporate </w:t>
      </w:r>
      <w:r w:rsidR="003F13BE">
        <w:rPr>
          <w:sz w:val="24"/>
          <w:szCs w:val="24"/>
        </w:rPr>
        <w:t>indicators specifically relevant to</w:t>
      </w:r>
      <w:r w:rsidR="009F53CB">
        <w:rPr>
          <w:sz w:val="24"/>
          <w:szCs w:val="24"/>
        </w:rPr>
        <w:t xml:space="preserve"> key region</w:t>
      </w:r>
      <w:r w:rsidR="00E44A17">
        <w:rPr>
          <w:sz w:val="24"/>
          <w:szCs w:val="24"/>
        </w:rPr>
        <w:t>s</w:t>
      </w:r>
      <w:r w:rsidR="00450F0A">
        <w:rPr>
          <w:sz w:val="24"/>
          <w:szCs w:val="24"/>
        </w:rPr>
        <w:t>, such as climate hots</w:t>
      </w:r>
      <w:r w:rsidR="009F53CB">
        <w:rPr>
          <w:sz w:val="24"/>
          <w:szCs w:val="24"/>
        </w:rPr>
        <w:t>pots</w:t>
      </w:r>
      <w:r w:rsidR="002D2B62">
        <w:rPr>
          <w:sz w:val="24"/>
          <w:szCs w:val="24"/>
        </w:rPr>
        <w:t xml:space="preserve">. </w:t>
      </w:r>
    </w:p>
    <w:p w14:paraId="5B1756DB" w14:textId="77777777" w:rsidR="00E64F71" w:rsidRDefault="00E64F71" w:rsidP="00C023FE">
      <w:pPr>
        <w:pStyle w:val="ListParagraph"/>
        <w:spacing w:after="0" w:line="480" w:lineRule="auto"/>
        <w:ind w:left="0" w:firstLine="567"/>
        <w:rPr>
          <w:sz w:val="24"/>
          <w:szCs w:val="24"/>
        </w:rPr>
      </w:pPr>
    </w:p>
    <w:p w14:paraId="296BFF21" w14:textId="77777777" w:rsidR="000323A4" w:rsidRDefault="000323A4" w:rsidP="00DC5E23">
      <w:pPr>
        <w:pStyle w:val="ListParagraph"/>
        <w:spacing w:after="0" w:line="480" w:lineRule="auto"/>
        <w:ind w:left="0" w:firstLine="567"/>
        <w:rPr>
          <w:sz w:val="24"/>
          <w:szCs w:val="24"/>
        </w:rPr>
      </w:pPr>
      <w:r>
        <w:rPr>
          <w:sz w:val="24"/>
          <w:szCs w:val="24"/>
        </w:rPr>
        <w:t xml:space="preserve">A potentially powerful solution to avoid </w:t>
      </w:r>
      <w:r w:rsidR="009855C1">
        <w:rPr>
          <w:sz w:val="24"/>
          <w:szCs w:val="24"/>
        </w:rPr>
        <w:t xml:space="preserve">a </w:t>
      </w:r>
      <w:r>
        <w:rPr>
          <w:sz w:val="24"/>
          <w:szCs w:val="24"/>
        </w:rPr>
        <w:t>development impasse</w:t>
      </w:r>
      <w:r w:rsidR="009855C1">
        <w:rPr>
          <w:sz w:val="24"/>
          <w:szCs w:val="24"/>
        </w:rPr>
        <w:t xml:space="preserve"> resulting from </w:t>
      </w:r>
      <w:r w:rsidR="00397B5F">
        <w:rPr>
          <w:sz w:val="24"/>
          <w:szCs w:val="24"/>
        </w:rPr>
        <w:t>omitting</w:t>
      </w:r>
      <w:r w:rsidR="009855C1">
        <w:rPr>
          <w:sz w:val="24"/>
          <w:szCs w:val="24"/>
        </w:rPr>
        <w:t xml:space="preserve"> indicators critical to regions such as climate hotspots</w:t>
      </w:r>
      <w:r>
        <w:rPr>
          <w:sz w:val="24"/>
          <w:szCs w:val="24"/>
        </w:rPr>
        <w:t xml:space="preserve"> is to </w:t>
      </w:r>
      <w:r w:rsidR="005C0E09">
        <w:rPr>
          <w:sz w:val="24"/>
          <w:szCs w:val="24"/>
        </w:rPr>
        <w:t>translate the existing SDG framework into</w:t>
      </w:r>
      <w:r w:rsidR="009A5592">
        <w:rPr>
          <w:sz w:val="24"/>
          <w:szCs w:val="24"/>
        </w:rPr>
        <w:t xml:space="preserve"> </w:t>
      </w:r>
      <w:r w:rsidR="005C0E09">
        <w:rPr>
          <w:sz w:val="24"/>
          <w:szCs w:val="24"/>
        </w:rPr>
        <w:t>a</w:t>
      </w:r>
      <w:r w:rsidR="009855C1">
        <w:rPr>
          <w:sz w:val="24"/>
          <w:szCs w:val="24"/>
        </w:rPr>
        <w:t>n</w:t>
      </w:r>
      <w:r>
        <w:rPr>
          <w:sz w:val="24"/>
          <w:szCs w:val="24"/>
        </w:rPr>
        <w:t xml:space="preserve"> </w:t>
      </w:r>
      <w:r w:rsidR="00244A33">
        <w:rPr>
          <w:i/>
          <w:sz w:val="24"/>
          <w:szCs w:val="24"/>
        </w:rPr>
        <w:t xml:space="preserve">integrated multi-scale </w:t>
      </w:r>
      <w:r w:rsidRPr="00E16194">
        <w:rPr>
          <w:i/>
          <w:sz w:val="24"/>
          <w:szCs w:val="24"/>
        </w:rPr>
        <w:t>indicator framework</w:t>
      </w:r>
      <w:r>
        <w:rPr>
          <w:sz w:val="24"/>
          <w:szCs w:val="24"/>
        </w:rPr>
        <w:t>, which would</w:t>
      </w:r>
      <w:r w:rsidR="00CE417F">
        <w:rPr>
          <w:sz w:val="24"/>
          <w:szCs w:val="24"/>
        </w:rPr>
        <w:t>:</w:t>
      </w:r>
      <w:r>
        <w:rPr>
          <w:sz w:val="24"/>
          <w:szCs w:val="24"/>
        </w:rPr>
        <w:t xml:space="preserve"> 1) refle</w:t>
      </w:r>
      <w:r w:rsidR="00BB16F6">
        <w:rPr>
          <w:sz w:val="24"/>
          <w:szCs w:val="24"/>
        </w:rPr>
        <w:t xml:space="preserve">ct the key </w:t>
      </w:r>
      <w:r w:rsidR="00BB16F6">
        <w:rPr>
          <w:sz w:val="24"/>
          <w:szCs w:val="24"/>
        </w:rPr>
        <w:lastRenderedPageBreak/>
        <w:t>developmental challeng</w:t>
      </w:r>
      <w:r>
        <w:rPr>
          <w:sz w:val="24"/>
          <w:szCs w:val="24"/>
        </w:rPr>
        <w:t xml:space="preserve">es </w:t>
      </w:r>
      <w:r w:rsidR="009A5592">
        <w:rPr>
          <w:sz w:val="24"/>
          <w:szCs w:val="24"/>
        </w:rPr>
        <w:t xml:space="preserve">found in all </w:t>
      </w:r>
      <w:r>
        <w:rPr>
          <w:sz w:val="24"/>
          <w:szCs w:val="24"/>
        </w:rPr>
        <w:t xml:space="preserve">of these climate hotspots, and 2) allow </w:t>
      </w:r>
      <w:r w:rsidR="00552186">
        <w:rPr>
          <w:sz w:val="24"/>
          <w:szCs w:val="24"/>
        </w:rPr>
        <w:t xml:space="preserve">monitoring of </w:t>
      </w:r>
      <w:r>
        <w:rPr>
          <w:sz w:val="24"/>
          <w:szCs w:val="24"/>
        </w:rPr>
        <w:t xml:space="preserve">change at different levels of analysis, including for cross-boundary regions (Fig 2). At the global level, the </w:t>
      </w:r>
      <w:r w:rsidRPr="001A5EFA">
        <w:rPr>
          <w:sz w:val="24"/>
          <w:szCs w:val="24"/>
        </w:rPr>
        <w:t>main</w:t>
      </w:r>
      <w:r>
        <w:rPr>
          <w:sz w:val="24"/>
          <w:szCs w:val="24"/>
        </w:rPr>
        <w:t xml:space="preserve"> indicators would reflect the </w:t>
      </w:r>
      <w:r w:rsidR="001A5EFA">
        <w:rPr>
          <w:sz w:val="24"/>
          <w:szCs w:val="24"/>
        </w:rPr>
        <w:t>key</w:t>
      </w:r>
      <w:r w:rsidR="00266108">
        <w:rPr>
          <w:sz w:val="24"/>
          <w:szCs w:val="24"/>
        </w:rPr>
        <w:t xml:space="preserve"> </w:t>
      </w:r>
      <w:r>
        <w:rPr>
          <w:sz w:val="24"/>
          <w:szCs w:val="24"/>
        </w:rPr>
        <w:t>international priorities in terms of combating world-wide consequences of climate change</w:t>
      </w:r>
      <w:r w:rsidR="00CE417F">
        <w:rPr>
          <w:sz w:val="24"/>
          <w:szCs w:val="24"/>
        </w:rPr>
        <w:t>;</w:t>
      </w:r>
      <w:r w:rsidR="0019373D">
        <w:rPr>
          <w:sz w:val="24"/>
          <w:szCs w:val="24"/>
        </w:rPr>
        <w:t xml:space="preserve"> and at the sub-national level</w:t>
      </w:r>
      <w:r w:rsidR="00244A33">
        <w:rPr>
          <w:sz w:val="24"/>
          <w:szCs w:val="24"/>
        </w:rPr>
        <w:t xml:space="preserve"> the framework</w:t>
      </w:r>
      <w:r w:rsidR="0019373D">
        <w:rPr>
          <w:sz w:val="24"/>
          <w:szCs w:val="24"/>
        </w:rPr>
        <w:t xml:space="preserve"> would be </w:t>
      </w:r>
      <w:r w:rsidR="004F1DB7">
        <w:rPr>
          <w:sz w:val="24"/>
          <w:szCs w:val="24"/>
        </w:rPr>
        <w:t xml:space="preserve">tailored </w:t>
      </w:r>
      <w:r w:rsidR="0019373D">
        <w:rPr>
          <w:sz w:val="24"/>
          <w:szCs w:val="24"/>
        </w:rPr>
        <w:t>to the requir</w:t>
      </w:r>
      <w:r w:rsidR="00244A33">
        <w:rPr>
          <w:sz w:val="24"/>
          <w:szCs w:val="24"/>
        </w:rPr>
        <w:t>e</w:t>
      </w:r>
      <w:r w:rsidR="0019373D">
        <w:rPr>
          <w:sz w:val="24"/>
          <w:szCs w:val="24"/>
        </w:rPr>
        <w:t xml:space="preserve">ments of the </w:t>
      </w:r>
      <w:r w:rsidR="00974877">
        <w:rPr>
          <w:sz w:val="24"/>
          <w:szCs w:val="24"/>
        </w:rPr>
        <w:t>country</w:t>
      </w:r>
      <w:r>
        <w:rPr>
          <w:sz w:val="24"/>
          <w:szCs w:val="24"/>
        </w:rPr>
        <w:t xml:space="preserve">. Here, in addition to measuring such </w:t>
      </w:r>
      <w:r w:rsidR="003F4593">
        <w:rPr>
          <w:sz w:val="24"/>
          <w:szCs w:val="24"/>
        </w:rPr>
        <w:t xml:space="preserve">climatic and environmental </w:t>
      </w:r>
      <w:r>
        <w:rPr>
          <w:sz w:val="24"/>
          <w:szCs w:val="24"/>
        </w:rPr>
        <w:t xml:space="preserve">phenomena as temperature </w:t>
      </w:r>
      <w:r w:rsidR="00F10072">
        <w:rPr>
          <w:sz w:val="24"/>
          <w:szCs w:val="24"/>
        </w:rPr>
        <w:t>rise,</w:t>
      </w:r>
      <w:r>
        <w:rPr>
          <w:sz w:val="24"/>
          <w:szCs w:val="24"/>
        </w:rPr>
        <w:t xml:space="preserve"> precipitation</w:t>
      </w:r>
      <w:r w:rsidR="00F10072">
        <w:rPr>
          <w:sz w:val="24"/>
          <w:szCs w:val="24"/>
        </w:rPr>
        <w:t xml:space="preserve"> change and sea-level rise</w:t>
      </w:r>
      <w:r>
        <w:rPr>
          <w:sz w:val="24"/>
          <w:szCs w:val="24"/>
        </w:rPr>
        <w:t xml:space="preserve">, the developmental priorities should encompass the needs of the Least Developed Countries (LDCs) and </w:t>
      </w:r>
      <w:r w:rsidR="00622EEA">
        <w:rPr>
          <w:sz w:val="24"/>
          <w:szCs w:val="24"/>
        </w:rPr>
        <w:t xml:space="preserve">allow for </w:t>
      </w:r>
      <w:r w:rsidR="000A5AA8">
        <w:rPr>
          <w:sz w:val="24"/>
          <w:szCs w:val="24"/>
        </w:rPr>
        <w:t>tracking of resources for development</w:t>
      </w:r>
      <w:r>
        <w:rPr>
          <w:sz w:val="24"/>
          <w:szCs w:val="24"/>
        </w:rPr>
        <w:t>. National indicators should be linked directly to countries’ poverty</w:t>
      </w:r>
      <w:r w:rsidR="00CE417F">
        <w:rPr>
          <w:sz w:val="24"/>
          <w:szCs w:val="24"/>
        </w:rPr>
        <w:t>-</w:t>
      </w:r>
      <w:r>
        <w:rPr>
          <w:sz w:val="24"/>
          <w:szCs w:val="24"/>
        </w:rPr>
        <w:t>reduction strategies and tie up with the SDG targets by either adding to the existing list of indicators or replacing some of the l</w:t>
      </w:r>
      <w:r w:rsidR="002B488C">
        <w:rPr>
          <w:sz w:val="24"/>
          <w:szCs w:val="24"/>
        </w:rPr>
        <w:t>ower</w:t>
      </w:r>
      <w:r w:rsidR="00CE417F">
        <w:rPr>
          <w:sz w:val="24"/>
          <w:szCs w:val="24"/>
        </w:rPr>
        <w:t>-</w:t>
      </w:r>
      <w:r w:rsidR="002B488C">
        <w:rPr>
          <w:sz w:val="24"/>
          <w:szCs w:val="24"/>
        </w:rPr>
        <w:t xml:space="preserve">ranked </w:t>
      </w:r>
      <w:r w:rsidR="00536C35">
        <w:rPr>
          <w:sz w:val="24"/>
          <w:szCs w:val="24"/>
        </w:rPr>
        <w:t>indicators</w:t>
      </w:r>
      <w:r>
        <w:rPr>
          <w:sz w:val="24"/>
          <w:szCs w:val="24"/>
        </w:rPr>
        <w:t xml:space="preserve">. Cross-boundary regional indicators should mirror the developmental priorities in the climate hotspots, which have critical implications beyond the areas where they are located. The development and monitoring of these indicators could be coordinated by regional intergovernmental organizations, such as the East African Community and the South Asian Association for Regional Cooperation. </w:t>
      </w:r>
    </w:p>
    <w:p w14:paraId="2F275A39" w14:textId="77777777" w:rsidR="009F53CB" w:rsidRDefault="00293259" w:rsidP="00293259">
      <w:pPr>
        <w:pStyle w:val="ListParagraph"/>
        <w:spacing w:after="0" w:line="480" w:lineRule="auto"/>
        <w:ind w:left="0" w:firstLine="567"/>
        <w:rPr>
          <w:sz w:val="24"/>
          <w:szCs w:val="24"/>
        </w:rPr>
      </w:pPr>
      <w:r>
        <w:rPr>
          <w:noProof/>
          <w:sz w:val="24"/>
          <w:szCs w:val="24"/>
        </w:rPr>
        <w:lastRenderedPageBreak/>
        <w:drawing>
          <wp:anchor distT="0" distB="0" distL="114300" distR="114300" simplePos="0" relativeHeight="251660288" behindDoc="1" locked="0" layoutInCell="1" allowOverlap="1" wp14:anchorId="6E6EEA62" wp14:editId="30229136">
            <wp:simplePos x="0" y="0"/>
            <wp:positionH relativeFrom="column">
              <wp:posOffset>361950</wp:posOffset>
            </wp:positionH>
            <wp:positionV relativeFrom="paragraph">
              <wp:posOffset>0</wp:posOffset>
            </wp:positionV>
            <wp:extent cx="6271200" cy="4320000"/>
            <wp:effectExtent l="0" t="0" r="0" b="4445"/>
            <wp:wrapTight wrapText="bothSides">
              <wp:wrapPolygon edited="0">
                <wp:start x="0" y="0"/>
                <wp:lineTo x="0" y="21527"/>
                <wp:lineTo x="21523" y="21527"/>
                <wp:lineTo x="21523" y="0"/>
                <wp:lineTo x="0" y="0"/>
              </wp:wrapPolygon>
            </wp:wrapTight>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271200" cy="4320000"/>
                    </a:xfrm>
                    <a:prstGeom prst="rect">
                      <a:avLst/>
                    </a:prstGeom>
                    <a:noFill/>
                  </pic:spPr>
                </pic:pic>
              </a:graphicData>
            </a:graphic>
          </wp:anchor>
        </w:drawing>
      </w:r>
    </w:p>
    <w:p w14:paraId="13BD1041" w14:textId="77777777" w:rsidR="00814D11" w:rsidRDefault="00814D11" w:rsidP="00244A33">
      <w:pPr>
        <w:spacing w:after="0" w:line="480" w:lineRule="auto"/>
        <w:rPr>
          <w:b/>
          <w:bCs/>
          <w:sz w:val="18"/>
          <w:szCs w:val="18"/>
        </w:rPr>
      </w:pPr>
      <w:r w:rsidRPr="00405763">
        <w:rPr>
          <w:b/>
          <w:bCs/>
          <w:sz w:val="18"/>
          <w:szCs w:val="18"/>
        </w:rPr>
        <w:t>Figure 2:</w:t>
      </w:r>
      <w:r w:rsidR="001A5EFA">
        <w:rPr>
          <w:b/>
          <w:bCs/>
          <w:sz w:val="18"/>
          <w:szCs w:val="18"/>
        </w:rPr>
        <w:t xml:space="preserve"> </w:t>
      </w:r>
      <w:r w:rsidR="00CD378C">
        <w:rPr>
          <w:b/>
          <w:bCs/>
          <w:sz w:val="18"/>
          <w:szCs w:val="18"/>
        </w:rPr>
        <w:t xml:space="preserve">Proposed </w:t>
      </w:r>
      <w:r w:rsidR="00AF47DF">
        <w:rPr>
          <w:b/>
          <w:bCs/>
          <w:sz w:val="18"/>
          <w:szCs w:val="18"/>
        </w:rPr>
        <w:t xml:space="preserve">multi-scale </w:t>
      </w:r>
      <w:r w:rsidR="00B42532">
        <w:rPr>
          <w:b/>
          <w:bCs/>
          <w:sz w:val="18"/>
          <w:szCs w:val="18"/>
        </w:rPr>
        <w:t xml:space="preserve">SGD framework for climate hotspots </w:t>
      </w:r>
      <w:r w:rsidR="00AF47DF">
        <w:rPr>
          <w:b/>
          <w:bCs/>
          <w:sz w:val="18"/>
          <w:szCs w:val="18"/>
        </w:rPr>
        <w:t xml:space="preserve">that aligns </w:t>
      </w:r>
      <w:r w:rsidR="00B42532">
        <w:rPr>
          <w:b/>
          <w:bCs/>
          <w:sz w:val="18"/>
          <w:szCs w:val="18"/>
        </w:rPr>
        <w:t xml:space="preserve">objectives of the UN 2030 </w:t>
      </w:r>
      <w:r w:rsidR="00244A33">
        <w:rPr>
          <w:b/>
          <w:bCs/>
          <w:sz w:val="18"/>
          <w:szCs w:val="18"/>
        </w:rPr>
        <w:t>Agenda for Sustainable Development, and the UNFCCC’s Paris Agreement and the Sendai Framework for Disaster Risk Reduction</w:t>
      </w:r>
      <w:r w:rsidR="00F60EE5">
        <w:rPr>
          <w:b/>
          <w:bCs/>
          <w:sz w:val="18"/>
          <w:szCs w:val="18"/>
        </w:rPr>
        <w:t xml:space="preserve">. </w:t>
      </w:r>
      <w:r w:rsidR="00F60EE5" w:rsidRPr="005C42F0">
        <w:rPr>
          <w:b/>
          <w:bCs/>
          <w:sz w:val="18"/>
          <w:szCs w:val="18"/>
        </w:rPr>
        <w:t xml:space="preserve">Key developmental challenges of climate hotspots </w:t>
      </w:r>
      <w:r w:rsidR="000A7241" w:rsidRPr="005C42F0">
        <w:rPr>
          <w:b/>
          <w:bCs/>
          <w:sz w:val="18"/>
          <w:szCs w:val="18"/>
        </w:rPr>
        <w:t xml:space="preserve">and development progress </w:t>
      </w:r>
      <w:r w:rsidR="00F60EE5" w:rsidRPr="005C42F0">
        <w:rPr>
          <w:b/>
          <w:bCs/>
          <w:sz w:val="18"/>
          <w:szCs w:val="18"/>
        </w:rPr>
        <w:t xml:space="preserve">are </w:t>
      </w:r>
      <w:r w:rsidR="000A7241" w:rsidRPr="005C42F0">
        <w:rPr>
          <w:b/>
          <w:bCs/>
          <w:sz w:val="18"/>
          <w:szCs w:val="18"/>
        </w:rPr>
        <w:t xml:space="preserve">monitored through additional </w:t>
      </w:r>
      <w:r w:rsidRPr="005C42F0">
        <w:rPr>
          <w:b/>
          <w:bCs/>
          <w:sz w:val="18"/>
          <w:szCs w:val="18"/>
        </w:rPr>
        <w:t>cross-boundary indicators</w:t>
      </w:r>
      <w:r w:rsidR="00BB16F6" w:rsidRPr="005C42F0">
        <w:rPr>
          <w:b/>
          <w:bCs/>
          <w:sz w:val="18"/>
          <w:szCs w:val="18"/>
        </w:rPr>
        <w:t xml:space="preserve">. Political </w:t>
      </w:r>
      <w:r w:rsidR="00D710B1" w:rsidRPr="005C42F0">
        <w:rPr>
          <w:b/>
          <w:bCs/>
          <w:sz w:val="18"/>
          <w:szCs w:val="18"/>
        </w:rPr>
        <w:t>(</w:t>
      </w:r>
      <w:r w:rsidR="00D13344" w:rsidRPr="005C42F0">
        <w:rPr>
          <w:b/>
          <w:bCs/>
          <w:sz w:val="18"/>
          <w:szCs w:val="18"/>
        </w:rPr>
        <w:t>process</w:t>
      </w:r>
      <w:r w:rsidR="00D710B1" w:rsidRPr="005C42F0">
        <w:rPr>
          <w:b/>
          <w:bCs/>
          <w:sz w:val="18"/>
          <w:szCs w:val="18"/>
        </w:rPr>
        <w:t xml:space="preserve">) indicators </w:t>
      </w:r>
      <w:r w:rsidR="00D13344" w:rsidRPr="005C42F0">
        <w:rPr>
          <w:b/>
          <w:bCs/>
          <w:sz w:val="18"/>
          <w:szCs w:val="18"/>
        </w:rPr>
        <w:t xml:space="preserve">and technical </w:t>
      </w:r>
      <w:r w:rsidR="00FE062E" w:rsidRPr="005C42F0">
        <w:rPr>
          <w:b/>
          <w:bCs/>
          <w:sz w:val="18"/>
          <w:szCs w:val="18"/>
        </w:rPr>
        <w:t xml:space="preserve">(outcome) </w:t>
      </w:r>
      <w:r w:rsidR="00D13344" w:rsidRPr="005C42F0">
        <w:rPr>
          <w:b/>
          <w:bCs/>
          <w:sz w:val="18"/>
          <w:szCs w:val="18"/>
        </w:rPr>
        <w:t xml:space="preserve">indicators are applied for measuring </w:t>
      </w:r>
      <w:r w:rsidR="00BB16F6" w:rsidRPr="005C42F0">
        <w:rPr>
          <w:b/>
          <w:bCs/>
          <w:sz w:val="18"/>
          <w:szCs w:val="18"/>
        </w:rPr>
        <w:t xml:space="preserve">progress and developmental outcomes at different levels of analysis. </w:t>
      </w:r>
    </w:p>
    <w:p w14:paraId="57255565" w14:textId="77777777" w:rsidR="00103D0A" w:rsidRPr="003C2D64" w:rsidRDefault="00103D0A" w:rsidP="00C023FE">
      <w:pPr>
        <w:spacing w:after="0" w:line="480" w:lineRule="auto"/>
        <w:rPr>
          <w:b/>
          <w:bCs/>
          <w:sz w:val="18"/>
          <w:szCs w:val="18"/>
        </w:rPr>
      </w:pPr>
    </w:p>
    <w:p w14:paraId="4E49DDFB" w14:textId="77777777" w:rsidR="002D0F9C" w:rsidRPr="003A3B37" w:rsidRDefault="009E3995" w:rsidP="00C023FE">
      <w:pPr>
        <w:pStyle w:val="ListParagraph"/>
        <w:numPr>
          <w:ilvl w:val="0"/>
          <w:numId w:val="2"/>
        </w:numPr>
        <w:spacing w:after="0" w:line="480" w:lineRule="auto"/>
        <w:rPr>
          <w:b/>
          <w:bCs/>
          <w:sz w:val="24"/>
          <w:szCs w:val="24"/>
        </w:rPr>
      </w:pPr>
      <w:r>
        <w:rPr>
          <w:b/>
          <w:bCs/>
          <w:sz w:val="24"/>
          <w:szCs w:val="24"/>
        </w:rPr>
        <w:t xml:space="preserve">Filling the </w:t>
      </w:r>
      <w:r w:rsidR="002D0F9C" w:rsidRPr="003A3B37">
        <w:rPr>
          <w:b/>
          <w:bCs/>
          <w:sz w:val="24"/>
          <w:szCs w:val="24"/>
        </w:rPr>
        <w:t>indicator</w:t>
      </w:r>
      <w:r>
        <w:rPr>
          <w:b/>
          <w:bCs/>
          <w:sz w:val="24"/>
          <w:szCs w:val="24"/>
        </w:rPr>
        <w:t xml:space="preserve"> gaps</w:t>
      </w:r>
    </w:p>
    <w:p w14:paraId="02D5BB4E" w14:textId="2CFD8CC5" w:rsidR="00C023FE" w:rsidRDefault="00E30FB5" w:rsidP="007F4E5B">
      <w:pPr>
        <w:spacing w:after="0" w:line="480" w:lineRule="auto"/>
        <w:ind w:firstLine="567"/>
        <w:rPr>
          <w:sz w:val="24"/>
          <w:szCs w:val="24"/>
        </w:rPr>
      </w:pPr>
      <w:r>
        <w:rPr>
          <w:sz w:val="24"/>
          <w:szCs w:val="24"/>
        </w:rPr>
        <w:t xml:space="preserve">In order to fill the indicator gaps with regard to links and synergies between adaptation and resilience to climate change and sustainable development, we propose a maximum of five technical indicators </w:t>
      </w:r>
      <w:r w:rsidR="00CE417F">
        <w:rPr>
          <w:sz w:val="24"/>
          <w:szCs w:val="24"/>
        </w:rPr>
        <w:t xml:space="preserve">that </w:t>
      </w:r>
      <w:r>
        <w:rPr>
          <w:sz w:val="24"/>
          <w:szCs w:val="24"/>
        </w:rPr>
        <w:t xml:space="preserve">focus specifically on measuring </w:t>
      </w:r>
      <w:r w:rsidR="001C761E">
        <w:rPr>
          <w:sz w:val="24"/>
          <w:szCs w:val="24"/>
        </w:rPr>
        <w:t>environme</w:t>
      </w:r>
      <w:r>
        <w:rPr>
          <w:sz w:val="24"/>
          <w:szCs w:val="24"/>
        </w:rPr>
        <w:t xml:space="preserve">ntal impacts for each of </w:t>
      </w:r>
      <w:r w:rsidR="004D41C7">
        <w:rPr>
          <w:sz w:val="24"/>
          <w:szCs w:val="24"/>
        </w:rPr>
        <w:t>the three categories of climate</w:t>
      </w:r>
      <w:r w:rsidR="00E71F8C">
        <w:rPr>
          <w:sz w:val="24"/>
          <w:szCs w:val="24"/>
        </w:rPr>
        <w:t xml:space="preserve"> </w:t>
      </w:r>
      <w:r w:rsidR="0005634E">
        <w:rPr>
          <w:sz w:val="24"/>
          <w:szCs w:val="24"/>
        </w:rPr>
        <w:t xml:space="preserve">change </w:t>
      </w:r>
      <w:r>
        <w:rPr>
          <w:sz w:val="24"/>
          <w:szCs w:val="24"/>
        </w:rPr>
        <w:t>hotspots</w:t>
      </w:r>
      <w:r w:rsidR="002D0F9C">
        <w:rPr>
          <w:sz w:val="24"/>
          <w:szCs w:val="24"/>
        </w:rPr>
        <w:t>.</w:t>
      </w:r>
      <w:r w:rsidR="003D07B2">
        <w:rPr>
          <w:sz w:val="24"/>
          <w:szCs w:val="24"/>
        </w:rPr>
        <w:t xml:space="preserve"> These are indicators that are more detailed, than </w:t>
      </w:r>
      <w:r w:rsidR="004D41C7">
        <w:rPr>
          <w:sz w:val="24"/>
          <w:szCs w:val="24"/>
        </w:rPr>
        <w:lastRenderedPageBreak/>
        <w:t>some</w:t>
      </w:r>
      <w:r w:rsidR="003D07B2">
        <w:rPr>
          <w:sz w:val="24"/>
          <w:szCs w:val="24"/>
        </w:rPr>
        <w:t xml:space="preserve"> proposed for the SDGs [14], or address new dimensions altogether. </w:t>
      </w:r>
      <w:r w:rsidR="002D0F9C">
        <w:rPr>
          <w:sz w:val="24"/>
          <w:szCs w:val="24"/>
        </w:rPr>
        <w:t xml:space="preserve"> A suggested classification and proposed </w:t>
      </w:r>
      <w:r w:rsidR="00403B04">
        <w:rPr>
          <w:sz w:val="24"/>
          <w:szCs w:val="24"/>
        </w:rPr>
        <w:t xml:space="preserve">impact </w:t>
      </w:r>
      <w:r w:rsidR="002D0F9C">
        <w:rPr>
          <w:sz w:val="24"/>
          <w:szCs w:val="24"/>
        </w:rPr>
        <w:t xml:space="preserve">indicators are </w:t>
      </w:r>
      <w:r w:rsidR="00281277">
        <w:rPr>
          <w:sz w:val="24"/>
          <w:szCs w:val="24"/>
        </w:rPr>
        <w:t xml:space="preserve">presented in Table 1. Thus, for </w:t>
      </w:r>
      <w:r w:rsidR="00B735F0">
        <w:rPr>
          <w:sz w:val="24"/>
          <w:szCs w:val="24"/>
        </w:rPr>
        <w:t xml:space="preserve">populations living in </w:t>
      </w:r>
      <w:r w:rsidR="00281277">
        <w:rPr>
          <w:sz w:val="24"/>
          <w:szCs w:val="24"/>
        </w:rPr>
        <w:t>delta</w:t>
      </w:r>
      <w:r w:rsidR="00B735F0">
        <w:rPr>
          <w:sz w:val="24"/>
          <w:szCs w:val="24"/>
        </w:rPr>
        <w:t xml:space="preserve"> regions</w:t>
      </w:r>
      <w:r w:rsidR="00281277">
        <w:rPr>
          <w:sz w:val="24"/>
          <w:szCs w:val="24"/>
        </w:rPr>
        <w:t>, for example, the main threats are associated</w:t>
      </w:r>
      <w:r w:rsidR="00281277" w:rsidRPr="001C2162">
        <w:rPr>
          <w:sz w:val="24"/>
          <w:szCs w:val="24"/>
        </w:rPr>
        <w:t xml:space="preserve"> </w:t>
      </w:r>
      <w:r w:rsidR="00281277">
        <w:rPr>
          <w:sz w:val="24"/>
          <w:szCs w:val="24"/>
        </w:rPr>
        <w:t xml:space="preserve">with </w:t>
      </w:r>
      <w:r w:rsidR="00D84E3C">
        <w:rPr>
          <w:sz w:val="24"/>
          <w:szCs w:val="24"/>
        </w:rPr>
        <w:t>relative sea-level rise reflecting a combination of a loss of elevation (subsidence) and climate-induced</w:t>
      </w:r>
      <w:r w:rsidR="00CC465B">
        <w:rPr>
          <w:sz w:val="24"/>
          <w:szCs w:val="24"/>
        </w:rPr>
        <w:t xml:space="preserve"> global sea-</w:t>
      </w:r>
      <w:r w:rsidR="00E21B4D">
        <w:rPr>
          <w:sz w:val="24"/>
          <w:szCs w:val="24"/>
        </w:rPr>
        <w:t>level rise</w:t>
      </w:r>
      <w:r w:rsidR="00C84559">
        <w:rPr>
          <w:sz w:val="24"/>
          <w:szCs w:val="24"/>
        </w:rPr>
        <w:t>.  S</w:t>
      </w:r>
      <w:r w:rsidR="00D84E3C">
        <w:rPr>
          <w:sz w:val="24"/>
          <w:szCs w:val="24"/>
        </w:rPr>
        <w:t>ubsidence</w:t>
      </w:r>
      <w:r w:rsidR="00C84559">
        <w:rPr>
          <w:sz w:val="24"/>
          <w:szCs w:val="24"/>
        </w:rPr>
        <w:t xml:space="preserve">, mainly due to human activities such as </w:t>
      </w:r>
      <w:r w:rsidR="00CE417F">
        <w:rPr>
          <w:sz w:val="24"/>
          <w:szCs w:val="24"/>
        </w:rPr>
        <w:t xml:space="preserve">groundwater pumping, oil extraction, oxidation of </w:t>
      </w:r>
      <w:r w:rsidR="00F32BAE">
        <w:rPr>
          <w:sz w:val="24"/>
          <w:szCs w:val="24"/>
        </w:rPr>
        <w:t xml:space="preserve">drained </w:t>
      </w:r>
      <w:r w:rsidR="00CE417F">
        <w:rPr>
          <w:sz w:val="24"/>
          <w:szCs w:val="24"/>
        </w:rPr>
        <w:t>organic soils</w:t>
      </w:r>
      <w:r w:rsidR="00C84559">
        <w:rPr>
          <w:sz w:val="24"/>
          <w:szCs w:val="24"/>
        </w:rPr>
        <w:t xml:space="preserve"> and reduction of sediment</w:t>
      </w:r>
      <w:r w:rsidR="003F4593">
        <w:rPr>
          <w:sz w:val="24"/>
          <w:szCs w:val="24"/>
        </w:rPr>
        <w:t xml:space="preserve"> </w:t>
      </w:r>
      <w:r w:rsidR="00E347C3">
        <w:rPr>
          <w:sz w:val="24"/>
          <w:szCs w:val="24"/>
        </w:rPr>
        <w:t>from upstream</w:t>
      </w:r>
      <w:r w:rsidR="00C84559">
        <w:rPr>
          <w:sz w:val="24"/>
          <w:szCs w:val="24"/>
        </w:rPr>
        <w:t xml:space="preserve">, </w:t>
      </w:r>
      <w:r w:rsidR="00CE417F">
        <w:rPr>
          <w:sz w:val="24"/>
          <w:szCs w:val="24"/>
        </w:rPr>
        <w:t xml:space="preserve">is in some areas </w:t>
      </w:r>
      <w:r w:rsidR="00D84E3C">
        <w:rPr>
          <w:sz w:val="24"/>
          <w:szCs w:val="24"/>
        </w:rPr>
        <w:t xml:space="preserve">more important than </w:t>
      </w:r>
      <w:r w:rsidR="00C84559">
        <w:rPr>
          <w:sz w:val="24"/>
          <w:szCs w:val="24"/>
        </w:rPr>
        <w:t>climate-induced sea</w:t>
      </w:r>
      <w:r w:rsidR="00CE417F">
        <w:rPr>
          <w:sz w:val="24"/>
          <w:szCs w:val="24"/>
        </w:rPr>
        <w:t>-</w:t>
      </w:r>
      <w:r w:rsidR="00C84559">
        <w:rPr>
          <w:sz w:val="24"/>
          <w:szCs w:val="24"/>
        </w:rPr>
        <w:t>level rise</w:t>
      </w:r>
      <w:r w:rsidR="00E21B4D">
        <w:rPr>
          <w:sz w:val="24"/>
          <w:szCs w:val="24"/>
        </w:rPr>
        <w:t xml:space="preserve"> [</w:t>
      </w:r>
      <w:r w:rsidR="00867932">
        <w:rPr>
          <w:sz w:val="24"/>
          <w:szCs w:val="24"/>
        </w:rPr>
        <w:t>4</w:t>
      </w:r>
      <w:r w:rsidR="00281277">
        <w:rPr>
          <w:sz w:val="24"/>
          <w:szCs w:val="24"/>
        </w:rPr>
        <w:t xml:space="preserve">]. The specific </w:t>
      </w:r>
      <w:r w:rsidR="000A5AA8">
        <w:rPr>
          <w:sz w:val="24"/>
          <w:szCs w:val="24"/>
        </w:rPr>
        <w:t>human</w:t>
      </w:r>
      <w:r w:rsidR="00CE417F">
        <w:rPr>
          <w:sz w:val="24"/>
          <w:szCs w:val="24"/>
        </w:rPr>
        <w:t>-</w:t>
      </w:r>
      <w:r w:rsidR="00281277">
        <w:rPr>
          <w:sz w:val="24"/>
          <w:szCs w:val="24"/>
        </w:rPr>
        <w:t xml:space="preserve">development challenges resulting from </w:t>
      </w:r>
      <w:r w:rsidR="00DC791D">
        <w:rPr>
          <w:sz w:val="24"/>
          <w:szCs w:val="24"/>
        </w:rPr>
        <w:t xml:space="preserve">relative </w:t>
      </w:r>
      <w:r w:rsidR="00281277">
        <w:rPr>
          <w:sz w:val="24"/>
          <w:szCs w:val="24"/>
        </w:rPr>
        <w:t>sea</w:t>
      </w:r>
      <w:r w:rsidR="00CE417F">
        <w:rPr>
          <w:sz w:val="24"/>
          <w:szCs w:val="24"/>
        </w:rPr>
        <w:t>-</w:t>
      </w:r>
      <w:r w:rsidR="00281277">
        <w:rPr>
          <w:sz w:val="24"/>
          <w:szCs w:val="24"/>
        </w:rPr>
        <w:t xml:space="preserve">level rise include salinity intrusion (soil and </w:t>
      </w:r>
      <w:r w:rsidR="00DC791D">
        <w:rPr>
          <w:sz w:val="24"/>
          <w:szCs w:val="24"/>
        </w:rPr>
        <w:t>freshwater</w:t>
      </w:r>
      <w:r w:rsidR="00281277">
        <w:rPr>
          <w:sz w:val="24"/>
          <w:szCs w:val="24"/>
        </w:rPr>
        <w:t xml:space="preserve"> salinisation), land erosion</w:t>
      </w:r>
      <w:r w:rsidR="00CE417F">
        <w:rPr>
          <w:sz w:val="24"/>
          <w:szCs w:val="24"/>
        </w:rPr>
        <w:t>,</w:t>
      </w:r>
      <w:r w:rsidR="00281277">
        <w:rPr>
          <w:sz w:val="24"/>
          <w:szCs w:val="24"/>
        </w:rPr>
        <w:t xml:space="preserve"> increased risk of flooding</w:t>
      </w:r>
      <w:r w:rsidR="00CE417F">
        <w:rPr>
          <w:sz w:val="24"/>
          <w:szCs w:val="24"/>
        </w:rPr>
        <w:t xml:space="preserve"> and increased incidence of waterborne diseases</w:t>
      </w:r>
      <w:r w:rsidR="00281277">
        <w:rPr>
          <w:sz w:val="24"/>
          <w:szCs w:val="24"/>
        </w:rPr>
        <w:t>. For semiarid areas</w:t>
      </w:r>
      <w:r w:rsidR="00244A33">
        <w:rPr>
          <w:sz w:val="24"/>
          <w:szCs w:val="24"/>
        </w:rPr>
        <w:t>,</w:t>
      </w:r>
      <w:r w:rsidR="00281277">
        <w:rPr>
          <w:sz w:val="24"/>
          <w:szCs w:val="24"/>
        </w:rPr>
        <w:t xml:space="preserve"> changes in temperature are likely to lead to increased atmospheric evaporative</w:t>
      </w:r>
      <w:r w:rsidR="00E347C3">
        <w:rPr>
          <w:sz w:val="24"/>
          <w:szCs w:val="24"/>
        </w:rPr>
        <w:t xml:space="preserve"> </w:t>
      </w:r>
      <w:r w:rsidR="00E347C3" w:rsidRPr="00E16194">
        <w:rPr>
          <w:sz w:val="24"/>
          <w:szCs w:val="24"/>
        </w:rPr>
        <w:t>losses</w:t>
      </w:r>
      <w:r w:rsidR="00CE417F">
        <w:rPr>
          <w:sz w:val="24"/>
          <w:szCs w:val="24"/>
        </w:rPr>
        <w:t xml:space="preserve">, as well as heat stress; and together with changes in precipitation </w:t>
      </w:r>
      <w:r w:rsidR="00281277">
        <w:rPr>
          <w:sz w:val="24"/>
          <w:szCs w:val="24"/>
        </w:rPr>
        <w:t xml:space="preserve">will result in greater land degradation and loss of water supply. </w:t>
      </w:r>
      <w:r w:rsidR="00281277" w:rsidRPr="00380B7E">
        <w:rPr>
          <w:sz w:val="24"/>
          <w:szCs w:val="24"/>
        </w:rPr>
        <w:t xml:space="preserve">For </w:t>
      </w:r>
      <w:r w:rsidR="00281277">
        <w:rPr>
          <w:sz w:val="24"/>
          <w:szCs w:val="24"/>
        </w:rPr>
        <w:t>glacier</w:t>
      </w:r>
      <w:r w:rsidR="00CE417F">
        <w:rPr>
          <w:sz w:val="24"/>
          <w:szCs w:val="24"/>
        </w:rPr>
        <w:t>-</w:t>
      </w:r>
      <w:r w:rsidR="00281277">
        <w:rPr>
          <w:sz w:val="24"/>
          <w:szCs w:val="24"/>
        </w:rPr>
        <w:t xml:space="preserve"> and</w:t>
      </w:r>
      <w:r w:rsidR="00281277" w:rsidRPr="00281277">
        <w:rPr>
          <w:sz w:val="24"/>
          <w:szCs w:val="24"/>
        </w:rPr>
        <w:t xml:space="preserve"> </w:t>
      </w:r>
      <w:r w:rsidR="00281277" w:rsidRPr="00380B7E">
        <w:rPr>
          <w:sz w:val="24"/>
          <w:szCs w:val="24"/>
        </w:rPr>
        <w:t>snow</w:t>
      </w:r>
      <w:r w:rsidR="00281277">
        <w:rPr>
          <w:sz w:val="24"/>
          <w:szCs w:val="24"/>
        </w:rPr>
        <w:t>pack</w:t>
      </w:r>
      <w:r w:rsidR="00281277" w:rsidRPr="00380B7E">
        <w:rPr>
          <w:sz w:val="24"/>
          <w:szCs w:val="24"/>
        </w:rPr>
        <w:t xml:space="preserve">-dependent river basins, a decline in both </w:t>
      </w:r>
      <w:r w:rsidR="006F2D7F">
        <w:rPr>
          <w:sz w:val="24"/>
          <w:szCs w:val="24"/>
        </w:rPr>
        <w:t xml:space="preserve">the amounts of </w:t>
      </w:r>
      <w:r w:rsidR="00281277" w:rsidRPr="00380B7E">
        <w:rPr>
          <w:sz w:val="24"/>
          <w:szCs w:val="24"/>
        </w:rPr>
        <w:t xml:space="preserve">seasonal snowpacks and glaciers, </w:t>
      </w:r>
      <w:r w:rsidR="006F2D7F">
        <w:rPr>
          <w:sz w:val="24"/>
          <w:szCs w:val="24"/>
        </w:rPr>
        <w:t xml:space="preserve">and </w:t>
      </w:r>
      <w:r w:rsidR="00281277" w:rsidRPr="00380B7E">
        <w:rPr>
          <w:sz w:val="24"/>
          <w:szCs w:val="24"/>
        </w:rPr>
        <w:t>faster melt</w:t>
      </w:r>
      <w:r w:rsidR="00E347C3">
        <w:rPr>
          <w:sz w:val="24"/>
          <w:szCs w:val="24"/>
        </w:rPr>
        <w:t>ing</w:t>
      </w:r>
      <w:r w:rsidR="00281277" w:rsidRPr="00380B7E">
        <w:rPr>
          <w:sz w:val="24"/>
          <w:szCs w:val="24"/>
        </w:rPr>
        <w:t xml:space="preserve">, </w:t>
      </w:r>
      <w:r w:rsidR="006F2D7F">
        <w:rPr>
          <w:sz w:val="24"/>
          <w:szCs w:val="24"/>
        </w:rPr>
        <w:t>drive</w:t>
      </w:r>
      <w:r w:rsidR="006F2D7F" w:rsidRPr="00380B7E">
        <w:rPr>
          <w:sz w:val="24"/>
          <w:szCs w:val="24"/>
        </w:rPr>
        <w:t xml:space="preserve"> </w:t>
      </w:r>
      <w:r w:rsidR="00281277" w:rsidRPr="00380B7E">
        <w:rPr>
          <w:sz w:val="24"/>
          <w:szCs w:val="24"/>
        </w:rPr>
        <w:t xml:space="preserve">changes in the seasonality of essentially all components of the terrestrial water cycle. </w:t>
      </w:r>
      <w:r w:rsidR="006F2D7F">
        <w:rPr>
          <w:sz w:val="24"/>
          <w:szCs w:val="24"/>
        </w:rPr>
        <w:t xml:space="preserve">This includes earlier runoff and a longer growing season in mountins, potentially driving more evapotranspiration and less runoff. </w:t>
      </w:r>
      <w:r w:rsidR="00281277" w:rsidRPr="00167E73">
        <w:rPr>
          <w:sz w:val="24"/>
          <w:szCs w:val="24"/>
        </w:rPr>
        <w:t>Modifications</w:t>
      </w:r>
      <w:r w:rsidR="00281277" w:rsidRPr="00380B7E">
        <w:rPr>
          <w:sz w:val="24"/>
          <w:szCs w:val="24"/>
        </w:rPr>
        <w:t xml:space="preserve"> of current indices to account for the different time scales of seasonal water </w:t>
      </w:r>
    </w:p>
    <w:p w14:paraId="5C7F5FFF" w14:textId="77777777" w:rsidR="00083160" w:rsidRPr="004F0372" w:rsidRDefault="00083160" w:rsidP="00CC465B">
      <w:pPr>
        <w:spacing w:after="0"/>
        <w:sectPr w:rsidR="00083160" w:rsidRPr="004F0372" w:rsidSect="006F705E">
          <w:footerReference w:type="default" r:id="rId10"/>
          <w:pgSz w:w="12240" w:h="15840" w:code="1"/>
          <w:pgMar w:top="1440" w:right="1440" w:bottom="1440" w:left="1440" w:header="709" w:footer="709" w:gutter="0"/>
          <w:cols w:space="708"/>
          <w:docGrid w:linePitch="360"/>
        </w:sectPr>
      </w:pPr>
    </w:p>
    <w:tbl>
      <w:tblPr>
        <w:tblStyle w:val="TableGrid"/>
        <w:tblW w:w="13575" w:type="dxa"/>
        <w:jc w:val="center"/>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1092"/>
        <w:gridCol w:w="4093"/>
        <w:gridCol w:w="8390"/>
      </w:tblGrid>
      <w:tr w:rsidR="005A6984" w14:paraId="6D9DA7E2" w14:textId="77777777" w:rsidTr="00C91D6C">
        <w:trPr>
          <w:trHeight w:hRule="exact" w:val="717"/>
          <w:jc w:val="center"/>
        </w:trPr>
        <w:tc>
          <w:tcPr>
            <w:tcW w:w="1092" w:type="dxa"/>
            <w:vAlign w:val="center"/>
          </w:tcPr>
          <w:p w14:paraId="1D92B07A" w14:textId="77777777" w:rsidR="005A6984" w:rsidRPr="00BC5399" w:rsidRDefault="005A6984" w:rsidP="00C91D6C">
            <w:pPr>
              <w:rPr>
                <w:b/>
                <w:bCs/>
              </w:rPr>
            </w:pPr>
            <w:r>
              <w:rPr>
                <w:b/>
                <w:bCs/>
              </w:rPr>
              <w:lastRenderedPageBreak/>
              <w:t>Climate hotspots</w:t>
            </w:r>
          </w:p>
        </w:tc>
        <w:tc>
          <w:tcPr>
            <w:tcW w:w="4093" w:type="dxa"/>
            <w:vAlign w:val="center"/>
          </w:tcPr>
          <w:p w14:paraId="1F8905F3" w14:textId="77777777" w:rsidR="005A6984" w:rsidRPr="00BC5399" w:rsidRDefault="005A6984" w:rsidP="00C91D6C">
            <w:pPr>
              <w:rPr>
                <w:b/>
                <w:bCs/>
              </w:rPr>
            </w:pPr>
            <w:r>
              <w:rPr>
                <w:b/>
                <w:bCs/>
              </w:rPr>
              <w:t xml:space="preserve">Key challenge </w:t>
            </w:r>
          </w:p>
        </w:tc>
        <w:tc>
          <w:tcPr>
            <w:tcW w:w="8390" w:type="dxa"/>
            <w:vAlign w:val="center"/>
          </w:tcPr>
          <w:p w14:paraId="66B5F5A5" w14:textId="77777777" w:rsidR="005A6984" w:rsidRPr="00167E73" w:rsidRDefault="005A6984" w:rsidP="00C91D6C">
            <w:pPr>
              <w:rPr>
                <w:b/>
                <w:bCs/>
              </w:rPr>
            </w:pPr>
            <w:r>
              <w:rPr>
                <w:b/>
                <w:bCs/>
              </w:rPr>
              <w:t>Developmental impacts and p</w:t>
            </w:r>
            <w:r w:rsidRPr="00167E73">
              <w:rPr>
                <w:b/>
                <w:bCs/>
              </w:rPr>
              <w:t>roposed impact indicators</w:t>
            </w:r>
          </w:p>
        </w:tc>
      </w:tr>
      <w:tr w:rsidR="005A6984" w:rsidRPr="00FD25B5" w14:paraId="719CAEF3" w14:textId="77777777" w:rsidTr="00C91D6C">
        <w:trPr>
          <w:trHeight w:val="528"/>
          <w:jc w:val="center"/>
        </w:trPr>
        <w:tc>
          <w:tcPr>
            <w:tcW w:w="1092" w:type="dxa"/>
            <w:textDirection w:val="btLr"/>
            <w:vAlign w:val="center"/>
          </w:tcPr>
          <w:p w14:paraId="543E8D59" w14:textId="77777777" w:rsidR="005A6984" w:rsidRPr="00CF5701" w:rsidRDefault="005A6984" w:rsidP="00C91D6C">
            <w:pPr>
              <w:jc w:val="center"/>
              <w:rPr>
                <w:b/>
                <w:bCs/>
              </w:rPr>
            </w:pPr>
            <w:r w:rsidRPr="00CF5701">
              <w:rPr>
                <w:b/>
                <w:bCs/>
              </w:rPr>
              <w:t>Deltas</w:t>
            </w:r>
          </w:p>
        </w:tc>
        <w:tc>
          <w:tcPr>
            <w:tcW w:w="4093" w:type="dxa"/>
            <w:vAlign w:val="center"/>
          </w:tcPr>
          <w:p w14:paraId="7EC18018" w14:textId="77777777" w:rsidR="005A6984" w:rsidRDefault="00BD28B9" w:rsidP="00C91D6C">
            <w:pPr>
              <w:rPr>
                <w:sz w:val="20"/>
                <w:szCs w:val="20"/>
              </w:rPr>
            </w:pPr>
            <w:r>
              <w:rPr>
                <w:sz w:val="20"/>
                <w:szCs w:val="20"/>
              </w:rPr>
              <w:t>Global warming</w:t>
            </w:r>
            <w:r w:rsidR="005A6984">
              <w:rPr>
                <w:sz w:val="20"/>
                <w:szCs w:val="20"/>
              </w:rPr>
              <w:t>-induced sea-level rise</w:t>
            </w:r>
          </w:p>
          <w:p w14:paraId="605C2715" w14:textId="77777777" w:rsidR="005A6984" w:rsidRDefault="005A6984" w:rsidP="00C91D6C">
            <w:pPr>
              <w:rPr>
                <w:sz w:val="20"/>
                <w:szCs w:val="20"/>
              </w:rPr>
            </w:pPr>
          </w:p>
          <w:p w14:paraId="4A542EF7" w14:textId="77777777" w:rsidR="005A6984" w:rsidRDefault="005A6984" w:rsidP="00C91D6C">
            <w:pPr>
              <w:rPr>
                <w:sz w:val="20"/>
                <w:szCs w:val="20"/>
              </w:rPr>
            </w:pPr>
          </w:p>
          <w:p w14:paraId="1A9A8782" w14:textId="77777777" w:rsidR="005A6984" w:rsidRDefault="005A6984" w:rsidP="00C91D6C">
            <w:pPr>
              <w:rPr>
                <w:sz w:val="20"/>
                <w:szCs w:val="20"/>
              </w:rPr>
            </w:pPr>
            <w:r>
              <w:rPr>
                <w:sz w:val="20"/>
                <w:szCs w:val="20"/>
              </w:rPr>
              <w:t>Compaction and vertical land movement (loss of land elevation – subsidence)</w:t>
            </w:r>
          </w:p>
          <w:p w14:paraId="354D4E89" w14:textId="77777777" w:rsidR="005A6984" w:rsidRDefault="005A6984" w:rsidP="00C91D6C">
            <w:pPr>
              <w:rPr>
                <w:sz w:val="20"/>
                <w:szCs w:val="20"/>
              </w:rPr>
            </w:pPr>
          </w:p>
          <w:p w14:paraId="71CA9C1B" w14:textId="77777777" w:rsidR="005A6984" w:rsidRDefault="005A6984" w:rsidP="00C91D6C">
            <w:pPr>
              <w:rPr>
                <w:sz w:val="20"/>
                <w:szCs w:val="20"/>
              </w:rPr>
            </w:pPr>
          </w:p>
          <w:p w14:paraId="04D3BCCF" w14:textId="77777777" w:rsidR="005A6984" w:rsidRPr="00D90D20" w:rsidRDefault="005A6984" w:rsidP="00C91D6C">
            <w:pPr>
              <w:rPr>
                <w:sz w:val="20"/>
                <w:szCs w:val="20"/>
              </w:rPr>
            </w:pPr>
            <w:r w:rsidRPr="00D90D20">
              <w:rPr>
                <w:sz w:val="20"/>
                <w:szCs w:val="20"/>
              </w:rPr>
              <w:t>Changes in water and sediment flows</w:t>
            </w:r>
          </w:p>
          <w:p w14:paraId="49FF148F" w14:textId="77777777" w:rsidR="005A6984" w:rsidRPr="00CF5701" w:rsidRDefault="005A6984" w:rsidP="00C91D6C">
            <w:pPr>
              <w:rPr>
                <w:sz w:val="20"/>
                <w:szCs w:val="20"/>
              </w:rPr>
            </w:pPr>
          </w:p>
        </w:tc>
        <w:tc>
          <w:tcPr>
            <w:tcW w:w="8390" w:type="dxa"/>
          </w:tcPr>
          <w:p w14:paraId="59C4971A" w14:textId="77777777" w:rsidR="005A6984" w:rsidRPr="00536C35" w:rsidRDefault="005A6984" w:rsidP="00C91D6C">
            <w:pPr>
              <w:rPr>
                <w:sz w:val="20"/>
                <w:szCs w:val="20"/>
              </w:rPr>
            </w:pPr>
          </w:p>
          <w:p w14:paraId="65E5A286" w14:textId="77777777" w:rsidR="005A6984" w:rsidRPr="00536C35" w:rsidRDefault="005A6984" w:rsidP="00C91D6C">
            <w:pPr>
              <w:rPr>
                <w:sz w:val="20"/>
                <w:szCs w:val="20"/>
              </w:rPr>
            </w:pPr>
            <w:r w:rsidRPr="00536C35">
              <w:rPr>
                <w:sz w:val="20"/>
                <w:szCs w:val="20"/>
              </w:rPr>
              <w:t>Inundation by coastal storms</w:t>
            </w:r>
          </w:p>
          <w:p w14:paraId="50972DE2" w14:textId="26154810" w:rsidR="0066509B" w:rsidRPr="00536C35" w:rsidRDefault="005A6984" w:rsidP="0028094E">
            <w:pPr>
              <w:rPr>
                <w:sz w:val="20"/>
                <w:szCs w:val="20"/>
              </w:rPr>
            </w:pPr>
            <w:r w:rsidRPr="00536C35">
              <w:rPr>
                <w:sz w:val="20"/>
                <w:szCs w:val="20"/>
              </w:rPr>
              <w:t xml:space="preserve">Indicators: % of delta inundated in a 1-in-100 year coastal flood event – under consideration of different adaptation levels and options </w:t>
            </w:r>
          </w:p>
          <w:p w14:paraId="52C8264B" w14:textId="77777777" w:rsidR="005A6984" w:rsidRPr="00536C35" w:rsidRDefault="005A6984" w:rsidP="00C91D6C">
            <w:pPr>
              <w:rPr>
                <w:sz w:val="20"/>
                <w:szCs w:val="20"/>
              </w:rPr>
            </w:pPr>
          </w:p>
          <w:p w14:paraId="6371FA5D" w14:textId="77777777" w:rsidR="005A6984" w:rsidRPr="00536C35" w:rsidRDefault="005A6984" w:rsidP="00C91D6C">
            <w:pPr>
              <w:rPr>
                <w:sz w:val="20"/>
                <w:szCs w:val="20"/>
              </w:rPr>
            </w:pPr>
            <w:r w:rsidRPr="00536C35">
              <w:rPr>
                <w:sz w:val="20"/>
                <w:szCs w:val="20"/>
              </w:rPr>
              <w:t>Inundation by river floods</w:t>
            </w:r>
          </w:p>
          <w:p w14:paraId="3BAB1C74" w14:textId="4BA6D730" w:rsidR="0028094E" w:rsidRPr="00536C35" w:rsidRDefault="005A6984" w:rsidP="00C91D6C">
            <w:pPr>
              <w:rPr>
                <w:sz w:val="20"/>
                <w:szCs w:val="20"/>
              </w:rPr>
            </w:pPr>
            <w:r w:rsidRPr="00536C35">
              <w:rPr>
                <w:sz w:val="20"/>
                <w:szCs w:val="20"/>
              </w:rPr>
              <w:t>Indicators: % of delta inundated in a 1-in-100 year river flood event –</w:t>
            </w:r>
            <w:r w:rsidRPr="00536C35">
              <w:t xml:space="preserve"> </w:t>
            </w:r>
            <w:r w:rsidRPr="00536C35">
              <w:rPr>
                <w:sz w:val="20"/>
                <w:szCs w:val="20"/>
              </w:rPr>
              <w:t>under consideration of different adaptation levels and options</w:t>
            </w:r>
          </w:p>
          <w:p w14:paraId="2E6F6BCD" w14:textId="77777777" w:rsidR="005A6984" w:rsidRPr="00536C35" w:rsidRDefault="005A6984" w:rsidP="00C91D6C">
            <w:pPr>
              <w:rPr>
                <w:sz w:val="20"/>
                <w:szCs w:val="20"/>
              </w:rPr>
            </w:pPr>
          </w:p>
          <w:p w14:paraId="03877344" w14:textId="77777777" w:rsidR="005A6984" w:rsidRPr="00536C35" w:rsidRDefault="005A6984" w:rsidP="00C91D6C">
            <w:pPr>
              <w:rPr>
                <w:sz w:val="20"/>
                <w:szCs w:val="20"/>
              </w:rPr>
            </w:pPr>
            <w:r w:rsidRPr="00536C35">
              <w:rPr>
                <w:sz w:val="20"/>
                <w:szCs w:val="20"/>
              </w:rPr>
              <w:t xml:space="preserve">Salinity intrusion </w:t>
            </w:r>
          </w:p>
          <w:p w14:paraId="7E5D985E" w14:textId="77777777" w:rsidR="005A6984" w:rsidRPr="00536C35" w:rsidRDefault="005A6984" w:rsidP="00C91D6C">
            <w:pPr>
              <w:rPr>
                <w:sz w:val="20"/>
                <w:szCs w:val="20"/>
              </w:rPr>
            </w:pPr>
            <w:r w:rsidRPr="00536C35">
              <w:rPr>
                <w:sz w:val="20"/>
                <w:szCs w:val="20"/>
              </w:rPr>
              <w:t xml:space="preserve">Indicators: </w:t>
            </w:r>
            <w:r w:rsidR="006B591F" w:rsidRPr="006B591F">
              <w:rPr>
                <w:sz w:val="20"/>
                <w:szCs w:val="20"/>
              </w:rPr>
              <w:t>% of delta area within the 4 ppt surface salinity isohaline</w:t>
            </w:r>
            <w:r>
              <w:rPr>
                <w:sz w:val="20"/>
                <w:szCs w:val="20"/>
              </w:rPr>
              <w:t xml:space="preserve"> [</w:t>
            </w:r>
            <w:r w:rsidR="00A77A70">
              <w:rPr>
                <w:sz w:val="20"/>
                <w:szCs w:val="20"/>
              </w:rPr>
              <w:t>17</w:t>
            </w:r>
            <w:r w:rsidR="006B591F">
              <w:rPr>
                <w:sz w:val="20"/>
                <w:szCs w:val="20"/>
              </w:rPr>
              <w:t xml:space="preserve">, </w:t>
            </w:r>
            <w:r w:rsidR="00A77A70">
              <w:rPr>
                <w:sz w:val="20"/>
                <w:szCs w:val="20"/>
              </w:rPr>
              <w:t>18</w:t>
            </w:r>
            <w:r>
              <w:rPr>
                <w:sz w:val="20"/>
                <w:szCs w:val="20"/>
              </w:rPr>
              <w:t>]</w:t>
            </w:r>
          </w:p>
          <w:p w14:paraId="67AB55D7" w14:textId="77777777" w:rsidR="005A6984" w:rsidRPr="00536C35" w:rsidRDefault="005A6984" w:rsidP="00C91D6C">
            <w:pPr>
              <w:rPr>
                <w:sz w:val="20"/>
                <w:szCs w:val="20"/>
              </w:rPr>
            </w:pPr>
          </w:p>
          <w:p w14:paraId="33091783" w14:textId="77777777" w:rsidR="005A6984" w:rsidRPr="00536C35" w:rsidRDefault="005A6984" w:rsidP="00C91D6C">
            <w:pPr>
              <w:rPr>
                <w:sz w:val="20"/>
                <w:szCs w:val="20"/>
              </w:rPr>
            </w:pPr>
            <w:r w:rsidRPr="00536C35">
              <w:rPr>
                <w:sz w:val="20"/>
                <w:szCs w:val="20"/>
              </w:rPr>
              <w:t xml:space="preserve">Erosion </w:t>
            </w:r>
          </w:p>
          <w:p w14:paraId="0E3F7036" w14:textId="62715BD8" w:rsidR="0028094E" w:rsidRDefault="005A6984" w:rsidP="00C91D6C">
            <w:pPr>
              <w:rPr>
                <w:sz w:val="20"/>
                <w:szCs w:val="20"/>
              </w:rPr>
            </w:pPr>
            <w:r w:rsidRPr="00536C35">
              <w:rPr>
                <w:sz w:val="20"/>
                <w:szCs w:val="20"/>
              </w:rPr>
              <w:t>Indicators: % of delta affected or threatened by riverbank and coastal erosion (allowing for accretion and deposition)</w:t>
            </w:r>
          </w:p>
          <w:p w14:paraId="32C08B47" w14:textId="77777777" w:rsidR="005A6984" w:rsidRDefault="005A6984" w:rsidP="00C91D6C">
            <w:pPr>
              <w:rPr>
                <w:sz w:val="20"/>
                <w:szCs w:val="20"/>
              </w:rPr>
            </w:pPr>
          </w:p>
          <w:p w14:paraId="1FABFD75" w14:textId="77777777" w:rsidR="005A6984" w:rsidRDefault="005A6984" w:rsidP="00C91D6C">
            <w:pPr>
              <w:rPr>
                <w:sz w:val="20"/>
                <w:szCs w:val="20"/>
              </w:rPr>
            </w:pPr>
            <w:r>
              <w:rPr>
                <w:sz w:val="20"/>
                <w:szCs w:val="20"/>
              </w:rPr>
              <w:t>Water quality for aquatic ecosystems (many parameters are typically proposed, here we suggest only one):</w:t>
            </w:r>
          </w:p>
          <w:p w14:paraId="2427431A" w14:textId="77777777" w:rsidR="005A6984" w:rsidRDefault="005A6984" w:rsidP="00C91D6C">
            <w:pPr>
              <w:rPr>
                <w:sz w:val="20"/>
                <w:szCs w:val="20"/>
              </w:rPr>
            </w:pPr>
            <w:r>
              <w:rPr>
                <w:sz w:val="20"/>
                <w:szCs w:val="20"/>
              </w:rPr>
              <w:t>% of delta area with dissolved oxygen &lt; 3 mg/L [</w:t>
            </w:r>
            <w:r w:rsidR="00A77A70">
              <w:rPr>
                <w:sz w:val="20"/>
                <w:szCs w:val="20"/>
              </w:rPr>
              <w:t>19</w:t>
            </w:r>
            <w:r>
              <w:rPr>
                <w:sz w:val="20"/>
                <w:szCs w:val="20"/>
              </w:rPr>
              <w:t>]</w:t>
            </w:r>
          </w:p>
          <w:p w14:paraId="47B52CFF" w14:textId="4BFE9977" w:rsidR="005A6984" w:rsidRPr="0066509B" w:rsidRDefault="005A6984" w:rsidP="0066509B">
            <w:pPr>
              <w:rPr>
                <w:sz w:val="20"/>
                <w:szCs w:val="20"/>
              </w:rPr>
            </w:pPr>
          </w:p>
          <w:p w14:paraId="0C8BFE05" w14:textId="77777777" w:rsidR="005A6984" w:rsidRPr="00536C35" w:rsidRDefault="005A6984" w:rsidP="00C91D6C">
            <w:pPr>
              <w:rPr>
                <w:sz w:val="20"/>
                <w:szCs w:val="20"/>
              </w:rPr>
            </w:pPr>
          </w:p>
        </w:tc>
      </w:tr>
      <w:tr w:rsidR="005A6984" w:rsidRPr="00FD25B5" w14:paraId="7C645A53" w14:textId="77777777" w:rsidTr="00C91D6C">
        <w:trPr>
          <w:trHeight w:val="528"/>
          <w:jc w:val="center"/>
        </w:trPr>
        <w:tc>
          <w:tcPr>
            <w:tcW w:w="1092" w:type="dxa"/>
            <w:textDirection w:val="btLr"/>
            <w:vAlign w:val="center"/>
          </w:tcPr>
          <w:p w14:paraId="22F095C4" w14:textId="77777777" w:rsidR="005A6984" w:rsidRPr="00FD25B5" w:rsidRDefault="005A6984" w:rsidP="00C91D6C">
            <w:pPr>
              <w:jc w:val="center"/>
              <w:rPr>
                <w:b/>
                <w:bCs/>
              </w:rPr>
            </w:pPr>
            <w:r>
              <w:rPr>
                <w:b/>
                <w:bCs/>
              </w:rPr>
              <w:t>Se</w:t>
            </w:r>
            <w:r w:rsidRPr="00FD25B5">
              <w:rPr>
                <w:b/>
                <w:bCs/>
              </w:rPr>
              <w:t>mi</w:t>
            </w:r>
            <w:r>
              <w:rPr>
                <w:b/>
                <w:bCs/>
              </w:rPr>
              <w:t>-</w:t>
            </w:r>
            <w:r w:rsidRPr="00FD25B5">
              <w:rPr>
                <w:b/>
                <w:bCs/>
              </w:rPr>
              <w:t>arid areas</w:t>
            </w:r>
          </w:p>
          <w:p w14:paraId="02AE52DA" w14:textId="77777777" w:rsidR="005A6984" w:rsidRPr="00CF5701" w:rsidRDefault="005A6984" w:rsidP="00C91D6C">
            <w:pPr>
              <w:rPr>
                <w:b/>
                <w:bCs/>
              </w:rPr>
            </w:pPr>
          </w:p>
        </w:tc>
        <w:tc>
          <w:tcPr>
            <w:tcW w:w="4093" w:type="dxa"/>
            <w:vAlign w:val="center"/>
          </w:tcPr>
          <w:p w14:paraId="74AD3615" w14:textId="77777777" w:rsidR="005A6984" w:rsidRDefault="005A6984" w:rsidP="00C91D6C">
            <w:pPr>
              <w:rPr>
                <w:sz w:val="20"/>
                <w:szCs w:val="20"/>
              </w:rPr>
            </w:pPr>
            <w:r>
              <w:rPr>
                <w:sz w:val="20"/>
                <w:szCs w:val="20"/>
              </w:rPr>
              <w:t xml:space="preserve">Rainfall variability and uncertainty </w:t>
            </w:r>
          </w:p>
          <w:p w14:paraId="3400A903" w14:textId="77777777" w:rsidR="005A6984" w:rsidRDefault="005A6984" w:rsidP="00C91D6C">
            <w:pPr>
              <w:rPr>
                <w:sz w:val="20"/>
                <w:szCs w:val="20"/>
              </w:rPr>
            </w:pPr>
          </w:p>
          <w:p w14:paraId="1860995B" w14:textId="77777777" w:rsidR="005A6984" w:rsidRDefault="005A6984" w:rsidP="00C91D6C">
            <w:pPr>
              <w:rPr>
                <w:sz w:val="20"/>
                <w:szCs w:val="20"/>
              </w:rPr>
            </w:pPr>
          </w:p>
          <w:p w14:paraId="4CE7F38D" w14:textId="77777777" w:rsidR="005A6984" w:rsidRPr="00CF5701" w:rsidRDefault="005A6984" w:rsidP="00C91D6C">
            <w:pPr>
              <w:rPr>
                <w:sz w:val="20"/>
                <w:szCs w:val="20"/>
              </w:rPr>
            </w:pPr>
            <w:r>
              <w:rPr>
                <w:sz w:val="20"/>
                <w:szCs w:val="20"/>
              </w:rPr>
              <w:t>Temperature rise</w:t>
            </w:r>
          </w:p>
        </w:tc>
        <w:tc>
          <w:tcPr>
            <w:tcW w:w="8390" w:type="dxa"/>
          </w:tcPr>
          <w:p w14:paraId="79774A9A" w14:textId="77777777" w:rsidR="005A6984" w:rsidRPr="00536C35" w:rsidRDefault="005A6984" w:rsidP="00C91D6C">
            <w:pPr>
              <w:rPr>
                <w:sz w:val="20"/>
                <w:szCs w:val="20"/>
              </w:rPr>
            </w:pPr>
            <w:r w:rsidRPr="00536C35">
              <w:rPr>
                <w:sz w:val="20"/>
                <w:szCs w:val="20"/>
              </w:rPr>
              <w:t>Increased drought risks</w:t>
            </w:r>
          </w:p>
          <w:p w14:paraId="7075E2BD" w14:textId="77777777" w:rsidR="005A6984" w:rsidRPr="00536C35" w:rsidRDefault="005A6984" w:rsidP="00C91D6C">
            <w:pPr>
              <w:rPr>
                <w:sz w:val="20"/>
                <w:szCs w:val="20"/>
              </w:rPr>
            </w:pPr>
            <w:r w:rsidRPr="00536C35">
              <w:rPr>
                <w:sz w:val="20"/>
                <w:szCs w:val="20"/>
              </w:rPr>
              <w:t>Indicators: Drought risk index measured as percent change in future precipitation relative to the past; Pa</w:t>
            </w:r>
            <w:r w:rsidR="007D2966">
              <w:rPr>
                <w:sz w:val="20"/>
                <w:szCs w:val="20"/>
              </w:rPr>
              <w:t>l</w:t>
            </w:r>
            <w:r w:rsidRPr="00536C35">
              <w:rPr>
                <w:sz w:val="20"/>
                <w:szCs w:val="20"/>
              </w:rPr>
              <w:t>mer Drought Severity Index, Standardised Precipitation and Evaporation Index (SPEI)</w:t>
            </w:r>
          </w:p>
          <w:p w14:paraId="758862F8" w14:textId="77777777" w:rsidR="005A6984" w:rsidRPr="00536C35" w:rsidRDefault="005A6984" w:rsidP="00C91D6C">
            <w:pPr>
              <w:rPr>
                <w:sz w:val="20"/>
                <w:szCs w:val="20"/>
              </w:rPr>
            </w:pPr>
          </w:p>
          <w:p w14:paraId="0C49BD1B" w14:textId="77777777" w:rsidR="005A6984" w:rsidRPr="00536C35" w:rsidRDefault="005A6984" w:rsidP="00C91D6C">
            <w:pPr>
              <w:rPr>
                <w:sz w:val="20"/>
                <w:szCs w:val="20"/>
              </w:rPr>
            </w:pPr>
            <w:r w:rsidRPr="00536C35">
              <w:rPr>
                <w:sz w:val="20"/>
                <w:szCs w:val="20"/>
              </w:rPr>
              <w:t>Increased flood risk</w:t>
            </w:r>
          </w:p>
          <w:p w14:paraId="03E875C7" w14:textId="77777777" w:rsidR="005A6984" w:rsidRPr="00536C35" w:rsidRDefault="005A6984" w:rsidP="00C91D6C">
            <w:pPr>
              <w:rPr>
                <w:sz w:val="20"/>
                <w:szCs w:val="20"/>
              </w:rPr>
            </w:pPr>
            <w:r w:rsidRPr="00536C35">
              <w:rPr>
                <w:sz w:val="20"/>
                <w:szCs w:val="20"/>
              </w:rPr>
              <w:t xml:space="preserve">Indicators: Area affected by a 1-in-100 year flood events (%), percent change in precipitation intensity-duration-frequency curves, </w:t>
            </w:r>
            <w:r w:rsidRPr="00E16194">
              <w:rPr>
                <w:sz w:val="20"/>
                <w:szCs w:val="20"/>
              </w:rPr>
              <w:t>percent change in runoff relative to the past.</w:t>
            </w:r>
          </w:p>
          <w:p w14:paraId="07FAF2EB" w14:textId="77777777" w:rsidR="005A6984" w:rsidRPr="00536C35" w:rsidRDefault="005A6984" w:rsidP="00C91D6C">
            <w:pPr>
              <w:rPr>
                <w:sz w:val="20"/>
                <w:szCs w:val="20"/>
              </w:rPr>
            </w:pPr>
          </w:p>
          <w:p w14:paraId="4145C783" w14:textId="77777777" w:rsidR="005A6984" w:rsidRPr="00536C35" w:rsidRDefault="005A6984" w:rsidP="00C91D6C">
            <w:pPr>
              <w:rPr>
                <w:sz w:val="20"/>
                <w:szCs w:val="20"/>
              </w:rPr>
            </w:pPr>
            <w:r w:rsidRPr="00536C35">
              <w:rPr>
                <w:sz w:val="20"/>
                <w:szCs w:val="20"/>
              </w:rPr>
              <w:t xml:space="preserve">Changing water supply/resources </w:t>
            </w:r>
          </w:p>
          <w:p w14:paraId="2D03B186" w14:textId="77777777" w:rsidR="005A6984" w:rsidRPr="00536C35" w:rsidRDefault="005A6984" w:rsidP="00C91D6C">
            <w:pPr>
              <w:rPr>
                <w:sz w:val="20"/>
                <w:szCs w:val="20"/>
              </w:rPr>
            </w:pPr>
            <w:r w:rsidRPr="00536C35">
              <w:rPr>
                <w:sz w:val="20"/>
                <w:szCs w:val="20"/>
              </w:rPr>
              <w:t>Indicators:  Relative magnitude of water supply and demand</w:t>
            </w:r>
            <w:r w:rsidRPr="00536C35" w:rsidDel="0023369C">
              <w:rPr>
                <w:sz w:val="20"/>
                <w:szCs w:val="20"/>
              </w:rPr>
              <w:t xml:space="preserve"> </w:t>
            </w:r>
            <w:r w:rsidRPr="00536C35">
              <w:rPr>
                <w:sz w:val="20"/>
                <w:szCs w:val="20"/>
              </w:rPr>
              <w:t>(including human and environmental needs), Multivariate Standardized Reliability and Resilience Index (MSRRI)</w:t>
            </w:r>
          </w:p>
          <w:p w14:paraId="01BE3FB8" w14:textId="77777777" w:rsidR="005A6984" w:rsidRPr="00536C35" w:rsidRDefault="005A6984" w:rsidP="00C91D6C">
            <w:pPr>
              <w:rPr>
                <w:sz w:val="20"/>
                <w:szCs w:val="20"/>
              </w:rPr>
            </w:pPr>
            <w:r w:rsidRPr="00536C35">
              <w:t xml:space="preserve"> </w:t>
            </w:r>
          </w:p>
          <w:p w14:paraId="7A9F27BE" w14:textId="77777777" w:rsidR="005A6984" w:rsidRPr="00536C35" w:rsidRDefault="005A6984" w:rsidP="00C91D6C">
            <w:pPr>
              <w:rPr>
                <w:sz w:val="20"/>
                <w:szCs w:val="20"/>
              </w:rPr>
            </w:pPr>
            <w:r w:rsidRPr="00536C35">
              <w:rPr>
                <w:sz w:val="20"/>
                <w:szCs w:val="20"/>
              </w:rPr>
              <w:lastRenderedPageBreak/>
              <w:t>Land degradation</w:t>
            </w:r>
          </w:p>
          <w:p w14:paraId="46C4A32E" w14:textId="77777777" w:rsidR="005A6984" w:rsidRPr="00536C35" w:rsidRDefault="005A6984" w:rsidP="00C91D6C">
            <w:pPr>
              <w:rPr>
                <w:sz w:val="20"/>
                <w:szCs w:val="20"/>
              </w:rPr>
            </w:pPr>
            <w:r w:rsidRPr="00536C35">
              <w:rPr>
                <w:sz w:val="20"/>
                <w:szCs w:val="20"/>
              </w:rPr>
              <w:t>Indicator:  Area (km</w:t>
            </w:r>
            <w:r w:rsidRPr="00536C35">
              <w:rPr>
                <w:sz w:val="20"/>
                <w:szCs w:val="20"/>
                <w:vertAlign w:val="superscript"/>
              </w:rPr>
              <w:t>2</w:t>
            </w:r>
            <w:r w:rsidRPr="00536C35">
              <w:rPr>
                <w:sz w:val="20"/>
                <w:szCs w:val="20"/>
              </w:rPr>
              <w:t>) and % of land area affected by land degradation</w:t>
            </w:r>
          </w:p>
          <w:p w14:paraId="00B4EF8F" w14:textId="77777777" w:rsidR="005A6984" w:rsidRPr="00536C35" w:rsidRDefault="005A6984" w:rsidP="00C91D6C">
            <w:pPr>
              <w:rPr>
                <w:sz w:val="20"/>
                <w:szCs w:val="20"/>
              </w:rPr>
            </w:pPr>
          </w:p>
          <w:p w14:paraId="3856FE3E" w14:textId="77777777" w:rsidR="005A6984" w:rsidRPr="00536C35" w:rsidRDefault="005A6984" w:rsidP="00A77A70">
            <w:pPr>
              <w:rPr>
                <w:sz w:val="20"/>
                <w:szCs w:val="20"/>
              </w:rPr>
            </w:pPr>
            <w:r w:rsidRPr="00536C35">
              <w:rPr>
                <w:sz w:val="20"/>
                <w:szCs w:val="20"/>
              </w:rPr>
              <w:t>Heat stress index – such at those used by the ETCCDMI or Alexander et al. (2006) [</w:t>
            </w:r>
            <w:r w:rsidR="00A77A70">
              <w:rPr>
                <w:sz w:val="20"/>
                <w:szCs w:val="20"/>
              </w:rPr>
              <w:t>20</w:t>
            </w:r>
            <w:r w:rsidRPr="00536C35">
              <w:rPr>
                <w:sz w:val="20"/>
                <w:szCs w:val="20"/>
              </w:rPr>
              <w:t xml:space="preserve">]  </w:t>
            </w:r>
          </w:p>
        </w:tc>
      </w:tr>
      <w:tr w:rsidR="005A6984" w:rsidRPr="00FD25B5" w14:paraId="087788AC" w14:textId="77777777" w:rsidTr="00C91D6C">
        <w:trPr>
          <w:cantSplit/>
          <w:trHeight w:val="4373"/>
          <w:jc w:val="center"/>
        </w:trPr>
        <w:tc>
          <w:tcPr>
            <w:tcW w:w="1092" w:type="dxa"/>
            <w:textDirection w:val="btLr"/>
            <w:vAlign w:val="center"/>
          </w:tcPr>
          <w:p w14:paraId="30EA2A99" w14:textId="77777777" w:rsidR="005A6984" w:rsidRPr="00FD25B5" w:rsidRDefault="005A6984" w:rsidP="00C91D6C">
            <w:pPr>
              <w:jc w:val="center"/>
            </w:pPr>
            <w:r>
              <w:rPr>
                <w:b/>
                <w:bCs/>
              </w:rPr>
              <w:lastRenderedPageBreak/>
              <w:t>Glaciers &amp; s</w:t>
            </w:r>
            <w:r w:rsidRPr="00FD25B5">
              <w:rPr>
                <w:b/>
                <w:bCs/>
              </w:rPr>
              <w:t>nowpack-dependent river</w:t>
            </w:r>
            <w:r>
              <w:rPr>
                <w:b/>
                <w:bCs/>
              </w:rPr>
              <w:t xml:space="preserve"> basins</w:t>
            </w:r>
          </w:p>
        </w:tc>
        <w:tc>
          <w:tcPr>
            <w:tcW w:w="4093" w:type="dxa"/>
            <w:vAlign w:val="center"/>
          </w:tcPr>
          <w:p w14:paraId="22710095" w14:textId="77777777" w:rsidR="005A6984" w:rsidRDefault="005A6984" w:rsidP="00C91D6C">
            <w:pPr>
              <w:rPr>
                <w:sz w:val="20"/>
                <w:szCs w:val="20"/>
              </w:rPr>
            </w:pPr>
          </w:p>
          <w:p w14:paraId="6430152A" w14:textId="77777777" w:rsidR="005A6984" w:rsidRPr="00FD25B5" w:rsidRDefault="005A6984" w:rsidP="00C91D6C">
            <w:pPr>
              <w:rPr>
                <w:sz w:val="20"/>
                <w:szCs w:val="20"/>
              </w:rPr>
            </w:pPr>
          </w:p>
          <w:p w14:paraId="23A8DF93" w14:textId="77777777" w:rsidR="005A6984" w:rsidRDefault="005A6984" w:rsidP="00C91D6C">
            <w:pPr>
              <w:rPr>
                <w:sz w:val="20"/>
                <w:szCs w:val="20"/>
              </w:rPr>
            </w:pPr>
          </w:p>
          <w:p w14:paraId="2095D2C9" w14:textId="77777777" w:rsidR="005A6984" w:rsidRPr="000A2922" w:rsidRDefault="005A6984" w:rsidP="00C91D6C">
            <w:pPr>
              <w:rPr>
                <w:sz w:val="20"/>
                <w:szCs w:val="20"/>
              </w:rPr>
            </w:pPr>
          </w:p>
          <w:p w14:paraId="2EC42E54" w14:textId="77777777" w:rsidR="005A6984" w:rsidRDefault="005A6984" w:rsidP="00C91D6C">
            <w:pPr>
              <w:rPr>
                <w:sz w:val="20"/>
                <w:szCs w:val="20"/>
              </w:rPr>
            </w:pPr>
            <w:r w:rsidRPr="000A2922">
              <w:rPr>
                <w:sz w:val="20"/>
                <w:szCs w:val="20"/>
              </w:rPr>
              <w:t>Decline in g</w:t>
            </w:r>
            <w:r>
              <w:rPr>
                <w:sz w:val="20"/>
                <w:szCs w:val="20"/>
              </w:rPr>
              <w:t xml:space="preserve">lacier extent and thickness </w:t>
            </w:r>
          </w:p>
          <w:p w14:paraId="37322708" w14:textId="77777777" w:rsidR="005A6984" w:rsidRDefault="005A6984" w:rsidP="00C91D6C">
            <w:pPr>
              <w:rPr>
                <w:sz w:val="20"/>
                <w:szCs w:val="20"/>
              </w:rPr>
            </w:pPr>
          </w:p>
          <w:p w14:paraId="1A102192" w14:textId="77777777" w:rsidR="005A6984" w:rsidRDefault="005A6984" w:rsidP="00C91D6C">
            <w:pPr>
              <w:rPr>
                <w:sz w:val="20"/>
                <w:szCs w:val="20"/>
              </w:rPr>
            </w:pPr>
            <w:r>
              <w:rPr>
                <w:sz w:val="20"/>
                <w:szCs w:val="20"/>
              </w:rPr>
              <w:t>Shifts in precipitation patterns</w:t>
            </w:r>
          </w:p>
          <w:p w14:paraId="77E49256" w14:textId="77777777" w:rsidR="005A6984" w:rsidRPr="000A2922" w:rsidRDefault="005A6984" w:rsidP="00C91D6C">
            <w:pPr>
              <w:rPr>
                <w:sz w:val="20"/>
                <w:szCs w:val="20"/>
              </w:rPr>
            </w:pPr>
          </w:p>
          <w:p w14:paraId="16CEE535" w14:textId="77777777" w:rsidR="005A6984" w:rsidRDefault="005A6984" w:rsidP="00C91D6C">
            <w:pPr>
              <w:rPr>
                <w:sz w:val="20"/>
                <w:szCs w:val="20"/>
              </w:rPr>
            </w:pPr>
            <w:r w:rsidRPr="000A2922">
              <w:rPr>
                <w:sz w:val="20"/>
                <w:szCs w:val="20"/>
              </w:rPr>
              <w:t>Decline in seasonal snowpack extent and water content</w:t>
            </w:r>
          </w:p>
          <w:p w14:paraId="1A3BCE64" w14:textId="77777777" w:rsidR="005A6984" w:rsidRDefault="005A6984" w:rsidP="00C91D6C">
            <w:pPr>
              <w:rPr>
                <w:sz w:val="20"/>
                <w:szCs w:val="20"/>
              </w:rPr>
            </w:pPr>
          </w:p>
          <w:p w14:paraId="03698549" w14:textId="77777777" w:rsidR="005A6984" w:rsidRDefault="005A6984" w:rsidP="00C91D6C">
            <w:pPr>
              <w:rPr>
                <w:sz w:val="20"/>
                <w:szCs w:val="20"/>
              </w:rPr>
            </w:pPr>
            <w:r w:rsidRPr="000A2922">
              <w:rPr>
                <w:sz w:val="20"/>
                <w:szCs w:val="20"/>
              </w:rPr>
              <w:t>Changes in streamflow seasonality</w:t>
            </w:r>
            <w:r>
              <w:rPr>
                <w:sz w:val="20"/>
                <w:szCs w:val="20"/>
              </w:rPr>
              <w:t xml:space="preserve"> and flood frequency </w:t>
            </w:r>
          </w:p>
          <w:p w14:paraId="022AE26B" w14:textId="77777777" w:rsidR="005A6984" w:rsidRPr="000A2922" w:rsidRDefault="005A6984" w:rsidP="00C91D6C">
            <w:pPr>
              <w:rPr>
                <w:sz w:val="20"/>
                <w:szCs w:val="20"/>
              </w:rPr>
            </w:pPr>
          </w:p>
          <w:p w14:paraId="423CCC62" w14:textId="77777777" w:rsidR="005A6984" w:rsidRPr="00FD25B5" w:rsidRDefault="005A6984" w:rsidP="00C91D6C">
            <w:pPr>
              <w:rPr>
                <w:sz w:val="20"/>
                <w:szCs w:val="20"/>
              </w:rPr>
            </w:pPr>
          </w:p>
        </w:tc>
        <w:tc>
          <w:tcPr>
            <w:tcW w:w="8390" w:type="dxa"/>
          </w:tcPr>
          <w:p w14:paraId="31799735" w14:textId="77777777" w:rsidR="005A6984" w:rsidRDefault="005A6984" w:rsidP="00C91D6C">
            <w:pPr>
              <w:rPr>
                <w:sz w:val="20"/>
                <w:szCs w:val="20"/>
              </w:rPr>
            </w:pPr>
          </w:p>
          <w:p w14:paraId="20AAA14D" w14:textId="77777777" w:rsidR="005A6984" w:rsidRPr="006652BA" w:rsidRDefault="005A6984" w:rsidP="00C91D6C">
            <w:pPr>
              <w:rPr>
                <w:sz w:val="20"/>
                <w:szCs w:val="20"/>
              </w:rPr>
            </w:pPr>
            <w:r w:rsidRPr="006652BA">
              <w:rPr>
                <w:sz w:val="20"/>
                <w:szCs w:val="20"/>
              </w:rPr>
              <w:t>Insecure water supply</w:t>
            </w:r>
          </w:p>
          <w:p w14:paraId="4CFAC0AB" w14:textId="77777777" w:rsidR="005A6984" w:rsidRDefault="005A6984" w:rsidP="00C91D6C">
            <w:pPr>
              <w:rPr>
                <w:sz w:val="20"/>
                <w:szCs w:val="20"/>
              </w:rPr>
            </w:pPr>
            <w:r w:rsidRPr="006652BA">
              <w:rPr>
                <w:sz w:val="20"/>
                <w:szCs w:val="20"/>
              </w:rPr>
              <w:t xml:space="preserve">Indicators:  </w:t>
            </w:r>
            <w:r>
              <w:rPr>
                <w:sz w:val="20"/>
                <w:szCs w:val="20"/>
              </w:rPr>
              <w:t xml:space="preserve">Depletion indices for mass balance of glaciers, </w:t>
            </w:r>
            <w:r w:rsidRPr="00245E92">
              <w:rPr>
                <w:sz w:val="20"/>
                <w:szCs w:val="20"/>
              </w:rPr>
              <w:t>shifts in composition of total precipitation</w:t>
            </w:r>
            <w:r w:rsidR="00C6237C">
              <w:rPr>
                <w:sz w:val="20"/>
                <w:szCs w:val="20"/>
              </w:rPr>
              <w:t xml:space="preserve"> </w:t>
            </w:r>
            <w:r w:rsidRPr="00245E92">
              <w:rPr>
                <w:sz w:val="20"/>
                <w:szCs w:val="20"/>
              </w:rPr>
              <w:t>from snowfall to rainfall; monsoon onset, duration and intensity</w:t>
            </w:r>
          </w:p>
          <w:p w14:paraId="4ABE34B7" w14:textId="77777777" w:rsidR="005A6984" w:rsidRDefault="005A6984" w:rsidP="00C91D6C">
            <w:pPr>
              <w:rPr>
                <w:sz w:val="20"/>
                <w:szCs w:val="20"/>
              </w:rPr>
            </w:pPr>
          </w:p>
          <w:p w14:paraId="7DF92D17" w14:textId="77777777" w:rsidR="005A6984" w:rsidRDefault="005A6984" w:rsidP="00C91D6C">
            <w:pPr>
              <w:rPr>
                <w:sz w:val="20"/>
                <w:szCs w:val="20"/>
              </w:rPr>
            </w:pPr>
            <w:r>
              <w:rPr>
                <w:sz w:val="20"/>
                <w:szCs w:val="20"/>
              </w:rPr>
              <w:t>Seasonality of river runoff</w:t>
            </w:r>
          </w:p>
          <w:p w14:paraId="5B43B8AD" w14:textId="77777777" w:rsidR="005A6984" w:rsidRDefault="005A6984" w:rsidP="00C91D6C">
            <w:pPr>
              <w:rPr>
                <w:sz w:val="20"/>
                <w:szCs w:val="20"/>
              </w:rPr>
            </w:pPr>
            <w:r>
              <w:rPr>
                <w:sz w:val="20"/>
                <w:szCs w:val="20"/>
              </w:rPr>
              <w:t xml:space="preserve">Indicators: Shifts in </w:t>
            </w:r>
            <w:r w:rsidR="00C6237C">
              <w:rPr>
                <w:sz w:val="20"/>
                <w:szCs w:val="20"/>
              </w:rPr>
              <w:t>streamflow</w:t>
            </w:r>
            <w:r>
              <w:rPr>
                <w:sz w:val="20"/>
                <w:szCs w:val="20"/>
              </w:rPr>
              <w:t xml:space="preserve"> hydrographs and </w:t>
            </w:r>
            <w:r w:rsidR="00C6237C">
              <w:rPr>
                <w:sz w:val="20"/>
                <w:szCs w:val="20"/>
              </w:rPr>
              <w:t xml:space="preserve">in monthly and annual </w:t>
            </w:r>
            <w:r>
              <w:rPr>
                <w:sz w:val="20"/>
                <w:szCs w:val="20"/>
              </w:rPr>
              <w:t>total flows; increases/decreases in runoff from increased glacial melt</w:t>
            </w:r>
          </w:p>
          <w:p w14:paraId="50109F49" w14:textId="77777777" w:rsidR="005A6984" w:rsidRDefault="005A6984" w:rsidP="00C91D6C">
            <w:pPr>
              <w:rPr>
                <w:sz w:val="20"/>
                <w:szCs w:val="20"/>
              </w:rPr>
            </w:pPr>
          </w:p>
          <w:p w14:paraId="28BB9694" w14:textId="77777777" w:rsidR="005A6984" w:rsidRDefault="005A6984" w:rsidP="00C91D6C">
            <w:pPr>
              <w:rPr>
                <w:sz w:val="20"/>
                <w:szCs w:val="20"/>
              </w:rPr>
            </w:pPr>
            <w:r>
              <w:rPr>
                <w:sz w:val="20"/>
                <w:szCs w:val="20"/>
              </w:rPr>
              <w:t>Glacier melt related risks</w:t>
            </w:r>
          </w:p>
          <w:p w14:paraId="3F8C6430" w14:textId="77777777" w:rsidR="005A6984" w:rsidRPr="000A2922" w:rsidRDefault="005A6984" w:rsidP="00C91D6C">
            <w:pPr>
              <w:rPr>
                <w:sz w:val="20"/>
                <w:szCs w:val="20"/>
              </w:rPr>
            </w:pPr>
            <w:r>
              <w:rPr>
                <w:sz w:val="20"/>
                <w:szCs w:val="20"/>
              </w:rPr>
              <w:t>Indicators: Growth in number and extent of Glacial Lakes and occurrence of Glacial Lake Outburst Floods (GLOFs)</w:t>
            </w:r>
          </w:p>
          <w:p w14:paraId="07EC56AA" w14:textId="77777777" w:rsidR="005A6984" w:rsidRPr="000A2922" w:rsidRDefault="005A6984" w:rsidP="00C91D6C">
            <w:pPr>
              <w:rPr>
                <w:sz w:val="20"/>
                <w:szCs w:val="20"/>
              </w:rPr>
            </w:pPr>
          </w:p>
          <w:p w14:paraId="10C56757" w14:textId="77777777" w:rsidR="005A6984" w:rsidRDefault="005A6984" w:rsidP="00C91D6C">
            <w:pPr>
              <w:rPr>
                <w:sz w:val="20"/>
                <w:szCs w:val="20"/>
              </w:rPr>
            </w:pPr>
            <w:r w:rsidRPr="000A2922">
              <w:rPr>
                <w:sz w:val="20"/>
                <w:szCs w:val="20"/>
              </w:rPr>
              <w:t>Increased flood risk</w:t>
            </w:r>
          </w:p>
          <w:p w14:paraId="001A3533" w14:textId="77777777" w:rsidR="005A6984" w:rsidRPr="00116D97" w:rsidRDefault="005A6984" w:rsidP="00C91D6C">
            <w:pPr>
              <w:rPr>
                <w:sz w:val="20"/>
                <w:szCs w:val="20"/>
              </w:rPr>
            </w:pPr>
            <w:r>
              <w:rPr>
                <w:sz w:val="20"/>
                <w:szCs w:val="20"/>
              </w:rPr>
              <w:t>Indicators:</w:t>
            </w:r>
            <w:r w:rsidRPr="00494AA0">
              <w:rPr>
                <w:sz w:val="20"/>
                <w:szCs w:val="20"/>
              </w:rPr>
              <w:t xml:space="preserve"> </w:t>
            </w:r>
            <w:r w:rsidRPr="001D641B">
              <w:rPr>
                <w:sz w:val="20"/>
                <w:szCs w:val="20"/>
              </w:rPr>
              <w:t>Area affected by a 1-in-100 year flood events (%)</w:t>
            </w:r>
            <w:r>
              <w:rPr>
                <w:sz w:val="20"/>
                <w:szCs w:val="20"/>
              </w:rPr>
              <w:t>, percent change in precipitation intensity-duration-frequency curves</w:t>
            </w:r>
          </w:p>
        </w:tc>
      </w:tr>
    </w:tbl>
    <w:p w14:paraId="6CC2E93A" w14:textId="77777777" w:rsidR="00470330" w:rsidRDefault="00203298" w:rsidP="00083160">
      <w:pPr>
        <w:rPr>
          <w:b/>
          <w:bCs/>
          <w:sz w:val="18"/>
          <w:szCs w:val="18"/>
        </w:rPr>
      </w:pPr>
      <w:r>
        <w:rPr>
          <w:b/>
          <w:bCs/>
          <w:sz w:val="18"/>
          <w:szCs w:val="18"/>
        </w:rPr>
        <w:br w:type="textWrapping" w:clear="all"/>
      </w:r>
    </w:p>
    <w:p w14:paraId="0C7A4DE0" w14:textId="77777777" w:rsidR="00470330" w:rsidRDefault="00470330" w:rsidP="00C365FC">
      <w:pPr>
        <w:sectPr w:rsidR="00470330" w:rsidSect="00470330">
          <w:pgSz w:w="16838" w:h="11906" w:orient="landscape"/>
          <w:pgMar w:top="1440" w:right="1440" w:bottom="1440" w:left="1440" w:header="709" w:footer="709" w:gutter="0"/>
          <w:cols w:space="708"/>
          <w:docGrid w:linePitch="360"/>
        </w:sectPr>
      </w:pPr>
    </w:p>
    <w:p w14:paraId="4B0A3FA6" w14:textId="77777777" w:rsidR="007F4E5B" w:rsidRDefault="007F4E5B" w:rsidP="007F4E5B">
      <w:pPr>
        <w:spacing w:after="0" w:line="480" w:lineRule="auto"/>
        <w:rPr>
          <w:sz w:val="24"/>
          <w:szCs w:val="24"/>
        </w:rPr>
      </w:pPr>
      <w:r w:rsidRPr="00380B7E">
        <w:rPr>
          <w:sz w:val="24"/>
          <w:szCs w:val="24"/>
        </w:rPr>
        <w:lastRenderedPageBreak/>
        <w:t xml:space="preserve">storage in snowpacks and behind dams, versus longer-term storage in glaciers and groundwater can be used to capture changes. For </w:t>
      </w:r>
      <w:r w:rsidR="00961AD1">
        <w:rPr>
          <w:sz w:val="24"/>
          <w:szCs w:val="24"/>
        </w:rPr>
        <w:t xml:space="preserve">all three types of hotspots, </w:t>
      </w:r>
      <w:r w:rsidRPr="00380B7E">
        <w:rPr>
          <w:sz w:val="24"/>
          <w:szCs w:val="24"/>
        </w:rPr>
        <w:t xml:space="preserve">a composite checklist covering institutional, infrastructure and informed decision making is needed to assess the </w:t>
      </w:r>
      <w:r w:rsidR="00961AD1" w:rsidRPr="00380B7E">
        <w:rPr>
          <w:sz w:val="24"/>
          <w:szCs w:val="24"/>
        </w:rPr>
        <w:t>overall water security</w:t>
      </w:r>
      <w:r w:rsidRPr="00380B7E">
        <w:rPr>
          <w:sz w:val="24"/>
          <w:szCs w:val="24"/>
        </w:rPr>
        <w:t xml:space="preserve"> of a region </w:t>
      </w:r>
      <w:r>
        <w:rPr>
          <w:sz w:val="24"/>
          <w:szCs w:val="24"/>
        </w:rPr>
        <w:t xml:space="preserve">[13]. </w:t>
      </w:r>
    </w:p>
    <w:p w14:paraId="6338A2C3" w14:textId="77777777" w:rsidR="007F4E5B" w:rsidRDefault="007F4E5B" w:rsidP="007F4E5B">
      <w:pPr>
        <w:spacing w:after="0" w:line="480" w:lineRule="auto"/>
        <w:rPr>
          <w:sz w:val="24"/>
          <w:szCs w:val="24"/>
        </w:rPr>
      </w:pPr>
    </w:p>
    <w:p w14:paraId="0EC8FC6B" w14:textId="396BE914" w:rsidR="00A65904" w:rsidRDefault="009F37C9" w:rsidP="00103D0A">
      <w:pPr>
        <w:pStyle w:val="EndNoteBibliographyTitle"/>
        <w:spacing w:line="480" w:lineRule="auto"/>
        <w:ind w:firstLine="567"/>
        <w:jc w:val="left"/>
        <w:rPr>
          <w:sz w:val="24"/>
          <w:szCs w:val="24"/>
        </w:rPr>
      </w:pPr>
      <w:r>
        <w:rPr>
          <w:noProof w:val="0"/>
          <w:sz w:val="24"/>
          <w:szCs w:val="24"/>
        </w:rPr>
        <w:t xml:space="preserve">For </w:t>
      </w:r>
      <w:r w:rsidR="00B618F8">
        <w:rPr>
          <w:sz w:val="24"/>
          <w:szCs w:val="24"/>
        </w:rPr>
        <w:t>multiple climate</w:t>
      </w:r>
      <w:r w:rsidR="00E71F8C">
        <w:rPr>
          <w:sz w:val="24"/>
          <w:szCs w:val="24"/>
        </w:rPr>
        <w:t xml:space="preserve"> </w:t>
      </w:r>
      <w:r w:rsidR="00697509">
        <w:rPr>
          <w:sz w:val="24"/>
          <w:szCs w:val="24"/>
        </w:rPr>
        <w:t xml:space="preserve">change </w:t>
      </w:r>
      <w:r w:rsidR="00B618F8">
        <w:rPr>
          <w:sz w:val="24"/>
          <w:szCs w:val="24"/>
        </w:rPr>
        <w:t>hotspots, such as mounta</w:t>
      </w:r>
      <w:r w:rsidR="00A65904">
        <w:rPr>
          <w:sz w:val="24"/>
          <w:szCs w:val="24"/>
        </w:rPr>
        <w:t>in</w:t>
      </w:r>
      <w:r w:rsidR="00B618F8">
        <w:rPr>
          <w:sz w:val="24"/>
          <w:szCs w:val="24"/>
        </w:rPr>
        <w:t>ous semi-arid areas</w:t>
      </w:r>
      <w:r>
        <w:rPr>
          <w:sz w:val="24"/>
          <w:szCs w:val="24"/>
        </w:rPr>
        <w:t>, a combination of relevant indicators should be adopted</w:t>
      </w:r>
      <w:r w:rsidR="00103D0A">
        <w:rPr>
          <w:sz w:val="24"/>
          <w:szCs w:val="24"/>
        </w:rPr>
        <w:t>.</w:t>
      </w:r>
      <w:r>
        <w:rPr>
          <w:sz w:val="24"/>
          <w:szCs w:val="24"/>
        </w:rPr>
        <w:t xml:space="preserve"> </w:t>
      </w:r>
      <w:r w:rsidR="00103D0A">
        <w:rPr>
          <w:sz w:val="24"/>
          <w:szCs w:val="24"/>
        </w:rPr>
        <w:t xml:space="preserve">In regions </w:t>
      </w:r>
      <w:r w:rsidR="00B912A9">
        <w:rPr>
          <w:sz w:val="24"/>
          <w:szCs w:val="24"/>
        </w:rPr>
        <w:t xml:space="preserve">where local populations may be affected by </w:t>
      </w:r>
      <w:r>
        <w:rPr>
          <w:sz w:val="24"/>
          <w:szCs w:val="24"/>
        </w:rPr>
        <w:t xml:space="preserve">a range of </w:t>
      </w:r>
      <w:r w:rsidR="00B912A9">
        <w:rPr>
          <w:sz w:val="24"/>
          <w:szCs w:val="24"/>
        </w:rPr>
        <w:t>hazards,</w:t>
      </w:r>
      <w:r w:rsidR="00B618F8">
        <w:rPr>
          <w:sz w:val="24"/>
          <w:szCs w:val="24"/>
        </w:rPr>
        <w:t xml:space="preserve"> analysts should examine</w:t>
      </w:r>
      <w:r w:rsidR="00B618F8" w:rsidRPr="00B618F8">
        <w:rPr>
          <w:sz w:val="24"/>
          <w:szCs w:val="24"/>
        </w:rPr>
        <w:t xml:space="preserve"> which indicators are </w:t>
      </w:r>
      <w:r w:rsidR="004C0878">
        <w:rPr>
          <w:sz w:val="24"/>
          <w:szCs w:val="24"/>
        </w:rPr>
        <w:t xml:space="preserve">most relevant for the </w:t>
      </w:r>
      <w:r w:rsidR="00A46D5D">
        <w:rPr>
          <w:sz w:val="24"/>
          <w:szCs w:val="24"/>
        </w:rPr>
        <w:t>co</w:t>
      </w:r>
      <w:r w:rsidR="004C0878">
        <w:rPr>
          <w:sz w:val="24"/>
          <w:szCs w:val="24"/>
        </w:rPr>
        <w:t>mpound</w:t>
      </w:r>
      <w:r w:rsidR="00B618F8" w:rsidRPr="00B618F8">
        <w:rPr>
          <w:sz w:val="24"/>
          <w:szCs w:val="24"/>
        </w:rPr>
        <w:t xml:space="preserve"> effects, </w:t>
      </w:r>
      <w:r w:rsidR="004C0878">
        <w:rPr>
          <w:sz w:val="24"/>
          <w:szCs w:val="24"/>
        </w:rPr>
        <w:t xml:space="preserve">and combine the indicators by </w:t>
      </w:r>
      <w:r w:rsidR="00B618F8">
        <w:rPr>
          <w:sz w:val="24"/>
          <w:szCs w:val="24"/>
        </w:rPr>
        <w:t>apply</w:t>
      </w:r>
      <w:r w:rsidR="004C0878">
        <w:rPr>
          <w:sz w:val="24"/>
          <w:szCs w:val="24"/>
        </w:rPr>
        <w:t>ing</w:t>
      </w:r>
      <w:r w:rsidR="00B618F8">
        <w:rPr>
          <w:sz w:val="24"/>
          <w:szCs w:val="24"/>
        </w:rPr>
        <w:t xml:space="preserve"> </w:t>
      </w:r>
      <w:r>
        <w:rPr>
          <w:sz w:val="24"/>
          <w:szCs w:val="24"/>
        </w:rPr>
        <w:t xml:space="preserve">appropriate </w:t>
      </w:r>
      <w:r w:rsidR="00B618F8">
        <w:rPr>
          <w:sz w:val="24"/>
          <w:szCs w:val="24"/>
        </w:rPr>
        <w:t>weighting system</w:t>
      </w:r>
      <w:r w:rsidR="003F4593">
        <w:rPr>
          <w:sz w:val="24"/>
          <w:szCs w:val="24"/>
        </w:rPr>
        <w:t>s</w:t>
      </w:r>
      <w:r w:rsidR="00B618F8">
        <w:rPr>
          <w:sz w:val="24"/>
          <w:szCs w:val="24"/>
        </w:rPr>
        <w:t xml:space="preserve">. </w:t>
      </w:r>
      <w:r w:rsidR="006B7906">
        <w:rPr>
          <w:sz w:val="24"/>
          <w:szCs w:val="24"/>
        </w:rPr>
        <w:t xml:space="preserve">Because the environmental impacts affecting climate hotspots are directly and indirectly associated with socio-economic development, for example through </w:t>
      </w:r>
      <w:r w:rsidR="006B7906">
        <w:rPr>
          <w:noProof w:val="0"/>
          <w:sz w:val="24"/>
          <w:szCs w:val="24"/>
        </w:rPr>
        <w:t>changes in occupational structure and impacts on livelihoods and human health</w:t>
      </w:r>
      <w:r w:rsidR="006B7906">
        <w:rPr>
          <w:sz w:val="24"/>
          <w:szCs w:val="24"/>
        </w:rPr>
        <w:t>,</w:t>
      </w:r>
      <w:r w:rsidR="006B7906">
        <w:rPr>
          <w:noProof w:val="0"/>
          <w:sz w:val="24"/>
          <w:szCs w:val="24"/>
        </w:rPr>
        <w:t xml:space="preserve"> it is critical to develop and adapt an approach that acknowledges the coupled climate-socio-ecological changes. </w:t>
      </w:r>
      <w:r w:rsidR="0048398F">
        <w:rPr>
          <w:sz w:val="24"/>
          <w:szCs w:val="24"/>
        </w:rPr>
        <w:t xml:space="preserve">Countries and regional organisations </w:t>
      </w:r>
      <w:r w:rsidR="00ED2977">
        <w:rPr>
          <w:sz w:val="24"/>
          <w:szCs w:val="24"/>
        </w:rPr>
        <w:t xml:space="preserve">that </w:t>
      </w:r>
      <w:r w:rsidR="0048398F">
        <w:rPr>
          <w:sz w:val="24"/>
          <w:szCs w:val="24"/>
        </w:rPr>
        <w:t>focus on tackling developmental impacts of climate and environmental change, such as the Mekong River Commission and t</w:t>
      </w:r>
      <w:r w:rsidR="0048398F" w:rsidRPr="007E1EB1">
        <w:rPr>
          <w:sz w:val="24"/>
          <w:szCs w:val="24"/>
        </w:rPr>
        <w:t>he International Centre for Integrated Mountain Development</w:t>
      </w:r>
      <w:r w:rsidR="00ED2977">
        <w:rPr>
          <w:sz w:val="24"/>
          <w:szCs w:val="24"/>
        </w:rPr>
        <w:t>,</w:t>
      </w:r>
      <w:r w:rsidR="0048398F">
        <w:rPr>
          <w:sz w:val="24"/>
          <w:szCs w:val="24"/>
        </w:rPr>
        <w:t xml:space="preserve"> should take leadership in coordinating efforts for monitoring and </w:t>
      </w:r>
      <w:r w:rsidR="00CC465B">
        <w:rPr>
          <w:sz w:val="24"/>
          <w:szCs w:val="24"/>
        </w:rPr>
        <w:t>evaluating the developmental progress of their regions</w:t>
      </w:r>
      <w:r w:rsidR="0048398F">
        <w:rPr>
          <w:sz w:val="24"/>
          <w:szCs w:val="24"/>
        </w:rPr>
        <w:t xml:space="preserve">. </w:t>
      </w:r>
    </w:p>
    <w:p w14:paraId="4F8845B9" w14:textId="77777777" w:rsidR="00A65904" w:rsidRDefault="00A65904" w:rsidP="00C023FE">
      <w:pPr>
        <w:pStyle w:val="EndNoteBibliographyTitle"/>
        <w:spacing w:line="480" w:lineRule="auto"/>
        <w:ind w:firstLine="567"/>
        <w:jc w:val="left"/>
        <w:rPr>
          <w:sz w:val="24"/>
          <w:szCs w:val="24"/>
        </w:rPr>
      </w:pPr>
    </w:p>
    <w:p w14:paraId="39E7B488" w14:textId="77777777" w:rsidR="0048398F" w:rsidRDefault="00961AD1" w:rsidP="00437555">
      <w:pPr>
        <w:pStyle w:val="EndNoteBibliographyTitle"/>
        <w:spacing w:line="480" w:lineRule="auto"/>
        <w:ind w:firstLine="567"/>
        <w:jc w:val="left"/>
        <w:rPr>
          <w:sz w:val="24"/>
          <w:szCs w:val="24"/>
        </w:rPr>
      </w:pPr>
      <w:r>
        <w:rPr>
          <w:sz w:val="24"/>
          <w:szCs w:val="24"/>
        </w:rPr>
        <w:t>In addition, a</w:t>
      </w:r>
      <w:r w:rsidR="00082222">
        <w:rPr>
          <w:sz w:val="24"/>
          <w:szCs w:val="24"/>
        </w:rPr>
        <w:t>s some o</w:t>
      </w:r>
      <w:r w:rsidR="00082222" w:rsidRPr="00082222">
        <w:rPr>
          <w:sz w:val="24"/>
          <w:szCs w:val="24"/>
        </w:rPr>
        <w:t xml:space="preserve">f the </w:t>
      </w:r>
      <w:r w:rsidR="00D56EAA">
        <w:rPr>
          <w:sz w:val="24"/>
          <w:szCs w:val="24"/>
        </w:rPr>
        <w:t xml:space="preserve">proposed </w:t>
      </w:r>
      <w:r w:rsidR="00082222" w:rsidRPr="00082222">
        <w:rPr>
          <w:sz w:val="24"/>
          <w:szCs w:val="24"/>
        </w:rPr>
        <w:t xml:space="preserve">indicators in the SDG framework are still </w:t>
      </w:r>
      <w:r w:rsidR="00D56EAA">
        <w:rPr>
          <w:sz w:val="24"/>
          <w:szCs w:val="24"/>
        </w:rPr>
        <w:t xml:space="preserve">flagged </w:t>
      </w:r>
      <w:r w:rsidR="005E7BE9">
        <w:rPr>
          <w:sz w:val="24"/>
          <w:szCs w:val="24"/>
        </w:rPr>
        <w:t xml:space="preserve">as </w:t>
      </w:r>
      <w:r w:rsidR="00D56EAA">
        <w:rPr>
          <w:sz w:val="24"/>
          <w:szCs w:val="24"/>
        </w:rPr>
        <w:t>‘t</w:t>
      </w:r>
      <w:r w:rsidR="005E7BE9">
        <w:rPr>
          <w:sz w:val="24"/>
          <w:szCs w:val="24"/>
        </w:rPr>
        <w:t>ier II</w:t>
      </w:r>
      <w:r w:rsidR="00D56EAA">
        <w:rPr>
          <w:sz w:val="24"/>
          <w:szCs w:val="24"/>
        </w:rPr>
        <w:t>I’</w:t>
      </w:r>
      <w:r w:rsidR="009B5A54">
        <w:rPr>
          <w:sz w:val="24"/>
          <w:szCs w:val="24"/>
        </w:rPr>
        <w:t xml:space="preserve"> at the time of publication</w:t>
      </w:r>
      <w:r w:rsidR="00082222" w:rsidRPr="00082222">
        <w:rPr>
          <w:sz w:val="24"/>
          <w:szCs w:val="24"/>
        </w:rPr>
        <w:t xml:space="preserve"> (i</w:t>
      </w:r>
      <w:r w:rsidR="00082222">
        <w:rPr>
          <w:sz w:val="24"/>
          <w:szCs w:val="24"/>
        </w:rPr>
        <w:t>.</w:t>
      </w:r>
      <w:r w:rsidR="00082222" w:rsidRPr="00082222">
        <w:rPr>
          <w:sz w:val="24"/>
          <w:szCs w:val="24"/>
        </w:rPr>
        <w:t>e</w:t>
      </w:r>
      <w:r w:rsidR="00082222">
        <w:rPr>
          <w:sz w:val="24"/>
          <w:szCs w:val="24"/>
        </w:rPr>
        <w:t>. in need of further development), we call for the international</w:t>
      </w:r>
      <w:r w:rsidR="00D94D63">
        <w:rPr>
          <w:sz w:val="24"/>
          <w:szCs w:val="24"/>
        </w:rPr>
        <w:t xml:space="preserve"> </w:t>
      </w:r>
      <w:r w:rsidR="00082222" w:rsidRPr="00082222">
        <w:rPr>
          <w:sz w:val="24"/>
          <w:szCs w:val="24"/>
        </w:rPr>
        <w:t xml:space="preserve">community </w:t>
      </w:r>
      <w:r w:rsidR="00D94D63">
        <w:rPr>
          <w:sz w:val="24"/>
          <w:szCs w:val="24"/>
        </w:rPr>
        <w:t xml:space="preserve">of experts in climate, water resources, and environmental assessment </w:t>
      </w:r>
      <w:r w:rsidR="003F4593">
        <w:rPr>
          <w:sz w:val="24"/>
          <w:szCs w:val="24"/>
        </w:rPr>
        <w:t>who focus on quantifying change</w:t>
      </w:r>
      <w:r w:rsidR="00697509">
        <w:rPr>
          <w:sz w:val="24"/>
          <w:szCs w:val="24"/>
        </w:rPr>
        <w:t>,</w:t>
      </w:r>
      <w:r w:rsidR="003F4593">
        <w:rPr>
          <w:sz w:val="24"/>
          <w:szCs w:val="24"/>
        </w:rPr>
        <w:t xml:space="preserve"> </w:t>
      </w:r>
      <w:r w:rsidR="00082222">
        <w:rPr>
          <w:sz w:val="24"/>
          <w:szCs w:val="24"/>
        </w:rPr>
        <w:t xml:space="preserve">and the </w:t>
      </w:r>
      <w:r w:rsidR="00082222" w:rsidRPr="00082222">
        <w:rPr>
          <w:sz w:val="24"/>
          <w:szCs w:val="24"/>
        </w:rPr>
        <w:t xml:space="preserve">Inter-agency and </w:t>
      </w:r>
      <w:r w:rsidR="00DC791D" w:rsidRPr="00082222">
        <w:rPr>
          <w:sz w:val="24"/>
          <w:szCs w:val="24"/>
        </w:rPr>
        <w:t>Expert Group on SDG Indicators</w:t>
      </w:r>
      <w:r>
        <w:rPr>
          <w:sz w:val="24"/>
          <w:szCs w:val="24"/>
        </w:rPr>
        <w:t>,</w:t>
      </w:r>
      <w:r w:rsidR="00DC791D" w:rsidRPr="00082222">
        <w:rPr>
          <w:sz w:val="24"/>
          <w:szCs w:val="24"/>
        </w:rPr>
        <w:t xml:space="preserve"> to work </w:t>
      </w:r>
      <w:r w:rsidR="00D94D63">
        <w:rPr>
          <w:sz w:val="24"/>
          <w:szCs w:val="24"/>
        </w:rPr>
        <w:t xml:space="preserve">together </w:t>
      </w:r>
      <w:r w:rsidR="00DC791D">
        <w:rPr>
          <w:sz w:val="24"/>
          <w:szCs w:val="24"/>
        </w:rPr>
        <w:t>to ensure that</w:t>
      </w:r>
      <w:r w:rsidR="00DC791D" w:rsidRPr="00082222">
        <w:rPr>
          <w:sz w:val="24"/>
          <w:szCs w:val="24"/>
        </w:rPr>
        <w:t xml:space="preserve"> the indicators </w:t>
      </w:r>
      <w:r w:rsidR="00D94D63">
        <w:rPr>
          <w:sz w:val="24"/>
          <w:szCs w:val="24"/>
        </w:rPr>
        <w:t xml:space="preserve">for climate hotspots </w:t>
      </w:r>
      <w:r w:rsidR="00DC791D" w:rsidRPr="00082222">
        <w:rPr>
          <w:sz w:val="24"/>
          <w:szCs w:val="24"/>
        </w:rPr>
        <w:t xml:space="preserve">reflect </w:t>
      </w:r>
      <w:r w:rsidR="00DC791D" w:rsidRPr="00082222">
        <w:rPr>
          <w:sz w:val="24"/>
          <w:szCs w:val="24"/>
        </w:rPr>
        <w:lastRenderedPageBreak/>
        <w:t>the cross</w:t>
      </w:r>
      <w:r>
        <w:rPr>
          <w:sz w:val="24"/>
          <w:szCs w:val="24"/>
        </w:rPr>
        <w:t>-</w:t>
      </w:r>
      <w:r w:rsidR="00DC791D" w:rsidRPr="00082222">
        <w:rPr>
          <w:sz w:val="24"/>
          <w:szCs w:val="24"/>
        </w:rPr>
        <w:t>boundary challenges ahead.</w:t>
      </w:r>
      <w:r w:rsidR="00082222">
        <w:rPr>
          <w:sz w:val="24"/>
          <w:szCs w:val="24"/>
        </w:rPr>
        <w:t xml:space="preserve"> </w:t>
      </w:r>
      <w:r w:rsidR="00DC791D">
        <w:rPr>
          <w:sz w:val="24"/>
          <w:szCs w:val="24"/>
        </w:rPr>
        <w:t xml:space="preserve">As some of the climate hotspots are interconnected (e.g. deltas belonging to glaciers and snowpack-dependent river basins which might also contain </w:t>
      </w:r>
      <w:r w:rsidR="00234227">
        <w:rPr>
          <w:sz w:val="24"/>
          <w:szCs w:val="24"/>
        </w:rPr>
        <w:t xml:space="preserve">a </w:t>
      </w:r>
      <w:r w:rsidR="00DC791D">
        <w:rPr>
          <w:sz w:val="24"/>
          <w:szCs w:val="24"/>
        </w:rPr>
        <w:t xml:space="preserve">semi-arid region), it is </w:t>
      </w:r>
      <w:r>
        <w:rPr>
          <w:sz w:val="24"/>
          <w:szCs w:val="24"/>
        </w:rPr>
        <w:t xml:space="preserve">essential </w:t>
      </w:r>
      <w:r w:rsidR="00DC791D">
        <w:rPr>
          <w:sz w:val="24"/>
          <w:szCs w:val="24"/>
        </w:rPr>
        <w:t>to monitor indicators beyond national boundaries</w:t>
      </w:r>
      <w:r w:rsidR="00D94D63">
        <w:rPr>
          <w:sz w:val="24"/>
          <w:szCs w:val="24"/>
        </w:rPr>
        <w:t xml:space="preserve">. </w:t>
      </w:r>
      <w:r w:rsidR="00660CD5">
        <w:rPr>
          <w:sz w:val="24"/>
          <w:szCs w:val="24"/>
        </w:rPr>
        <w:t>I</w:t>
      </w:r>
      <w:r w:rsidR="0048398F" w:rsidRPr="00ED76C6">
        <w:rPr>
          <w:sz w:val="24"/>
          <w:szCs w:val="24"/>
        </w:rPr>
        <w:t>ncorporat</w:t>
      </w:r>
      <w:r w:rsidR="00660CD5">
        <w:rPr>
          <w:sz w:val="24"/>
          <w:szCs w:val="24"/>
        </w:rPr>
        <w:t>ing</w:t>
      </w:r>
      <w:r w:rsidR="0048398F" w:rsidRPr="00ED76C6">
        <w:rPr>
          <w:sz w:val="24"/>
          <w:szCs w:val="24"/>
        </w:rPr>
        <w:t xml:space="preserve"> the </w:t>
      </w:r>
      <w:r w:rsidR="0048398F">
        <w:rPr>
          <w:sz w:val="24"/>
          <w:szCs w:val="24"/>
        </w:rPr>
        <w:t xml:space="preserve">challenges and </w:t>
      </w:r>
      <w:r w:rsidR="00CC465B">
        <w:rPr>
          <w:sz w:val="24"/>
          <w:szCs w:val="24"/>
        </w:rPr>
        <w:t xml:space="preserve">priorities </w:t>
      </w:r>
      <w:r w:rsidR="00CC465B" w:rsidRPr="00E16194">
        <w:rPr>
          <w:sz w:val="24"/>
          <w:szCs w:val="24"/>
        </w:rPr>
        <w:t xml:space="preserve">raised in climate hotspots within </w:t>
      </w:r>
      <w:r w:rsidR="0048398F" w:rsidRPr="00E16194">
        <w:rPr>
          <w:sz w:val="24"/>
          <w:szCs w:val="24"/>
        </w:rPr>
        <w:t>the wider SDG agenda</w:t>
      </w:r>
      <w:r w:rsidR="00167E73" w:rsidRPr="00E16194">
        <w:rPr>
          <w:sz w:val="24"/>
          <w:szCs w:val="24"/>
        </w:rPr>
        <w:t xml:space="preserve"> and align</w:t>
      </w:r>
      <w:r w:rsidR="00660CD5" w:rsidRPr="00E16194">
        <w:rPr>
          <w:sz w:val="24"/>
          <w:szCs w:val="24"/>
        </w:rPr>
        <w:t>ing</w:t>
      </w:r>
      <w:r w:rsidR="00167E73" w:rsidRPr="00E16194">
        <w:rPr>
          <w:sz w:val="24"/>
          <w:szCs w:val="24"/>
        </w:rPr>
        <w:t xml:space="preserve"> the different global ag</w:t>
      </w:r>
      <w:r w:rsidR="00E16194" w:rsidRPr="00E16194">
        <w:rPr>
          <w:sz w:val="24"/>
          <w:szCs w:val="24"/>
        </w:rPr>
        <w:t>reements</w:t>
      </w:r>
      <w:r w:rsidR="0048398F" w:rsidRPr="00E16194">
        <w:rPr>
          <w:sz w:val="24"/>
          <w:szCs w:val="24"/>
        </w:rPr>
        <w:t xml:space="preserve"> </w:t>
      </w:r>
      <w:r w:rsidR="00660CD5" w:rsidRPr="00E16194">
        <w:rPr>
          <w:sz w:val="24"/>
          <w:szCs w:val="24"/>
        </w:rPr>
        <w:t>will</w:t>
      </w:r>
      <w:r w:rsidR="00660CD5">
        <w:rPr>
          <w:sz w:val="24"/>
          <w:szCs w:val="24"/>
        </w:rPr>
        <w:t xml:space="preserve"> be criticial to </w:t>
      </w:r>
      <w:r>
        <w:rPr>
          <w:sz w:val="24"/>
          <w:szCs w:val="24"/>
        </w:rPr>
        <w:t xml:space="preserve">enabling </w:t>
      </w:r>
      <w:r w:rsidR="0048398F">
        <w:rPr>
          <w:sz w:val="24"/>
          <w:szCs w:val="24"/>
        </w:rPr>
        <w:t>inclusive human development and sustainable economic growth</w:t>
      </w:r>
      <w:r w:rsidR="00D94D63">
        <w:rPr>
          <w:sz w:val="24"/>
          <w:szCs w:val="24"/>
        </w:rPr>
        <w:t xml:space="preserve"> in the face of </w:t>
      </w:r>
      <w:r>
        <w:rPr>
          <w:sz w:val="24"/>
          <w:szCs w:val="24"/>
        </w:rPr>
        <w:t xml:space="preserve">unprecedented </w:t>
      </w:r>
      <w:r w:rsidR="00D94D63">
        <w:rPr>
          <w:sz w:val="24"/>
          <w:szCs w:val="24"/>
        </w:rPr>
        <w:t>climate and environmental change</w:t>
      </w:r>
      <w:r w:rsidR="0048398F" w:rsidRPr="00ED76C6">
        <w:rPr>
          <w:sz w:val="24"/>
          <w:szCs w:val="24"/>
        </w:rPr>
        <w:t>.</w:t>
      </w:r>
    </w:p>
    <w:p w14:paraId="09059595" w14:textId="77777777" w:rsidR="007F4E5B" w:rsidRDefault="007F4E5B" w:rsidP="00E16194">
      <w:pPr>
        <w:pStyle w:val="EndNoteBibliographyTitle"/>
        <w:spacing w:line="480" w:lineRule="auto"/>
        <w:ind w:firstLine="567"/>
        <w:jc w:val="left"/>
        <w:rPr>
          <w:sz w:val="24"/>
          <w:szCs w:val="24"/>
        </w:rPr>
      </w:pPr>
    </w:p>
    <w:p w14:paraId="3648363E" w14:textId="77777777" w:rsidR="003946EF" w:rsidRPr="00D92774" w:rsidRDefault="003946EF" w:rsidP="00C023FE">
      <w:pPr>
        <w:pStyle w:val="EndNoteBibliographyTitle"/>
        <w:spacing w:line="480" w:lineRule="auto"/>
        <w:jc w:val="left"/>
        <w:rPr>
          <w:b/>
          <w:sz w:val="24"/>
          <w:szCs w:val="24"/>
        </w:rPr>
      </w:pPr>
      <w:r w:rsidRPr="00D92774">
        <w:rPr>
          <w:b/>
          <w:sz w:val="24"/>
          <w:szCs w:val="24"/>
        </w:rPr>
        <w:t>Acknowledgements</w:t>
      </w:r>
    </w:p>
    <w:p w14:paraId="0B55BC72" w14:textId="77777777" w:rsidR="002B488C" w:rsidRPr="00F3376C" w:rsidRDefault="003946EF" w:rsidP="00C023FE">
      <w:pPr>
        <w:pStyle w:val="EndNoteBibliographyTitle"/>
        <w:spacing w:line="480" w:lineRule="auto"/>
        <w:jc w:val="left"/>
        <w:rPr>
          <w:i/>
          <w:iCs/>
          <w:sz w:val="24"/>
          <w:szCs w:val="24"/>
        </w:rPr>
      </w:pPr>
      <w:r w:rsidRPr="003946EF">
        <w:rPr>
          <w:i/>
          <w:iCs/>
          <w:sz w:val="24"/>
          <w:szCs w:val="24"/>
        </w:rPr>
        <w:t xml:space="preserve">This work </w:t>
      </w:r>
      <w:r w:rsidR="00AE5C0A">
        <w:rPr>
          <w:i/>
          <w:iCs/>
          <w:sz w:val="24"/>
          <w:szCs w:val="24"/>
        </w:rPr>
        <w:t>draws on</w:t>
      </w:r>
      <w:r w:rsidRPr="003946EF">
        <w:rPr>
          <w:i/>
          <w:iCs/>
          <w:sz w:val="24"/>
          <w:szCs w:val="24"/>
        </w:rPr>
        <w:t xml:space="preserve"> the Collaborative Adaptation Research Initiative in Africa and Asia (CARIAA) with financial support from the UK Government’s Department for International Development and the International Development Research Centre, Ottawa, Canada. </w:t>
      </w:r>
      <w:r w:rsidR="006E5F55" w:rsidRPr="00F3376C">
        <w:rPr>
          <w:i/>
          <w:iCs/>
          <w:sz w:val="24"/>
          <w:szCs w:val="24"/>
        </w:rPr>
        <w:t xml:space="preserve">This work was also supported by the Belmont Forum DELTAS project (Grant No. NE/L008726/1 </w:t>
      </w:r>
      <w:r w:rsidR="00245E92" w:rsidRPr="00476F6D">
        <w:rPr>
          <w:rFonts w:asciiTheme="minorHAnsi" w:hAnsiTheme="minorHAnsi"/>
          <w:i/>
          <w:iCs/>
          <w:noProof w:val="0"/>
          <w:sz w:val="24"/>
          <w:szCs w:val="24"/>
        </w:rPr>
        <w:t xml:space="preserve">in </w:t>
      </w:r>
      <w:r w:rsidR="00245E92" w:rsidRPr="00476F6D">
        <w:rPr>
          <w:i/>
          <w:iCs/>
          <w:sz w:val="24"/>
          <w:szCs w:val="24"/>
        </w:rPr>
        <w:t xml:space="preserve">the </w:t>
      </w:r>
      <w:r w:rsidR="006E5F55">
        <w:rPr>
          <w:rFonts w:asciiTheme="minorHAnsi" w:hAnsiTheme="minorHAnsi"/>
          <w:i/>
          <w:iCs/>
          <w:noProof w:val="0"/>
          <w:sz w:val="24"/>
          <w:szCs w:val="24"/>
        </w:rPr>
        <w:t xml:space="preserve">U.K, DFG Grant </w:t>
      </w:r>
      <w:r w:rsidR="006E5F55" w:rsidRPr="00F3376C">
        <w:rPr>
          <w:sz w:val="24"/>
          <w:szCs w:val="24"/>
          <w:lang w:val="en-US"/>
        </w:rPr>
        <w:t>AOBJ</w:t>
      </w:r>
      <w:r w:rsidR="00AD5516" w:rsidRPr="00476F6D">
        <w:rPr>
          <w:rFonts w:asciiTheme="minorHAnsi" w:hAnsiTheme="minorHAnsi"/>
          <w:i/>
          <w:iCs/>
          <w:noProof w:val="0"/>
          <w:sz w:val="24"/>
          <w:szCs w:val="24"/>
        </w:rPr>
        <w:t>: 604933 / GZ: RE 3554/1-1 in Germany</w:t>
      </w:r>
      <w:r w:rsidR="006E5F55">
        <w:rPr>
          <w:rFonts w:asciiTheme="minorHAnsi" w:hAnsiTheme="minorHAnsi"/>
          <w:i/>
          <w:iCs/>
          <w:noProof w:val="0"/>
          <w:sz w:val="24"/>
          <w:szCs w:val="24"/>
        </w:rPr>
        <w:t xml:space="preserve"> and </w:t>
      </w:r>
      <w:r w:rsidR="006E5F55">
        <w:rPr>
          <w:rFonts w:asciiTheme="minorHAnsi" w:hAnsiTheme="minorHAnsi" w:cs="Times New Roman"/>
          <w:i/>
          <w:noProof w:val="0"/>
          <w:color w:val="231F20"/>
          <w:sz w:val="24"/>
          <w:szCs w:val="24"/>
          <w:lang w:val="en-US"/>
        </w:rPr>
        <w:t>NSF</w:t>
      </w:r>
      <w:r w:rsidR="006E5F55">
        <w:rPr>
          <w:rFonts w:cs="Times New Roman"/>
          <w:i/>
          <w:color w:val="231F20"/>
          <w:sz w:val="24"/>
          <w:szCs w:val="24"/>
          <w:lang w:val="en-US"/>
        </w:rPr>
        <w:t xml:space="preserve"> G</w:t>
      </w:r>
      <w:r w:rsidR="006E5F55">
        <w:rPr>
          <w:rFonts w:asciiTheme="minorHAnsi" w:hAnsiTheme="minorHAnsi" w:cs="Times New Roman"/>
          <w:i/>
          <w:noProof w:val="0"/>
          <w:color w:val="231F20"/>
          <w:sz w:val="24"/>
          <w:szCs w:val="24"/>
          <w:lang w:val="en-US"/>
        </w:rPr>
        <w:t>rant EAR-1342944 in the U.S</w:t>
      </w:r>
      <w:r w:rsidR="006E5F55" w:rsidRPr="00F3376C">
        <w:rPr>
          <w:i/>
          <w:iCs/>
          <w:sz w:val="24"/>
          <w:szCs w:val="24"/>
        </w:rPr>
        <w:t xml:space="preserve">). The Belmont Forum DELTAS project is co-funded by the Natural Environment Research Council (NERC). Additional financial support was provided by the German Research Foundation (DFG) via the Cluster of Excellence </w:t>
      </w:r>
      <w:r w:rsidR="00A77A70">
        <w:rPr>
          <w:i/>
          <w:iCs/>
          <w:sz w:val="24"/>
          <w:szCs w:val="24"/>
        </w:rPr>
        <w:t>‘</w:t>
      </w:r>
      <w:r w:rsidR="006E5F55" w:rsidRPr="00F3376C">
        <w:rPr>
          <w:i/>
          <w:iCs/>
          <w:sz w:val="24"/>
          <w:szCs w:val="24"/>
        </w:rPr>
        <w:t>The Future Ocean</w:t>
      </w:r>
      <w:r w:rsidR="00A77A70">
        <w:rPr>
          <w:i/>
          <w:iCs/>
          <w:sz w:val="24"/>
          <w:szCs w:val="24"/>
        </w:rPr>
        <w:t>’</w:t>
      </w:r>
      <w:r w:rsidR="006E5F55" w:rsidRPr="00F3376C">
        <w:rPr>
          <w:i/>
          <w:iCs/>
          <w:sz w:val="24"/>
          <w:szCs w:val="24"/>
        </w:rPr>
        <w:t xml:space="preserve"> in Kiel, Germany</w:t>
      </w:r>
      <w:r w:rsidR="00A77A70">
        <w:rPr>
          <w:i/>
          <w:iCs/>
          <w:sz w:val="24"/>
          <w:szCs w:val="24"/>
        </w:rPr>
        <w:t>,</w:t>
      </w:r>
      <w:r w:rsidR="00FE54AE">
        <w:rPr>
          <w:i/>
          <w:iCs/>
          <w:sz w:val="24"/>
          <w:szCs w:val="24"/>
        </w:rPr>
        <w:t xml:space="preserve"> and by the U.S. National Science Foundation</w:t>
      </w:r>
      <w:r w:rsidR="006E5F55" w:rsidRPr="00F3376C">
        <w:rPr>
          <w:i/>
          <w:iCs/>
          <w:sz w:val="24"/>
          <w:szCs w:val="24"/>
        </w:rPr>
        <w:t>.</w:t>
      </w:r>
    </w:p>
    <w:p w14:paraId="732B25AC" w14:textId="77777777" w:rsidR="003946EF" w:rsidRDefault="003946EF" w:rsidP="00C023FE">
      <w:pPr>
        <w:pStyle w:val="EndNoteBibliographyTitle"/>
        <w:spacing w:line="480" w:lineRule="auto"/>
        <w:jc w:val="left"/>
        <w:rPr>
          <w:sz w:val="24"/>
          <w:szCs w:val="24"/>
        </w:rPr>
      </w:pPr>
    </w:p>
    <w:p w14:paraId="59512388" w14:textId="77777777" w:rsidR="003946EF" w:rsidRDefault="003946EF" w:rsidP="00C023FE">
      <w:pPr>
        <w:pStyle w:val="EndNoteBibliographyTitle"/>
        <w:spacing w:line="480" w:lineRule="auto"/>
        <w:jc w:val="left"/>
        <w:rPr>
          <w:sz w:val="24"/>
          <w:szCs w:val="24"/>
        </w:rPr>
      </w:pPr>
    </w:p>
    <w:p w14:paraId="18CCEF8D" w14:textId="77777777" w:rsidR="00450F0A" w:rsidRPr="00683564" w:rsidRDefault="003946EF" w:rsidP="00C023FE">
      <w:pPr>
        <w:pStyle w:val="EndNoteBibliographyTitle"/>
        <w:spacing w:line="480" w:lineRule="auto"/>
        <w:jc w:val="left"/>
        <w:rPr>
          <w:i/>
          <w:iCs/>
        </w:rPr>
      </w:pPr>
      <w:r>
        <w:rPr>
          <w:b/>
          <w:sz w:val="24"/>
          <w:szCs w:val="24"/>
        </w:rPr>
        <w:t>D</w:t>
      </w:r>
      <w:r w:rsidRPr="003946EF">
        <w:rPr>
          <w:b/>
          <w:sz w:val="24"/>
          <w:szCs w:val="24"/>
        </w:rPr>
        <w:t xml:space="preserve">isclaimer: </w:t>
      </w:r>
      <w:r w:rsidRPr="003946EF">
        <w:rPr>
          <w:i/>
          <w:iCs/>
          <w:sz w:val="24"/>
          <w:szCs w:val="24"/>
        </w:rPr>
        <w:t>The views expressed i</w:t>
      </w:r>
      <w:r w:rsidR="002B488C">
        <w:rPr>
          <w:i/>
          <w:iCs/>
          <w:sz w:val="24"/>
          <w:szCs w:val="24"/>
        </w:rPr>
        <w:t>n this work are those of the autho</w:t>
      </w:r>
      <w:r w:rsidRPr="003946EF">
        <w:rPr>
          <w:i/>
          <w:iCs/>
          <w:sz w:val="24"/>
          <w:szCs w:val="24"/>
        </w:rPr>
        <w:t xml:space="preserve">rs and do not necessarily represent those of the UK Government’s Department for International Development, the International Development Research Centre, Canada or its Board of Governors, </w:t>
      </w:r>
      <w:r w:rsidR="00095A15">
        <w:rPr>
          <w:i/>
          <w:iCs/>
          <w:sz w:val="24"/>
          <w:szCs w:val="24"/>
        </w:rPr>
        <w:t xml:space="preserve">the United Nations University, </w:t>
      </w:r>
      <w:r w:rsidRPr="003946EF">
        <w:rPr>
          <w:i/>
          <w:iCs/>
          <w:sz w:val="24"/>
          <w:szCs w:val="24"/>
        </w:rPr>
        <w:t xml:space="preserve">and are not </w:t>
      </w:r>
      <w:r w:rsidRPr="003946EF">
        <w:rPr>
          <w:i/>
          <w:sz w:val="24"/>
          <w:szCs w:val="24"/>
        </w:rPr>
        <w:t>necessarily attributable to their organizations.</w:t>
      </w:r>
      <w:r w:rsidR="000A4964">
        <w:rPr>
          <w:i/>
          <w:sz w:val="24"/>
          <w:szCs w:val="24"/>
        </w:rPr>
        <w:t xml:space="preserve"> </w:t>
      </w:r>
    </w:p>
    <w:p w14:paraId="090EB138" w14:textId="77777777" w:rsidR="0048398F" w:rsidRPr="000A4964" w:rsidRDefault="0048398F" w:rsidP="00C023FE">
      <w:pPr>
        <w:pStyle w:val="EndNoteBibliographyTitle"/>
        <w:tabs>
          <w:tab w:val="left" w:pos="142"/>
        </w:tabs>
        <w:spacing w:line="480" w:lineRule="auto"/>
        <w:jc w:val="left"/>
        <w:rPr>
          <w:sz w:val="24"/>
          <w:szCs w:val="24"/>
        </w:rPr>
        <w:sectPr w:rsidR="0048398F" w:rsidRPr="000A4964" w:rsidSect="0048398F">
          <w:pgSz w:w="11906" w:h="16838"/>
          <w:pgMar w:top="1440" w:right="1440" w:bottom="1440" w:left="1440" w:header="709" w:footer="709" w:gutter="0"/>
          <w:cols w:space="708"/>
          <w:docGrid w:linePitch="360"/>
        </w:sectPr>
      </w:pPr>
    </w:p>
    <w:p w14:paraId="13B15F47" w14:textId="77777777" w:rsidR="00167E73" w:rsidRDefault="00167E73" w:rsidP="00C023FE">
      <w:pPr>
        <w:pStyle w:val="EndNoteBibliographyTitle"/>
        <w:spacing w:line="480" w:lineRule="auto"/>
        <w:jc w:val="left"/>
        <w:rPr>
          <w:b/>
          <w:bCs/>
        </w:rPr>
      </w:pPr>
      <w:r w:rsidRPr="00167E73">
        <w:rPr>
          <w:b/>
          <w:bCs/>
        </w:rPr>
        <w:lastRenderedPageBreak/>
        <w:t>References:</w:t>
      </w:r>
    </w:p>
    <w:p w14:paraId="16A0E789" w14:textId="77777777" w:rsidR="00E326DA" w:rsidRPr="00167E73" w:rsidRDefault="00E326DA" w:rsidP="00C023FE">
      <w:pPr>
        <w:pStyle w:val="EndNoteBibliographyTitle"/>
        <w:spacing w:line="480" w:lineRule="auto"/>
        <w:jc w:val="left"/>
        <w:rPr>
          <w:b/>
          <w:bCs/>
        </w:rPr>
      </w:pPr>
    </w:p>
    <w:p w14:paraId="35DF23D9" w14:textId="77777777" w:rsidR="00056615" w:rsidRDefault="00056615" w:rsidP="00C023FE">
      <w:pPr>
        <w:pStyle w:val="EndNoteBibliographyTitle"/>
        <w:numPr>
          <w:ilvl w:val="0"/>
          <w:numId w:val="31"/>
        </w:numPr>
        <w:spacing w:line="480" w:lineRule="auto"/>
        <w:jc w:val="left"/>
      </w:pPr>
      <w:r>
        <w:t>IPCC, Managing the Risks of Extreme Events and Disasters to Advance Climate Change Adaptation. A Special Report of Working Groups I and II of the Intergovernmental Panel on Climate Change [Field, C.B., V. Barros, T.F. Stocker, D. Qin, D.J. Dokken, K.L. Ebi, M.D. Mastrandrea, K.J. Mach, G.-K. Plattner, S.K. Allen, M. Tignor, and P.M. Midgley (eds</w:t>
      </w:r>
      <w:r w:rsidR="00027950">
        <w:t>.)]. Cambridge University Press</w:t>
      </w:r>
      <w:r>
        <w:t xml:space="preserve"> </w:t>
      </w:r>
      <w:r w:rsidR="00027950">
        <w:t>(</w:t>
      </w:r>
      <w:r>
        <w:t xml:space="preserve">Cambridge, </w:t>
      </w:r>
      <w:r w:rsidR="00027950">
        <w:t>UK, and New York, NY, USA, 2012).</w:t>
      </w:r>
    </w:p>
    <w:p w14:paraId="4C6F14B2" w14:textId="77777777" w:rsidR="00A253F9" w:rsidRDefault="009D3C79" w:rsidP="00C023FE">
      <w:pPr>
        <w:pStyle w:val="EndNoteBibliographyTitle"/>
        <w:numPr>
          <w:ilvl w:val="0"/>
          <w:numId w:val="31"/>
        </w:numPr>
        <w:spacing w:line="480" w:lineRule="auto"/>
        <w:jc w:val="left"/>
      </w:pPr>
      <w:r w:rsidRPr="00056615">
        <w:rPr>
          <w:lang w:val="fr-FR"/>
        </w:rPr>
        <w:t>De Souza, K., et al.</w:t>
      </w:r>
      <w:r w:rsidR="00167E73" w:rsidRPr="00056615">
        <w:rPr>
          <w:lang w:val="fr-FR"/>
        </w:rPr>
        <w:t xml:space="preserve"> </w:t>
      </w:r>
      <w:r w:rsidR="00167E73">
        <w:t xml:space="preserve">Vulnerability to climate change in three hot spots in Africa and Asia: key issues for policy-relevant adaptation and resilience-building research. </w:t>
      </w:r>
      <w:r w:rsidR="00167E73" w:rsidRPr="00830395">
        <w:rPr>
          <w:i/>
          <w:iCs/>
        </w:rPr>
        <w:t>Regional Environmental Change</w:t>
      </w:r>
      <w:r w:rsidR="00830395">
        <w:t xml:space="preserve">, 15, no. 5 (2015): </w:t>
      </w:r>
      <w:r w:rsidR="00167E73">
        <w:t>747-753.</w:t>
      </w:r>
    </w:p>
    <w:p w14:paraId="5C79DAD6" w14:textId="77777777" w:rsidR="00A253F9" w:rsidRDefault="009D3C79" w:rsidP="00C023FE">
      <w:pPr>
        <w:pStyle w:val="EndNoteBibliographyTitle"/>
        <w:numPr>
          <w:ilvl w:val="0"/>
          <w:numId w:val="31"/>
        </w:numPr>
        <w:spacing w:line="480" w:lineRule="auto"/>
        <w:jc w:val="left"/>
      </w:pPr>
      <w:r w:rsidRPr="00F3376C">
        <w:rPr>
          <w:lang w:val="fr-FR"/>
        </w:rPr>
        <w:t>Ericson, J.P., et al.</w:t>
      </w:r>
      <w:r w:rsidR="00167E73" w:rsidRPr="00F3376C">
        <w:rPr>
          <w:lang w:val="fr-FR"/>
        </w:rPr>
        <w:t xml:space="preserve"> </w:t>
      </w:r>
      <w:r w:rsidR="00167E73">
        <w:t xml:space="preserve">Effective sea-level rise and deltas: Causes of change and human dimension implications. </w:t>
      </w:r>
      <w:r w:rsidR="00167E73" w:rsidRPr="00830395">
        <w:rPr>
          <w:i/>
          <w:iCs/>
        </w:rPr>
        <w:t>Glo</w:t>
      </w:r>
      <w:r w:rsidR="00830395" w:rsidRPr="00830395">
        <w:rPr>
          <w:i/>
          <w:iCs/>
        </w:rPr>
        <w:t>bal and Planetary Change</w:t>
      </w:r>
      <w:r w:rsidR="00830395">
        <w:t xml:space="preserve">, </w:t>
      </w:r>
      <w:r w:rsidR="00167E73">
        <w:t>50</w:t>
      </w:r>
      <w:r w:rsidR="00830395">
        <w:t xml:space="preserve">, no.1-2 (2006): </w:t>
      </w:r>
      <w:r w:rsidR="00167E73">
        <w:t>63-82.</w:t>
      </w:r>
    </w:p>
    <w:p w14:paraId="49CD2C58" w14:textId="77777777" w:rsidR="00A253F9" w:rsidRDefault="009D3C79" w:rsidP="00C023FE">
      <w:pPr>
        <w:pStyle w:val="EndNoteBibliographyTitle"/>
        <w:numPr>
          <w:ilvl w:val="0"/>
          <w:numId w:val="31"/>
        </w:numPr>
        <w:spacing w:line="480" w:lineRule="auto"/>
        <w:jc w:val="left"/>
      </w:pPr>
      <w:r>
        <w:t>Szabo, S., et al.</w:t>
      </w:r>
      <w:r w:rsidR="00167E73">
        <w:t xml:space="preserve"> Sustainable Development Goals Offer New Opportunities for Tropical Delta Regions. </w:t>
      </w:r>
      <w:r w:rsidR="00167E73" w:rsidRPr="00830395">
        <w:rPr>
          <w:i/>
          <w:iCs/>
        </w:rPr>
        <w:t>Environment: Science and Policy for Sustainable Development</w:t>
      </w:r>
      <w:r w:rsidR="00830395">
        <w:t xml:space="preserve"> 57</w:t>
      </w:r>
      <w:r w:rsidR="00167E73">
        <w:t xml:space="preserve">, </w:t>
      </w:r>
      <w:r w:rsidR="00830395">
        <w:t>no. 4 (</w:t>
      </w:r>
      <w:r w:rsidR="00167E73">
        <w:t>2015</w:t>
      </w:r>
      <w:r w:rsidR="00830395">
        <w:t>): 16-23.</w:t>
      </w:r>
    </w:p>
    <w:p w14:paraId="5F2AF552" w14:textId="77777777" w:rsidR="00A253F9" w:rsidRDefault="009D3C79" w:rsidP="00C023FE">
      <w:pPr>
        <w:pStyle w:val="EndNoteBibliographyTitle"/>
        <w:numPr>
          <w:ilvl w:val="0"/>
          <w:numId w:val="31"/>
        </w:numPr>
        <w:spacing w:line="480" w:lineRule="auto"/>
        <w:jc w:val="left"/>
      </w:pPr>
      <w:r w:rsidRPr="00830395">
        <w:rPr>
          <w:lang w:val="fr-FR"/>
        </w:rPr>
        <w:t>Syvitski, J.P.M., et al.</w:t>
      </w:r>
      <w:r w:rsidR="00D93ACB" w:rsidRPr="00830395">
        <w:rPr>
          <w:lang w:val="fr-FR"/>
        </w:rPr>
        <w:t xml:space="preserve"> </w:t>
      </w:r>
      <w:r w:rsidR="00D93ACB" w:rsidRPr="00D93ACB">
        <w:t xml:space="preserve">Sinking deltas due to human activities. </w:t>
      </w:r>
      <w:r w:rsidR="00D93ACB" w:rsidRPr="00830395">
        <w:rPr>
          <w:i/>
          <w:iCs/>
        </w:rPr>
        <w:t>Nature Geoscience</w:t>
      </w:r>
      <w:r w:rsidR="00830395">
        <w:t xml:space="preserve">, 2, no. 10 (2009): </w:t>
      </w:r>
      <w:r w:rsidR="00D93ACB" w:rsidRPr="00D93ACB">
        <w:t>681-686.</w:t>
      </w:r>
    </w:p>
    <w:p w14:paraId="0E124453" w14:textId="77777777" w:rsidR="00A253F9" w:rsidRDefault="0067370D" w:rsidP="00C023FE">
      <w:pPr>
        <w:pStyle w:val="EndNoteBibliographyTitle"/>
        <w:numPr>
          <w:ilvl w:val="0"/>
          <w:numId w:val="31"/>
        </w:numPr>
        <w:spacing w:line="480" w:lineRule="auto"/>
        <w:jc w:val="left"/>
      </w:pPr>
      <w:r>
        <w:t>Wong, P.P</w:t>
      </w:r>
      <w:r w:rsidR="009D3C79">
        <w:t xml:space="preserve"> et al.</w:t>
      </w:r>
      <w:r w:rsidR="00766169">
        <w:t xml:space="preserve"> </w:t>
      </w:r>
      <w:r>
        <w:t>Coastal systems and low-lying areas. In: Climate Change 2014: Impacts, Adaptation, and Vulnerability. Part A: Global and Sectoral Aspects. Contribution of Working Group II to the Fifth Assessment Report of the Intergovernmental Panel on Climate Change [Field, C.B., V.R. Barros, D.J. Dokken, K.J. Mach, M.D. Mastrandrea, T.E. Bilir, M. Chatterjee, K.L. Ebi, Y.O. Estrada, R.C. Genova, B. Girma, E.S. Kissel, A.N. Levy, S. MacCracken, P.R. Mastrandrea, and L.L. White (eds</w:t>
      </w:r>
      <w:r w:rsidR="00027950">
        <w:t>.)]. Cambridge University Press</w:t>
      </w:r>
      <w:r>
        <w:t xml:space="preserve"> </w:t>
      </w:r>
      <w:r w:rsidR="00027950">
        <w:t>(</w:t>
      </w:r>
      <w:r>
        <w:t xml:space="preserve">Cambridge, United Kingdom and New York, NY, USA, </w:t>
      </w:r>
      <w:r w:rsidR="00027950">
        <w:t>2014).</w:t>
      </w:r>
    </w:p>
    <w:p w14:paraId="6DD3EF74" w14:textId="77777777" w:rsidR="00A253F9" w:rsidRDefault="00AD1C0C" w:rsidP="00C023FE">
      <w:pPr>
        <w:pStyle w:val="EndNoteBibliographyTitle"/>
        <w:numPr>
          <w:ilvl w:val="0"/>
          <w:numId w:val="31"/>
        </w:numPr>
        <w:spacing w:line="480" w:lineRule="auto"/>
        <w:jc w:val="left"/>
      </w:pPr>
      <w:r>
        <w:t xml:space="preserve">AghaKouchak, A., et al., Recognize anthropogenic drought. </w:t>
      </w:r>
      <w:r w:rsidRPr="00830395">
        <w:rPr>
          <w:i/>
          <w:iCs/>
        </w:rPr>
        <w:t>Nature</w:t>
      </w:r>
      <w:r w:rsidR="00830395">
        <w:t>, 524, no. 7566 (2015):</w:t>
      </w:r>
      <w:r>
        <w:t xml:space="preserve"> 409-411.</w:t>
      </w:r>
    </w:p>
    <w:p w14:paraId="76962408" w14:textId="77777777" w:rsidR="00A253F9" w:rsidRDefault="00027950" w:rsidP="00C023FE">
      <w:pPr>
        <w:pStyle w:val="EndNoteBibliographyTitle"/>
        <w:numPr>
          <w:ilvl w:val="0"/>
          <w:numId w:val="31"/>
        </w:numPr>
        <w:spacing w:line="480" w:lineRule="auto"/>
        <w:jc w:val="left"/>
      </w:pPr>
      <w:r>
        <w:lastRenderedPageBreak/>
        <w:t>World Meteorological Organization (</w:t>
      </w:r>
      <w:r w:rsidR="00F6576C">
        <w:t>WMO</w:t>
      </w:r>
      <w:r>
        <w:t>)</w:t>
      </w:r>
      <w:r w:rsidR="00F6576C">
        <w:t>, Cli</w:t>
      </w:r>
      <w:r>
        <w:t>mate and Land Degradation, WMO</w:t>
      </w:r>
      <w:r w:rsidR="00F6576C">
        <w:t xml:space="preserve"> </w:t>
      </w:r>
      <w:r>
        <w:t>(</w:t>
      </w:r>
      <w:r w:rsidR="00F6576C">
        <w:t>Geneva</w:t>
      </w:r>
      <w:r>
        <w:t>, 2005)</w:t>
      </w:r>
      <w:r w:rsidR="00F6576C">
        <w:t>.</w:t>
      </w:r>
    </w:p>
    <w:p w14:paraId="78F14083" w14:textId="77777777" w:rsidR="00A253F9" w:rsidRDefault="00AD1C0C" w:rsidP="00C023FE">
      <w:pPr>
        <w:pStyle w:val="EndNoteBibliographyTitle"/>
        <w:numPr>
          <w:ilvl w:val="0"/>
          <w:numId w:val="31"/>
        </w:numPr>
        <w:spacing w:line="480" w:lineRule="auto"/>
        <w:jc w:val="left"/>
      </w:pPr>
      <w:r>
        <w:t>United Nations, Resolution adopted by the General Assembly on 25 September 2015 70/1. Transforming our world: the 2030 Agenda for Sustainable Development, in A/RES/70/1, General Assembly, Editor. 2015.</w:t>
      </w:r>
    </w:p>
    <w:p w14:paraId="5A44DA4C" w14:textId="77777777" w:rsidR="00A253F9" w:rsidRPr="00412797" w:rsidRDefault="00AD1C0C" w:rsidP="00C023FE">
      <w:pPr>
        <w:pStyle w:val="EndNoteBibliographyTitle"/>
        <w:numPr>
          <w:ilvl w:val="0"/>
          <w:numId w:val="31"/>
        </w:numPr>
        <w:spacing w:line="480" w:lineRule="auto"/>
        <w:jc w:val="left"/>
      </w:pPr>
      <w:r>
        <w:t xml:space="preserve">United Nations, Adoption of the Paris Agreement, in FCCC/CP/2015/L.9/Rev.1, Framework Convention on Climate Change, Editor. </w:t>
      </w:r>
      <w:r w:rsidRPr="00A253F9">
        <w:rPr>
          <w:lang w:val="fr-FR"/>
        </w:rPr>
        <w:t>2015.</w:t>
      </w:r>
    </w:p>
    <w:p w14:paraId="1E77876E" w14:textId="77777777" w:rsidR="00412797" w:rsidRDefault="00027950" w:rsidP="00027950">
      <w:pPr>
        <w:pStyle w:val="EndNoteBibliographyTitle"/>
        <w:numPr>
          <w:ilvl w:val="0"/>
          <w:numId w:val="31"/>
        </w:numPr>
        <w:spacing w:line="480" w:lineRule="auto"/>
        <w:jc w:val="left"/>
      </w:pPr>
      <w:r w:rsidRPr="00412797">
        <w:t xml:space="preserve">United Nations Office for </w:t>
      </w:r>
      <w:r>
        <w:t>Disaster Risk Reduction (</w:t>
      </w:r>
      <w:r w:rsidR="00412797">
        <w:t>UNISDR</w:t>
      </w:r>
      <w:r>
        <w:t>)</w:t>
      </w:r>
      <w:r w:rsidR="00412797">
        <w:t xml:space="preserve">, </w:t>
      </w:r>
      <w:r w:rsidR="00412797" w:rsidRPr="00412797">
        <w:t>Sendai Framework for Disaster Risk Reduction 2015-2030</w:t>
      </w:r>
      <w:r w:rsidR="00412797">
        <w:t xml:space="preserve">, </w:t>
      </w:r>
      <w:r>
        <w:t>UNISDR (2015)</w:t>
      </w:r>
      <w:r w:rsidR="00412797">
        <w:t>.</w:t>
      </w:r>
    </w:p>
    <w:p w14:paraId="6A933710" w14:textId="77777777" w:rsidR="00A253F9" w:rsidRPr="00A253F9" w:rsidRDefault="00B342E4" w:rsidP="00C023FE">
      <w:pPr>
        <w:pStyle w:val="EndNoteBibliographyTitle"/>
        <w:numPr>
          <w:ilvl w:val="0"/>
          <w:numId w:val="31"/>
        </w:numPr>
        <w:spacing w:line="480" w:lineRule="auto"/>
        <w:jc w:val="left"/>
      </w:pPr>
      <w:r w:rsidRPr="00830395">
        <w:t>Roberts, E.</w:t>
      </w:r>
      <w:r w:rsidR="009D3C79" w:rsidRPr="00830395">
        <w:t xml:space="preserve"> et al.</w:t>
      </w:r>
      <w:r w:rsidR="00AD1C0C" w:rsidRPr="00830395">
        <w:t xml:space="preserve"> Resilience synergies in the post-2015 </w:t>
      </w:r>
      <w:r w:rsidR="00830395" w:rsidRPr="00830395">
        <w:t xml:space="preserve">development agenda. </w:t>
      </w:r>
      <w:r w:rsidR="00830395" w:rsidRPr="00830395">
        <w:rPr>
          <w:i/>
          <w:iCs/>
        </w:rPr>
        <w:t>Nature Climate</w:t>
      </w:r>
      <w:r w:rsidR="00AD1C0C" w:rsidRPr="00830395">
        <w:rPr>
          <w:i/>
          <w:iCs/>
        </w:rPr>
        <w:t xml:space="preserve"> Change</w:t>
      </w:r>
      <w:r w:rsidR="00830395" w:rsidRPr="00830395">
        <w:t xml:space="preserve">, </w:t>
      </w:r>
      <w:r w:rsidR="00AD1C0C" w:rsidRPr="00830395">
        <w:t>5</w:t>
      </w:r>
      <w:r w:rsidR="00830395" w:rsidRPr="00830395">
        <w:t>, no.</w:t>
      </w:r>
      <w:r w:rsidR="00830395">
        <w:t xml:space="preserve"> 12</w:t>
      </w:r>
      <w:r w:rsidR="00830395" w:rsidRPr="00830395">
        <w:t xml:space="preserve"> (2015): </w:t>
      </w:r>
      <w:r w:rsidR="00AD1C0C" w:rsidRPr="00830395">
        <w:t>1024-1025.</w:t>
      </w:r>
    </w:p>
    <w:p w14:paraId="2CB4522E" w14:textId="77777777" w:rsidR="00E64F71" w:rsidRDefault="009D3C79" w:rsidP="00C023FE">
      <w:pPr>
        <w:pStyle w:val="EndNoteBibliographyTitle"/>
        <w:numPr>
          <w:ilvl w:val="0"/>
          <w:numId w:val="31"/>
        </w:numPr>
        <w:spacing w:line="480" w:lineRule="auto"/>
        <w:jc w:val="left"/>
      </w:pPr>
      <w:r w:rsidRPr="005A6984">
        <w:t>Tessler, Z. et al</w:t>
      </w:r>
      <w:r w:rsidR="000E24A1" w:rsidRPr="005A6984">
        <w:t xml:space="preserve">. </w:t>
      </w:r>
      <w:r w:rsidR="000E24A1" w:rsidRPr="00830395">
        <w:rPr>
          <w:iCs/>
        </w:rPr>
        <w:t>Profiling risk and sustainability in coastal deltas of the world.</w:t>
      </w:r>
      <w:r w:rsidR="000E24A1">
        <w:t xml:space="preserve"> </w:t>
      </w:r>
      <w:r w:rsidR="000E24A1" w:rsidRPr="00830395">
        <w:rPr>
          <w:i/>
          <w:iCs/>
        </w:rPr>
        <w:t>Science</w:t>
      </w:r>
      <w:r w:rsidR="00830395">
        <w:t>,</w:t>
      </w:r>
      <w:r w:rsidR="000E24A1">
        <w:t xml:space="preserve"> </w:t>
      </w:r>
      <w:r w:rsidR="000E24A1" w:rsidRPr="00A253F9">
        <w:rPr>
          <w:bCs/>
        </w:rPr>
        <w:t>349</w:t>
      </w:r>
      <w:r w:rsidR="00830395">
        <w:rPr>
          <w:bCs/>
        </w:rPr>
        <w:t xml:space="preserve">, no. </w:t>
      </w:r>
      <w:r w:rsidR="00830395">
        <w:t xml:space="preserve">6248 (2015): </w:t>
      </w:r>
      <w:r w:rsidR="000E24A1">
        <w:t xml:space="preserve">638-643. </w:t>
      </w:r>
    </w:p>
    <w:p w14:paraId="1CC181BC" w14:textId="77777777" w:rsidR="00E64F71" w:rsidRDefault="00E21B4D" w:rsidP="00D56EAA">
      <w:pPr>
        <w:pStyle w:val="EndNoteBibliographyTitle"/>
        <w:numPr>
          <w:ilvl w:val="0"/>
          <w:numId w:val="31"/>
        </w:numPr>
        <w:spacing w:line="480" w:lineRule="auto"/>
        <w:jc w:val="left"/>
      </w:pPr>
      <w:r>
        <w:t xml:space="preserve">United Nations, </w:t>
      </w:r>
      <w:r w:rsidR="00E64F71" w:rsidRPr="00E64F71">
        <w:rPr>
          <w:i/>
          <w:iCs/>
        </w:rPr>
        <w:t>Provisional Proposed Tiers for</w:t>
      </w:r>
      <w:r w:rsidR="00E64F71">
        <w:t xml:space="preserve"> </w:t>
      </w:r>
      <w:r w:rsidR="00E64F71" w:rsidRPr="00E64F71">
        <w:rPr>
          <w:i/>
          <w:iCs/>
        </w:rPr>
        <w:t>Global SDG Indicators</w:t>
      </w:r>
      <w:r w:rsidRPr="00E64F71">
        <w:rPr>
          <w:i/>
          <w:iCs/>
        </w:rPr>
        <w:t xml:space="preserve">, </w:t>
      </w:r>
      <w:r w:rsidR="00E64F71" w:rsidRPr="00E64F71">
        <w:t>2016, 59</w:t>
      </w:r>
      <w:r w:rsidR="003C2D64" w:rsidRPr="00E64F71">
        <w:t xml:space="preserve"> pp.</w:t>
      </w:r>
      <w:r w:rsidR="00D56EAA">
        <w:t xml:space="preserve"> URL: </w:t>
      </w:r>
      <w:hyperlink r:id="rId11" w:history="1">
        <w:r w:rsidR="00D56EAA" w:rsidRPr="00C54C0F">
          <w:rPr>
            <w:rStyle w:val="Hyperlink"/>
          </w:rPr>
          <w:t>http://unstats.un.org/sdgs/files/meetings/iaeg-sdgs-meeting-03/Provisional-Proposed-Tiers-for-SDG-Indicators-24-03-16.pdf</w:t>
        </w:r>
      </w:hyperlink>
      <w:r w:rsidR="00D56EAA">
        <w:t xml:space="preserve"> [last accessed 2016-06-06]</w:t>
      </w:r>
    </w:p>
    <w:p w14:paraId="469AC6AA" w14:textId="77777777" w:rsidR="00F723C4" w:rsidRDefault="00F723C4" w:rsidP="00F723C4">
      <w:pPr>
        <w:pStyle w:val="EndNoteBibliographyTitle"/>
        <w:numPr>
          <w:ilvl w:val="0"/>
          <w:numId w:val="31"/>
        </w:numPr>
        <w:spacing w:line="480" w:lineRule="auto"/>
        <w:jc w:val="left"/>
      </w:pPr>
      <w:r w:rsidRPr="002542EC">
        <w:rPr>
          <w:lang w:val="de-DE"/>
        </w:rPr>
        <w:t xml:space="preserve">Rickels, W., Dovern, J., Hoffmann, J., Quaas, M. F., Schmidt, J. O. and Visbeck, M. (2016). </w:t>
      </w:r>
      <w:r w:rsidRPr="00F723C4">
        <w:t xml:space="preserve">Indicators for Monitoring Sustainable Development Goals: An Application to Oceanic Development in the European Union. </w:t>
      </w:r>
      <w:r w:rsidRPr="00F723C4">
        <w:rPr>
          <w:i/>
        </w:rPr>
        <w:t>Earth's Future</w:t>
      </w:r>
      <w:r w:rsidRPr="00F723C4">
        <w:t>, 4,</w:t>
      </w:r>
      <w:r>
        <w:t xml:space="preserve"> </w:t>
      </w:r>
      <w:r w:rsidRPr="00F723C4">
        <w:t>doi:10.1002/2016EF000353.</w:t>
      </w:r>
    </w:p>
    <w:p w14:paraId="3AC43888" w14:textId="77777777" w:rsidR="00431495" w:rsidRDefault="00B342E4" w:rsidP="00431495">
      <w:pPr>
        <w:pStyle w:val="EndNoteBibliographyTitle"/>
        <w:numPr>
          <w:ilvl w:val="0"/>
          <w:numId w:val="31"/>
        </w:numPr>
        <w:spacing w:line="480" w:lineRule="auto"/>
        <w:jc w:val="left"/>
      </w:pPr>
      <w:r w:rsidRPr="005A6984">
        <w:t>Davis, A.</w:t>
      </w:r>
      <w:r w:rsidR="009D3C79" w:rsidRPr="005A6984">
        <w:t xml:space="preserve"> et al.</w:t>
      </w:r>
      <w:r w:rsidR="00F009F5" w:rsidRPr="005A6984">
        <w:t xml:space="preserve"> </w:t>
      </w:r>
      <w:r w:rsidR="00F009F5">
        <w:t xml:space="preserve">Measuring the SDGs: a two-track solution. </w:t>
      </w:r>
      <w:r w:rsidR="00F009F5" w:rsidRPr="00830395">
        <w:rPr>
          <w:i/>
          <w:iCs/>
        </w:rPr>
        <w:t>The Lancet</w:t>
      </w:r>
      <w:r w:rsidR="00830395">
        <w:t>, 5, no. 8 (2015)</w:t>
      </w:r>
      <w:r w:rsidR="00F009F5" w:rsidRPr="00A253F9">
        <w:t>.</w:t>
      </w:r>
    </w:p>
    <w:p w14:paraId="14B98BE8" w14:textId="77777777" w:rsidR="006B591F" w:rsidRDefault="006B591F" w:rsidP="00F3376C">
      <w:pPr>
        <w:pStyle w:val="EndNoteBibliographyTitle"/>
        <w:numPr>
          <w:ilvl w:val="0"/>
          <w:numId w:val="31"/>
        </w:numPr>
        <w:spacing w:line="480" w:lineRule="auto"/>
        <w:jc w:val="left"/>
      </w:pPr>
      <w:r w:rsidRPr="006B591F">
        <w:t>Hutton, P., Rath, J., Chen, L.,</w:t>
      </w:r>
      <w:r w:rsidR="00F3376C">
        <w:t xml:space="preserve"> Ungs, M., and Roy, S. (2015). </w:t>
      </w:r>
      <w:r w:rsidRPr="006B591F">
        <w:t xml:space="preserve">Nine Decades of Salinity Observations in the San Francisco Bay and Delta: </w:t>
      </w:r>
      <w:r w:rsidR="00F3376C">
        <w:t xml:space="preserve">Modeling and Trend Evaluations. </w:t>
      </w:r>
      <w:r w:rsidR="00F3376C" w:rsidRPr="00F3376C">
        <w:rPr>
          <w:i/>
          <w:iCs/>
        </w:rPr>
        <w:t>Journal of Water Resources Planning and Management</w:t>
      </w:r>
      <w:r w:rsidRPr="006B591F">
        <w:t xml:space="preserve">, </w:t>
      </w:r>
      <w:r w:rsidR="00F3376C">
        <w:t xml:space="preserve">142, no. 3 (2015): </w:t>
      </w:r>
      <w:r w:rsidRPr="006B591F">
        <w:t>04015069</w:t>
      </w:r>
      <w:r w:rsidR="00F3376C">
        <w:t>-1-</w:t>
      </w:r>
      <w:r w:rsidR="00F3376C" w:rsidRPr="00F3376C">
        <w:t>04015069</w:t>
      </w:r>
      <w:r w:rsidR="00F3376C">
        <w:t xml:space="preserve">11, doi: </w:t>
      </w:r>
      <w:r w:rsidR="00F3376C" w:rsidRPr="006B591F">
        <w:t>10.1061/(ASCE)WR.1943-5452.0000617</w:t>
      </w:r>
      <w:r w:rsidR="00F3376C">
        <w:t>.</w:t>
      </w:r>
    </w:p>
    <w:p w14:paraId="2D38F63C" w14:textId="77777777" w:rsidR="006B591F" w:rsidRPr="006B591F" w:rsidRDefault="00F3376C" w:rsidP="00F3376C">
      <w:pPr>
        <w:pStyle w:val="EndNoteBibliographyTitle"/>
        <w:numPr>
          <w:ilvl w:val="0"/>
          <w:numId w:val="31"/>
        </w:numPr>
        <w:spacing w:line="480" w:lineRule="auto"/>
        <w:jc w:val="left"/>
      </w:pPr>
      <w:r>
        <w:lastRenderedPageBreak/>
        <w:t>Clarke, D.</w:t>
      </w:r>
      <w:r w:rsidR="006B591F">
        <w:t>, Williams</w:t>
      </w:r>
      <w:r>
        <w:t>,</w:t>
      </w:r>
      <w:r w:rsidR="006B591F">
        <w:t xml:space="preserve"> S</w:t>
      </w:r>
      <w:r>
        <w:t>.</w:t>
      </w:r>
      <w:r w:rsidR="006B591F">
        <w:t>, Jahiruddin</w:t>
      </w:r>
      <w:r>
        <w:t>,</w:t>
      </w:r>
      <w:r w:rsidR="006B591F">
        <w:t xml:space="preserve"> M</w:t>
      </w:r>
      <w:r>
        <w:t>.</w:t>
      </w:r>
      <w:r w:rsidR="006B591F">
        <w:t>, Parks</w:t>
      </w:r>
      <w:r>
        <w:t>,</w:t>
      </w:r>
      <w:r w:rsidR="006B591F">
        <w:t xml:space="preserve"> K</w:t>
      </w:r>
      <w:r>
        <w:t>.</w:t>
      </w:r>
      <w:r w:rsidR="006B591F">
        <w:t>, Salehin</w:t>
      </w:r>
      <w:r>
        <w:t>,</w:t>
      </w:r>
      <w:r w:rsidR="006B591F">
        <w:t xml:space="preserve"> M. 2015 Projections of on-farm salinity in coastal Bangladesh. </w:t>
      </w:r>
      <w:r w:rsidRPr="00F3376C">
        <w:rPr>
          <w:i/>
          <w:iCs/>
        </w:rPr>
        <w:t>Environmental Science: Processes &amp; Impacts</w:t>
      </w:r>
      <w:r w:rsidR="00F723C4">
        <w:rPr>
          <w:i/>
          <w:iCs/>
        </w:rPr>
        <w:t>,</w:t>
      </w:r>
      <w:r>
        <w:t xml:space="preserve"> </w:t>
      </w:r>
      <w:r w:rsidR="006B591F" w:rsidRPr="00F3376C">
        <w:t>17</w:t>
      </w:r>
      <w:r w:rsidRPr="00F3376C">
        <w:t>, no.</w:t>
      </w:r>
      <w:r>
        <w:t xml:space="preserve"> 6 (2015)</w:t>
      </w:r>
      <w:r w:rsidR="006B591F" w:rsidRPr="00F3376C">
        <w:t>:</w:t>
      </w:r>
      <w:r>
        <w:t xml:space="preserve"> </w:t>
      </w:r>
      <w:r w:rsidR="006B591F" w:rsidRPr="00F3376C">
        <w:t>1127-36. doi: 10.1</w:t>
      </w:r>
      <w:r>
        <w:t>039/c4em00682h</w:t>
      </w:r>
      <w:r w:rsidR="006B591F" w:rsidRPr="00F3376C">
        <w:t>.</w:t>
      </w:r>
    </w:p>
    <w:p w14:paraId="7D4B230D" w14:textId="77777777" w:rsidR="00F3376C" w:rsidRDefault="00431495" w:rsidP="00F3376C">
      <w:pPr>
        <w:pStyle w:val="EndNoteBibliographyTitle"/>
        <w:numPr>
          <w:ilvl w:val="0"/>
          <w:numId w:val="31"/>
        </w:numPr>
        <w:spacing w:line="480" w:lineRule="auto"/>
        <w:jc w:val="left"/>
      </w:pPr>
      <w:r>
        <w:t>UNECE (United Nations Econom</w:t>
      </w:r>
      <w:r w:rsidR="00027950">
        <w:t>ic Commission for Europe)</w:t>
      </w:r>
      <w:r>
        <w:t xml:space="preserve">. Standard Statistical Classification of Surface Freshwater Quality for the Maintenance of Aquatic Life. In: Readings in International Environmental Statistics, </w:t>
      </w:r>
      <w:r w:rsidR="00027950">
        <w:t xml:space="preserve">(New York and Geneva, 1994). </w:t>
      </w:r>
    </w:p>
    <w:p w14:paraId="468C9FF6" w14:textId="77777777" w:rsidR="00F723C4" w:rsidRDefault="009D3C79" w:rsidP="00F3376C">
      <w:pPr>
        <w:pStyle w:val="EndNoteBibliographyTitle"/>
        <w:numPr>
          <w:ilvl w:val="0"/>
          <w:numId w:val="31"/>
        </w:numPr>
        <w:spacing w:line="480" w:lineRule="auto"/>
        <w:jc w:val="left"/>
      </w:pPr>
      <w:r w:rsidRPr="005A6984">
        <w:t xml:space="preserve">Alexander, L. et al. </w:t>
      </w:r>
      <w:r w:rsidR="00BB16F6" w:rsidRPr="00E64F71">
        <w:t>Global Observed Changes in Daily Climate Extremes of</w:t>
      </w:r>
      <w:r w:rsidR="00DE5D14" w:rsidRPr="00E64F71">
        <w:t xml:space="preserve"> Temperature and Precipitation.</w:t>
      </w:r>
      <w:r w:rsidR="00BB16F6" w:rsidRPr="00E64F71">
        <w:t xml:space="preserve"> </w:t>
      </w:r>
      <w:r w:rsidR="00BB16F6" w:rsidRPr="00F3376C">
        <w:rPr>
          <w:i/>
          <w:iCs/>
        </w:rPr>
        <w:t>Journal of Geophysical Research-Atmosphe</w:t>
      </w:r>
      <w:r w:rsidR="00B342E4" w:rsidRPr="00F3376C">
        <w:rPr>
          <w:i/>
          <w:iCs/>
        </w:rPr>
        <w:t>res</w:t>
      </w:r>
      <w:r w:rsidR="00830395">
        <w:t xml:space="preserve">, 111, no. D05109 (2006), </w:t>
      </w:r>
      <w:r w:rsidR="00DE5D14" w:rsidRPr="00E64F71">
        <w:t>doi:10.1029/2005JD006290.</w:t>
      </w:r>
    </w:p>
    <w:p w14:paraId="1BE16C1F" w14:textId="77777777" w:rsidR="00F723C4" w:rsidRDefault="00F723C4" w:rsidP="00D56EAA">
      <w:pPr>
        <w:pStyle w:val="EndNoteBibliographyTitle"/>
        <w:spacing w:line="480" w:lineRule="auto"/>
        <w:jc w:val="left"/>
      </w:pPr>
    </w:p>
    <w:p w14:paraId="31FDAD3D" w14:textId="77777777" w:rsidR="00C365FC" w:rsidRPr="0007716E" w:rsidRDefault="00184A0C" w:rsidP="00D56EAA">
      <w:pPr>
        <w:pStyle w:val="EndNoteBibliographyTitle"/>
        <w:spacing w:line="480" w:lineRule="auto"/>
        <w:jc w:val="left"/>
      </w:pPr>
      <w:r>
        <w:fldChar w:fldCharType="begin"/>
      </w:r>
      <w:r w:rsidR="00F723C4">
        <w:instrText xml:space="preserve"> ADDIN EN.REFLIST </w:instrText>
      </w:r>
      <w:r>
        <w:fldChar w:fldCharType="end"/>
      </w:r>
    </w:p>
    <w:sectPr w:rsidR="00C365FC" w:rsidRPr="0007716E" w:rsidSect="00C9709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051C268" w14:textId="77777777" w:rsidR="00F514F3" w:rsidRDefault="00F514F3" w:rsidP="00C365FC">
      <w:pPr>
        <w:spacing w:after="0" w:line="240" w:lineRule="auto"/>
      </w:pPr>
      <w:r>
        <w:separator/>
      </w:r>
    </w:p>
  </w:endnote>
  <w:endnote w:type="continuationSeparator" w:id="0">
    <w:p w14:paraId="1070BA3B" w14:textId="77777777" w:rsidR="00F514F3" w:rsidRDefault="00F514F3" w:rsidP="00C365F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pitch w:val="variable"/>
    <w:sig w:usb0="E10022FF" w:usb1="C000E47F" w:usb2="00000029" w:usb3="00000000" w:csb0="000001DF" w:csb1="00000000"/>
  </w:font>
  <w:font w:name="Book Antiqua">
    <w:panose1 w:val="02040602050305030304"/>
    <w:charset w:val="00"/>
    <w:family w:val="roman"/>
    <w:pitch w:val="variable"/>
    <w:sig w:usb0="00000287" w:usb1="00000000" w:usb2="00000000" w:usb3="00000000" w:csb0="000000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2290790"/>
      <w:docPartObj>
        <w:docPartGallery w:val="Page Numbers (Bottom of Page)"/>
        <w:docPartUnique/>
      </w:docPartObj>
    </w:sdtPr>
    <w:sdtEndPr>
      <w:rPr>
        <w:noProof/>
      </w:rPr>
    </w:sdtEndPr>
    <w:sdtContent>
      <w:p w14:paraId="0BD8EAA0" w14:textId="77777777" w:rsidR="00460901" w:rsidRDefault="00184A0C">
        <w:pPr>
          <w:pStyle w:val="Footer"/>
          <w:jc w:val="right"/>
        </w:pPr>
        <w:r>
          <w:fldChar w:fldCharType="begin"/>
        </w:r>
        <w:r w:rsidR="000F7080">
          <w:instrText xml:space="preserve"> PAGE   \* MERGEFORMAT </w:instrText>
        </w:r>
        <w:r>
          <w:fldChar w:fldCharType="separate"/>
        </w:r>
        <w:r w:rsidR="00C46C88">
          <w:rPr>
            <w:noProof/>
          </w:rPr>
          <w:t>1</w:t>
        </w:r>
        <w:r>
          <w:rPr>
            <w:noProof/>
          </w:rPr>
          <w:fldChar w:fldCharType="end"/>
        </w:r>
      </w:p>
    </w:sdtContent>
  </w:sdt>
  <w:p w14:paraId="1BADC050" w14:textId="77777777" w:rsidR="00460901" w:rsidRDefault="0046090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539AD34" w14:textId="77777777" w:rsidR="00F514F3" w:rsidRDefault="00F514F3" w:rsidP="00C365FC">
      <w:pPr>
        <w:spacing w:after="0" w:line="240" w:lineRule="auto"/>
      </w:pPr>
      <w:r>
        <w:separator/>
      </w:r>
    </w:p>
  </w:footnote>
  <w:footnote w:type="continuationSeparator" w:id="0">
    <w:p w14:paraId="36AE61E7" w14:textId="77777777" w:rsidR="00F514F3" w:rsidRDefault="00F514F3" w:rsidP="00C365FC">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6131F6"/>
    <w:multiLevelType w:val="hybridMultilevel"/>
    <w:tmpl w:val="D20CB2C0"/>
    <w:lvl w:ilvl="0" w:tplc="08090011">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038D7604"/>
    <w:multiLevelType w:val="hybridMultilevel"/>
    <w:tmpl w:val="83C0DDF8"/>
    <w:lvl w:ilvl="0" w:tplc="08090011">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 w15:restartNumberingAfterBreak="0">
    <w:nsid w:val="03E06691"/>
    <w:multiLevelType w:val="hybridMultilevel"/>
    <w:tmpl w:val="4EE2AE46"/>
    <w:lvl w:ilvl="0" w:tplc="08090011">
      <w:start w:val="1"/>
      <w:numFmt w:val="decimal"/>
      <w:lvlText w:val="%1)"/>
      <w:lvlJc w:val="left"/>
      <w:pPr>
        <w:ind w:left="360" w:hanging="360"/>
      </w:pPr>
      <w:rPr>
        <w:rFont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 w15:restartNumberingAfterBreak="0">
    <w:nsid w:val="04874C4C"/>
    <w:multiLevelType w:val="hybridMultilevel"/>
    <w:tmpl w:val="6A00EF0E"/>
    <w:lvl w:ilvl="0" w:tplc="8428817C">
      <w:numFmt w:val="bullet"/>
      <w:lvlText w:val="-"/>
      <w:lvlJc w:val="left"/>
      <w:pPr>
        <w:ind w:left="1080" w:hanging="360"/>
      </w:pPr>
      <w:rPr>
        <w:rFonts w:ascii="Calibri" w:eastAsiaTheme="minorEastAsia" w:hAnsi="Calibri" w:cstheme="minorBidi" w:hint="default"/>
      </w:rPr>
    </w:lvl>
    <w:lvl w:ilvl="1" w:tplc="04070003" w:tentative="1">
      <w:start w:val="1"/>
      <w:numFmt w:val="bullet"/>
      <w:lvlText w:val="o"/>
      <w:lvlJc w:val="left"/>
      <w:pPr>
        <w:ind w:left="1800" w:hanging="360"/>
      </w:pPr>
      <w:rPr>
        <w:rFonts w:ascii="Courier New" w:hAnsi="Courier New" w:cs="Courier New" w:hint="default"/>
      </w:rPr>
    </w:lvl>
    <w:lvl w:ilvl="2" w:tplc="04070005" w:tentative="1">
      <w:start w:val="1"/>
      <w:numFmt w:val="bullet"/>
      <w:lvlText w:val=""/>
      <w:lvlJc w:val="left"/>
      <w:pPr>
        <w:ind w:left="2520" w:hanging="360"/>
      </w:pPr>
      <w:rPr>
        <w:rFonts w:ascii="Wingdings" w:hAnsi="Wingdings" w:hint="default"/>
      </w:rPr>
    </w:lvl>
    <w:lvl w:ilvl="3" w:tplc="04070001" w:tentative="1">
      <w:start w:val="1"/>
      <w:numFmt w:val="bullet"/>
      <w:lvlText w:val=""/>
      <w:lvlJc w:val="left"/>
      <w:pPr>
        <w:ind w:left="3240" w:hanging="360"/>
      </w:pPr>
      <w:rPr>
        <w:rFonts w:ascii="Symbol" w:hAnsi="Symbol" w:hint="default"/>
      </w:rPr>
    </w:lvl>
    <w:lvl w:ilvl="4" w:tplc="04070003" w:tentative="1">
      <w:start w:val="1"/>
      <w:numFmt w:val="bullet"/>
      <w:lvlText w:val="o"/>
      <w:lvlJc w:val="left"/>
      <w:pPr>
        <w:ind w:left="3960" w:hanging="360"/>
      </w:pPr>
      <w:rPr>
        <w:rFonts w:ascii="Courier New" w:hAnsi="Courier New" w:cs="Courier New" w:hint="default"/>
      </w:rPr>
    </w:lvl>
    <w:lvl w:ilvl="5" w:tplc="04070005" w:tentative="1">
      <w:start w:val="1"/>
      <w:numFmt w:val="bullet"/>
      <w:lvlText w:val=""/>
      <w:lvlJc w:val="left"/>
      <w:pPr>
        <w:ind w:left="4680" w:hanging="360"/>
      </w:pPr>
      <w:rPr>
        <w:rFonts w:ascii="Wingdings" w:hAnsi="Wingdings" w:hint="default"/>
      </w:rPr>
    </w:lvl>
    <w:lvl w:ilvl="6" w:tplc="04070001" w:tentative="1">
      <w:start w:val="1"/>
      <w:numFmt w:val="bullet"/>
      <w:lvlText w:val=""/>
      <w:lvlJc w:val="left"/>
      <w:pPr>
        <w:ind w:left="5400" w:hanging="360"/>
      </w:pPr>
      <w:rPr>
        <w:rFonts w:ascii="Symbol" w:hAnsi="Symbol" w:hint="default"/>
      </w:rPr>
    </w:lvl>
    <w:lvl w:ilvl="7" w:tplc="04070003" w:tentative="1">
      <w:start w:val="1"/>
      <w:numFmt w:val="bullet"/>
      <w:lvlText w:val="o"/>
      <w:lvlJc w:val="left"/>
      <w:pPr>
        <w:ind w:left="6120" w:hanging="360"/>
      </w:pPr>
      <w:rPr>
        <w:rFonts w:ascii="Courier New" w:hAnsi="Courier New" w:cs="Courier New" w:hint="default"/>
      </w:rPr>
    </w:lvl>
    <w:lvl w:ilvl="8" w:tplc="04070005" w:tentative="1">
      <w:start w:val="1"/>
      <w:numFmt w:val="bullet"/>
      <w:lvlText w:val=""/>
      <w:lvlJc w:val="left"/>
      <w:pPr>
        <w:ind w:left="6840" w:hanging="360"/>
      </w:pPr>
      <w:rPr>
        <w:rFonts w:ascii="Wingdings" w:hAnsi="Wingdings" w:hint="default"/>
      </w:rPr>
    </w:lvl>
  </w:abstractNum>
  <w:abstractNum w:abstractNumId="4" w15:restartNumberingAfterBreak="0">
    <w:nsid w:val="0852678B"/>
    <w:multiLevelType w:val="hybridMultilevel"/>
    <w:tmpl w:val="193438A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0F2946B3"/>
    <w:multiLevelType w:val="hybridMultilevel"/>
    <w:tmpl w:val="81EA5BD8"/>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17E34EA"/>
    <w:multiLevelType w:val="hybridMultilevel"/>
    <w:tmpl w:val="E460CC3C"/>
    <w:lvl w:ilvl="0" w:tplc="D28AA810">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080E6A"/>
    <w:multiLevelType w:val="hybridMultilevel"/>
    <w:tmpl w:val="53265FF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A7F9C"/>
    <w:multiLevelType w:val="hybridMultilevel"/>
    <w:tmpl w:val="8C483800"/>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F3278AA"/>
    <w:multiLevelType w:val="hybridMultilevel"/>
    <w:tmpl w:val="1B5A9A2A"/>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1F64019F"/>
    <w:multiLevelType w:val="hybridMultilevel"/>
    <w:tmpl w:val="CC3E246A"/>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1" w15:restartNumberingAfterBreak="0">
    <w:nsid w:val="201164D9"/>
    <w:multiLevelType w:val="hybridMultilevel"/>
    <w:tmpl w:val="B172EBD6"/>
    <w:lvl w:ilvl="0" w:tplc="EE1671DE">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221A0825"/>
    <w:multiLevelType w:val="hybridMultilevel"/>
    <w:tmpl w:val="63D4281E"/>
    <w:lvl w:ilvl="0" w:tplc="51C45416">
      <w:start w:val="1"/>
      <w:numFmt w:val="decimal"/>
      <w:lvlText w:val="%1."/>
      <w:lvlJc w:val="left"/>
      <w:pPr>
        <w:ind w:left="720" w:hanging="360"/>
      </w:pPr>
      <w:rPr>
        <w:rFonts w:hint="default"/>
        <w:b/>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5F13D97"/>
    <w:multiLevelType w:val="hybridMultilevel"/>
    <w:tmpl w:val="033C87E4"/>
    <w:lvl w:ilvl="0" w:tplc="FDDA5590">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4" w15:restartNumberingAfterBreak="0">
    <w:nsid w:val="284D5061"/>
    <w:multiLevelType w:val="hybridMultilevel"/>
    <w:tmpl w:val="D7C080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05779"/>
    <w:multiLevelType w:val="hybridMultilevel"/>
    <w:tmpl w:val="F7B0D3AA"/>
    <w:lvl w:ilvl="0" w:tplc="6778081A">
      <w:numFmt w:val="bullet"/>
      <w:lvlText w:val="-"/>
      <w:lvlJc w:val="left"/>
      <w:pPr>
        <w:ind w:left="1287" w:hanging="360"/>
      </w:pPr>
      <w:rPr>
        <w:rFonts w:ascii="Calibri" w:eastAsiaTheme="minorEastAsia" w:hAnsi="Calibri"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 w15:restartNumberingAfterBreak="0">
    <w:nsid w:val="30875693"/>
    <w:multiLevelType w:val="hybridMultilevel"/>
    <w:tmpl w:val="F0B049BC"/>
    <w:lvl w:ilvl="0" w:tplc="6AD62684">
      <w:start w:val="1"/>
      <w:numFmt w:val="decimal"/>
      <w:lvlText w:val="%1."/>
      <w:lvlJc w:val="left"/>
      <w:pPr>
        <w:ind w:left="720" w:hanging="72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7" w15:restartNumberingAfterBreak="0">
    <w:nsid w:val="34461550"/>
    <w:multiLevelType w:val="hybridMultilevel"/>
    <w:tmpl w:val="C0F6273E"/>
    <w:lvl w:ilvl="0" w:tplc="6778081A">
      <w:numFmt w:val="bullet"/>
      <w:lvlText w:val="-"/>
      <w:lvlJc w:val="left"/>
      <w:pPr>
        <w:ind w:left="927" w:hanging="360"/>
      </w:pPr>
      <w:rPr>
        <w:rFonts w:ascii="Calibri" w:eastAsiaTheme="minorEastAsia" w:hAnsi="Calibri" w:cstheme="minorBidi" w:hint="default"/>
      </w:rPr>
    </w:lvl>
    <w:lvl w:ilvl="1" w:tplc="08090003" w:tentative="1">
      <w:start w:val="1"/>
      <w:numFmt w:val="bullet"/>
      <w:lvlText w:val="o"/>
      <w:lvlJc w:val="left"/>
      <w:pPr>
        <w:ind w:left="1647" w:hanging="360"/>
      </w:pPr>
      <w:rPr>
        <w:rFonts w:ascii="Courier New" w:hAnsi="Courier New" w:cs="Courier New" w:hint="default"/>
      </w:rPr>
    </w:lvl>
    <w:lvl w:ilvl="2" w:tplc="08090005" w:tentative="1">
      <w:start w:val="1"/>
      <w:numFmt w:val="bullet"/>
      <w:lvlText w:val=""/>
      <w:lvlJc w:val="left"/>
      <w:pPr>
        <w:ind w:left="2367" w:hanging="360"/>
      </w:pPr>
      <w:rPr>
        <w:rFonts w:ascii="Wingdings" w:hAnsi="Wingdings" w:hint="default"/>
      </w:rPr>
    </w:lvl>
    <w:lvl w:ilvl="3" w:tplc="08090001" w:tentative="1">
      <w:start w:val="1"/>
      <w:numFmt w:val="bullet"/>
      <w:lvlText w:val=""/>
      <w:lvlJc w:val="left"/>
      <w:pPr>
        <w:ind w:left="3087" w:hanging="360"/>
      </w:pPr>
      <w:rPr>
        <w:rFonts w:ascii="Symbol" w:hAnsi="Symbol" w:hint="default"/>
      </w:rPr>
    </w:lvl>
    <w:lvl w:ilvl="4" w:tplc="08090003" w:tentative="1">
      <w:start w:val="1"/>
      <w:numFmt w:val="bullet"/>
      <w:lvlText w:val="o"/>
      <w:lvlJc w:val="left"/>
      <w:pPr>
        <w:ind w:left="3807" w:hanging="360"/>
      </w:pPr>
      <w:rPr>
        <w:rFonts w:ascii="Courier New" w:hAnsi="Courier New" w:cs="Courier New" w:hint="default"/>
      </w:rPr>
    </w:lvl>
    <w:lvl w:ilvl="5" w:tplc="08090005" w:tentative="1">
      <w:start w:val="1"/>
      <w:numFmt w:val="bullet"/>
      <w:lvlText w:val=""/>
      <w:lvlJc w:val="left"/>
      <w:pPr>
        <w:ind w:left="4527" w:hanging="360"/>
      </w:pPr>
      <w:rPr>
        <w:rFonts w:ascii="Wingdings" w:hAnsi="Wingdings" w:hint="default"/>
      </w:rPr>
    </w:lvl>
    <w:lvl w:ilvl="6" w:tplc="08090001" w:tentative="1">
      <w:start w:val="1"/>
      <w:numFmt w:val="bullet"/>
      <w:lvlText w:val=""/>
      <w:lvlJc w:val="left"/>
      <w:pPr>
        <w:ind w:left="5247" w:hanging="360"/>
      </w:pPr>
      <w:rPr>
        <w:rFonts w:ascii="Symbol" w:hAnsi="Symbol" w:hint="default"/>
      </w:rPr>
    </w:lvl>
    <w:lvl w:ilvl="7" w:tplc="08090003" w:tentative="1">
      <w:start w:val="1"/>
      <w:numFmt w:val="bullet"/>
      <w:lvlText w:val="o"/>
      <w:lvlJc w:val="left"/>
      <w:pPr>
        <w:ind w:left="5967" w:hanging="360"/>
      </w:pPr>
      <w:rPr>
        <w:rFonts w:ascii="Courier New" w:hAnsi="Courier New" w:cs="Courier New" w:hint="default"/>
      </w:rPr>
    </w:lvl>
    <w:lvl w:ilvl="8" w:tplc="08090005" w:tentative="1">
      <w:start w:val="1"/>
      <w:numFmt w:val="bullet"/>
      <w:lvlText w:val=""/>
      <w:lvlJc w:val="left"/>
      <w:pPr>
        <w:ind w:left="6687" w:hanging="360"/>
      </w:pPr>
      <w:rPr>
        <w:rFonts w:ascii="Wingdings" w:hAnsi="Wingdings" w:hint="default"/>
      </w:rPr>
    </w:lvl>
  </w:abstractNum>
  <w:abstractNum w:abstractNumId="18" w15:restartNumberingAfterBreak="0">
    <w:nsid w:val="3E017DDB"/>
    <w:multiLevelType w:val="hybridMultilevel"/>
    <w:tmpl w:val="666A8F34"/>
    <w:lvl w:ilvl="0" w:tplc="1C090011">
      <w:start w:val="1"/>
      <w:numFmt w:val="decimal"/>
      <w:lvlText w:val="%1)"/>
      <w:lvlJc w:val="left"/>
      <w:pPr>
        <w:ind w:left="720" w:hanging="360"/>
      </w:pPr>
      <w:rPr>
        <w:rFonts w:hint="default"/>
      </w:rPr>
    </w:lvl>
    <w:lvl w:ilvl="1" w:tplc="1C090019" w:tentative="1">
      <w:start w:val="1"/>
      <w:numFmt w:val="lowerLetter"/>
      <w:lvlText w:val="%2."/>
      <w:lvlJc w:val="left"/>
      <w:pPr>
        <w:ind w:left="1440" w:hanging="360"/>
      </w:pPr>
    </w:lvl>
    <w:lvl w:ilvl="2" w:tplc="1C09001B" w:tentative="1">
      <w:start w:val="1"/>
      <w:numFmt w:val="lowerRoman"/>
      <w:lvlText w:val="%3."/>
      <w:lvlJc w:val="right"/>
      <w:pPr>
        <w:ind w:left="2160" w:hanging="180"/>
      </w:pPr>
    </w:lvl>
    <w:lvl w:ilvl="3" w:tplc="1C09000F" w:tentative="1">
      <w:start w:val="1"/>
      <w:numFmt w:val="decimal"/>
      <w:lvlText w:val="%4."/>
      <w:lvlJc w:val="left"/>
      <w:pPr>
        <w:ind w:left="2880" w:hanging="360"/>
      </w:pPr>
    </w:lvl>
    <w:lvl w:ilvl="4" w:tplc="1C090019" w:tentative="1">
      <w:start w:val="1"/>
      <w:numFmt w:val="lowerLetter"/>
      <w:lvlText w:val="%5."/>
      <w:lvlJc w:val="left"/>
      <w:pPr>
        <w:ind w:left="3600" w:hanging="360"/>
      </w:pPr>
    </w:lvl>
    <w:lvl w:ilvl="5" w:tplc="1C09001B" w:tentative="1">
      <w:start w:val="1"/>
      <w:numFmt w:val="lowerRoman"/>
      <w:lvlText w:val="%6."/>
      <w:lvlJc w:val="right"/>
      <w:pPr>
        <w:ind w:left="4320" w:hanging="180"/>
      </w:pPr>
    </w:lvl>
    <w:lvl w:ilvl="6" w:tplc="1C09000F" w:tentative="1">
      <w:start w:val="1"/>
      <w:numFmt w:val="decimal"/>
      <w:lvlText w:val="%7."/>
      <w:lvlJc w:val="left"/>
      <w:pPr>
        <w:ind w:left="5040" w:hanging="360"/>
      </w:pPr>
    </w:lvl>
    <w:lvl w:ilvl="7" w:tplc="1C090019" w:tentative="1">
      <w:start w:val="1"/>
      <w:numFmt w:val="lowerLetter"/>
      <w:lvlText w:val="%8."/>
      <w:lvlJc w:val="left"/>
      <w:pPr>
        <w:ind w:left="5760" w:hanging="360"/>
      </w:pPr>
    </w:lvl>
    <w:lvl w:ilvl="8" w:tplc="1C09001B" w:tentative="1">
      <w:start w:val="1"/>
      <w:numFmt w:val="lowerRoman"/>
      <w:lvlText w:val="%9."/>
      <w:lvlJc w:val="right"/>
      <w:pPr>
        <w:ind w:left="6480" w:hanging="180"/>
      </w:pPr>
    </w:lvl>
  </w:abstractNum>
  <w:abstractNum w:abstractNumId="19" w15:restartNumberingAfterBreak="0">
    <w:nsid w:val="41E667F4"/>
    <w:multiLevelType w:val="hybridMultilevel"/>
    <w:tmpl w:val="27EE5BE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4E555B23"/>
    <w:multiLevelType w:val="hybridMultilevel"/>
    <w:tmpl w:val="EA0A1832"/>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F135FC9"/>
    <w:multiLevelType w:val="hybridMultilevel"/>
    <w:tmpl w:val="C91271A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22" w15:restartNumberingAfterBreak="0">
    <w:nsid w:val="544A63C7"/>
    <w:multiLevelType w:val="hybridMultilevel"/>
    <w:tmpl w:val="E17C130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627C0346"/>
    <w:multiLevelType w:val="hybridMultilevel"/>
    <w:tmpl w:val="7FD0F63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62D42E03"/>
    <w:multiLevelType w:val="hybridMultilevel"/>
    <w:tmpl w:val="AF26EA58"/>
    <w:lvl w:ilvl="0" w:tplc="08090011">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5" w15:restartNumberingAfterBreak="0">
    <w:nsid w:val="63034410"/>
    <w:multiLevelType w:val="hybridMultilevel"/>
    <w:tmpl w:val="6F348126"/>
    <w:lvl w:ilvl="0" w:tplc="08090011">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6" w15:restartNumberingAfterBreak="0">
    <w:nsid w:val="6E296B87"/>
    <w:multiLevelType w:val="hybridMultilevel"/>
    <w:tmpl w:val="89F052CE"/>
    <w:lvl w:ilvl="0" w:tplc="673266BA">
      <w:start w:val="1"/>
      <w:numFmt w:val="decimal"/>
      <w:lvlText w:val="%1)"/>
      <w:lvlJc w:val="left"/>
      <w:pPr>
        <w:ind w:left="720" w:hanging="360"/>
      </w:pPr>
      <w:rPr>
        <w:rFonts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70B63B5A"/>
    <w:multiLevelType w:val="hybridMultilevel"/>
    <w:tmpl w:val="8238147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17E43C7"/>
    <w:multiLevelType w:val="hybridMultilevel"/>
    <w:tmpl w:val="CF92B22E"/>
    <w:lvl w:ilvl="0" w:tplc="8428817C">
      <w:numFmt w:val="bullet"/>
      <w:lvlText w:val="-"/>
      <w:lvlJc w:val="left"/>
      <w:pPr>
        <w:ind w:left="720" w:hanging="360"/>
      </w:pPr>
      <w:rPr>
        <w:rFonts w:ascii="Calibri" w:eastAsiaTheme="minorEastAsia" w:hAnsi="Calibri" w:cstheme="minorBidi"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9" w15:restartNumberingAfterBreak="0">
    <w:nsid w:val="72E92628"/>
    <w:multiLevelType w:val="hybridMultilevel"/>
    <w:tmpl w:val="C91271A6"/>
    <w:lvl w:ilvl="0" w:tplc="08090011">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0" w15:restartNumberingAfterBreak="0">
    <w:nsid w:val="73943EA2"/>
    <w:multiLevelType w:val="hybridMultilevel"/>
    <w:tmpl w:val="BE9AADD8"/>
    <w:lvl w:ilvl="0" w:tplc="64AEC7A6">
      <w:start w:val="1"/>
      <w:numFmt w:val="bullet"/>
      <w:lvlText w:val="-"/>
      <w:lvlJc w:val="left"/>
      <w:pPr>
        <w:ind w:left="720" w:hanging="360"/>
      </w:pPr>
      <w:rPr>
        <w:rFonts w:ascii="Calibri" w:eastAsiaTheme="minorEastAsia" w:hAnsi="Calibri"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773F04A7"/>
    <w:multiLevelType w:val="hybridMultilevel"/>
    <w:tmpl w:val="6F348126"/>
    <w:lvl w:ilvl="0" w:tplc="08090011">
      <w:start w:val="1"/>
      <w:numFmt w:val="decimal"/>
      <w:lvlText w:val="%1)"/>
      <w:lvlJc w:val="left"/>
      <w:pPr>
        <w:ind w:left="360" w:hanging="360"/>
      </w:pPr>
      <w:rPr>
        <w:rFonts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32" w15:restartNumberingAfterBreak="0">
    <w:nsid w:val="7DDF2B62"/>
    <w:multiLevelType w:val="hybridMultilevel"/>
    <w:tmpl w:val="1DB053E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23"/>
  </w:num>
  <w:num w:numId="2">
    <w:abstractNumId w:val="12"/>
  </w:num>
  <w:num w:numId="3">
    <w:abstractNumId w:val="8"/>
  </w:num>
  <w:num w:numId="4">
    <w:abstractNumId w:val="6"/>
  </w:num>
  <w:num w:numId="5">
    <w:abstractNumId w:val="30"/>
  </w:num>
  <w:num w:numId="6">
    <w:abstractNumId w:val="17"/>
  </w:num>
  <w:num w:numId="7">
    <w:abstractNumId w:val="10"/>
  </w:num>
  <w:num w:numId="8">
    <w:abstractNumId w:val="2"/>
  </w:num>
  <w:num w:numId="9">
    <w:abstractNumId w:val="0"/>
  </w:num>
  <w:num w:numId="10">
    <w:abstractNumId w:val="1"/>
  </w:num>
  <w:num w:numId="11">
    <w:abstractNumId w:val="31"/>
  </w:num>
  <w:num w:numId="12">
    <w:abstractNumId w:val="29"/>
  </w:num>
  <w:num w:numId="13">
    <w:abstractNumId w:val="21"/>
  </w:num>
  <w:num w:numId="14">
    <w:abstractNumId w:val="25"/>
  </w:num>
  <w:num w:numId="15">
    <w:abstractNumId w:val="24"/>
  </w:num>
  <w:num w:numId="16">
    <w:abstractNumId w:val="27"/>
  </w:num>
  <w:num w:numId="17">
    <w:abstractNumId w:val="4"/>
  </w:num>
  <w:num w:numId="18">
    <w:abstractNumId w:val="15"/>
  </w:num>
  <w:num w:numId="19">
    <w:abstractNumId w:val="20"/>
  </w:num>
  <w:num w:numId="20">
    <w:abstractNumId w:val="9"/>
  </w:num>
  <w:num w:numId="21">
    <w:abstractNumId w:val="11"/>
  </w:num>
  <w:num w:numId="22">
    <w:abstractNumId w:val="14"/>
  </w:num>
  <w:num w:numId="23">
    <w:abstractNumId w:val="13"/>
  </w:num>
  <w:num w:numId="24">
    <w:abstractNumId w:val="32"/>
  </w:num>
  <w:num w:numId="25">
    <w:abstractNumId w:val="5"/>
  </w:num>
  <w:num w:numId="26">
    <w:abstractNumId w:val="18"/>
  </w:num>
  <w:num w:numId="27">
    <w:abstractNumId w:val="22"/>
  </w:num>
  <w:num w:numId="28">
    <w:abstractNumId w:val="28"/>
  </w:num>
  <w:num w:numId="29">
    <w:abstractNumId w:val="3"/>
  </w:num>
  <w:num w:numId="30">
    <w:abstractNumId w:val="7"/>
  </w:num>
  <w:num w:numId="31">
    <w:abstractNumId w:val="16"/>
  </w:num>
  <w:num w:numId="32">
    <w:abstractNumId w:val="19"/>
  </w:num>
  <w:num w:numId="33">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activeWritingStyle w:appName="MSWord" w:lang="it-IT" w:vendorID="64" w:dllVersion="131078" w:nlCheck="1" w:checkStyle="0"/>
  <w:activeWritingStyle w:appName="MSWord" w:lang="en-GB" w:vendorID="64" w:dllVersion="131078" w:nlCheck="1" w:checkStyle="1"/>
  <w:activeWritingStyle w:appName="MSWord" w:lang="en-US" w:vendorID="64" w:dllVersion="131078" w:nlCheck="1" w:checkStyle="1"/>
  <w:activeWritingStyle w:appName="MSWord" w:lang="fr-FR" w:vendorID="64" w:dllVersion="131078" w:nlCheck="1" w:checkStyle="1"/>
  <w:activeWritingStyle w:appName="MSWord" w:lang="en-ZA" w:vendorID="64" w:dllVersion="131078" w:nlCheck="1" w:checkStyle="1"/>
  <w:activeWritingStyle w:appName="MSWord" w:lang="de-DE" w:vendorID="64" w:dllVersion="131078" w:nlCheck="1" w:checkStyle="1"/>
  <w:defaultTabStop w:val="720"/>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Geographical J&lt;/Style&gt;&lt;LeftDelim&gt;{&lt;/LeftDelim&gt;&lt;RightDelim&gt;}&lt;/RightDelim&gt;&lt;FontName&gt;Calibri&lt;/FontName&gt;&lt;FontSize&gt;11&lt;/FontSize&gt;&lt;ReflistTitle&gt;References&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0spwrfwdopa59med2s8pfadv9zfp9vzf509d&quot;&gt;My EndNote Library&lt;record-ids&gt;&lt;item&gt;3902&lt;/item&gt;&lt;/record-ids&gt;&lt;/item&gt;&lt;/Libraries&gt;"/>
  </w:docVars>
  <w:rsids>
    <w:rsidRoot w:val="00346A23"/>
    <w:rsid w:val="00000904"/>
    <w:rsid w:val="000012D9"/>
    <w:rsid w:val="00002882"/>
    <w:rsid w:val="000039C7"/>
    <w:rsid w:val="000045C3"/>
    <w:rsid w:val="000046F0"/>
    <w:rsid w:val="00005F41"/>
    <w:rsid w:val="000078D6"/>
    <w:rsid w:val="00007CA8"/>
    <w:rsid w:val="000117F8"/>
    <w:rsid w:val="000207FD"/>
    <w:rsid w:val="000237E3"/>
    <w:rsid w:val="00023ED6"/>
    <w:rsid w:val="00027950"/>
    <w:rsid w:val="00030422"/>
    <w:rsid w:val="00030EF8"/>
    <w:rsid w:val="000323A4"/>
    <w:rsid w:val="00034E4F"/>
    <w:rsid w:val="000372D8"/>
    <w:rsid w:val="0004021C"/>
    <w:rsid w:val="000419F7"/>
    <w:rsid w:val="00042C73"/>
    <w:rsid w:val="00044672"/>
    <w:rsid w:val="00044DDE"/>
    <w:rsid w:val="00045740"/>
    <w:rsid w:val="0004625C"/>
    <w:rsid w:val="0005550D"/>
    <w:rsid w:val="0005634E"/>
    <w:rsid w:val="00056615"/>
    <w:rsid w:val="00056805"/>
    <w:rsid w:val="00057053"/>
    <w:rsid w:val="00057B39"/>
    <w:rsid w:val="00060D40"/>
    <w:rsid w:val="0006434D"/>
    <w:rsid w:val="00065501"/>
    <w:rsid w:val="000655F5"/>
    <w:rsid w:val="00065C05"/>
    <w:rsid w:val="0006601D"/>
    <w:rsid w:val="00066ACE"/>
    <w:rsid w:val="00066E4E"/>
    <w:rsid w:val="000706DD"/>
    <w:rsid w:val="0007078E"/>
    <w:rsid w:val="00071206"/>
    <w:rsid w:val="00072CA7"/>
    <w:rsid w:val="00072F1B"/>
    <w:rsid w:val="0007417D"/>
    <w:rsid w:val="00075383"/>
    <w:rsid w:val="0007716E"/>
    <w:rsid w:val="00077350"/>
    <w:rsid w:val="00077D67"/>
    <w:rsid w:val="00082222"/>
    <w:rsid w:val="000826ED"/>
    <w:rsid w:val="00083160"/>
    <w:rsid w:val="000838A2"/>
    <w:rsid w:val="00084756"/>
    <w:rsid w:val="000879CD"/>
    <w:rsid w:val="00090540"/>
    <w:rsid w:val="00092AA1"/>
    <w:rsid w:val="00095A15"/>
    <w:rsid w:val="0009713D"/>
    <w:rsid w:val="000A05B9"/>
    <w:rsid w:val="000A2457"/>
    <w:rsid w:val="000A2922"/>
    <w:rsid w:val="000A4964"/>
    <w:rsid w:val="000A5AA8"/>
    <w:rsid w:val="000A665A"/>
    <w:rsid w:val="000A7241"/>
    <w:rsid w:val="000B5D25"/>
    <w:rsid w:val="000B7731"/>
    <w:rsid w:val="000C03EF"/>
    <w:rsid w:val="000C2FE4"/>
    <w:rsid w:val="000C44BA"/>
    <w:rsid w:val="000D526C"/>
    <w:rsid w:val="000D5AA9"/>
    <w:rsid w:val="000D6319"/>
    <w:rsid w:val="000E0A20"/>
    <w:rsid w:val="000E24A1"/>
    <w:rsid w:val="000E4D5A"/>
    <w:rsid w:val="000E53B5"/>
    <w:rsid w:val="000E6D23"/>
    <w:rsid w:val="000F5D43"/>
    <w:rsid w:val="000F7080"/>
    <w:rsid w:val="000F70B2"/>
    <w:rsid w:val="00101FB0"/>
    <w:rsid w:val="00103D0A"/>
    <w:rsid w:val="001048C3"/>
    <w:rsid w:val="001079CC"/>
    <w:rsid w:val="00112485"/>
    <w:rsid w:val="00113136"/>
    <w:rsid w:val="00116D97"/>
    <w:rsid w:val="001210EE"/>
    <w:rsid w:val="001220A4"/>
    <w:rsid w:val="00122E10"/>
    <w:rsid w:val="001232A4"/>
    <w:rsid w:val="00126502"/>
    <w:rsid w:val="00131AB4"/>
    <w:rsid w:val="00131F8A"/>
    <w:rsid w:val="0013265E"/>
    <w:rsid w:val="001428F3"/>
    <w:rsid w:val="00143E2A"/>
    <w:rsid w:val="0014668D"/>
    <w:rsid w:val="00151315"/>
    <w:rsid w:val="001519D3"/>
    <w:rsid w:val="00154176"/>
    <w:rsid w:val="00161B3F"/>
    <w:rsid w:val="00167E73"/>
    <w:rsid w:val="00176F74"/>
    <w:rsid w:val="001822A3"/>
    <w:rsid w:val="00184A0C"/>
    <w:rsid w:val="0019155D"/>
    <w:rsid w:val="0019373D"/>
    <w:rsid w:val="00197A16"/>
    <w:rsid w:val="001A0285"/>
    <w:rsid w:val="001A1CAD"/>
    <w:rsid w:val="001A5EFA"/>
    <w:rsid w:val="001B164E"/>
    <w:rsid w:val="001B2DE1"/>
    <w:rsid w:val="001B5932"/>
    <w:rsid w:val="001B5C70"/>
    <w:rsid w:val="001C2162"/>
    <w:rsid w:val="001C37C4"/>
    <w:rsid w:val="001C5593"/>
    <w:rsid w:val="001C5D84"/>
    <w:rsid w:val="001C60D3"/>
    <w:rsid w:val="001C61E4"/>
    <w:rsid w:val="001C761E"/>
    <w:rsid w:val="001D0B77"/>
    <w:rsid w:val="001D641B"/>
    <w:rsid w:val="001D7447"/>
    <w:rsid w:val="001D76CE"/>
    <w:rsid w:val="001D7B4F"/>
    <w:rsid w:val="001E36BD"/>
    <w:rsid w:val="001F06F5"/>
    <w:rsid w:val="001F3DA7"/>
    <w:rsid w:val="00201FBB"/>
    <w:rsid w:val="00203298"/>
    <w:rsid w:val="00205389"/>
    <w:rsid w:val="0020687C"/>
    <w:rsid w:val="002073FF"/>
    <w:rsid w:val="002076F7"/>
    <w:rsid w:val="0021247A"/>
    <w:rsid w:val="00215B17"/>
    <w:rsid w:val="00224111"/>
    <w:rsid w:val="00224C04"/>
    <w:rsid w:val="002264C3"/>
    <w:rsid w:val="002278C6"/>
    <w:rsid w:val="00227A32"/>
    <w:rsid w:val="00232999"/>
    <w:rsid w:val="0023369C"/>
    <w:rsid w:val="00234227"/>
    <w:rsid w:val="002376D1"/>
    <w:rsid w:val="00244A33"/>
    <w:rsid w:val="00245421"/>
    <w:rsid w:val="00245E92"/>
    <w:rsid w:val="002475A8"/>
    <w:rsid w:val="0025160E"/>
    <w:rsid w:val="00252EEB"/>
    <w:rsid w:val="002542EC"/>
    <w:rsid w:val="0026570F"/>
    <w:rsid w:val="00266108"/>
    <w:rsid w:val="00267D78"/>
    <w:rsid w:val="00272FFB"/>
    <w:rsid w:val="0027300B"/>
    <w:rsid w:val="002738C4"/>
    <w:rsid w:val="0027396B"/>
    <w:rsid w:val="00273E11"/>
    <w:rsid w:val="00275F0B"/>
    <w:rsid w:val="00276C81"/>
    <w:rsid w:val="0028094E"/>
    <w:rsid w:val="00281277"/>
    <w:rsid w:val="00285BBE"/>
    <w:rsid w:val="00286F10"/>
    <w:rsid w:val="00287331"/>
    <w:rsid w:val="00287828"/>
    <w:rsid w:val="00287CB8"/>
    <w:rsid w:val="00287E65"/>
    <w:rsid w:val="00292340"/>
    <w:rsid w:val="002925D7"/>
    <w:rsid w:val="002929C6"/>
    <w:rsid w:val="00293259"/>
    <w:rsid w:val="00293CED"/>
    <w:rsid w:val="002973D8"/>
    <w:rsid w:val="002A0D77"/>
    <w:rsid w:val="002A117E"/>
    <w:rsid w:val="002A57C6"/>
    <w:rsid w:val="002A78B8"/>
    <w:rsid w:val="002B0905"/>
    <w:rsid w:val="002B3D0D"/>
    <w:rsid w:val="002B488C"/>
    <w:rsid w:val="002B4BA8"/>
    <w:rsid w:val="002B6DFF"/>
    <w:rsid w:val="002B76BA"/>
    <w:rsid w:val="002B7B6B"/>
    <w:rsid w:val="002C09C6"/>
    <w:rsid w:val="002C535C"/>
    <w:rsid w:val="002C6451"/>
    <w:rsid w:val="002D0F9C"/>
    <w:rsid w:val="002D24DB"/>
    <w:rsid w:val="002D2B62"/>
    <w:rsid w:val="002E4AC7"/>
    <w:rsid w:val="002E79FC"/>
    <w:rsid w:val="002F261F"/>
    <w:rsid w:val="002F29CA"/>
    <w:rsid w:val="002F5CA2"/>
    <w:rsid w:val="00300745"/>
    <w:rsid w:val="003019AB"/>
    <w:rsid w:val="00302A8C"/>
    <w:rsid w:val="003049AC"/>
    <w:rsid w:val="00305DAE"/>
    <w:rsid w:val="00312B98"/>
    <w:rsid w:val="003136EB"/>
    <w:rsid w:val="00315353"/>
    <w:rsid w:val="00316718"/>
    <w:rsid w:val="0032024E"/>
    <w:rsid w:val="003214E3"/>
    <w:rsid w:val="00322FC8"/>
    <w:rsid w:val="003234F5"/>
    <w:rsid w:val="003309EB"/>
    <w:rsid w:val="00330EA9"/>
    <w:rsid w:val="00334944"/>
    <w:rsid w:val="00334F54"/>
    <w:rsid w:val="003376C3"/>
    <w:rsid w:val="00337806"/>
    <w:rsid w:val="003466B3"/>
    <w:rsid w:val="00346A23"/>
    <w:rsid w:val="00347E02"/>
    <w:rsid w:val="00351051"/>
    <w:rsid w:val="00352215"/>
    <w:rsid w:val="003531D4"/>
    <w:rsid w:val="003566AB"/>
    <w:rsid w:val="00363899"/>
    <w:rsid w:val="00370B2B"/>
    <w:rsid w:val="00372BC7"/>
    <w:rsid w:val="003772CC"/>
    <w:rsid w:val="0037791A"/>
    <w:rsid w:val="00380A29"/>
    <w:rsid w:val="00380B7E"/>
    <w:rsid w:val="003827A5"/>
    <w:rsid w:val="00383B88"/>
    <w:rsid w:val="00387713"/>
    <w:rsid w:val="00387730"/>
    <w:rsid w:val="00387FE6"/>
    <w:rsid w:val="003946EF"/>
    <w:rsid w:val="0039631A"/>
    <w:rsid w:val="00397151"/>
    <w:rsid w:val="00397B5F"/>
    <w:rsid w:val="003A01A1"/>
    <w:rsid w:val="003A3B37"/>
    <w:rsid w:val="003A5B29"/>
    <w:rsid w:val="003A6FF3"/>
    <w:rsid w:val="003A7AB6"/>
    <w:rsid w:val="003B3C60"/>
    <w:rsid w:val="003B631B"/>
    <w:rsid w:val="003C1497"/>
    <w:rsid w:val="003C1BBC"/>
    <w:rsid w:val="003C237A"/>
    <w:rsid w:val="003C29AF"/>
    <w:rsid w:val="003C2A9D"/>
    <w:rsid w:val="003C2BE6"/>
    <w:rsid w:val="003C2D64"/>
    <w:rsid w:val="003C569B"/>
    <w:rsid w:val="003C5E82"/>
    <w:rsid w:val="003C725C"/>
    <w:rsid w:val="003C7809"/>
    <w:rsid w:val="003D07B2"/>
    <w:rsid w:val="003D09AB"/>
    <w:rsid w:val="003D1A25"/>
    <w:rsid w:val="003D2BB6"/>
    <w:rsid w:val="003D3D2B"/>
    <w:rsid w:val="003E0C96"/>
    <w:rsid w:val="003E10B0"/>
    <w:rsid w:val="003E2B89"/>
    <w:rsid w:val="003E4377"/>
    <w:rsid w:val="003E6DE4"/>
    <w:rsid w:val="003E73E0"/>
    <w:rsid w:val="003F13BE"/>
    <w:rsid w:val="003F2D28"/>
    <w:rsid w:val="003F4593"/>
    <w:rsid w:val="003F4759"/>
    <w:rsid w:val="003F559D"/>
    <w:rsid w:val="00401023"/>
    <w:rsid w:val="00401B8B"/>
    <w:rsid w:val="00401C07"/>
    <w:rsid w:val="00401E9F"/>
    <w:rsid w:val="00402CD1"/>
    <w:rsid w:val="00403B04"/>
    <w:rsid w:val="00404723"/>
    <w:rsid w:val="00405763"/>
    <w:rsid w:val="00406F6B"/>
    <w:rsid w:val="00410830"/>
    <w:rsid w:val="00412797"/>
    <w:rsid w:val="004169E8"/>
    <w:rsid w:val="00417157"/>
    <w:rsid w:val="00417400"/>
    <w:rsid w:val="004200E0"/>
    <w:rsid w:val="0042135C"/>
    <w:rsid w:val="00421B5F"/>
    <w:rsid w:val="00426093"/>
    <w:rsid w:val="00427CBA"/>
    <w:rsid w:val="00430E99"/>
    <w:rsid w:val="00431495"/>
    <w:rsid w:val="00431819"/>
    <w:rsid w:val="004331FD"/>
    <w:rsid w:val="0043487B"/>
    <w:rsid w:val="004369AC"/>
    <w:rsid w:val="00437555"/>
    <w:rsid w:val="00440C48"/>
    <w:rsid w:val="00442049"/>
    <w:rsid w:val="0044271E"/>
    <w:rsid w:val="00442CE1"/>
    <w:rsid w:val="00447127"/>
    <w:rsid w:val="00447DF8"/>
    <w:rsid w:val="00450865"/>
    <w:rsid w:val="00450F0A"/>
    <w:rsid w:val="00454F0F"/>
    <w:rsid w:val="0045677B"/>
    <w:rsid w:val="004571BC"/>
    <w:rsid w:val="004578ED"/>
    <w:rsid w:val="00460671"/>
    <w:rsid w:val="00460901"/>
    <w:rsid w:val="004617A2"/>
    <w:rsid w:val="0046219F"/>
    <w:rsid w:val="004626A7"/>
    <w:rsid w:val="00467937"/>
    <w:rsid w:val="00467940"/>
    <w:rsid w:val="0046796F"/>
    <w:rsid w:val="00467F59"/>
    <w:rsid w:val="00470330"/>
    <w:rsid w:val="00471B65"/>
    <w:rsid w:val="00472384"/>
    <w:rsid w:val="0047497D"/>
    <w:rsid w:val="00476F6D"/>
    <w:rsid w:val="00477C78"/>
    <w:rsid w:val="00480478"/>
    <w:rsid w:val="0048088C"/>
    <w:rsid w:val="00481620"/>
    <w:rsid w:val="0048208E"/>
    <w:rsid w:val="00483181"/>
    <w:rsid w:val="0048398F"/>
    <w:rsid w:val="00484066"/>
    <w:rsid w:val="004852CD"/>
    <w:rsid w:val="004921A7"/>
    <w:rsid w:val="00494AA0"/>
    <w:rsid w:val="00494B06"/>
    <w:rsid w:val="00495194"/>
    <w:rsid w:val="00495569"/>
    <w:rsid w:val="004958BA"/>
    <w:rsid w:val="004966CB"/>
    <w:rsid w:val="004975D9"/>
    <w:rsid w:val="004A09BE"/>
    <w:rsid w:val="004A4C34"/>
    <w:rsid w:val="004A55E2"/>
    <w:rsid w:val="004A6A30"/>
    <w:rsid w:val="004B32B2"/>
    <w:rsid w:val="004B36AF"/>
    <w:rsid w:val="004B5294"/>
    <w:rsid w:val="004C061F"/>
    <w:rsid w:val="004C0878"/>
    <w:rsid w:val="004C2A4F"/>
    <w:rsid w:val="004C3A3E"/>
    <w:rsid w:val="004C5726"/>
    <w:rsid w:val="004C67DB"/>
    <w:rsid w:val="004C703B"/>
    <w:rsid w:val="004C7047"/>
    <w:rsid w:val="004D0298"/>
    <w:rsid w:val="004D0AD5"/>
    <w:rsid w:val="004D2D72"/>
    <w:rsid w:val="004D2F07"/>
    <w:rsid w:val="004D32B5"/>
    <w:rsid w:val="004D41C7"/>
    <w:rsid w:val="004D434C"/>
    <w:rsid w:val="004D4F97"/>
    <w:rsid w:val="004E1D80"/>
    <w:rsid w:val="004E29D1"/>
    <w:rsid w:val="004E318B"/>
    <w:rsid w:val="004E486E"/>
    <w:rsid w:val="004E732A"/>
    <w:rsid w:val="004E73D7"/>
    <w:rsid w:val="004E7888"/>
    <w:rsid w:val="004E7E26"/>
    <w:rsid w:val="004F0315"/>
    <w:rsid w:val="004F0372"/>
    <w:rsid w:val="004F04B2"/>
    <w:rsid w:val="004F1C2C"/>
    <w:rsid w:val="004F1DB7"/>
    <w:rsid w:val="004F4D7C"/>
    <w:rsid w:val="004F4E7B"/>
    <w:rsid w:val="004F6998"/>
    <w:rsid w:val="004F6F27"/>
    <w:rsid w:val="004F796D"/>
    <w:rsid w:val="00500114"/>
    <w:rsid w:val="00501170"/>
    <w:rsid w:val="005073E0"/>
    <w:rsid w:val="00511DAF"/>
    <w:rsid w:val="005150F8"/>
    <w:rsid w:val="00517B75"/>
    <w:rsid w:val="00523F62"/>
    <w:rsid w:val="00524318"/>
    <w:rsid w:val="00527368"/>
    <w:rsid w:val="00527A89"/>
    <w:rsid w:val="0053055E"/>
    <w:rsid w:val="00530CC4"/>
    <w:rsid w:val="005329EE"/>
    <w:rsid w:val="00535912"/>
    <w:rsid w:val="00535B2E"/>
    <w:rsid w:val="00536C35"/>
    <w:rsid w:val="0053730A"/>
    <w:rsid w:val="00537818"/>
    <w:rsid w:val="0054031F"/>
    <w:rsid w:val="00540815"/>
    <w:rsid w:val="0054591C"/>
    <w:rsid w:val="00552186"/>
    <w:rsid w:val="00552357"/>
    <w:rsid w:val="005553A4"/>
    <w:rsid w:val="00561A9E"/>
    <w:rsid w:val="005627B0"/>
    <w:rsid w:val="00563EC3"/>
    <w:rsid w:val="00567055"/>
    <w:rsid w:val="00570650"/>
    <w:rsid w:val="00570EE5"/>
    <w:rsid w:val="0057215B"/>
    <w:rsid w:val="00575158"/>
    <w:rsid w:val="00575F37"/>
    <w:rsid w:val="00580EEA"/>
    <w:rsid w:val="005822C7"/>
    <w:rsid w:val="0058232A"/>
    <w:rsid w:val="00584F06"/>
    <w:rsid w:val="00590C56"/>
    <w:rsid w:val="00590E16"/>
    <w:rsid w:val="00591CFE"/>
    <w:rsid w:val="00592338"/>
    <w:rsid w:val="00593C1A"/>
    <w:rsid w:val="00594377"/>
    <w:rsid w:val="00596204"/>
    <w:rsid w:val="0059702A"/>
    <w:rsid w:val="005A0C03"/>
    <w:rsid w:val="005A4D12"/>
    <w:rsid w:val="005A6984"/>
    <w:rsid w:val="005A6AE1"/>
    <w:rsid w:val="005A7B84"/>
    <w:rsid w:val="005B14AB"/>
    <w:rsid w:val="005B2222"/>
    <w:rsid w:val="005B3FDA"/>
    <w:rsid w:val="005B4824"/>
    <w:rsid w:val="005B54C0"/>
    <w:rsid w:val="005C0E09"/>
    <w:rsid w:val="005C0E9E"/>
    <w:rsid w:val="005C29C6"/>
    <w:rsid w:val="005C42F0"/>
    <w:rsid w:val="005C544F"/>
    <w:rsid w:val="005C5D2B"/>
    <w:rsid w:val="005C6C51"/>
    <w:rsid w:val="005D199E"/>
    <w:rsid w:val="005D3808"/>
    <w:rsid w:val="005D3A9F"/>
    <w:rsid w:val="005D6BAF"/>
    <w:rsid w:val="005E0042"/>
    <w:rsid w:val="005E213C"/>
    <w:rsid w:val="005E50F9"/>
    <w:rsid w:val="005E60C7"/>
    <w:rsid w:val="005E7BE9"/>
    <w:rsid w:val="005F0065"/>
    <w:rsid w:val="005F41D7"/>
    <w:rsid w:val="005F4F11"/>
    <w:rsid w:val="005F5F3A"/>
    <w:rsid w:val="005F7A5C"/>
    <w:rsid w:val="00611309"/>
    <w:rsid w:val="00614250"/>
    <w:rsid w:val="006154C1"/>
    <w:rsid w:val="00622EEA"/>
    <w:rsid w:val="00624F31"/>
    <w:rsid w:val="00634451"/>
    <w:rsid w:val="00634BF6"/>
    <w:rsid w:val="006361C1"/>
    <w:rsid w:val="006409AC"/>
    <w:rsid w:val="00642F6D"/>
    <w:rsid w:val="00646D1B"/>
    <w:rsid w:val="00652391"/>
    <w:rsid w:val="00654630"/>
    <w:rsid w:val="00654D8D"/>
    <w:rsid w:val="0065502B"/>
    <w:rsid w:val="00655A30"/>
    <w:rsid w:val="00657B54"/>
    <w:rsid w:val="00657C41"/>
    <w:rsid w:val="0066018B"/>
    <w:rsid w:val="006607F8"/>
    <w:rsid w:val="00660CD5"/>
    <w:rsid w:val="0066237A"/>
    <w:rsid w:val="00662D18"/>
    <w:rsid w:val="00663706"/>
    <w:rsid w:val="00663E40"/>
    <w:rsid w:val="0066477F"/>
    <w:rsid w:val="00664F91"/>
    <w:rsid w:val="0066509B"/>
    <w:rsid w:val="006652BA"/>
    <w:rsid w:val="0066633A"/>
    <w:rsid w:val="0067202B"/>
    <w:rsid w:val="0067308E"/>
    <w:rsid w:val="0067370D"/>
    <w:rsid w:val="00674A25"/>
    <w:rsid w:val="00675135"/>
    <w:rsid w:val="00676AFD"/>
    <w:rsid w:val="00682035"/>
    <w:rsid w:val="0068210D"/>
    <w:rsid w:val="006838DD"/>
    <w:rsid w:val="00685B7B"/>
    <w:rsid w:val="00693A54"/>
    <w:rsid w:val="00693C6D"/>
    <w:rsid w:val="00694A81"/>
    <w:rsid w:val="0069535F"/>
    <w:rsid w:val="00697509"/>
    <w:rsid w:val="006A28F7"/>
    <w:rsid w:val="006A4F72"/>
    <w:rsid w:val="006A6388"/>
    <w:rsid w:val="006A63F8"/>
    <w:rsid w:val="006A7212"/>
    <w:rsid w:val="006A747F"/>
    <w:rsid w:val="006A7903"/>
    <w:rsid w:val="006B0620"/>
    <w:rsid w:val="006B352B"/>
    <w:rsid w:val="006B591F"/>
    <w:rsid w:val="006B7906"/>
    <w:rsid w:val="006C4ACC"/>
    <w:rsid w:val="006C5A77"/>
    <w:rsid w:val="006D07B3"/>
    <w:rsid w:val="006D102E"/>
    <w:rsid w:val="006D4A36"/>
    <w:rsid w:val="006D5EE3"/>
    <w:rsid w:val="006E0451"/>
    <w:rsid w:val="006E5F55"/>
    <w:rsid w:val="006E71D7"/>
    <w:rsid w:val="006F2D7F"/>
    <w:rsid w:val="006F705E"/>
    <w:rsid w:val="00702766"/>
    <w:rsid w:val="0070717F"/>
    <w:rsid w:val="00715135"/>
    <w:rsid w:val="007160B3"/>
    <w:rsid w:val="0071797A"/>
    <w:rsid w:val="00720D61"/>
    <w:rsid w:val="00721D2B"/>
    <w:rsid w:val="00723931"/>
    <w:rsid w:val="007308C7"/>
    <w:rsid w:val="0073446C"/>
    <w:rsid w:val="00735CC6"/>
    <w:rsid w:val="0073787C"/>
    <w:rsid w:val="00741C32"/>
    <w:rsid w:val="00743667"/>
    <w:rsid w:val="007436F2"/>
    <w:rsid w:val="007450E4"/>
    <w:rsid w:val="00746E75"/>
    <w:rsid w:val="00747AEA"/>
    <w:rsid w:val="007504E6"/>
    <w:rsid w:val="00750CB2"/>
    <w:rsid w:val="007555C8"/>
    <w:rsid w:val="00762FD8"/>
    <w:rsid w:val="00763425"/>
    <w:rsid w:val="00764DA8"/>
    <w:rsid w:val="00765D1D"/>
    <w:rsid w:val="00765E72"/>
    <w:rsid w:val="00766169"/>
    <w:rsid w:val="007707EE"/>
    <w:rsid w:val="0077230B"/>
    <w:rsid w:val="0077610B"/>
    <w:rsid w:val="00781A06"/>
    <w:rsid w:val="007915DD"/>
    <w:rsid w:val="007929AA"/>
    <w:rsid w:val="00795694"/>
    <w:rsid w:val="00795F3A"/>
    <w:rsid w:val="00796E3E"/>
    <w:rsid w:val="007A03FD"/>
    <w:rsid w:val="007A22D5"/>
    <w:rsid w:val="007A2E71"/>
    <w:rsid w:val="007A4B6A"/>
    <w:rsid w:val="007A5081"/>
    <w:rsid w:val="007B312D"/>
    <w:rsid w:val="007B3D0F"/>
    <w:rsid w:val="007B44CD"/>
    <w:rsid w:val="007B5C64"/>
    <w:rsid w:val="007B617F"/>
    <w:rsid w:val="007B6956"/>
    <w:rsid w:val="007B6A6D"/>
    <w:rsid w:val="007B74CE"/>
    <w:rsid w:val="007C0F63"/>
    <w:rsid w:val="007C4161"/>
    <w:rsid w:val="007C56D7"/>
    <w:rsid w:val="007D0938"/>
    <w:rsid w:val="007D2894"/>
    <w:rsid w:val="007D2966"/>
    <w:rsid w:val="007D3934"/>
    <w:rsid w:val="007D39A5"/>
    <w:rsid w:val="007D5EC6"/>
    <w:rsid w:val="007E1EB1"/>
    <w:rsid w:val="007E24B1"/>
    <w:rsid w:val="007E3641"/>
    <w:rsid w:val="007F00C3"/>
    <w:rsid w:val="007F05C4"/>
    <w:rsid w:val="007F2621"/>
    <w:rsid w:val="007F4E5B"/>
    <w:rsid w:val="0080065D"/>
    <w:rsid w:val="00802754"/>
    <w:rsid w:val="008030C4"/>
    <w:rsid w:val="00805FC0"/>
    <w:rsid w:val="0080711D"/>
    <w:rsid w:val="00807580"/>
    <w:rsid w:val="00810B5B"/>
    <w:rsid w:val="00811183"/>
    <w:rsid w:val="00812BD4"/>
    <w:rsid w:val="00814D11"/>
    <w:rsid w:val="00820CFA"/>
    <w:rsid w:val="0082108F"/>
    <w:rsid w:val="008210B0"/>
    <w:rsid w:val="00821301"/>
    <w:rsid w:val="00825C49"/>
    <w:rsid w:val="00830395"/>
    <w:rsid w:val="00830950"/>
    <w:rsid w:val="00835246"/>
    <w:rsid w:val="00837934"/>
    <w:rsid w:val="00840985"/>
    <w:rsid w:val="00840E4F"/>
    <w:rsid w:val="008416BD"/>
    <w:rsid w:val="0085115C"/>
    <w:rsid w:val="0085129A"/>
    <w:rsid w:val="0085130A"/>
    <w:rsid w:val="00853EDB"/>
    <w:rsid w:val="0085773A"/>
    <w:rsid w:val="0086141E"/>
    <w:rsid w:val="008617FA"/>
    <w:rsid w:val="00861CBC"/>
    <w:rsid w:val="00862EF8"/>
    <w:rsid w:val="00863FCC"/>
    <w:rsid w:val="00867932"/>
    <w:rsid w:val="00873E0C"/>
    <w:rsid w:val="008747D4"/>
    <w:rsid w:val="008805B1"/>
    <w:rsid w:val="00880885"/>
    <w:rsid w:val="00884DD4"/>
    <w:rsid w:val="00886FAA"/>
    <w:rsid w:val="00887223"/>
    <w:rsid w:val="00890697"/>
    <w:rsid w:val="00896909"/>
    <w:rsid w:val="008A0247"/>
    <w:rsid w:val="008A7D43"/>
    <w:rsid w:val="008A7E31"/>
    <w:rsid w:val="008B1AA3"/>
    <w:rsid w:val="008B1B9F"/>
    <w:rsid w:val="008B3A3D"/>
    <w:rsid w:val="008B5F0A"/>
    <w:rsid w:val="008B7ACF"/>
    <w:rsid w:val="008B7C0A"/>
    <w:rsid w:val="008C1800"/>
    <w:rsid w:val="008C6400"/>
    <w:rsid w:val="008D1F5C"/>
    <w:rsid w:val="008D36EC"/>
    <w:rsid w:val="008D3984"/>
    <w:rsid w:val="008D6A1A"/>
    <w:rsid w:val="008E1853"/>
    <w:rsid w:val="008E18F0"/>
    <w:rsid w:val="008E3E2E"/>
    <w:rsid w:val="008F5F1F"/>
    <w:rsid w:val="00902729"/>
    <w:rsid w:val="0090313D"/>
    <w:rsid w:val="00906863"/>
    <w:rsid w:val="0090714C"/>
    <w:rsid w:val="00907157"/>
    <w:rsid w:val="0090752F"/>
    <w:rsid w:val="00907B64"/>
    <w:rsid w:val="00911911"/>
    <w:rsid w:val="00911D2B"/>
    <w:rsid w:val="009121C2"/>
    <w:rsid w:val="00912C5B"/>
    <w:rsid w:val="00915464"/>
    <w:rsid w:val="00915CAB"/>
    <w:rsid w:val="00915DA0"/>
    <w:rsid w:val="00915E3A"/>
    <w:rsid w:val="00922629"/>
    <w:rsid w:val="00922D1F"/>
    <w:rsid w:val="00925BF2"/>
    <w:rsid w:val="00926930"/>
    <w:rsid w:val="0093422F"/>
    <w:rsid w:val="00936D92"/>
    <w:rsid w:val="00941BEB"/>
    <w:rsid w:val="00950126"/>
    <w:rsid w:val="009502C8"/>
    <w:rsid w:val="009509E1"/>
    <w:rsid w:val="009563EF"/>
    <w:rsid w:val="009565CA"/>
    <w:rsid w:val="00961AD1"/>
    <w:rsid w:val="0097007E"/>
    <w:rsid w:val="00974877"/>
    <w:rsid w:val="0097523F"/>
    <w:rsid w:val="00975CDE"/>
    <w:rsid w:val="00977742"/>
    <w:rsid w:val="00977F16"/>
    <w:rsid w:val="00980161"/>
    <w:rsid w:val="009802CE"/>
    <w:rsid w:val="00983AAB"/>
    <w:rsid w:val="009853F0"/>
    <w:rsid w:val="00985579"/>
    <w:rsid w:val="009855C1"/>
    <w:rsid w:val="009859E1"/>
    <w:rsid w:val="0098669C"/>
    <w:rsid w:val="00987990"/>
    <w:rsid w:val="00990D37"/>
    <w:rsid w:val="009911B2"/>
    <w:rsid w:val="0099232F"/>
    <w:rsid w:val="00992CB8"/>
    <w:rsid w:val="009A20FC"/>
    <w:rsid w:val="009A3BA1"/>
    <w:rsid w:val="009A5592"/>
    <w:rsid w:val="009A58B9"/>
    <w:rsid w:val="009B27E5"/>
    <w:rsid w:val="009B3C51"/>
    <w:rsid w:val="009B4B9E"/>
    <w:rsid w:val="009B4F84"/>
    <w:rsid w:val="009B5A54"/>
    <w:rsid w:val="009C2854"/>
    <w:rsid w:val="009C3741"/>
    <w:rsid w:val="009C5F65"/>
    <w:rsid w:val="009D1844"/>
    <w:rsid w:val="009D2552"/>
    <w:rsid w:val="009D3C79"/>
    <w:rsid w:val="009E0D50"/>
    <w:rsid w:val="009E3995"/>
    <w:rsid w:val="009E77BB"/>
    <w:rsid w:val="009F37C9"/>
    <w:rsid w:val="009F53CB"/>
    <w:rsid w:val="009F5D6D"/>
    <w:rsid w:val="009F730F"/>
    <w:rsid w:val="00A056F7"/>
    <w:rsid w:val="00A15169"/>
    <w:rsid w:val="00A177EE"/>
    <w:rsid w:val="00A21AF8"/>
    <w:rsid w:val="00A24143"/>
    <w:rsid w:val="00A253F9"/>
    <w:rsid w:val="00A268EB"/>
    <w:rsid w:val="00A277D6"/>
    <w:rsid w:val="00A37E13"/>
    <w:rsid w:val="00A45989"/>
    <w:rsid w:val="00A46D5D"/>
    <w:rsid w:val="00A51ED7"/>
    <w:rsid w:val="00A56A34"/>
    <w:rsid w:val="00A62D7F"/>
    <w:rsid w:val="00A64F49"/>
    <w:rsid w:val="00A65904"/>
    <w:rsid w:val="00A65A60"/>
    <w:rsid w:val="00A65F0D"/>
    <w:rsid w:val="00A67659"/>
    <w:rsid w:val="00A71370"/>
    <w:rsid w:val="00A72526"/>
    <w:rsid w:val="00A729AB"/>
    <w:rsid w:val="00A7463E"/>
    <w:rsid w:val="00A756B2"/>
    <w:rsid w:val="00A77A70"/>
    <w:rsid w:val="00A83687"/>
    <w:rsid w:val="00A86DD9"/>
    <w:rsid w:val="00A93289"/>
    <w:rsid w:val="00A94CDC"/>
    <w:rsid w:val="00A95522"/>
    <w:rsid w:val="00A9568C"/>
    <w:rsid w:val="00AA4592"/>
    <w:rsid w:val="00AB0768"/>
    <w:rsid w:val="00AB22ED"/>
    <w:rsid w:val="00AB22FF"/>
    <w:rsid w:val="00AB333B"/>
    <w:rsid w:val="00AB5434"/>
    <w:rsid w:val="00AB6974"/>
    <w:rsid w:val="00AC3359"/>
    <w:rsid w:val="00AC3410"/>
    <w:rsid w:val="00AC3657"/>
    <w:rsid w:val="00AC5AED"/>
    <w:rsid w:val="00AC65AF"/>
    <w:rsid w:val="00AD152D"/>
    <w:rsid w:val="00AD1C0C"/>
    <w:rsid w:val="00AD5516"/>
    <w:rsid w:val="00AD7652"/>
    <w:rsid w:val="00AE00D2"/>
    <w:rsid w:val="00AE5C0A"/>
    <w:rsid w:val="00AF47DF"/>
    <w:rsid w:val="00B02936"/>
    <w:rsid w:val="00B06BE6"/>
    <w:rsid w:val="00B07843"/>
    <w:rsid w:val="00B1145A"/>
    <w:rsid w:val="00B125BB"/>
    <w:rsid w:val="00B213E5"/>
    <w:rsid w:val="00B21A1E"/>
    <w:rsid w:val="00B24208"/>
    <w:rsid w:val="00B321EA"/>
    <w:rsid w:val="00B33B13"/>
    <w:rsid w:val="00B342E4"/>
    <w:rsid w:val="00B3611D"/>
    <w:rsid w:val="00B374DA"/>
    <w:rsid w:val="00B42532"/>
    <w:rsid w:val="00B42CEA"/>
    <w:rsid w:val="00B43C37"/>
    <w:rsid w:val="00B444B9"/>
    <w:rsid w:val="00B44C17"/>
    <w:rsid w:val="00B46039"/>
    <w:rsid w:val="00B51D1B"/>
    <w:rsid w:val="00B602D6"/>
    <w:rsid w:val="00B60552"/>
    <w:rsid w:val="00B618F8"/>
    <w:rsid w:val="00B6394D"/>
    <w:rsid w:val="00B63EE4"/>
    <w:rsid w:val="00B64E7F"/>
    <w:rsid w:val="00B658F7"/>
    <w:rsid w:val="00B6615F"/>
    <w:rsid w:val="00B66969"/>
    <w:rsid w:val="00B66C1F"/>
    <w:rsid w:val="00B702DE"/>
    <w:rsid w:val="00B7277A"/>
    <w:rsid w:val="00B7322D"/>
    <w:rsid w:val="00B735F0"/>
    <w:rsid w:val="00B8142B"/>
    <w:rsid w:val="00B824E9"/>
    <w:rsid w:val="00B85979"/>
    <w:rsid w:val="00B90FEB"/>
    <w:rsid w:val="00B912A9"/>
    <w:rsid w:val="00B92831"/>
    <w:rsid w:val="00BA5D1C"/>
    <w:rsid w:val="00BA5DC6"/>
    <w:rsid w:val="00BB16F6"/>
    <w:rsid w:val="00BB2953"/>
    <w:rsid w:val="00BB2ADB"/>
    <w:rsid w:val="00BB79DC"/>
    <w:rsid w:val="00BC3801"/>
    <w:rsid w:val="00BC38DC"/>
    <w:rsid w:val="00BC52C0"/>
    <w:rsid w:val="00BC5399"/>
    <w:rsid w:val="00BD0C12"/>
    <w:rsid w:val="00BD28B9"/>
    <w:rsid w:val="00BD4EAF"/>
    <w:rsid w:val="00BE7CA4"/>
    <w:rsid w:val="00BF0869"/>
    <w:rsid w:val="00BF1930"/>
    <w:rsid w:val="00BF21F9"/>
    <w:rsid w:val="00BF6F3A"/>
    <w:rsid w:val="00C023FE"/>
    <w:rsid w:val="00C03D9F"/>
    <w:rsid w:val="00C04338"/>
    <w:rsid w:val="00C053CD"/>
    <w:rsid w:val="00C054E8"/>
    <w:rsid w:val="00C065BB"/>
    <w:rsid w:val="00C07E39"/>
    <w:rsid w:val="00C10B94"/>
    <w:rsid w:val="00C14B00"/>
    <w:rsid w:val="00C1658A"/>
    <w:rsid w:val="00C177D7"/>
    <w:rsid w:val="00C20AE7"/>
    <w:rsid w:val="00C24AC6"/>
    <w:rsid w:val="00C34001"/>
    <w:rsid w:val="00C3542F"/>
    <w:rsid w:val="00C356AC"/>
    <w:rsid w:val="00C365FC"/>
    <w:rsid w:val="00C37AA1"/>
    <w:rsid w:val="00C41647"/>
    <w:rsid w:val="00C4185B"/>
    <w:rsid w:val="00C43B67"/>
    <w:rsid w:val="00C45E33"/>
    <w:rsid w:val="00C46C88"/>
    <w:rsid w:val="00C5155E"/>
    <w:rsid w:val="00C51857"/>
    <w:rsid w:val="00C53313"/>
    <w:rsid w:val="00C56EA9"/>
    <w:rsid w:val="00C60D6E"/>
    <w:rsid w:val="00C6237C"/>
    <w:rsid w:val="00C624F1"/>
    <w:rsid w:val="00C62C9D"/>
    <w:rsid w:val="00C65236"/>
    <w:rsid w:val="00C673A0"/>
    <w:rsid w:val="00C741B0"/>
    <w:rsid w:val="00C769D0"/>
    <w:rsid w:val="00C77022"/>
    <w:rsid w:val="00C80D89"/>
    <w:rsid w:val="00C81EAB"/>
    <w:rsid w:val="00C825AB"/>
    <w:rsid w:val="00C83CC9"/>
    <w:rsid w:val="00C84559"/>
    <w:rsid w:val="00C87825"/>
    <w:rsid w:val="00C912B3"/>
    <w:rsid w:val="00C917D8"/>
    <w:rsid w:val="00C91D6C"/>
    <w:rsid w:val="00C94635"/>
    <w:rsid w:val="00C967CD"/>
    <w:rsid w:val="00C97098"/>
    <w:rsid w:val="00CA06FD"/>
    <w:rsid w:val="00CA3480"/>
    <w:rsid w:val="00CA4B13"/>
    <w:rsid w:val="00CA6415"/>
    <w:rsid w:val="00CA7F7F"/>
    <w:rsid w:val="00CB20FA"/>
    <w:rsid w:val="00CB2760"/>
    <w:rsid w:val="00CC3087"/>
    <w:rsid w:val="00CC465B"/>
    <w:rsid w:val="00CC713C"/>
    <w:rsid w:val="00CC72AF"/>
    <w:rsid w:val="00CD05D5"/>
    <w:rsid w:val="00CD06ED"/>
    <w:rsid w:val="00CD1282"/>
    <w:rsid w:val="00CD27C0"/>
    <w:rsid w:val="00CD378C"/>
    <w:rsid w:val="00CD4DD8"/>
    <w:rsid w:val="00CD6FB9"/>
    <w:rsid w:val="00CD7FCD"/>
    <w:rsid w:val="00CE091B"/>
    <w:rsid w:val="00CE1567"/>
    <w:rsid w:val="00CE29C8"/>
    <w:rsid w:val="00CE2A38"/>
    <w:rsid w:val="00CE417F"/>
    <w:rsid w:val="00CE52F7"/>
    <w:rsid w:val="00CE5B80"/>
    <w:rsid w:val="00CE7996"/>
    <w:rsid w:val="00CE7DD3"/>
    <w:rsid w:val="00CF0975"/>
    <w:rsid w:val="00CF21F4"/>
    <w:rsid w:val="00CF2F48"/>
    <w:rsid w:val="00CF5701"/>
    <w:rsid w:val="00CF6401"/>
    <w:rsid w:val="00CF688B"/>
    <w:rsid w:val="00CF7900"/>
    <w:rsid w:val="00CF7C1C"/>
    <w:rsid w:val="00D005E4"/>
    <w:rsid w:val="00D01C65"/>
    <w:rsid w:val="00D02D13"/>
    <w:rsid w:val="00D05147"/>
    <w:rsid w:val="00D1055A"/>
    <w:rsid w:val="00D1076F"/>
    <w:rsid w:val="00D11B22"/>
    <w:rsid w:val="00D13344"/>
    <w:rsid w:val="00D15B72"/>
    <w:rsid w:val="00D1796B"/>
    <w:rsid w:val="00D20BD2"/>
    <w:rsid w:val="00D22B8C"/>
    <w:rsid w:val="00D23491"/>
    <w:rsid w:val="00D263C3"/>
    <w:rsid w:val="00D32222"/>
    <w:rsid w:val="00D35EE0"/>
    <w:rsid w:val="00D41490"/>
    <w:rsid w:val="00D42597"/>
    <w:rsid w:val="00D4298F"/>
    <w:rsid w:val="00D443B5"/>
    <w:rsid w:val="00D4527F"/>
    <w:rsid w:val="00D47ADF"/>
    <w:rsid w:val="00D47AEB"/>
    <w:rsid w:val="00D47D68"/>
    <w:rsid w:val="00D50DD0"/>
    <w:rsid w:val="00D52EAE"/>
    <w:rsid w:val="00D56EAA"/>
    <w:rsid w:val="00D64632"/>
    <w:rsid w:val="00D710B1"/>
    <w:rsid w:val="00D74052"/>
    <w:rsid w:val="00D75534"/>
    <w:rsid w:val="00D7580F"/>
    <w:rsid w:val="00D75B0D"/>
    <w:rsid w:val="00D775EC"/>
    <w:rsid w:val="00D801E3"/>
    <w:rsid w:val="00D84E3C"/>
    <w:rsid w:val="00D85F8A"/>
    <w:rsid w:val="00D86E15"/>
    <w:rsid w:val="00D912DE"/>
    <w:rsid w:val="00D91B2B"/>
    <w:rsid w:val="00D92774"/>
    <w:rsid w:val="00D93ACB"/>
    <w:rsid w:val="00D94D63"/>
    <w:rsid w:val="00D97028"/>
    <w:rsid w:val="00D97230"/>
    <w:rsid w:val="00D97544"/>
    <w:rsid w:val="00DA0FF9"/>
    <w:rsid w:val="00DA31A3"/>
    <w:rsid w:val="00DC1EA5"/>
    <w:rsid w:val="00DC3EA3"/>
    <w:rsid w:val="00DC5C20"/>
    <w:rsid w:val="00DC5E23"/>
    <w:rsid w:val="00DC674D"/>
    <w:rsid w:val="00DC791D"/>
    <w:rsid w:val="00DD3FE7"/>
    <w:rsid w:val="00DD40FA"/>
    <w:rsid w:val="00DE504F"/>
    <w:rsid w:val="00DE510A"/>
    <w:rsid w:val="00DE5C01"/>
    <w:rsid w:val="00DE5D14"/>
    <w:rsid w:val="00DE716E"/>
    <w:rsid w:val="00DF52E1"/>
    <w:rsid w:val="00DF6145"/>
    <w:rsid w:val="00DF6199"/>
    <w:rsid w:val="00E00C9A"/>
    <w:rsid w:val="00E03069"/>
    <w:rsid w:val="00E070B3"/>
    <w:rsid w:val="00E10196"/>
    <w:rsid w:val="00E115D9"/>
    <w:rsid w:val="00E16194"/>
    <w:rsid w:val="00E17456"/>
    <w:rsid w:val="00E17D77"/>
    <w:rsid w:val="00E21B4D"/>
    <w:rsid w:val="00E221E2"/>
    <w:rsid w:val="00E25B66"/>
    <w:rsid w:val="00E26066"/>
    <w:rsid w:val="00E26532"/>
    <w:rsid w:val="00E26929"/>
    <w:rsid w:val="00E271C9"/>
    <w:rsid w:val="00E30D86"/>
    <w:rsid w:val="00E30FB5"/>
    <w:rsid w:val="00E31093"/>
    <w:rsid w:val="00E326DA"/>
    <w:rsid w:val="00E334E1"/>
    <w:rsid w:val="00E347C3"/>
    <w:rsid w:val="00E37330"/>
    <w:rsid w:val="00E379B8"/>
    <w:rsid w:val="00E423FB"/>
    <w:rsid w:val="00E43355"/>
    <w:rsid w:val="00E439F6"/>
    <w:rsid w:val="00E44A17"/>
    <w:rsid w:val="00E451C4"/>
    <w:rsid w:val="00E50CF9"/>
    <w:rsid w:val="00E51DC6"/>
    <w:rsid w:val="00E522E3"/>
    <w:rsid w:val="00E548F6"/>
    <w:rsid w:val="00E558AE"/>
    <w:rsid w:val="00E559DC"/>
    <w:rsid w:val="00E55B81"/>
    <w:rsid w:val="00E5609E"/>
    <w:rsid w:val="00E57D22"/>
    <w:rsid w:val="00E6480A"/>
    <w:rsid w:val="00E64F71"/>
    <w:rsid w:val="00E70D2E"/>
    <w:rsid w:val="00E71E61"/>
    <w:rsid w:val="00E71F8C"/>
    <w:rsid w:val="00E74926"/>
    <w:rsid w:val="00E76458"/>
    <w:rsid w:val="00E77C27"/>
    <w:rsid w:val="00E80123"/>
    <w:rsid w:val="00E827EF"/>
    <w:rsid w:val="00E847D6"/>
    <w:rsid w:val="00E86E4F"/>
    <w:rsid w:val="00E87E38"/>
    <w:rsid w:val="00E87E84"/>
    <w:rsid w:val="00E902BE"/>
    <w:rsid w:val="00E906B3"/>
    <w:rsid w:val="00E95E6C"/>
    <w:rsid w:val="00EA1AE2"/>
    <w:rsid w:val="00EA1F9B"/>
    <w:rsid w:val="00EA245C"/>
    <w:rsid w:val="00EA4F52"/>
    <w:rsid w:val="00EA52D6"/>
    <w:rsid w:val="00EA562A"/>
    <w:rsid w:val="00EB5B71"/>
    <w:rsid w:val="00EB5BD0"/>
    <w:rsid w:val="00EC3441"/>
    <w:rsid w:val="00EC4F40"/>
    <w:rsid w:val="00ED1FEA"/>
    <w:rsid w:val="00ED2106"/>
    <w:rsid w:val="00ED2977"/>
    <w:rsid w:val="00ED305B"/>
    <w:rsid w:val="00ED367B"/>
    <w:rsid w:val="00ED398F"/>
    <w:rsid w:val="00ED4A02"/>
    <w:rsid w:val="00ED4F60"/>
    <w:rsid w:val="00ED60C1"/>
    <w:rsid w:val="00ED76C6"/>
    <w:rsid w:val="00EE0902"/>
    <w:rsid w:val="00EE38C2"/>
    <w:rsid w:val="00EE4640"/>
    <w:rsid w:val="00EE4B6C"/>
    <w:rsid w:val="00EE4FD4"/>
    <w:rsid w:val="00EE5B86"/>
    <w:rsid w:val="00EE65AA"/>
    <w:rsid w:val="00EE69E1"/>
    <w:rsid w:val="00EF2DB6"/>
    <w:rsid w:val="00EF3500"/>
    <w:rsid w:val="00EF36F5"/>
    <w:rsid w:val="00EF4A4F"/>
    <w:rsid w:val="00EF4FD2"/>
    <w:rsid w:val="00EF5D5E"/>
    <w:rsid w:val="00F000BA"/>
    <w:rsid w:val="00F000F6"/>
    <w:rsid w:val="00F00629"/>
    <w:rsid w:val="00F009F5"/>
    <w:rsid w:val="00F01196"/>
    <w:rsid w:val="00F037D1"/>
    <w:rsid w:val="00F0635A"/>
    <w:rsid w:val="00F10072"/>
    <w:rsid w:val="00F1260E"/>
    <w:rsid w:val="00F15436"/>
    <w:rsid w:val="00F15B7C"/>
    <w:rsid w:val="00F2075E"/>
    <w:rsid w:val="00F20CF0"/>
    <w:rsid w:val="00F26A4F"/>
    <w:rsid w:val="00F26B0D"/>
    <w:rsid w:val="00F27E5C"/>
    <w:rsid w:val="00F32BAE"/>
    <w:rsid w:val="00F3376C"/>
    <w:rsid w:val="00F33BD8"/>
    <w:rsid w:val="00F3487A"/>
    <w:rsid w:val="00F424A3"/>
    <w:rsid w:val="00F45EF6"/>
    <w:rsid w:val="00F500B3"/>
    <w:rsid w:val="00F514F3"/>
    <w:rsid w:val="00F57FC2"/>
    <w:rsid w:val="00F60C71"/>
    <w:rsid w:val="00F60EE5"/>
    <w:rsid w:val="00F61952"/>
    <w:rsid w:val="00F632F7"/>
    <w:rsid w:val="00F64A4F"/>
    <w:rsid w:val="00F6576C"/>
    <w:rsid w:val="00F6597D"/>
    <w:rsid w:val="00F67CE4"/>
    <w:rsid w:val="00F723C4"/>
    <w:rsid w:val="00F77281"/>
    <w:rsid w:val="00F7772B"/>
    <w:rsid w:val="00F87F45"/>
    <w:rsid w:val="00F92C93"/>
    <w:rsid w:val="00F948B2"/>
    <w:rsid w:val="00F958C9"/>
    <w:rsid w:val="00F95B0F"/>
    <w:rsid w:val="00F9610E"/>
    <w:rsid w:val="00FA07C2"/>
    <w:rsid w:val="00FB1BF9"/>
    <w:rsid w:val="00FB46B4"/>
    <w:rsid w:val="00FB4C64"/>
    <w:rsid w:val="00FB4E74"/>
    <w:rsid w:val="00FB76EA"/>
    <w:rsid w:val="00FC5677"/>
    <w:rsid w:val="00FC6F41"/>
    <w:rsid w:val="00FC7AEA"/>
    <w:rsid w:val="00FD0E37"/>
    <w:rsid w:val="00FD25B5"/>
    <w:rsid w:val="00FD4E36"/>
    <w:rsid w:val="00FD53E1"/>
    <w:rsid w:val="00FE062E"/>
    <w:rsid w:val="00FE07FF"/>
    <w:rsid w:val="00FE0B99"/>
    <w:rsid w:val="00FE2B53"/>
    <w:rsid w:val="00FE359C"/>
    <w:rsid w:val="00FE372E"/>
    <w:rsid w:val="00FE3DD4"/>
    <w:rsid w:val="00FE491F"/>
    <w:rsid w:val="00FE54AE"/>
    <w:rsid w:val="00FE5C8F"/>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207BCE5"/>
  <w15:docId w15:val="{BB5891D2-E6CF-4AFC-92E2-61EB995063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65A60"/>
  </w:style>
  <w:style w:type="paragraph" w:styleId="Heading1">
    <w:name w:val="heading 1"/>
    <w:basedOn w:val="Normal"/>
    <w:link w:val="Heading1Char"/>
    <w:uiPriority w:val="9"/>
    <w:qFormat/>
    <w:rsid w:val="00090540"/>
    <w:pPr>
      <w:spacing w:before="100" w:beforeAutospacing="1" w:after="100" w:afterAutospacing="1" w:line="240" w:lineRule="auto"/>
      <w:outlineLvl w:val="0"/>
    </w:pPr>
    <w:rPr>
      <w:rFonts w:ascii="Times New Roman" w:eastAsia="Times New Roman" w:hAnsi="Times New Roman" w:cs="Times New Roman"/>
      <w:b/>
      <w:bCs/>
      <w:kern w:val="36"/>
      <w:sz w:val="48"/>
      <w:szCs w:val="48"/>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80EEA"/>
    <w:pPr>
      <w:ind w:left="720"/>
      <w:contextualSpacing/>
    </w:pPr>
  </w:style>
  <w:style w:type="paragraph" w:styleId="Header">
    <w:name w:val="header"/>
    <w:basedOn w:val="Normal"/>
    <w:link w:val="HeaderChar"/>
    <w:uiPriority w:val="99"/>
    <w:unhideWhenUsed/>
    <w:rsid w:val="00C365FC"/>
    <w:pPr>
      <w:tabs>
        <w:tab w:val="center" w:pos="4513"/>
        <w:tab w:val="right" w:pos="9026"/>
      </w:tabs>
      <w:spacing w:after="0" w:line="240" w:lineRule="auto"/>
    </w:pPr>
  </w:style>
  <w:style w:type="character" w:customStyle="1" w:styleId="HeaderChar">
    <w:name w:val="Header Char"/>
    <w:basedOn w:val="DefaultParagraphFont"/>
    <w:link w:val="Header"/>
    <w:uiPriority w:val="99"/>
    <w:rsid w:val="00C365FC"/>
  </w:style>
  <w:style w:type="paragraph" w:styleId="Footer">
    <w:name w:val="footer"/>
    <w:basedOn w:val="Normal"/>
    <w:link w:val="FooterChar"/>
    <w:uiPriority w:val="99"/>
    <w:unhideWhenUsed/>
    <w:rsid w:val="00C365FC"/>
    <w:pPr>
      <w:tabs>
        <w:tab w:val="center" w:pos="4513"/>
        <w:tab w:val="right" w:pos="9026"/>
      </w:tabs>
      <w:spacing w:after="0" w:line="240" w:lineRule="auto"/>
    </w:pPr>
  </w:style>
  <w:style w:type="character" w:customStyle="1" w:styleId="FooterChar">
    <w:name w:val="Footer Char"/>
    <w:basedOn w:val="DefaultParagraphFont"/>
    <w:link w:val="Footer"/>
    <w:uiPriority w:val="99"/>
    <w:rsid w:val="00C365FC"/>
  </w:style>
  <w:style w:type="paragraph" w:customStyle="1" w:styleId="EndNoteBibliographyTitle">
    <w:name w:val="EndNote Bibliography Title"/>
    <w:basedOn w:val="Normal"/>
    <w:link w:val="EndNoteBibliographyTitleChar"/>
    <w:rsid w:val="00224C04"/>
    <w:pPr>
      <w:spacing w:after="0"/>
      <w:jc w:val="center"/>
    </w:pPr>
    <w:rPr>
      <w:rFonts w:ascii="Calibri" w:hAnsi="Calibri"/>
      <w:noProof/>
    </w:rPr>
  </w:style>
  <w:style w:type="character" w:customStyle="1" w:styleId="EndNoteBibliographyTitleChar">
    <w:name w:val="EndNote Bibliography Title Char"/>
    <w:basedOn w:val="DefaultParagraphFont"/>
    <w:link w:val="EndNoteBibliographyTitle"/>
    <w:rsid w:val="00224C04"/>
    <w:rPr>
      <w:rFonts w:ascii="Calibri" w:hAnsi="Calibri"/>
      <w:noProof/>
    </w:rPr>
  </w:style>
  <w:style w:type="paragraph" w:customStyle="1" w:styleId="EndNoteBibliography">
    <w:name w:val="EndNote Bibliography"/>
    <w:basedOn w:val="Normal"/>
    <w:link w:val="EndNoteBibliographyChar"/>
    <w:rsid w:val="00224C04"/>
    <w:pPr>
      <w:spacing w:line="240" w:lineRule="auto"/>
    </w:pPr>
    <w:rPr>
      <w:rFonts w:ascii="Calibri" w:hAnsi="Calibri"/>
      <w:noProof/>
    </w:rPr>
  </w:style>
  <w:style w:type="character" w:customStyle="1" w:styleId="EndNoteBibliographyChar">
    <w:name w:val="EndNote Bibliography Char"/>
    <w:basedOn w:val="DefaultParagraphFont"/>
    <w:link w:val="EndNoteBibliography"/>
    <w:rsid w:val="00224C04"/>
    <w:rPr>
      <w:rFonts w:ascii="Calibri" w:hAnsi="Calibri"/>
      <w:noProof/>
    </w:rPr>
  </w:style>
  <w:style w:type="character" w:styleId="Hyperlink">
    <w:name w:val="Hyperlink"/>
    <w:basedOn w:val="DefaultParagraphFont"/>
    <w:uiPriority w:val="99"/>
    <w:unhideWhenUsed/>
    <w:rsid w:val="008B7ACF"/>
    <w:rPr>
      <w:color w:val="0563C1" w:themeColor="hyperlink"/>
      <w:u w:val="single"/>
    </w:rPr>
  </w:style>
  <w:style w:type="character" w:customStyle="1" w:styleId="token">
    <w:name w:val="token"/>
    <w:basedOn w:val="DefaultParagraphFont"/>
    <w:rsid w:val="00351051"/>
  </w:style>
  <w:style w:type="character" w:customStyle="1" w:styleId="apple-converted-space">
    <w:name w:val="apple-converted-space"/>
    <w:basedOn w:val="DefaultParagraphFont"/>
    <w:rsid w:val="00351051"/>
  </w:style>
  <w:style w:type="table" w:styleId="TableGrid">
    <w:name w:val="Table Grid"/>
    <w:basedOn w:val="TableNormal"/>
    <w:uiPriority w:val="39"/>
    <w:rsid w:val="00D234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C65236"/>
    <w:rPr>
      <w:sz w:val="16"/>
      <w:szCs w:val="16"/>
    </w:rPr>
  </w:style>
  <w:style w:type="paragraph" w:styleId="CommentText">
    <w:name w:val="annotation text"/>
    <w:basedOn w:val="Normal"/>
    <w:link w:val="CommentTextChar"/>
    <w:uiPriority w:val="99"/>
    <w:unhideWhenUsed/>
    <w:rsid w:val="00C65236"/>
    <w:pPr>
      <w:spacing w:line="240" w:lineRule="auto"/>
    </w:pPr>
    <w:rPr>
      <w:sz w:val="20"/>
      <w:szCs w:val="20"/>
    </w:rPr>
  </w:style>
  <w:style w:type="character" w:customStyle="1" w:styleId="CommentTextChar">
    <w:name w:val="Comment Text Char"/>
    <w:basedOn w:val="DefaultParagraphFont"/>
    <w:link w:val="CommentText"/>
    <w:uiPriority w:val="99"/>
    <w:rsid w:val="00C65236"/>
    <w:rPr>
      <w:sz w:val="20"/>
      <w:szCs w:val="20"/>
    </w:rPr>
  </w:style>
  <w:style w:type="paragraph" w:styleId="CommentSubject">
    <w:name w:val="annotation subject"/>
    <w:basedOn w:val="CommentText"/>
    <w:next w:val="CommentText"/>
    <w:link w:val="CommentSubjectChar"/>
    <w:uiPriority w:val="99"/>
    <w:semiHidden/>
    <w:unhideWhenUsed/>
    <w:rsid w:val="00C65236"/>
    <w:rPr>
      <w:b/>
      <w:bCs/>
    </w:rPr>
  </w:style>
  <w:style w:type="character" w:customStyle="1" w:styleId="CommentSubjectChar">
    <w:name w:val="Comment Subject Char"/>
    <w:basedOn w:val="CommentTextChar"/>
    <w:link w:val="CommentSubject"/>
    <w:uiPriority w:val="99"/>
    <w:semiHidden/>
    <w:rsid w:val="00C65236"/>
    <w:rPr>
      <w:b/>
      <w:bCs/>
      <w:sz w:val="20"/>
      <w:szCs w:val="20"/>
    </w:rPr>
  </w:style>
  <w:style w:type="paragraph" w:styleId="BalloonText">
    <w:name w:val="Balloon Text"/>
    <w:basedOn w:val="Normal"/>
    <w:link w:val="BalloonTextChar"/>
    <w:uiPriority w:val="99"/>
    <w:semiHidden/>
    <w:unhideWhenUsed/>
    <w:rsid w:val="00C6523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65236"/>
    <w:rPr>
      <w:rFonts w:ascii="Segoe UI" w:hAnsi="Segoe UI" w:cs="Segoe UI"/>
      <w:sz w:val="18"/>
      <w:szCs w:val="18"/>
    </w:rPr>
  </w:style>
  <w:style w:type="paragraph" w:styleId="Caption">
    <w:name w:val="caption"/>
    <w:basedOn w:val="Normal"/>
    <w:next w:val="Normal"/>
    <w:uiPriority w:val="35"/>
    <w:unhideWhenUsed/>
    <w:qFormat/>
    <w:rsid w:val="002E4AC7"/>
    <w:pPr>
      <w:spacing w:after="200" w:line="240" w:lineRule="auto"/>
    </w:pPr>
    <w:rPr>
      <w:i/>
      <w:iCs/>
      <w:color w:val="44546A" w:themeColor="text2"/>
      <w:sz w:val="18"/>
      <w:szCs w:val="18"/>
    </w:rPr>
  </w:style>
  <w:style w:type="paragraph" w:styleId="Revision">
    <w:name w:val="Revision"/>
    <w:hidden/>
    <w:uiPriority w:val="99"/>
    <w:semiHidden/>
    <w:rsid w:val="00007CA8"/>
    <w:pPr>
      <w:spacing w:after="0" w:line="240" w:lineRule="auto"/>
    </w:pPr>
  </w:style>
  <w:style w:type="character" w:customStyle="1" w:styleId="highlight">
    <w:name w:val="highlight"/>
    <w:basedOn w:val="DefaultParagraphFont"/>
    <w:rsid w:val="00E439F6"/>
  </w:style>
  <w:style w:type="paragraph" w:customStyle="1" w:styleId="Default">
    <w:name w:val="Default"/>
    <w:rsid w:val="00CE1567"/>
    <w:pPr>
      <w:autoSpaceDE w:val="0"/>
      <w:autoSpaceDN w:val="0"/>
      <w:adjustRightInd w:val="0"/>
      <w:spacing w:after="0" w:line="240" w:lineRule="auto"/>
    </w:pPr>
    <w:rPr>
      <w:rFonts w:ascii="Book Antiqua" w:hAnsi="Book Antiqua" w:cs="Book Antiqua"/>
      <w:color w:val="000000"/>
      <w:sz w:val="24"/>
      <w:szCs w:val="24"/>
      <w:lang w:val="en-US"/>
    </w:rPr>
  </w:style>
  <w:style w:type="character" w:customStyle="1" w:styleId="event-date">
    <w:name w:val="event-date"/>
    <w:basedOn w:val="DefaultParagraphFont"/>
    <w:rsid w:val="00646D1B"/>
  </w:style>
  <w:style w:type="character" w:customStyle="1" w:styleId="nlmstring-name">
    <w:name w:val="nlm_string-name"/>
    <w:basedOn w:val="DefaultParagraphFont"/>
    <w:rsid w:val="00090540"/>
  </w:style>
  <w:style w:type="character" w:customStyle="1" w:styleId="Heading1Char">
    <w:name w:val="Heading 1 Char"/>
    <w:basedOn w:val="DefaultParagraphFont"/>
    <w:link w:val="Heading1"/>
    <w:uiPriority w:val="9"/>
    <w:rsid w:val="00090540"/>
    <w:rPr>
      <w:rFonts w:ascii="Times New Roman" w:eastAsia="Times New Roman" w:hAnsi="Times New Roman" w:cs="Times New Roman"/>
      <w:b/>
      <w:bCs/>
      <w:kern w:val="36"/>
      <w:sz w:val="48"/>
      <w:szCs w:val="48"/>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62094113">
      <w:bodyDiv w:val="1"/>
      <w:marLeft w:val="0"/>
      <w:marRight w:val="0"/>
      <w:marTop w:val="0"/>
      <w:marBottom w:val="0"/>
      <w:divBdr>
        <w:top w:val="none" w:sz="0" w:space="0" w:color="auto"/>
        <w:left w:val="none" w:sz="0" w:space="0" w:color="auto"/>
        <w:bottom w:val="none" w:sz="0" w:space="0" w:color="auto"/>
        <w:right w:val="none" w:sz="0" w:space="0" w:color="auto"/>
      </w:divBdr>
      <w:divsChild>
        <w:div w:id="372997337">
          <w:marLeft w:val="0"/>
          <w:marRight w:val="0"/>
          <w:marTop w:val="0"/>
          <w:marBottom w:val="0"/>
          <w:divBdr>
            <w:top w:val="none" w:sz="0" w:space="0" w:color="auto"/>
            <w:left w:val="none" w:sz="0" w:space="0" w:color="auto"/>
            <w:bottom w:val="none" w:sz="0" w:space="0" w:color="auto"/>
            <w:right w:val="none" w:sz="0" w:space="0" w:color="auto"/>
          </w:divBdr>
        </w:div>
        <w:div w:id="695154654">
          <w:marLeft w:val="0"/>
          <w:marRight w:val="0"/>
          <w:marTop w:val="0"/>
          <w:marBottom w:val="0"/>
          <w:divBdr>
            <w:top w:val="none" w:sz="0" w:space="0" w:color="auto"/>
            <w:left w:val="none" w:sz="0" w:space="0" w:color="auto"/>
            <w:bottom w:val="none" w:sz="0" w:space="0" w:color="auto"/>
            <w:right w:val="none" w:sz="0" w:space="0" w:color="auto"/>
          </w:divBdr>
        </w:div>
        <w:div w:id="978537157">
          <w:marLeft w:val="0"/>
          <w:marRight w:val="0"/>
          <w:marTop w:val="0"/>
          <w:marBottom w:val="0"/>
          <w:divBdr>
            <w:top w:val="none" w:sz="0" w:space="0" w:color="auto"/>
            <w:left w:val="none" w:sz="0" w:space="0" w:color="auto"/>
            <w:bottom w:val="none" w:sz="0" w:space="0" w:color="auto"/>
            <w:right w:val="none" w:sz="0" w:space="0" w:color="auto"/>
          </w:divBdr>
        </w:div>
        <w:div w:id="1439791700">
          <w:marLeft w:val="0"/>
          <w:marRight w:val="0"/>
          <w:marTop w:val="0"/>
          <w:marBottom w:val="0"/>
          <w:divBdr>
            <w:top w:val="none" w:sz="0" w:space="0" w:color="auto"/>
            <w:left w:val="none" w:sz="0" w:space="0" w:color="auto"/>
            <w:bottom w:val="none" w:sz="0" w:space="0" w:color="auto"/>
            <w:right w:val="none" w:sz="0" w:space="0" w:color="auto"/>
          </w:divBdr>
        </w:div>
        <w:div w:id="1619944052">
          <w:marLeft w:val="0"/>
          <w:marRight w:val="0"/>
          <w:marTop w:val="0"/>
          <w:marBottom w:val="0"/>
          <w:divBdr>
            <w:top w:val="none" w:sz="0" w:space="0" w:color="auto"/>
            <w:left w:val="none" w:sz="0" w:space="0" w:color="auto"/>
            <w:bottom w:val="none" w:sz="0" w:space="0" w:color="auto"/>
            <w:right w:val="none" w:sz="0" w:space="0" w:color="auto"/>
          </w:divBdr>
        </w:div>
      </w:divsChild>
    </w:div>
    <w:div w:id="410590552">
      <w:bodyDiv w:val="1"/>
      <w:marLeft w:val="0"/>
      <w:marRight w:val="0"/>
      <w:marTop w:val="0"/>
      <w:marBottom w:val="0"/>
      <w:divBdr>
        <w:top w:val="none" w:sz="0" w:space="0" w:color="auto"/>
        <w:left w:val="none" w:sz="0" w:space="0" w:color="auto"/>
        <w:bottom w:val="none" w:sz="0" w:space="0" w:color="auto"/>
        <w:right w:val="none" w:sz="0" w:space="0" w:color="auto"/>
      </w:divBdr>
    </w:div>
    <w:div w:id="438110119">
      <w:bodyDiv w:val="1"/>
      <w:marLeft w:val="0"/>
      <w:marRight w:val="0"/>
      <w:marTop w:val="0"/>
      <w:marBottom w:val="0"/>
      <w:divBdr>
        <w:top w:val="none" w:sz="0" w:space="0" w:color="auto"/>
        <w:left w:val="none" w:sz="0" w:space="0" w:color="auto"/>
        <w:bottom w:val="none" w:sz="0" w:space="0" w:color="auto"/>
        <w:right w:val="none" w:sz="0" w:space="0" w:color="auto"/>
      </w:divBdr>
    </w:div>
    <w:div w:id="1007367277">
      <w:bodyDiv w:val="1"/>
      <w:marLeft w:val="0"/>
      <w:marRight w:val="0"/>
      <w:marTop w:val="0"/>
      <w:marBottom w:val="0"/>
      <w:divBdr>
        <w:top w:val="none" w:sz="0" w:space="0" w:color="auto"/>
        <w:left w:val="none" w:sz="0" w:space="0" w:color="auto"/>
        <w:bottom w:val="none" w:sz="0" w:space="0" w:color="auto"/>
        <w:right w:val="none" w:sz="0" w:space="0" w:color="auto"/>
      </w:divBdr>
    </w:div>
    <w:div w:id="1655913361">
      <w:bodyDiv w:val="1"/>
      <w:marLeft w:val="0"/>
      <w:marRight w:val="0"/>
      <w:marTop w:val="0"/>
      <w:marBottom w:val="0"/>
      <w:divBdr>
        <w:top w:val="none" w:sz="0" w:space="0" w:color="auto"/>
        <w:left w:val="none" w:sz="0" w:space="0" w:color="auto"/>
        <w:bottom w:val="none" w:sz="0" w:space="0" w:color="auto"/>
        <w:right w:val="none" w:sz="0" w:space="0" w:color="auto"/>
      </w:divBdr>
    </w:div>
    <w:div w:id="1817406148">
      <w:bodyDiv w:val="1"/>
      <w:marLeft w:val="0"/>
      <w:marRight w:val="0"/>
      <w:marTop w:val="0"/>
      <w:marBottom w:val="0"/>
      <w:divBdr>
        <w:top w:val="none" w:sz="0" w:space="0" w:color="auto"/>
        <w:left w:val="none" w:sz="0" w:space="0" w:color="auto"/>
        <w:bottom w:val="none" w:sz="0" w:space="0" w:color="auto"/>
        <w:right w:val="none" w:sz="0" w:space="0" w:color="auto"/>
      </w:divBdr>
      <w:divsChild>
        <w:div w:id="828642959">
          <w:marLeft w:val="0"/>
          <w:marRight w:val="0"/>
          <w:marTop w:val="0"/>
          <w:marBottom w:val="0"/>
          <w:divBdr>
            <w:top w:val="none" w:sz="0" w:space="0" w:color="auto"/>
            <w:left w:val="none" w:sz="0" w:space="0" w:color="auto"/>
            <w:bottom w:val="none" w:sz="0" w:space="0" w:color="auto"/>
            <w:right w:val="none" w:sz="0" w:space="0" w:color="auto"/>
          </w:divBdr>
          <w:divsChild>
            <w:div w:id="1007290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86138521">
      <w:bodyDiv w:val="1"/>
      <w:marLeft w:val="0"/>
      <w:marRight w:val="0"/>
      <w:marTop w:val="0"/>
      <w:marBottom w:val="0"/>
      <w:divBdr>
        <w:top w:val="none" w:sz="0" w:space="0" w:color="auto"/>
        <w:left w:val="none" w:sz="0" w:space="0" w:color="auto"/>
        <w:bottom w:val="none" w:sz="0" w:space="0" w:color="auto"/>
        <w:right w:val="none" w:sz="0" w:space="0" w:color="auto"/>
      </w:divBdr>
    </w:div>
    <w:div w:id="1899898088">
      <w:bodyDiv w:val="1"/>
      <w:marLeft w:val="0"/>
      <w:marRight w:val="0"/>
      <w:marTop w:val="0"/>
      <w:marBottom w:val="0"/>
      <w:divBdr>
        <w:top w:val="none" w:sz="0" w:space="0" w:color="auto"/>
        <w:left w:val="none" w:sz="0" w:space="0" w:color="auto"/>
        <w:bottom w:val="none" w:sz="0" w:space="0" w:color="auto"/>
        <w:right w:val="none" w:sz="0" w:space="0" w:color="auto"/>
      </w:divBdr>
      <w:divsChild>
        <w:div w:id="44137526">
          <w:marLeft w:val="0"/>
          <w:marRight w:val="0"/>
          <w:marTop w:val="0"/>
          <w:marBottom w:val="0"/>
          <w:divBdr>
            <w:top w:val="none" w:sz="0" w:space="0" w:color="auto"/>
            <w:left w:val="none" w:sz="0" w:space="0" w:color="auto"/>
            <w:bottom w:val="none" w:sz="0" w:space="0" w:color="auto"/>
            <w:right w:val="none" w:sz="0" w:space="0" w:color="auto"/>
          </w:divBdr>
        </w:div>
        <w:div w:id="76557888">
          <w:marLeft w:val="0"/>
          <w:marRight w:val="0"/>
          <w:marTop w:val="0"/>
          <w:marBottom w:val="0"/>
          <w:divBdr>
            <w:top w:val="none" w:sz="0" w:space="0" w:color="auto"/>
            <w:left w:val="none" w:sz="0" w:space="0" w:color="auto"/>
            <w:bottom w:val="none" w:sz="0" w:space="0" w:color="auto"/>
            <w:right w:val="none" w:sz="0" w:space="0" w:color="auto"/>
          </w:divBdr>
        </w:div>
        <w:div w:id="80488726">
          <w:marLeft w:val="0"/>
          <w:marRight w:val="0"/>
          <w:marTop w:val="0"/>
          <w:marBottom w:val="0"/>
          <w:divBdr>
            <w:top w:val="none" w:sz="0" w:space="0" w:color="auto"/>
            <w:left w:val="none" w:sz="0" w:space="0" w:color="auto"/>
            <w:bottom w:val="none" w:sz="0" w:space="0" w:color="auto"/>
            <w:right w:val="none" w:sz="0" w:space="0" w:color="auto"/>
          </w:divBdr>
        </w:div>
        <w:div w:id="156919495">
          <w:marLeft w:val="0"/>
          <w:marRight w:val="0"/>
          <w:marTop w:val="0"/>
          <w:marBottom w:val="0"/>
          <w:divBdr>
            <w:top w:val="none" w:sz="0" w:space="0" w:color="auto"/>
            <w:left w:val="none" w:sz="0" w:space="0" w:color="auto"/>
            <w:bottom w:val="none" w:sz="0" w:space="0" w:color="auto"/>
            <w:right w:val="none" w:sz="0" w:space="0" w:color="auto"/>
          </w:divBdr>
        </w:div>
        <w:div w:id="196698142">
          <w:marLeft w:val="0"/>
          <w:marRight w:val="0"/>
          <w:marTop w:val="0"/>
          <w:marBottom w:val="0"/>
          <w:divBdr>
            <w:top w:val="none" w:sz="0" w:space="0" w:color="auto"/>
            <w:left w:val="none" w:sz="0" w:space="0" w:color="auto"/>
            <w:bottom w:val="none" w:sz="0" w:space="0" w:color="auto"/>
            <w:right w:val="none" w:sz="0" w:space="0" w:color="auto"/>
          </w:divBdr>
        </w:div>
        <w:div w:id="799764074">
          <w:marLeft w:val="0"/>
          <w:marRight w:val="0"/>
          <w:marTop w:val="0"/>
          <w:marBottom w:val="0"/>
          <w:divBdr>
            <w:top w:val="none" w:sz="0" w:space="0" w:color="auto"/>
            <w:left w:val="none" w:sz="0" w:space="0" w:color="auto"/>
            <w:bottom w:val="none" w:sz="0" w:space="0" w:color="auto"/>
            <w:right w:val="none" w:sz="0" w:space="0" w:color="auto"/>
          </w:divBdr>
        </w:div>
        <w:div w:id="1056197709">
          <w:marLeft w:val="0"/>
          <w:marRight w:val="0"/>
          <w:marTop w:val="0"/>
          <w:marBottom w:val="0"/>
          <w:divBdr>
            <w:top w:val="none" w:sz="0" w:space="0" w:color="auto"/>
            <w:left w:val="none" w:sz="0" w:space="0" w:color="auto"/>
            <w:bottom w:val="none" w:sz="0" w:space="0" w:color="auto"/>
            <w:right w:val="none" w:sz="0" w:space="0" w:color="auto"/>
          </w:divBdr>
        </w:div>
        <w:div w:id="1177693159">
          <w:marLeft w:val="0"/>
          <w:marRight w:val="0"/>
          <w:marTop w:val="0"/>
          <w:marBottom w:val="0"/>
          <w:divBdr>
            <w:top w:val="none" w:sz="0" w:space="0" w:color="auto"/>
            <w:left w:val="none" w:sz="0" w:space="0" w:color="auto"/>
            <w:bottom w:val="none" w:sz="0" w:space="0" w:color="auto"/>
            <w:right w:val="none" w:sz="0" w:space="0" w:color="auto"/>
          </w:divBdr>
        </w:div>
        <w:div w:id="1221290386">
          <w:marLeft w:val="0"/>
          <w:marRight w:val="0"/>
          <w:marTop w:val="0"/>
          <w:marBottom w:val="0"/>
          <w:divBdr>
            <w:top w:val="none" w:sz="0" w:space="0" w:color="auto"/>
            <w:left w:val="none" w:sz="0" w:space="0" w:color="auto"/>
            <w:bottom w:val="none" w:sz="0" w:space="0" w:color="auto"/>
            <w:right w:val="none" w:sz="0" w:space="0" w:color="auto"/>
          </w:divBdr>
        </w:div>
        <w:div w:id="1448937727">
          <w:marLeft w:val="0"/>
          <w:marRight w:val="0"/>
          <w:marTop w:val="0"/>
          <w:marBottom w:val="0"/>
          <w:divBdr>
            <w:top w:val="none" w:sz="0" w:space="0" w:color="auto"/>
            <w:left w:val="none" w:sz="0" w:space="0" w:color="auto"/>
            <w:bottom w:val="none" w:sz="0" w:space="0" w:color="auto"/>
            <w:right w:val="none" w:sz="0" w:space="0" w:color="auto"/>
          </w:divBdr>
        </w:div>
        <w:div w:id="1493370213">
          <w:marLeft w:val="0"/>
          <w:marRight w:val="0"/>
          <w:marTop w:val="0"/>
          <w:marBottom w:val="0"/>
          <w:divBdr>
            <w:top w:val="none" w:sz="0" w:space="0" w:color="auto"/>
            <w:left w:val="none" w:sz="0" w:space="0" w:color="auto"/>
            <w:bottom w:val="none" w:sz="0" w:space="0" w:color="auto"/>
            <w:right w:val="none" w:sz="0" w:space="0" w:color="auto"/>
          </w:divBdr>
        </w:div>
        <w:div w:id="1649285996">
          <w:marLeft w:val="0"/>
          <w:marRight w:val="0"/>
          <w:marTop w:val="0"/>
          <w:marBottom w:val="0"/>
          <w:divBdr>
            <w:top w:val="none" w:sz="0" w:space="0" w:color="auto"/>
            <w:left w:val="none" w:sz="0" w:space="0" w:color="auto"/>
            <w:bottom w:val="none" w:sz="0" w:space="0" w:color="auto"/>
            <w:right w:val="none" w:sz="0" w:space="0" w:color="auto"/>
          </w:divBdr>
        </w:div>
        <w:div w:id="1965960616">
          <w:marLeft w:val="0"/>
          <w:marRight w:val="0"/>
          <w:marTop w:val="0"/>
          <w:marBottom w:val="0"/>
          <w:divBdr>
            <w:top w:val="none" w:sz="0" w:space="0" w:color="auto"/>
            <w:left w:val="none" w:sz="0" w:space="0" w:color="auto"/>
            <w:bottom w:val="none" w:sz="0" w:space="0" w:color="auto"/>
            <w:right w:val="none" w:sz="0" w:space="0" w:color="auto"/>
          </w:divBdr>
        </w:div>
        <w:div w:id="2077169465">
          <w:marLeft w:val="0"/>
          <w:marRight w:val="0"/>
          <w:marTop w:val="0"/>
          <w:marBottom w:val="0"/>
          <w:divBdr>
            <w:top w:val="none" w:sz="0" w:space="0" w:color="auto"/>
            <w:left w:val="none" w:sz="0" w:space="0" w:color="auto"/>
            <w:bottom w:val="none" w:sz="0" w:space="0" w:color="auto"/>
            <w:right w:val="none" w:sz="0" w:space="0" w:color="auto"/>
          </w:divBdr>
        </w:div>
      </w:divsChild>
    </w:div>
    <w:div w:id="2045520010">
      <w:bodyDiv w:val="1"/>
      <w:marLeft w:val="0"/>
      <w:marRight w:val="0"/>
      <w:marTop w:val="0"/>
      <w:marBottom w:val="0"/>
      <w:divBdr>
        <w:top w:val="none" w:sz="0" w:space="0" w:color="auto"/>
        <w:left w:val="none" w:sz="0" w:space="0" w:color="auto"/>
        <w:bottom w:val="none" w:sz="0" w:space="0" w:color="auto"/>
        <w:right w:val="none" w:sz="0" w:space="0" w:color="auto"/>
      </w:divBdr>
      <w:divsChild>
        <w:div w:id="401634552">
          <w:marLeft w:val="0"/>
          <w:marRight w:val="0"/>
          <w:marTop w:val="0"/>
          <w:marBottom w:val="0"/>
          <w:divBdr>
            <w:top w:val="none" w:sz="0" w:space="0" w:color="auto"/>
            <w:left w:val="none" w:sz="0" w:space="0" w:color="auto"/>
            <w:bottom w:val="none" w:sz="0" w:space="0" w:color="auto"/>
            <w:right w:val="none" w:sz="0" w:space="0" w:color="auto"/>
          </w:divBdr>
        </w:div>
        <w:div w:id="1597390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unstats.un.org/sdgs/files/meetings/iaeg-sdgs-meeting-03/Provisional-Proposed-Tiers-for-SDG-Indicators-24-03-16.pdf" TargetMode="Externa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A232FBB-5E11-465E-937D-CAFD16F5D6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35</TotalTime>
  <Pages>16</Pages>
  <Words>3654</Words>
  <Characters>19811</Characters>
  <Application>Microsoft Office Word</Application>
  <DocSecurity>0</DocSecurity>
  <Lines>507</Lines>
  <Paragraphs>213</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UNU-ViE</Company>
  <LinksUpToDate>false</LinksUpToDate>
  <CharactersWithSpaces>23252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Szabo S.M.</dc:creator>
  <cp:lastModifiedBy>Szabo S.M.</cp:lastModifiedBy>
  <cp:revision>14</cp:revision>
  <cp:lastPrinted>2016-06-06T04:50:00Z</cp:lastPrinted>
  <dcterms:created xsi:type="dcterms:W3CDTF">2016-06-19T18:24:00Z</dcterms:created>
  <dcterms:modified xsi:type="dcterms:W3CDTF">2016-06-19T18:59:00Z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