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09AC2" w14:textId="0BFC4508" w:rsidR="009D1FA9" w:rsidRDefault="009D1FA9" w:rsidP="00E21594">
      <w:pPr>
        <w:keepNext/>
        <w:spacing w:after="240"/>
        <w:jc w:val="left"/>
        <w:outlineLvl w:val="0"/>
        <w:rPr>
          <w:rFonts w:ascii="Times New Roman" w:eastAsia="Times New Roman" w:hAnsi="Times New Roman" w:cs="Times New Roman"/>
          <w:b/>
          <w:sz w:val="36"/>
          <w:szCs w:val="20"/>
          <w:lang w:eastAsia="nl-NL"/>
        </w:rPr>
      </w:pPr>
      <w:r>
        <w:rPr>
          <w:rFonts w:ascii="Times New Roman" w:eastAsia="Times New Roman" w:hAnsi="Times New Roman" w:cs="Times New Roman"/>
          <w:b/>
          <w:sz w:val="36"/>
          <w:szCs w:val="20"/>
          <w:lang w:eastAsia="nl-NL"/>
        </w:rPr>
        <w:t xml:space="preserve">Using </w:t>
      </w:r>
      <w:r w:rsidR="00E21594">
        <w:rPr>
          <w:rFonts w:ascii="Times New Roman" w:eastAsia="Times New Roman" w:hAnsi="Times New Roman" w:cs="Times New Roman"/>
          <w:b/>
          <w:sz w:val="36"/>
          <w:szCs w:val="20"/>
          <w:lang w:eastAsia="nl-NL"/>
        </w:rPr>
        <w:t xml:space="preserve">automatic number plate recognition </w:t>
      </w:r>
      <w:r>
        <w:rPr>
          <w:rFonts w:ascii="Times New Roman" w:eastAsia="Times New Roman" w:hAnsi="Times New Roman" w:cs="Times New Roman"/>
          <w:b/>
          <w:sz w:val="36"/>
          <w:szCs w:val="20"/>
          <w:lang w:eastAsia="nl-NL"/>
        </w:rPr>
        <w:t xml:space="preserve">data to investigate the </w:t>
      </w:r>
      <w:r w:rsidR="00534A61">
        <w:rPr>
          <w:rFonts w:ascii="Times New Roman" w:eastAsia="Times New Roman" w:hAnsi="Times New Roman" w:cs="Times New Roman"/>
          <w:b/>
          <w:sz w:val="36"/>
          <w:szCs w:val="20"/>
          <w:lang w:eastAsia="nl-NL"/>
        </w:rPr>
        <w:t>regularity of vehicle arrivals</w:t>
      </w:r>
    </w:p>
    <w:p w14:paraId="78F2B960" w14:textId="77777777" w:rsidR="0031399D" w:rsidRPr="0031399D" w:rsidRDefault="0031399D" w:rsidP="0031399D">
      <w:pPr>
        <w:spacing w:before="720"/>
        <w:jc w:val="left"/>
        <w:rPr>
          <w:rFonts w:ascii="Times New Roman" w:eastAsia="Times New Roman" w:hAnsi="Times New Roman" w:cs="Times New Roman"/>
          <w:szCs w:val="20"/>
          <w:lang w:eastAsia="nl-NL"/>
        </w:rPr>
      </w:pPr>
      <w:r w:rsidRPr="0031399D">
        <w:rPr>
          <w:rFonts w:ascii="Times New Roman" w:eastAsia="Times New Roman" w:hAnsi="Times New Roman" w:cs="Times New Roman"/>
          <w:szCs w:val="20"/>
          <w:lang w:eastAsia="nl-NL"/>
        </w:rPr>
        <w:t>Fraser McLeod, Tom Cherrett, Simon Box, Ben Waterson, James Pritchard</w:t>
      </w:r>
    </w:p>
    <w:p w14:paraId="12BE82A7" w14:textId="77777777" w:rsidR="0031399D" w:rsidRPr="0031399D" w:rsidRDefault="0031399D" w:rsidP="0031399D">
      <w:pPr>
        <w:jc w:val="left"/>
        <w:rPr>
          <w:rFonts w:ascii="Times New Roman" w:eastAsia="Times New Roman" w:hAnsi="Times New Roman" w:cs="Times New Roman"/>
          <w:szCs w:val="20"/>
          <w:lang w:eastAsia="nl-NL"/>
        </w:rPr>
      </w:pPr>
      <w:r w:rsidRPr="0031399D">
        <w:rPr>
          <w:rFonts w:ascii="Times New Roman" w:eastAsia="Times New Roman" w:hAnsi="Times New Roman" w:cs="Times New Roman"/>
          <w:szCs w:val="20"/>
          <w:lang w:eastAsia="nl-NL"/>
        </w:rPr>
        <w:t xml:space="preserve">University of Southampton </w:t>
      </w:r>
      <w:r w:rsidRPr="0031399D">
        <w:rPr>
          <w:rFonts w:ascii="Times New Roman" w:eastAsia="Times New Roman" w:hAnsi="Times New Roman" w:cs="Times New Roman"/>
          <w:szCs w:val="20"/>
          <w:lang w:eastAsia="nl-NL"/>
        </w:rPr>
        <w:br/>
        <w:t xml:space="preserve">E-mail: F.N.McLeod@soton.ac.uk, T.J.Cherrett@soton.ac.uk, S.Box@soton.ac.uk, B.J.Waterson@soton.ac.uk, J.A.Pritchard@soton.ac.uk </w:t>
      </w:r>
    </w:p>
    <w:p w14:paraId="31A6EE00" w14:textId="77777777" w:rsidR="0031399D" w:rsidRPr="0031399D" w:rsidRDefault="0031399D" w:rsidP="0031399D">
      <w:pPr>
        <w:jc w:val="left"/>
        <w:rPr>
          <w:rFonts w:ascii="Times New Roman" w:eastAsia="Times New Roman" w:hAnsi="Times New Roman" w:cs="Times New Roman"/>
          <w:szCs w:val="20"/>
          <w:lang w:eastAsia="nl-NL"/>
        </w:rPr>
      </w:pPr>
    </w:p>
    <w:p w14:paraId="576717F3" w14:textId="77777777" w:rsidR="009D1FA9" w:rsidRPr="0031399D" w:rsidRDefault="009D1FA9" w:rsidP="0031399D">
      <w:pPr>
        <w:jc w:val="left"/>
        <w:rPr>
          <w:rFonts w:ascii="Times New Roman" w:eastAsia="Times New Roman" w:hAnsi="Times New Roman" w:cs="Times New Roman"/>
          <w:szCs w:val="20"/>
          <w:lang w:eastAsia="nl-NL"/>
        </w:rPr>
      </w:pPr>
    </w:p>
    <w:p w14:paraId="7C9CCCAE" w14:textId="2236A3E4" w:rsidR="0031399D" w:rsidRPr="0031399D" w:rsidRDefault="0031399D" w:rsidP="0031399D">
      <w:pPr>
        <w:rPr>
          <w:i/>
          <w:iCs/>
          <w:lang w:eastAsia="nl-NL"/>
        </w:rPr>
      </w:pPr>
      <w:bookmarkStart w:id="0" w:name="_GoBack"/>
      <w:r w:rsidRPr="0031399D">
        <w:rPr>
          <w:rFonts w:ascii="Times New Roman" w:eastAsia="Times New Roman" w:hAnsi="Times New Roman" w:cs="Times New Roman"/>
          <w:i/>
          <w:iCs/>
          <w:szCs w:val="20"/>
          <w:lang w:eastAsia="nl-NL"/>
        </w:rPr>
        <w:t>Abstract</w:t>
      </w:r>
    </w:p>
    <w:bookmarkEnd w:id="0"/>
    <w:p w14:paraId="39837549" w14:textId="7C2FB1F3" w:rsidR="007D27E7" w:rsidRPr="00AB3ADB" w:rsidRDefault="00336F75" w:rsidP="000544B6">
      <w:r w:rsidRPr="0031399D">
        <w:t xml:space="preserve">This paper </w:t>
      </w:r>
      <w:r w:rsidR="00220FB7">
        <w:t>uses</w:t>
      </w:r>
      <w:r w:rsidR="009C7134" w:rsidRPr="0031399D">
        <w:t xml:space="preserve"> </w:t>
      </w:r>
      <w:r w:rsidR="000028F9">
        <w:t xml:space="preserve">automatically-recorded </w:t>
      </w:r>
      <w:r w:rsidR="009C7134" w:rsidRPr="0031399D">
        <w:t xml:space="preserve">vehicle </w:t>
      </w:r>
      <w:r w:rsidR="00981F24">
        <w:t xml:space="preserve">number </w:t>
      </w:r>
      <w:r w:rsidR="009C7134" w:rsidRPr="0031399D">
        <w:t>plate data</w:t>
      </w:r>
      <w:r w:rsidR="00AB3ADB">
        <w:t xml:space="preserve"> obtained from a network of 22 cameras in Dorset, UK, over a period of ten months,</w:t>
      </w:r>
      <w:r w:rsidR="009C7134" w:rsidRPr="0031399D">
        <w:t xml:space="preserve"> </w:t>
      </w:r>
      <w:r w:rsidR="00220FB7">
        <w:t xml:space="preserve">to </w:t>
      </w:r>
      <w:r w:rsidR="00FD2294">
        <w:t>investigate</w:t>
      </w:r>
      <w:r w:rsidR="000544B6">
        <w:t xml:space="preserve"> the extent to which </w:t>
      </w:r>
      <w:r w:rsidR="005D4999">
        <w:t xml:space="preserve">regular trip making </w:t>
      </w:r>
      <w:r w:rsidR="000544B6">
        <w:t xml:space="preserve">can </w:t>
      </w:r>
      <w:r w:rsidR="005D4999">
        <w:t xml:space="preserve">be determined using the </w:t>
      </w:r>
      <w:r w:rsidR="005D4999" w:rsidRPr="00540D60">
        <w:t>regularity of individual vehicle a</w:t>
      </w:r>
      <w:r w:rsidR="005D4999">
        <w:t xml:space="preserve">rrival times </w:t>
      </w:r>
      <w:r w:rsidR="005D4999" w:rsidRPr="00540D60">
        <w:t>a</w:t>
      </w:r>
      <w:r w:rsidR="005D4999">
        <w:t>cross</w:t>
      </w:r>
      <w:r w:rsidR="005D4999" w:rsidRPr="00540D60">
        <w:t xml:space="preserve"> the same </w:t>
      </w:r>
      <w:r w:rsidR="005D4999">
        <w:t>site</w:t>
      </w:r>
      <w:r w:rsidR="005D4999" w:rsidRPr="00540D60">
        <w:t xml:space="preserve">s and time intervals over </w:t>
      </w:r>
      <w:r w:rsidR="005D4999">
        <w:t>extended periods of several months</w:t>
      </w:r>
      <w:r w:rsidR="000544B6">
        <w:t xml:space="preserve"> and how </w:t>
      </w:r>
      <w:r w:rsidR="005D4999">
        <w:t xml:space="preserve">a cohort of recognised regular vehicles </w:t>
      </w:r>
      <w:r w:rsidR="000544B6">
        <w:t xml:space="preserve">may </w:t>
      </w:r>
      <w:r w:rsidR="005D4999">
        <w:t xml:space="preserve">provide indicative evidence of traffic delays given the levels of churn one may expect in these cohorts over time. </w:t>
      </w:r>
      <w:r w:rsidR="00AB3ADB">
        <w:t xml:space="preserve">Regularity was defined </w:t>
      </w:r>
      <w:r w:rsidR="00AB3ADB" w:rsidRPr="00AB3ADB">
        <w:t xml:space="preserve">based on </w:t>
      </w:r>
      <w:r w:rsidR="00AB3ADB">
        <w:t xml:space="preserve">a </w:t>
      </w:r>
      <w:r w:rsidR="00AB3ADB" w:rsidRPr="00AB3ADB">
        <w:t xml:space="preserve">minimum number of observations over a </w:t>
      </w:r>
      <w:r w:rsidR="00AB3ADB">
        <w:t xml:space="preserve">given </w:t>
      </w:r>
      <w:r w:rsidR="00AB3ADB" w:rsidRPr="00AB3ADB">
        <w:t xml:space="preserve">period and </w:t>
      </w:r>
      <w:r w:rsidR="00AB3ADB">
        <w:t xml:space="preserve">with a </w:t>
      </w:r>
      <w:r w:rsidR="00AB3ADB" w:rsidRPr="00AB3ADB">
        <w:t>specified maximum value of standard deviation in arrival time</w:t>
      </w:r>
      <w:r w:rsidR="00AB3ADB">
        <w:t xml:space="preserve">, with sensitivity </w:t>
      </w:r>
      <w:r w:rsidR="00A0126C">
        <w:t xml:space="preserve">to different values </w:t>
      </w:r>
      <w:r w:rsidR="00AB3ADB">
        <w:t xml:space="preserve">being tested. It was found that around one-fifth of all vehicles were regular </w:t>
      </w:r>
      <w:r w:rsidR="00A0126C">
        <w:t xml:space="preserve">during the morning peak </w:t>
      </w:r>
      <w:r w:rsidR="00AB3ADB">
        <w:t>where the definition required at least 30 ob</w:t>
      </w:r>
      <w:r w:rsidR="00A0126C">
        <w:t xml:space="preserve">servations out of 210 working days and with a </w:t>
      </w:r>
      <w:r w:rsidR="00A0126C" w:rsidRPr="00AB3ADB">
        <w:t>standard deviation in arrival time</w:t>
      </w:r>
      <w:r w:rsidR="00A0126C">
        <w:t xml:space="preserve"> of no more than ten minutes; significantly fewer vehicles were found to be regular in the afternoon peak. T</w:t>
      </w:r>
      <w:r w:rsidR="00637D6E" w:rsidRPr="00AB3ADB">
        <w:t xml:space="preserve">he </w:t>
      </w:r>
      <w:r w:rsidR="000962E4" w:rsidRPr="00AB3ADB">
        <w:t>turnover</w:t>
      </w:r>
      <w:r w:rsidR="00A0126C">
        <w:t xml:space="preserve">, or churn, </w:t>
      </w:r>
      <w:r w:rsidR="000962E4" w:rsidRPr="00AB3ADB">
        <w:t xml:space="preserve">of regular vehicles was </w:t>
      </w:r>
      <w:r w:rsidR="00A0126C">
        <w:t xml:space="preserve">found to be </w:t>
      </w:r>
      <w:r w:rsidR="000962E4" w:rsidRPr="00AB3ADB">
        <w:t>considerable</w:t>
      </w:r>
      <w:r w:rsidR="002E7D16" w:rsidRPr="00AB3ADB">
        <w:t xml:space="preserve">, with only </w:t>
      </w:r>
      <w:r w:rsidR="00A0126C">
        <w:t xml:space="preserve">one-tenth </w:t>
      </w:r>
      <w:r w:rsidR="002E7D16" w:rsidRPr="00AB3ADB">
        <w:t xml:space="preserve">of </w:t>
      </w:r>
      <w:r w:rsidR="00A0126C">
        <w:t xml:space="preserve">defined regular </w:t>
      </w:r>
      <w:r w:rsidR="002E7D16" w:rsidRPr="00AB3ADB">
        <w:t xml:space="preserve">vehicles being </w:t>
      </w:r>
      <w:r w:rsidR="00A0126C">
        <w:t>continuously regular throughout the period</w:t>
      </w:r>
      <w:r w:rsidR="00233A3C">
        <w:t xml:space="preserve"> and with identified pools of regular drivers halving in size </w:t>
      </w:r>
      <w:r w:rsidR="00233A3C" w:rsidRPr="00540D60">
        <w:t>every three months</w:t>
      </w:r>
      <w:r w:rsidR="00233A3C">
        <w:t>, as vehicles cease</w:t>
      </w:r>
      <w:r w:rsidR="00FF345D">
        <w:t>d</w:t>
      </w:r>
      <w:r w:rsidR="00233A3C">
        <w:t xml:space="preserve"> to be regular and where the</w:t>
      </w:r>
      <w:r w:rsidR="00FF345D">
        <w:t xml:space="preserve"> pool wa</w:t>
      </w:r>
      <w:r w:rsidR="00233A3C">
        <w:t>s not updated. This suggests that a</w:t>
      </w:r>
      <w:r w:rsidR="00CA063C" w:rsidRPr="00AB3ADB">
        <w:t>ny database of regular drivers</w:t>
      </w:r>
      <w:r w:rsidR="00FF345D">
        <w:t xml:space="preserve"> should be </w:t>
      </w:r>
      <w:r w:rsidR="00CA063C" w:rsidRPr="00AB3ADB">
        <w:t>updated at least quarterly to ensure that new regular vehicles are included and that old ones are discarded.</w:t>
      </w:r>
      <w:r w:rsidR="00220FB7" w:rsidRPr="00AB3ADB">
        <w:t xml:space="preserve"> </w:t>
      </w:r>
      <w:r w:rsidR="00FD4770" w:rsidRPr="00AB3ADB">
        <w:t>Th</w:t>
      </w:r>
      <w:r w:rsidR="00233A3C">
        <w:t xml:space="preserve">ese findings may have </w:t>
      </w:r>
      <w:r w:rsidR="00FD4770" w:rsidRPr="00AB3ADB">
        <w:t xml:space="preserve">inferences for traffic information systems </w:t>
      </w:r>
      <w:r w:rsidR="00FF345D">
        <w:t xml:space="preserve">tailored for different driver groups according to </w:t>
      </w:r>
      <w:r w:rsidR="00814352">
        <w:t xml:space="preserve">assumed </w:t>
      </w:r>
      <w:r w:rsidR="00FD4770" w:rsidRPr="00AB3ADB">
        <w:t>level</w:t>
      </w:r>
      <w:r w:rsidR="00FF345D">
        <w:t>s</w:t>
      </w:r>
      <w:r w:rsidR="00FD4770" w:rsidRPr="00AB3ADB">
        <w:t xml:space="preserve"> of network </w:t>
      </w:r>
      <w:r w:rsidR="00311573">
        <w:t>knowledge</w:t>
      </w:r>
      <w:r w:rsidR="00FF345D">
        <w:t>.</w:t>
      </w:r>
    </w:p>
    <w:p w14:paraId="1362C10D" w14:textId="77777777" w:rsidR="0031399D" w:rsidRDefault="0031399D" w:rsidP="0031399D"/>
    <w:p w14:paraId="6411CD15" w14:textId="4EEB46D3" w:rsidR="00B7687E" w:rsidRPr="00540D60" w:rsidRDefault="00B7687E" w:rsidP="00FF7E02">
      <w:r w:rsidRPr="00540D60">
        <w:rPr>
          <w:b/>
          <w:bCs/>
        </w:rPr>
        <w:t>Keywords:</w:t>
      </w:r>
      <w:r w:rsidRPr="00540D60">
        <w:t xml:space="preserve"> commuting; regularity; </w:t>
      </w:r>
      <w:r w:rsidR="007A3093">
        <w:t xml:space="preserve">churn; </w:t>
      </w:r>
      <w:r w:rsidRPr="00540D60">
        <w:t>travel behavio</w:t>
      </w:r>
      <w:r w:rsidR="00AE5F41" w:rsidRPr="00540D60">
        <w:t>u</w:t>
      </w:r>
      <w:r w:rsidRPr="00540D60">
        <w:t>r</w:t>
      </w:r>
      <w:r w:rsidR="00CF589A" w:rsidRPr="00540D60">
        <w:t xml:space="preserve">; </w:t>
      </w:r>
      <w:r w:rsidR="00ED265B" w:rsidRPr="00540D60">
        <w:t xml:space="preserve">automatic </w:t>
      </w:r>
      <w:r w:rsidR="00CF589A" w:rsidRPr="00540D60">
        <w:t>number plate recognition</w:t>
      </w:r>
      <w:r w:rsidR="00872578">
        <w:t xml:space="preserve"> (ANPR)</w:t>
      </w:r>
      <w:r w:rsidR="00DD7929">
        <w:t xml:space="preserve">; network </w:t>
      </w:r>
      <w:r w:rsidR="00FF7E02">
        <w:t>performance</w:t>
      </w:r>
    </w:p>
    <w:p w14:paraId="7AB75253" w14:textId="77777777" w:rsidR="00EC0C6F" w:rsidRDefault="00EC0C6F">
      <w:pPr>
        <w:spacing w:after="200" w:line="276" w:lineRule="auto"/>
        <w:jc w:val="left"/>
        <w:rPr>
          <w:rFonts w:eastAsiaTheme="majorEastAsia"/>
          <w:b/>
          <w:bCs/>
          <w:sz w:val="28"/>
          <w:szCs w:val="28"/>
        </w:rPr>
      </w:pPr>
      <w:r>
        <w:br w:type="page"/>
      </w:r>
    </w:p>
    <w:p w14:paraId="473827BB" w14:textId="3FC81AC2" w:rsidR="00374FD2" w:rsidRPr="00540D60" w:rsidRDefault="0031399D" w:rsidP="0031399D">
      <w:pPr>
        <w:pStyle w:val="Heading1"/>
      </w:pPr>
      <w:r>
        <w:lastRenderedPageBreak/>
        <w:t xml:space="preserve">Introduction </w:t>
      </w:r>
    </w:p>
    <w:p w14:paraId="737BE74D" w14:textId="52207D78" w:rsidR="003535C3" w:rsidRDefault="00C30EED" w:rsidP="00311573">
      <w:r w:rsidRPr="005C6D55">
        <w:t xml:space="preserve">Traffic managers and </w:t>
      </w:r>
      <w:r w:rsidR="00987883">
        <w:t>information/</w:t>
      </w:r>
      <w:r w:rsidRPr="005C6D55">
        <w:t>systems providers could benefit from a greater understanding of the numbers of regular (and non-regular) vehicles in the network</w:t>
      </w:r>
      <w:r w:rsidR="00B21D15">
        <w:t>,</w:t>
      </w:r>
      <w:r w:rsidRPr="005C6D55">
        <w:t xml:space="preserve"> </w:t>
      </w:r>
      <w:r w:rsidR="00987883">
        <w:t xml:space="preserve">as </w:t>
      </w:r>
      <w:r w:rsidRPr="005C6D55">
        <w:t xml:space="preserve">drivers may </w:t>
      </w:r>
      <w:r w:rsidR="00987883">
        <w:t xml:space="preserve">have different needs for and </w:t>
      </w:r>
      <w:r w:rsidR="00D83856">
        <w:t xml:space="preserve">may </w:t>
      </w:r>
      <w:r w:rsidRPr="005C6D55">
        <w:t xml:space="preserve">respond differently to traffic information </w:t>
      </w:r>
      <w:r w:rsidRPr="009F6D27">
        <w:t>or guidance</w:t>
      </w:r>
      <w:r w:rsidR="00D86E75">
        <w:t xml:space="preserve"> </w:t>
      </w:r>
      <w:r w:rsidR="00987883">
        <w:t>according to their familiarity with the road network</w:t>
      </w:r>
      <w:r w:rsidRPr="006D002F">
        <w:t xml:space="preserve">. </w:t>
      </w:r>
      <w:r w:rsidR="00D86E75">
        <w:t>For example, r</w:t>
      </w:r>
      <w:r w:rsidRPr="009F6D27">
        <w:t xml:space="preserve">esearch has </w:t>
      </w:r>
      <w:r w:rsidRPr="006D002F">
        <w:t>suggested</w:t>
      </w:r>
      <w:r w:rsidR="00B21D15">
        <w:t xml:space="preserve"> that </w:t>
      </w:r>
      <w:r w:rsidRPr="009F6D27">
        <w:t xml:space="preserve">drivers </w:t>
      </w:r>
      <w:r w:rsidR="00B21D15">
        <w:t xml:space="preserve">with good road network knowledge </w:t>
      </w:r>
      <w:r w:rsidRPr="009F6D27">
        <w:t xml:space="preserve">prefer information only whereas </w:t>
      </w:r>
      <w:r w:rsidRPr="006D002F">
        <w:t xml:space="preserve">those </w:t>
      </w:r>
      <w:r w:rsidRPr="005C6D55">
        <w:t xml:space="preserve">less familiar </w:t>
      </w:r>
      <w:r w:rsidRPr="006D002F">
        <w:t>with the network</w:t>
      </w:r>
      <w:r w:rsidRPr="009F6D27">
        <w:t xml:space="preserve"> may require </w:t>
      </w:r>
      <w:r w:rsidRPr="006D002F">
        <w:t xml:space="preserve">specific </w:t>
      </w:r>
      <w:r w:rsidRPr="005C6D55">
        <w:t>guidance (Budhiraja, 2005</w:t>
      </w:r>
      <w:r w:rsidR="003535C3">
        <w:t>)</w:t>
      </w:r>
      <w:r w:rsidR="003C0651">
        <w:t xml:space="preserve"> and </w:t>
      </w:r>
      <w:r w:rsidR="00623F10">
        <w:t>d</w:t>
      </w:r>
      <w:r w:rsidR="003535C3">
        <w:t xml:space="preserve">river diversion rates in response to information received have been shown to depend on a number of factors, including </w:t>
      </w:r>
      <w:r w:rsidR="00623F10">
        <w:t>the driver familiarity with the network, trip purpose, expected delay, the level of information received and driver confidence in the system (Peeta and Gedela, 2001).</w:t>
      </w:r>
      <w:r w:rsidR="00626553">
        <w:t xml:space="preserve"> </w:t>
      </w:r>
    </w:p>
    <w:p w14:paraId="12509EEF" w14:textId="77777777" w:rsidR="003535C3" w:rsidRDefault="003535C3" w:rsidP="00BB5746"/>
    <w:p w14:paraId="72CCA387" w14:textId="3A0D8AD6" w:rsidR="009917D2" w:rsidRDefault="00B21D15" w:rsidP="000544B6">
      <w:r w:rsidRPr="00540D60">
        <w:t>Automatic Number Plate Recognition (ANPR)</w:t>
      </w:r>
      <w:r>
        <w:t xml:space="preserve"> data, </w:t>
      </w:r>
      <w:r w:rsidR="00AE5F41" w:rsidRPr="00540D60">
        <w:t xml:space="preserve">widely used by transport authorities for journey time </w:t>
      </w:r>
      <w:r w:rsidR="003C0651">
        <w:t xml:space="preserve">or network state </w:t>
      </w:r>
      <w:r w:rsidR="00AE5F41" w:rsidRPr="00540D60">
        <w:t>estimation</w:t>
      </w:r>
      <w:r w:rsidR="003C0651">
        <w:t xml:space="preserve"> </w:t>
      </w:r>
      <w:r w:rsidR="00AE5F41" w:rsidRPr="00540D60">
        <w:t xml:space="preserve">or for enforcement purposes (e.g. </w:t>
      </w:r>
      <w:r w:rsidR="00D979E8" w:rsidRPr="00540D60">
        <w:t>for</w:t>
      </w:r>
      <w:r w:rsidR="00E21D17" w:rsidRPr="00540D60">
        <w:t xml:space="preserve"> </w:t>
      </w:r>
      <w:r w:rsidR="00D979E8" w:rsidRPr="00540D60">
        <w:t>tolling, bus lanes and average speed checks</w:t>
      </w:r>
      <w:r w:rsidR="00E673DF" w:rsidRPr="00540D60">
        <w:t>)</w:t>
      </w:r>
      <w:r w:rsidR="00017AB7">
        <w:t>,</w:t>
      </w:r>
      <w:r w:rsidR="0034286F">
        <w:t xml:space="preserve"> may </w:t>
      </w:r>
      <w:r w:rsidR="001B565C">
        <w:t xml:space="preserve">also </w:t>
      </w:r>
      <w:r w:rsidR="0034286F">
        <w:t xml:space="preserve">be </w:t>
      </w:r>
      <w:r w:rsidR="001B565C">
        <w:t>u</w:t>
      </w:r>
      <w:r w:rsidR="0034286F">
        <w:t>se</w:t>
      </w:r>
      <w:r w:rsidR="001B565C">
        <w:t>ful for assessing the extent of vehicle regularity.</w:t>
      </w:r>
      <w:r w:rsidR="00E673DF" w:rsidRPr="00540D60">
        <w:t xml:space="preserve"> </w:t>
      </w:r>
      <w:r w:rsidR="00913646">
        <w:t>The key research question</w:t>
      </w:r>
      <w:r w:rsidR="00246E5E">
        <w:t>s</w:t>
      </w:r>
      <w:r w:rsidR="00913646">
        <w:t xml:space="preserve"> addresse</w:t>
      </w:r>
      <w:r w:rsidR="00246E5E">
        <w:t>d in this study were</w:t>
      </w:r>
      <w:r w:rsidR="000544B6">
        <w:t>:</w:t>
      </w:r>
      <w:r w:rsidR="00246E5E">
        <w:t xml:space="preserve"> i)</w:t>
      </w:r>
      <w:r w:rsidR="00913646">
        <w:t xml:space="preserve"> to what extent </w:t>
      </w:r>
      <w:r w:rsidR="00246E5E">
        <w:t>can regular trip making be determined using the</w:t>
      </w:r>
      <w:r w:rsidR="000544B6">
        <w:t xml:space="preserve"> </w:t>
      </w:r>
      <w:r w:rsidR="009917D2" w:rsidRPr="00540D60">
        <w:t>regularity of individual vehicle a</w:t>
      </w:r>
      <w:r w:rsidR="00C90F9B">
        <w:t xml:space="preserve">rrival times </w:t>
      </w:r>
      <w:r w:rsidR="009917D2" w:rsidRPr="00540D60">
        <w:t>a</w:t>
      </w:r>
      <w:r w:rsidR="00246E5E">
        <w:t>cross</w:t>
      </w:r>
      <w:r w:rsidR="009917D2" w:rsidRPr="00540D60">
        <w:t xml:space="preserve"> the same </w:t>
      </w:r>
      <w:r w:rsidR="008108CF">
        <w:t>site</w:t>
      </w:r>
      <w:r w:rsidR="009917D2" w:rsidRPr="00540D60">
        <w:t xml:space="preserve">s and time intervals over </w:t>
      </w:r>
      <w:r w:rsidR="002F2B33">
        <w:t xml:space="preserve">extended periods </w:t>
      </w:r>
      <w:r>
        <w:t>of s</w:t>
      </w:r>
      <w:r w:rsidR="009917D2">
        <w:t>everal months</w:t>
      </w:r>
      <w:r w:rsidR="000544B6">
        <w:t>?;</w:t>
      </w:r>
      <w:r w:rsidR="00246E5E">
        <w:t xml:space="preserve"> ii)</w:t>
      </w:r>
      <w:r w:rsidR="000544B6">
        <w:t xml:space="preserve"> C</w:t>
      </w:r>
      <w:r w:rsidR="00246E5E">
        <w:t>an</w:t>
      </w:r>
      <w:r w:rsidR="002F2B33">
        <w:t xml:space="preserve"> a cohort of recognised regular vehicles </w:t>
      </w:r>
      <w:r w:rsidR="00C30EED">
        <w:t>provide indicative evidence of traffic delays</w:t>
      </w:r>
      <w:r w:rsidR="003C0651">
        <w:t xml:space="preserve"> </w:t>
      </w:r>
      <w:r w:rsidR="00246E5E">
        <w:t>given</w:t>
      </w:r>
      <w:r w:rsidR="00C30EED">
        <w:t xml:space="preserve"> the levels of churn </w:t>
      </w:r>
      <w:r w:rsidR="007C4EDC">
        <w:t xml:space="preserve">one may expect </w:t>
      </w:r>
      <w:r w:rsidR="00C30EED">
        <w:t>in these cohorts over time</w:t>
      </w:r>
      <w:r w:rsidR="000544B6">
        <w:t>?</w:t>
      </w:r>
      <w:r w:rsidR="00C30EED">
        <w:t xml:space="preserve"> While th</w:t>
      </w:r>
      <w:r w:rsidR="007C4EDC">
        <w:t xml:space="preserve">is research </w:t>
      </w:r>
      <w:r w:rsidR="001B565C">
        <w:t>wa</w:t>
      </w:r>
      <w:r w:rsidR="007C4EDC">
        <w:t xml:space="preserve">s mainly limited to considering regularity at </w:t>
      </w:r>
      <w:r w:rsidR="008108CF">
        <w:t>specific site</w:t>
      </w:r>
      <w:r w:rsidR="00C30EED">
        <w:t>s</w:t>
      </w:r>
      <w:r w:rsidR="006040C9">
        <w:t xml:space="preserve"> within a network</w:t>
      </w:r>
      <w:r w:rsidR="007C4EDC">
        <w:t xml:space="preserve"> and for given time intervals (e.g. morning peak)</w:t>
      </w:r>
      <w:r w:rsidR="00C30EED">
        <w:t>, s</w:t>
      </w:r>
      <w:r w:rsidR="002F2B33">
        <w:t xml:space="preserve">ome examples of tracking individual vehicles between different </w:t>
      </w:r>
      <w:r w:rsidR="008108CF">
        <w:t>site</w:t>
      </w:r>
      <w:r w:rsidR="002F2B33">
        <w:t xml:space="preserve">s are also given </w:t>
      </w:r>
      <w:r w:rsidR="007C4EDC">
        <w:t xml:space="preserve">(end of section 4.1) </w:t>
      </w:r>
      <w:r w:rsidR="00C30EED">
        <w:t xml:space="preserve">to </w:t>
      </w:r>
      <w:r w:rsidR="007C4EDC">
        <w:t xml:space="preserve">show </w:t>
      </w:r>
      <w:r w:rsidR="00C30EED">
        <w:t xml:space="preserve">how the data may also be used to investigate </w:t>
      </w:r>
      <w:r w:rsidR="007C4EDC">
        <w:t>regularity of specific trips</w:t>
      </w:r>
      <w:r w:rsidR="00C30EED">
        <w:t xml:space="preserve">. </w:t>
      </w:r>
      <w:r w:rsidR="002F2B33">
        <w:t xml:space="preserve"> </w:t>
      </w:r>
    </w:p>
    <w:p w14:paraId="50226931" w14:textId="77777777" w:rsidR="00AA7689" w:rsidRDefault="00AA7689" w:rsidP="003D2DD2"/>
    <w:p w14:paraId="3B6DE603" w14:textId="2C8DB148" w:rsidR="00FA38E6" w:rsidRDefault="00391452" w:rsidP="00814352">
      <w:r>
        <w:t xml:space="preserve">The main </w:t>
      </w:r>
      <w:r w:rsidR="00FA38E6" w:rsidRPr="006D002F">
        <w:t xml:space="preserve">contributions </w:t>
      </w:r>
      <w:r>
        <w:t xml:space="preserve">of the </w:t>
      </w:r>
      <w:r w:rsidR="00FA38E6" w:rsidRPr="006D002F">
        <w:t>paper</w:t>
      </w:r>
      <w:r>
        <w:t xml:space="preserve"> are</w:t>
      </w:r>
      <w:r w:rsidR="00FA38E6" w:rsidRPr="006D002F">
        <w:t xml:space="preserve">: </w:t>
      </w:r>
      <w:r>
        <w:t xml:space="preserve">(i) </w:t>
      </w:r>
      <w:r w:rsidR="00810515">
        <w:t xml:space="preserve">a summary of the background </w:t>
      </w:r>
      <w:r w:rsidR="00FA38E6" w:rsidRPr="006D002F">
        <w:t>pertaining</w:t>
      </w:r>
      <w:r w:rsidR="00DB2955">
        <w:t xml:space="preserve"> to the use of ANPR </w:t>
      </w:r>
      <w:r w:rsidR="006B1A45">
        <w:t>in traffic management</w:t>
      </w:r>
      <w:r w:rsidR="00810515">
        <w:t xml:space="preserve"> and information provision</w:t>
      </w:r>
      <w:r w:rsidR="006B1A45">
        <w:t xml:space="preserve"> and </w:t>
      </w:r>
      <w:r w:rsidR="00DB2955">
        <w:t xml:space="preserve">for understanding vehicle arrival patterns and travel behaviour; </w:t>
      </w:r>
      <w:r>
        <w:t xml:space="preserve">(ii) </w:t>
      </w:r>
      <w:r w:rsidR="00DB2955">
        <w:t>provi</w:t>
      </w:r>
      <w:r>
        <w:t xml:space="preserve">sion of </w:t>
      </w:r>
      <w:r w:rsidR="00FA38E6" w:rsidRPr="009F6D27">
        <w:t>empirical evidence of individual vehicle regularity and the churn rates of regular vehicles</w:t>
      </w:r>
      <w:r w:rsidR="00FA38E6">
        <w:t xml:space="preserve"> </w:t>
      </w:r>
      <w:r w:rsidR="00B058CC">
        <w:t xml:space="preserve">from a substantial ANPR dataset (22 cameras, 10-month period, 55 million observations), whereas previous studies (e.g. </w:t>
      </w:r>
      <w:r w:rsidR="00B058CC" w:rsidRPr="00540D60">
        <w:t>Del Mistro and Behrens</w:t>
      </w:r>
      <w:r w:rsidR="00B058CC">
        <w:t xml:space="preserve">, </w:t>
      </w:r>
      <w:r w:rsidR="00B058CC" w:rsidRPr="00540D60">
        <w:t>2008</w:t>
      </w:r>
      <w:r w:rsidR="00B058CC">
        <w:t xml:space="preserve">; </w:t>
      </w:r>
      <w:r w:rsidR="00B058CC" w:rsidRPr="00540D60">
        <w:t>Cherrett and McDonald</w:t>
      </w:r>
      <w:r w:rsidR="00B058CC">
        <w:t xml:space="preserve">, </w:t>
      </w:r>
      <w:r w:rsidR="00B058CC" w:rsidRPr="00540D60">
        <w:t>2002</w:t>
      </w:r>
      <w:r w:rsidR="00B058CC">
        <w:t>) have been small-scale in comparison</w:t>
      </w:r>
      <w:r w:rsidR="00810515">
        <w:t>,</w:t>
      </w:r>
      <w:r w:rsidR="00B058CC">
        <w:t xml:space="preserve"> in terms of duration and network coverage</w:t>
      </w:r>
      <w:r w:rsidR="00DB2955">
        <w:t xml:space="preserve">; </w:t>
      </w:r>
      <w:r>
        <w:t>(iii) i</w:t>
      </w:r>
      <w:r w:rsidR="006B1A45">
        <w:t xml:space="preserve">llustration </w:t>
      </w:r>
      <w:r>
        <w:t xml:space="preserve">of </w:t>
      </w:r>
      <w:r w:rsidR="006B1A45">
        <w:t xml:space="preserve">some </w:t>
      </w:r>
      <w:r w:rsidR="00DB2955">
        <w:t>approaches for making</w:t>
      </w:r>
      <w:r w:rsidR="00FA38E6" w:rsidRPr="00BD596B">
        <w:t xml:space="preserve"> use of regular vehicles</w:t>
      </w:r>
      <w:r w:rsidR="00FA38E6">
        <w:t xml:space="preserve"> identified in ANPR data</w:t>
      </w:r>
      <w:r w:rsidR="00FA38E6" w:rsidRPr="00BD596B">
        <w:t xml:space="preserve"> </w:t>
      </w:r>
      <w:r w:rsidR="00814352">
        <w:t xml:space="preserve">for </w:t>
      </w:r>
      <w:r>
        <w:t xml:space="preserve">traffic management </w:t>
      </w:r>
      <w:r w:rsidR="00814352">
        <w:t xml:space="preserve">or information provision. </w:t>
      </w:r>
    </w:p>
    <w:p w14:paraId="50F675AE" w14:textId="102BC39C" w:rsidR="002C1433" w:rsidRDefault="00E72875" w:rsidP="006D002F">
      <w:pPr>
        <w:pStyle w:val="Heading1"/>
      </w:pPr>
      <w:r>
        <w:t>B</w:t>
      </w:r>
      <w:r w:rsidR="0031399D">
        <w:t>ackground</w:t>
      </w:r>
    </w:p>
    <w:p w14:paraId="5657CCF0" w14:textId="1213EC3A" w:rsidR="00F23094" w:rsidRPr="00F23094" w:rsidRDefault="00B66C7F" w:rsidP="00F240E4">
      <w:r>
        <w:t xml:space="preserve">This section </w:t>
      </w:r>
      <w:r w:rsidR="0036783F">
        <w:t xml:space="preserve">provides background information about </w:t>
      </w:r>
      <w:r w:rsidR="00F23094">
        <w:t xml:space="preserve">how ANPR </w:t>
      </w:r>
      <w:r w:rsidR="004659B3">
        <w:t xml:space="preserve">and related </w:t>
      </w:r>
      <w:r w:rsidR="00F23094">
        <w:t xml:space="preserve">data have </w:t>
      </w:r>
      <w:r w:rsidR="00BC7AF2">
        <w:t xml:space="preserve">been used </w:t>
      </w:r>
      <w:r w:rsidR="002438EC">
        <w:t xml:space="preserve">within </w:t>
      </w:r>
      <w:r w:rsidR="00F23094">
        <w:t xml:space="preserve">traffic management </w:t>
      </w:r>
      <w:r w:rsidR="00BF6421">
        <w:t xml:space="preserve">and information dissemination </w:t>
      </w:r>
      <w:r w:rsidR="004F44A4">
        <w:t xml:space="preserve">theory and </w:t>
      </w:r>
      <w:r w:rsidR="002438EC">
        <w:t xml:space="preserve">practice </w:t>
      </w:r>
      <w:r w:rsidR="00BB5746">
        <w:t>(section 2.1)</w:t>
      </w:r>
      <w:r w:rsidR="004659B3">
        <w:t xml:space="preserve"> and </w:t>
      </w:r>
      <w:r w:rsidR="002438EC">
        <w:t xml:space="preserve">how vehicle </w:t>
      </w:r>
      <w:r w:rsidR="00DF5B16">
        <w:t>r</w:t>
      </w:r>
      <w:r w:rsidR="00BB5746">
        <w:t>egularity</w:t>
      </w:r>
      <w:r w:rsidR="00DF5B16">
        <w:t xml:space="preserve"> has been defined and used </w:t>
      </w:r>
      <w:r w:rsidR="004F44A4">
        <w:t xml:space="preserve">from traffic, transport or personal travel perspectives </w:t>
      </w:r>
      <w:r w:rsidR="00BB5746">
        <w:t>(section 2.2)</w:t>
      </w:r>
      <w:r w:rsidR="004659B3">
        <w:t xml:space="preserve">. </w:t>
      </w:r>
    </w:p>
    <w:p w14:paraId="3BE334A2" w14:textId="308FED64" w:rsidR="00D86E75" w:rsidRDefault="00D86E75" w:rsidP="00BF6421">
      <w:pPr>
        <w:pStyle w:val="Heading2"/>
      </w:pPr>
      <w:r>
        <w:t xml:space="preserve">ANPR </w:t>
      </w:r>
      <w:r w:rsidR="004659B3">
        <w:t xml:space="preserve">and related data </w:t>
      </w:r>
      <w:r>
        <w:t xml:space="preserve">use </w:t>
      </w:r>
      <w:r w:rsidR="00BF6421">
        <w:t xml:space="preserve">for </w:t>
      </w:r>
      <w:r>
        <w:t>traffic management</w:t>
      </w:r>
      <w:r w:rsidR="00BF6421">
        <w:t xml:space="preserve"> and information provision</w:t>
      </w:r>
      <w:r>
        <w:t xml:space="preserve"> </w:t>
      </w:r>
    </w:p>
    <w:p w14:paraId="1A1231A3" w14:textId="4FA50098" w:rsidR="00D218DE" w:rsidRDefault="00E1179F" w:rsidP="00D218DE">
      <w:r>
        <w:rPr>
          <w:noProof/>
        </w:rPr>
        <w:t xml:space="preserve">One of the main uses of ANPR is for monitoring and control of </w:t>
      </w:r>
      <w:r w:rsidRPr="00540D60">
        <w:t xml:space="preserve">transport systems and infrastructure </w:t>
      </w:r>
      <w:r>
        <w:t xml:space="preserve">such as those used for </w:t>
      </w:r>
      <w:r w:rsidR="00D218DE">
        <w:t xml:space="preserve">bus lane enforcement (i.e. to penalise those not entitled to use them), for checking vehicle speeds or for </w:t>
      </w:r>
      <w:r>
        <w:t xml:space="preserve">road charging </w:t>
      </w:r>
      <w:r w:rsidRPr="00540D60">
        <w:t>(Leape, 20</w:t>
      </w:r>
      <w:r>
        <w:t xml:space="preserve">06; </w:t>
      </w:r>
      <w:r w:rsidRPr="00540D60">
        <w:t>Attard and Ison, 2010</w:t>
      </w:r>
      <w:r>
        <w:t>; Velaga and Pangbourne, 2014)</w:t>
      </w:r>
      <w:r w:rsidR="00D218DE">
        <w:t xml:space="preserve">. Another common use </w:t>
      </w:r>
      <w:r w:rsidR="00D86E75" w:rsidRPr="00540D60">
        <w:t xml:space="preserve">by local authorities </w:t>
      </w:r>
      <w:r w:rsidR="00D218DE">
        <w:t xml:space="preserve">is for sampling </w:t>
      </w:r>
      <w:r w:rsidR="00D86E75" w:rsidRPr="00540D60">
        <w:t xml:space="preserve">of journey times along key links in the network </w:t>
      </w:r>
      <w:r w:rsidR="004F44A4">
        <w:rPr>
          <w:noProof/>
        </w:rPr>
        <w:t xml:space="preserve">for transport planning or management purposes or for dissemination to the public </w:t>
      </w:r>
      <w:r w:rsidR="004F44A4" w:rsidRPr="00540D60">
        <w:t>(</w:t>
      </w:r>
      <w:r w:rsidR="004F44A4" w:rsidRPr="00540D60">
        <w:rPr>
          <w:noProof/>
        </w:rPr>
        <w:t xml:space="preserve">Kuroiwa et al., 2006; Hounsell et al., </w:t>
      </w:r>
      <w:r w:rsidR="004F44A4" w:rsidRPr="00540D60">
        <w:rPr>
          <w:noProof/>
        </w:rPr>
        <w:lastRenderedPageBreak/>
        <w:t>2009; Hasan et al., 2011; Li et al., 2013)</w:t>
      </w:r>
      <w:r w:rsidR="0085288D">
        <w:rPr>
          <w:noProof/>
        </w:rPr>
        <w:t xml:space="preserve">. </w:t>
      </w:r>
      <w:r>
        <w:t>Latency is a recognised issue in networks where</w:t>
      </w:r>
      <w:r w:rsidRPr="00540D60">
        <w:t xml:space="preserve"> </w:t>
      </w:r>
      <w:r>
        <w:t>ANPR cameras are situated</w:t>
      </w:r>
      <w:r w:rsidRPr="00540D60">
        <w:t xml:space="preserve"> far apart</w:t>
      </w:r>
      <w:r>
        <w:t xml:space="preserve"> as </w:t>
      </w:r>
      <w:r w:rsidRPr="00540D60">
        <w:t xml:space="preserve">there can be time delays between congestion developing and accurate journey time estimates being returned (Bertini et al., 2005). </w:t>
      </w:r>
      <w:r w:rsidR="00D86E75" w:rsidRPr="00540D60">
        <w:t xml:space="preserve">Geographical information systems and advanced data visualisation techniques may be used to harness the full power of ANPR systems, particularly in large cities with many cameras (Cheng et al., 2013). </w:t>
      </w:r>
      <w:r w:rsidR="00DF5B16" w:rsidRPr="00540D60">
        <w:t>Outside cities, ANPR data have been used to alter motorway speed limits in real-time to smooth traffic flow and maintain vehicle speeds (Paulo et al., 2010).</w:t>
      </w:r>
    </w:p>
    <w:p w14:paraId="73462987" w14:textId="77777777" w:rsidR="00D218DE" w:rsidRDefault="00D218DE" w:rsidP="00D218DE"/>
    <w:p w14:paraId="74994651" w14:textId="2B2A525B" w:rsidR="00D86E75" w:rsidRPr="00540D60" w:rsidRDefault="00DF5B16" w:rsidP="00DF5B16">
      <w:r>
        <w:t xml:space="preserve">Linking </w:t>
      </w:r>
      <w:r w:rsidR="00D86E75" w:rsidRPr="00540D60">
        <w:t xml:space="preserve">ANPR data </w:t>
      </w:r>
      <w:r>
        <w:t xml:space="preserve">to other data sources can extend its scope and usefulness, for example, </w:t>
      </w:r>
      <w:r w:rsidR="00D86E75" w:rsidRPr="00540D60">
        <w:t>combin</w:t>
      </w:r>
      <w:r>
        <w:t xml:space="preserve">ing </w:t>
      </w:r>
      <w:r w:rsidR="00D86E75" w:rsidRPr="00540D60">
        <w:t>with vehicle licensing information to identify vehicle types, and with emissions data, to estimate pollutant levels (Department for Environment Food and Rural Affairs, 2013). The use of ANPR data to estimate emissions in this way could complement direct air quality measurements (Pokharel et al., 2002) or other indirect estimates from fuel sales (Schifter et al., 2005). It has also been used by the French Ministry of Transport to target overloaded heavy goods vehicles by linking vehicle classification to weigh-in-motion equipment (Stanczyk and Klein, 2012). ANPR data have also been linked to weather information to gain insights into how different weather conditions affect travel times (Tsapakis et al., 2013).</w:t>
      </w:r>
    </w:p>
    <w:p w14:paraId="372B8591" w14:textId="77777777" w:rsidR="00D86E75" w:rsidRDefault="00D86E75" w:rsidP="00D86E75"/>
    <w:p w14:paraId="5CBD2314" w14:textId="7D766E85" w:rsidR="00D86E75" w:rsidRDefault="00D218DE" w:rsidP="00E92AC5">
      <w:r>
        <w:t>Directly r</w:t>
      </w:r>
      <w:r w:rsidR="00D86E75" w:rsidRPr="00540D60">
        <w:t>elat</w:t>
      </w:r>
      <w:r>
        <w:t xml:space="preserve">ed </w:t>
      </w:r>
      <w:r w:rsidR="00D86E75" w:rsidRPr="00540D60">
        <w:t xml:space="preserve">to this research, ANPR data have been used to show </w:t>
      </w:r>
      <w:r w:rsidR="00B802B4">
        <w:t xml:space="preserve">returning vehicle </w:t>
      </w:r>
      <w:r w:rsidR="00D86E75" w:rsidRPr="00540D60">
        <w:t xml:space="preserve">patterns </w:t>
      </w:r>
      <w:r w:rsidR="00B802B4">
        <w:t xml:space="preserve">at specific points in a network: </w:t>
      </w:r>
      <w:r w:rsidR="00D86E75" w:rsidRPr="00540D60">
        <w:t>Del Mistro and Behrens (2008) found significant differences in the returning patterns of vehicles using roads feeding a residential area, the central business district and a main arterial road around Cape Town</w:t>
      </w:r>
      <w:r w:rsidR="00E97B3B">
        <w:t xml:space="preserve">, </w:t>
      </w:r>
      <w:r w:rsidR="00D86E75" w:rsidRPr="00540D60">
        <w:t>South Africa</w:t>
      </w:r>
      <w:r w:rsidR="00B802B4">
        <w:t xml:space="preserve">; </w:t>
      </w:r>
      <w:r w:rsidR="00D86E75" w:rsidRPr="00540D60">
        <w:t xml:space="preserve">Cherrett and McDonald (2002) found that </w:t>
      </w:r>
      <w:r w:rsidR="00B802B4">
        <w:t>during the morning peak on three key roads in Southampton around half of the vehicles seen one day were also seen the next day and, in 62% of those cases,</w:t>
      </w:r>
      <w:r w:rsidR="00814352">
        <w:t xml:space="preserve"> the arrival times were within five</w:t>
      </w:r>
      <w:r w:rsidR="00B802B4">
        <w:t xml:space="preserve"> minutes </w:t>
      </w:r>
      <w:r w:rsidR="00B802B4" w:rsidRPr="006D002F">
        <w:t xml:space="preserve">of </w:t>
      </w:r>
      <w:r w:rsidR="00B802B4">
        <w:t>each other, suggesting highly regular returning behaviour</w:t>
      </w:r>
      <w:r w:rsidR="00E92AC5">
        <w:t xml:space="preserve">. </w:t>
      </w:r>
    </w:p>
    <w:p w14:paraId="51BACCCB" w14:textId="77777777" w:rsidR="004659B3" w:rsidRDefault="004659B3" w:rsidP="00937C44"/>
    <w:p w14:paraId="2A37E0ED" w14:textId="238F90A9" w:rsidR="00465FDB" w:rsidRDefault="00657622" w:rsidP="00CE2E6B">
      <w:r>
        <w:t xml:space="preserve">ANPR systems cannot be relied upon to </w:t>
      </w:r>
      <w:r w:rsidR="002201B0">
        <w:t xml:space="preserve">be </w:t>
      </w:r>
      <w:r>
        <w:t>100% accura</w:t>
      </w:r>
      <w:r w:rsidR="002201B0">
        <w:t>te in detecting all vehicles and in reading all number plates correctly. Number p</w:t>
      </w:r>
      <w:r>
        <w:t xml:space="preserve">lates can be missed or read incorrectly </w:t>
      </w:r>
      <w:r w:rsidR="00465FDB" w:rsidRPr="00540D60">
        <w:t xml:space="preserve">for a variety of reasons including: i) obscuration by other vehicles or objects (e.g. in congested conditions); ii) poor visibility (e.g. shadows, glare); iii) positioning and configuration of the camera, which can affect image resolution; and iv) issues with the </w:t>
      </w:r>
      <w:r w:rsidR="002201B0">
        <w:t xml:space="preserve">number </w:t>
      </w:r>
      <w:r w:rsidR="00465FDB" w:rsidRPr="00540D60">
        <w:t>plate itself (e.g. missing, damaged</w:t>
      </w:r>
      <w:r w:rsidR="002201B0">
        <w:t xml:space="preserve">, </w:t>
      </w:r>
      <w:r w:rsidR="00465FDB" w:rsidRPr="00540D60">
        <w:t xml:space="preserve">dirty </w:t>
      </w:r>
      <w:r w:rsidR="002201B0">
        <w:t xml:space="preserve">or </w:t>
      </w:r>
      <w:r w:rsidR="00465FDB" w:rsidRPr="00540D60">
        <w:t>use of non-standard fonts)</w:t>
      </w:r>
      <w:r>
        <w:t xml:space="preserve"> </w:t>
      </w:r>
      <w:r w:rsidRPr="00540D60">
        <w:t xml:space="preserve">(Keilthy, 2008; </w:t>
      </w:r>
      <w:r w:rsidRPr="00540D60">
        <w:rPr>
          <w:noProof/>
        </w:rPr>
        <w:t>Gazcón et al., 2012</w:t>
      </w:r>
      <w:r w:rsidR="002201B0">
        <w:t xml:space="preserve">). </w:t>
      </w:r>
      <w:r w:rsidR="00D27A00">
        <w:t xml:space="preserve">Reviews of ANPR </w:t>
      </w:r>
      <w:r w:rsidR="00CE2E6B">
        <w:t xml:space="preserve">technology </w:t>
      </w:r>
      <w:r w:rsidR="00D27A00">
        <w:t>suggest typical overall success rates in the range 85%-95% (</w:t>
      </w:r>
      <w:r w:rsidR="00D27A00" w:rsidRPr="00540D60">
        <w:t>Du et al., 2013</w:t>
      </w:r>
      <w:r w:rsidRPr="00540D60">
        <w:t>; Patel et al., 2013)</w:t>
      </w:r>
      <w:r w:rsidR="00CE2E6B">
        <w:t xml:space="preserve"> which mean that </w:t>
      </w:r>
      <w:r w:rsidR="00465FDB">
        <w:t xml:space="preserve">ANPR data </w:t>
      </w:r>
      <w:r>
        <w:t xml:space="preserve">are not well suited to </w:t>
      </w:r>
      <w:r w:rsidR="00CE2E6B">
        <w:t xml:space="preserve">measurement of </w:t>
      </w:r>
      <w:r>
        <w:t>vehicle flow</w:t>
      </w:r>
      <w:r w:rsidR="00CE2E6B">
        <w:t xml:space="preserve"> unless the detection rate can be determined and corrected for</w:t>
      </w:r>
      <w:r>
        <w:t xml:space="preserve">. </w:t>
      </w:r>
      <w:r w:rsidR="00465FDB">
        <w:t xml:space="preserve"> </w:t>
      </w:r>
    </w:p>
    <w:p w14:paraId="38721894" w14:textId="63C7CAA0" w:rsidR="0045157C" w:rsidRDefault="00DF5B16" w:rsidP="00DF5B16">
      <w:pPr>
        <w:pStyle w:val="Heading2"/>
      </w:pPr>
      <w:r>
        <w:t xml:space="preserve">Defining and making use of </w:t>
      </w:r>
      <w:r w:rsidR="0045157C">
        <w:t xml:space="preserve">vehicle regularity </w:t>
      </w:r>
    </w:p>
    <w:p w14:paraId="39749529" w14:textId="7241DE7C" w:rsidR="00437AF7" w:rsidRDefault="007B7323" w:rsidP="007B7323">
      <w:r>
        <w:t>The concept of v</w:t>
      </w:r>
      <w:r w:rsidR="00A318A4">
        <w:t xml:space="preserve">ehicle regularity </w:t>
      </w:r>
      <w:r>
        <w:t xml:space="preserve">can </w:t>
      </w:r>
      <w:r w:rsidR="00EE614D">
        <w:t>cover many possible facets of tr</w:t>
      </w:r>
      <w:r>
        <w:t xml:space="preserve">ip-making </w:t>
      </w:r>
      <w:r w:rsidR="00EE614D">
        <w:t xml:space="preserve">and resulting traffic patterns. </w:t>
      </w:r>
      <w:r w:rsidR="00437AF7">
        <w:t>In this paper</w:t>
      </w:r>
      <w:r w:rsidR="00BF31A2">
        <w:t>,</w:t>
      </w:r>
      <w:r w:rsidR="00437AF7">
        <w:t xml:space="preserve"> </w:t>
      </w:r>
      <w:r w:rsidR="00EE614D">
        <w:t xml:space="preserve">it </w:t>
      </w:r>
      <w:r w:rsidR="00BF31A2">
        <w:t>w</w:t>
      </w:r>
      <w:r w:rsidR="00BC5FE2">
        <w:t xml:space="preserve">as defined </w:t>
      </w:r>
      <w:r w:rsidR="00BF31A2">
        <w:t xml:space="preserve">from the </w:t>
      </w:r>
      <w:r w:rsidR="00210F97">
        <w:t xml:space="preserve">context of </w:t>
      </w:r>
      <w:r w:rsidR="00BF31A2">
        <w:t xml:space="preserve">frequency and consistency of </w:t>
      </w:r>
      <w:r w:rsidR="00A55CC9">
        <w:t xml:space="preserve">arrival times </w:t>
      </w:r>
      <w:r w:rsidR="00BF31A2">
        <w:t>of individual vehicles over an extended period of time</w:t>
      </w:r>
      <w:r w:rsidR="00210F97">
        <w:t xml:space="preserve"> (i.e. months)</w:t>
      </w:r>
      <w:r w:rsidR="00BF31A2">
        <w:t xml:space="preserve">, </w:t>
      </w:r>
      <w:r w:rsidR="00210F97">
        <w:t xml:space="preserve">at </w:t>
      </w:r>
      <w:r w:rsidR="00BC5FE2">
        <w:t xml:space="preserve">specific points in the network (i.e. locations of ANPR cameras) </w:t>
      </w:r>
      <w:r w:rsidR="00BF31A2">
        <w:t xml:space="preserve">and </w:t>
      </w:r>
      <w:r w:rsidR="00210F97">
        <w:t xml:space="preserve">for </w:t>
      </w:r>
      <w:r w:rsidR="00A55CC9">
        <w:t xml:space="preserve">selected </w:t>
      </w:r>
      <w:r w:rsidR="00BC5FE2">
        <w:t>time intervals</w:t>
      </w:r>
      <w:r w:rsidR="00210F97">
        <w:t xml:space="preserve"> (e.g. peak traffic periods)</w:t>
      </w:r>
      <w:r w:rsidR="00BF31A2">
        <w:t xml:space="preserve"> (see section 3 for </w:t>
      </w:r>
      <w:r w:rsidR="00210F97">
        <w:t>precise</w:t>
      </w:r>
      <w:r w:rsidR="00BF31A2">
        <w:t xml:space="preserve"> definition)</w:t>
      </w:r>
      <w:r w:rsidR="00210F97">
        <w:t>. This definition was chosen</w:t>
      </w:r>
      <w:r w:rsidR="00012DAB">
        <w:t xml:space="preserve"> for its simplicity and as it was </w:t>
      </w:r>
      <w:r w:rsidR="00A55CC9">
        <w:t xml:space="preserve">considered to be </w:t>
      </w:r>
      <w:r w:rsidR="00012DAB">
        <w:t xml:space="preserve">particularly </w:t>
      </w:r>
      <w:r w:rsidR="00BC5FE2">
        <w:t>relevan</w:t>
      </w:r>
      <w:r w:rsidR="00012DAB">
        <w:t>t</w:t>
      </w:r>
      <w:r w:rsidR="00BC5FE2">
        <w:t xml:space="preserve"> to traffic managers </w:t>
      </w:r>
      <w:r w:rsidR="00012DAB">
        <w:t xml:space="preserve">or other information providers who are often dealing with road network issues that are </w:t>
      </w:r>
      <w:r w:rsidR="002772E9">
        <w:t>highly location and time specific (e.g. accident at point X, started 0730, cleared 0830)</w:t>
      </w:r>
      <w:r w:rsidR="00012DAB">
        <w:t xml:space="preserve">. </w:t>
      </w:r>
      <w:r w:rsidR="000F09AC">
        <w:t xml:space="preserve">In published literature, regularity is more usually considered from the point of view of an individual person’s trip-making behaviour and takes a much </w:t>
      </w:r>
      <w:r w:rsidR="00A55CC9">
        <w:t xml:space="preserve">broader perspective, less restricted by location or time constraints and sometimes considering </w:t>
      </w:r>
      <w:r w:rsidR="000F09AC">
        <w:t xml:space="preserve">other </w:t>
      </w:r>
      <w:r w:rsidR="00A55CC9">
        <w:t>modes of transport (</w:t>
      </w:r>
      <w:r w:rsidR="00D004CD">
        <w:t xml:space="preserve">e.g. bus, train, walking, </w:t>
      </w:r>
      <w:r w:rsidR="00D004CD">
        <w:lastRenderedPageBreak/>
        <w:t>cycling)</w:t>
      </w:r>
      <w:r w:rsidR="000F09AC">
        <w:t xml:space="preserve"> (</w:t>
      </w:r>
      <w:r w:rsidR="000F09AC" w:rsidRPr="00C133F9">
        <w:rPr>
          <w:lang w:eastAsia="en-US"/>
        </w:rPr>
        <w:t>Schönfelder</w:t>
      </w:r>
      <w:r w:rsidR="000F09AC">
        <w:rPr>
          <w:lang w:eastAsia="en-US"/>
        </w:rPr>
        <w:t xml:space="preserve"> </w:t>
      </w:r>
      <w:r w:rsidR="000F09AC" w:rsidRPr="00C133F9">
        <w:rPr>
          <w:lang w:eastAsia="en-US"/>
        </w:rPr>
        <w:t>and Axhausen</w:t>
      </w:r>
      <w:r w:rsidR="000F09AC">
        <w:rPr>
          <w:lang w:eastAsia="en-US"/>
        </w:rPr>
        <w:t xml:space="preserve">, </w:t>
      </w:r>
      <w:r w:rsidR="000F09AC" w:rsidRPr="00C133F9">
        <w:rPr>
          <w:lang w:eastAsia="en-US"/>
        </w:rPr>
        <w:t>2010)</w:t>
      </w:r>
      <w:r w:rsidR="002772E9">
        <w:t xml:space="preserve">. </w:t>
      </w:r>
      <w:r w:rsidR="000F09AC">
        <w:t xml:space="preserve">Irrespective of definitions used, some </w:t>
      </w:r>
      <w:r w:rsidR="00B741C7">
        <w:t xml:space="preserve">relevant observations can be drawn from reported literature, </w:t>
      </w:r>
      <w:r w:rsidR="000F09AC">
        <w:t>as summarised in this section.</w:t>
      </w:r>
    </w:p>
    <w:p w14:paraId="488B255A" w14:textId="77777777" w:rsidR="00437AF7" w:rsidRDefault="00437AF7" w:rsidP="0045157C"/>
    <w:p w14:paraId="09BC0490" w14:textId="60D3377B" w:rsidR="000D7A2A" w:rsidRDefault="009E3F47" w:rsidP="007C6F31">
      <w:r w:rsidRPr="00540D60">
        <w:t xml:space="preserve">Regular trip-making </w:t>
      </w:r>
      <w:r w:rsidR="00E620A1">
        <w:t xml:space="preserve">by car </w:t>
      </w:r>
      <w:r w:rsidRPr="00540D60">
        <w:t xml:space="preserve">is </w:t>
      </w:r>
      <w:r w:rsidR="00D36847">
        <w:t xml:space="preserve">usually </w:t>
      </w:r>
      <w:r w:rsidRPr="00540D60">
        <w:t xml:space="preserve">associated with commuting </w:t>
      </w:r>
      <w:r w:rsidR="00EF3FEC">
        <w:t xml:space="preserve">to and from work </w:t>
      </w:r>
      <w:r w:rsidR="00BC0A99">
        <w:t xml:space="preserve">or an educational establishment </w:t>
      </w:r>
      <w:r w:rsidR="00D36847">
        <w:t>and these trips tend to be concentrated</w:t>
      </w:r>
      <w:r w:rsidR="0045157C">
        <w:t xml:space="preserve"> </w:t>
      </w:r>
      <w:r w:rsidR="00D36847">
        <w:t>during traditional weekday morning and afternoon peak traffic periods</w:t>
      </w:r>
      <w:r w:rsidR="00BC0A99">
        <w:t xml:space="preserve"> </w:t>
      </w:r>
      <w:r w:rsidR="00D36847">
        <w:t>(Department for Transport, 2015)</w:t>
      </w:r>
      <w:r w:rsidR="00BC0A99">
        <w:t xml:space="preserve">. </w:t>
      </w:r>
      <w:r w:rsidR="00D36847">
        <w:t xml:space="preserve"> </w:t>
      </w:r>
      <w:r w:rsidR="00A02185">
        <w:t xml:space="preserve">While </w:t>
      </w:r>
      <w:r w:rsidR="00BC0A99" w:rsidRPr="00540D60">
        <w:rPr>
          <w:rFonts w:cs="Arial"/>
        </w:rPr>
        <w:t xml:space="preserve">work-related or </w:t>
      </w:r>
      <w:r w:rsidR="00A02185">
        <w:rPr>
          <w:rFonts w:cs="Arial"/>
        </w:rPr>
        <w:t xml:space="preserve">other </w:t>
      </w:r>
      <w:r w:rsidR="00BC0A99" w:rsidRPr="00540D60">
        <w:rPr>
          <w:rFonts w:cs="Arial"/>
        </w:rPr>
        <w:t xml:space="preserve">‘mandatory’ travel </w:t>
      </w:r>
      <w:r w:rsidR="00A02185">
        <w:rPr>
          <w:rFonts w:cs="Arial"/>
        </w:rPr>
        <w:t xml:space="preserve">(e.g. school runs) may account for only around 20% of all car trips in developed countries </w:t>
      </w:r>
      <w:r w:rsidR="00BC0A99" w:rsidRPr="00540D60">
        <w:t>(</w:t>
      </w:r>
      <w:r w:rsidR="00A02185" w:rsidRPr="000544B6">
        <w:rPr>
          <w:rFonts w:eastAsiaTheme="minorHAnsi"/>
          <w:lang w:eastAsia="en-US"/>
        </w:rPr>
        <w:t>Järv et al, 2014</w:t>
      </w:r>
      <w:r w:rsidR="00BC0A99" w:rsidRPr="00540D60">
        <w:rPr>
          <w:rFonts w:cs="Arial"/>
        </w:rPr>
        <w:t>)</w:t>
      </w:r>
      <w:r w:rsidR="00A02185">
        <w:rPr>
          <w:rFonts w:cs="Arial"/>
        </w:rPr>
        <w:t xml:space="preserve"> this can increase to around </w:t>
      </w:r>
      <w:r w:rsidR="00BC0A99" w:rsidRPr="00540D60">
        <w:rPr>
          <w:rFonts w:cs="Arial"/>
        </w:rPr>
        <w:t xml:space="preserve">50% during </w:t>
      </w:r>
      <w:r w:rsidR="00EE614D">
        <w:rPr>
          <w:rFonts w:cs="Arial"/>
        </w:rPr>
        <w:t xml:space="preserve">morning </w:t>
      </w:r>
      <w:r w:rsidR="00BC0A99" w:rsidRPr="00540D60">
        <w:rPr>
          <w:rFonts w:cs="Arial"/>
        </w:rPr>
        <w:t xml:space="preserve">peak </w:t>
      </w:r>
      <w:r w:rsidR="00A02185">
        <w:rPr>
          <w:rFonts w:cs="Arial"/>
        </w:rPr>
        <w:t>traffic</w:t>
      </w:r>
      <w:r w:rsidR="00BC0A99" w:rsidRPr="00540D60">
        <w:rPr>
          <w:rFonts w:cs="Arial"/>
        </w:rPr>
        <w:t xml:space="preserve"> (Downs, 2004). </w:t>
      </w:r>
      <w:r w:rsidR="00EE614D" w:rsidRPr="00540D60">
        <w:rPr>
          <w:rFonts w:cs="Arial"/>
        </w:rPr>
        <w:t xml:space="preserve">Greater variability in vehicle arrival patterns has been observed during the afternoon peak period compared to the morning as </w:t>
      </w:r>
      <w:r w:rsidR="00EE614D">
        <w:rPr>
          <w:rFonts w:cs="Arial"/>
        </w:rPr>
        <w:t xml:space="preserve">around two-thirds of trips may be non-work related </w:t>
      </w:r>
      <w:r w:rsidR="00EE614D" w:rsidRPr="00540D60">
        <w:rPr>
          <w:rFonts w:cs="Arial"/>
        </w:rPr>
        <w:t>(Schlich et al., 2004</w:t>
      </w:r>
      <w:r w:rsidR="00EE614D">
        <w:rPr>
          <w:rFonts w:cs="Arial"/>
        </w:rPr>
        <w:t xml:space="preserve">, </w:t>
      </w:r>
      <w:r w:rsidR="00EE614D" w:rsidRPr="00540D60">
        <w:rPr>
          <w:rFonts w:eastAsiaTheme="minorHAnsi"/>
          <w:lang w:eastAsia="en-US"/>
        </w:rPr>
        <w:t>Järv</w:t>
      </w:r>
      <w:r w:rsidR="00EE614D" w:rsidRPr="00540D60">
        <w:rPr>
          <w:rFonts w:cs="Arial"/>
        </w:rPr>
        <w:t xml:space="preserve"> et al., 2012).</w:t>
      </w:r>
      <w:r w:rsidR="00EE614D" w:rsidRPr="00540D60">
        <w:t xml:space="preserve"> </w:t>
      </w:r>
      <w:r w:rsidR="00064983">
        <w:t>Regularity can also be displayed at different frequency rates, for example, daily trips to and from work, weekly shopping trips, or as dictated by r</w:t>
      </w:r>
      <w:r w:rsidR="000D7A2A">
        <w:t xml:space="preserve">otating shift patterns at work, the latter affecting </w:t>
      </w:r>
      <w:r w:rsidR="000D7A2A" w:rsidRPr="00540D60">
        <w:t xml:space="preserve">14% of </w:t>
      </w:r>
      <w:r w:rsidR="000D7A2A">
        <w:t xml:space="preserve">the UK working </w:t>
      </w:r>
      <w:r w:rsidR="000D7A2A" w:rsidRPr="00540D60">
        <w:t>population (</w:t>
      </w:r>
      <w:r w:rsidR="007C6F31">
        <w:t>Health and Safety Executive</w:t>
      </w:r>
      <w:r w:rsidR="000D7A2A" w:rsidRPr="00540D60">
        <w:t>,</w:t>
      </w:r>
      <w:r w:rsidR="007C6F31">
        <w:t xml:space="preserve"> </w:t>
      </w:r>
      <w:r w:rsidR="000D7A2A" w:rsidRPr="00540D60">
        <w:t>2011).</w:t>
      </w:r>
    </w:p>
    <w:p w14:paraId="1B2EF6A9" w14:textId="77777777" w:rsidR="00064983" w:rsidRDefault="00064983" w:rsidP="00064983"/>
    <w:p w14:paraId="51E6047C" w14:textId="6A96B399" w:rsidR="00873502" w:rsidRPr="00815F17" w:rsidRDefault="00BC0A99" w:rsidP="00F240E4">
      <w:pPr>
        <w:rPr>
          <w:rFonts w:eastAsiaTheme="minorHAnsi"/>
          <w:lang w:eastAsia="en-US"/>
        </w:rPr>
      </w:pPr>
      <w:r w:rsidRPr="006A41B1">
        <w:t>T</w:t>
      </w:r>
      <w:r w:rsidR="00CD2208" w:rsidRPr="006A41B1">
        <w:t>he extent of regular</w:t>
      </w:r>
      <w:r w:rsidR="0045157C" w:rsidRPr="006A41B1">
        <w:t xml:space="preserve">ity </w:t>
      </w:r>
      <w:r w:rsidR="00A318A4" w:rsidRPr="006A41B1">
        <w:t xml:space="preserve">on a day-to-day basis can </w:t>
      </w:r>
      <w:r w:rsidR="00CD2208" w:rsidRPr="006A41B1">
        <w:t xml:space="preserve">depend on </w:t>
      </w:r>
      <w:r w:rsidR="00A318A4" w:rsidRPr="006A41B1">
        <w:t xml:space="preserve">how previous </w:t>
      </w:r>
      <w:r w:rsidR="00CD2208" w:rsidRPr="006A41B1">
        <w:t>travel experiences</w:t>
      </w:r>
      <w:r w:rsidR="00A318A4" w:rsidRPr="006A41B1">
        <w:t xml:space="preserve"> i</w:t>
      </w:r>
      <w:r w:rsidR="00CD2208" w:rsidRPr="006A41B1">
        <w:t>nfluence daily departure times, routes taken and mode</w:t>
      </w:r>
      <w:r w:rsidR="006B04BB" w:rsidRPr="006A41B1">
        <w:t>s chosen</w:t>
      </w:r>
      <w:r w:rsidR="00CD2208" w:rsidRPr="006A41B1">
        <w:t xml:space="preserve"> (Shen et al., 2013)</w:t>
      </w:r>
      <w:r w:rsidR="00064983" w:rsidRPr="006A41B1">
        <w:t xml:space="preserve"> and routing decisions can also be made whilst driving, in response to traffic encountered (Spyridakis et al, 1991) or information received (e.g. from VMS). </w:t>
      </w:r>
      <w:r w:rsidR="00DE095F">
        <w:t xml:space="preserve">Analysis </w:t>
      </w:r>
      <w:r w:rsidR="00DE095F" w:rsidRPr="006A41B1">
        <w:t xml:space="preserve">of </w:t>
      </w:r>
      <w:r w:rsidR="00BF46F8">
        <w:t xml:space="preserve">personal travel </w:t>
      </w:r>
      <w:r w:rsidR="00DE095F" w:rsidRPr="006A41B1">
        <w:t xml:space="preserve">regularity </w:t>
      </w:r>
      <w:r w:rsidR="00DE095F">
        <w:t xml:space="preserve">(or variability) </w:t>
      </w:r>
      <w:r w:rsidR="00DE095F" w:rsidRPr="006A41B1">
        <w:t xml:space="preserve">on a </w:t>
      </w:r>
      <w:r w:rsidR="00DE095F">
        <w:t xml:space="preserve">longer term </w:t>
      </w:r>
      <w:r w:rsidR="00DE095F" w:rsidRPr="006A41B1">
        <w:t xml:space="preserve">basis </w:t>
      </w:r>
      <w:r w:rsidR="00064983" w:rsidRPr="006A41B1">
        <w:t>(</w:t>
      </w:r>
      <w:r w:rsidR="00DE095F">
        <w:t xml:space="preserve">e.g. </w:t>
      </w:r>
      <w:r w:rsidR="00064983" w:rsidRPr="006A41B1">
        <w:t>months, years)</w:t>
      </w:r>
      <w:r w:rsidR="00DE095F">
        <w:t xml:space="preserve"> </w:t>
      </w:r>
      <w:r w:rsidR="00DE095F" w:rsidRPr="006A41B1">
        <w:t xml:space="preserve">has been </w:t>
      </w:r>
      <w:r w:rsidR="006A41B1" w:rsidRPr="006A41B1">
        <w:t>enabled by collection of GPS/mobile phone data and/or the use of multi-week travel diaries (</w:t>
      </w:r>
      <w:r w:rsidR="006A41B1" w:rsidRPr="006A41B1">
        <w:rPr>
          <w:lang w:eastAsia="en-US"/>
        </w:rPr>
        <w:t xml:space="preserve">Schönfelder and Axhausen, 2010; </w:t>
      </w:r>
      <w:r w:rsidR="006A41B1" w:rsidRPr="006A41B1">
        <w:rPr>
          <w:rFonts w:eastAsiaTheme="minorHAnsi"/>
          <w:lang w:eastAsia="en-US"/>
        </w:rPr>
        <w:t>Järv et al, 2014)</w:t>
      </w:r>
      <w:r w:rsidR="00DE095F">
        <w:rPr>
          <w:rFonts w:eastAsiaTheme="minorHAnsi"/>
          <w:lang w:eastAsia="en-US"/>
        </w:rPr>
        <w:t xml:space="preserve"> and used, for example, to show seasonal effects</w:t>
      </w:r>
      <w:r w:rsidR="006A41B1" w:rsidRPr="006A41B1">
        <w:rPr>
          <w:rFonts w:eastAsiaTheme="minorHAnsi"/>
          <w:lang w:eastAsia="en-US"/>
        </w:rPr>
        <w:t xml:space="preserve">. In principle, ANPR </w:t>
      </w:r>
      <w:r w:rsidR="006A41B1">
        <w:rPr>
          <w:rFonts w:eastAsiaTheme="minorHAnsi"/>
          <w:lang w:eastAsia="en-US"/>
        </w:rPr>
        <w:t xml:space="preserve">data </w:t>
      </w:r>
      <w:r w:rsidR="00097FC3">
        <w:rPr>
          <w:rFonts w:eastAsiaTheme="minorHAnsi"/>
          <w:lang w:eastAsia="en-US"/>
        </w:rPr>
        <w:t>c</w:t>
      </w:r>
      <w:r w:rsidR="00A05C2A">
        <w:rPr>
          <w:rFonts w:eastAsiaTheme="minorHAnsi"/>
          <w:lang w:eastAsia="en-US"/>
        </w:rPr>
        <w:t xml:space="preserve">ould also be used to </w:t>
      </w:r>
      <w:r w:rsidR="006A41B1">
        <w:rPr>
          <w:rFonts w:eastAsiaTheme="minorHAnsi"/>
          <w:lang w:eastAsia="en-US"/>
        </w:rPr>
        <w:t xml:space="preserve">capture </w:t>
      </w:r>
      <w:r w:rsidR="00097FC3">
        <w:rPr>
          <w:rFonts w:eastAsiaTheme="minorHAnsi"/>
          <w:lang w:eastAsia="en-US"/>
        </w:rPr>
        <w:t xml:space="preserve">evidence of </w:t>
      </w:r>
      <w:r w:rsidR="006A41B1">
        <w:rPr>
          <w:rFonts w:eastAsiaTheme="minorHAnsi"/>
          <w:lang w:eastAsia="en-US"/>
        </w:rPr>
        <w:t>individual vehicle</w:t>
      </w:r>
      <w:r w:rsidR="00815F17">
        <w:rPr>
          <w:rFonts w:eastAsiaTheme="minorHAnsi"/>
          <w:lang w:eastAsia="en-US"/>
        </w:rPr>
        <w:t xml:space="preserve"> movement</w:t>
      </w:r>
      <w:r w:rsidR="006A41B1">
        <w:rPr>
          <w:rFonts w:eastAsiaTheme="minorHAnsi"/>
          <w:lang w:eastAsia="en-US"/>
        </w:rPr>
        <w:t xml:space="preserve">s </w:t>
      </w:r>
      <w:r w:rsidR="00A05C2A">
        <w:rPr>
          <w:rFonts w:eastAsiaTheme="minorHAnsi"/>
          <w:lang w:eastAsia="en-US"/>
        </w:rPr>
        <w:t xml:space="preserve">within </w:t>
      </w:r>
      <w:r w:rsidR="00BF46F8">
        <w:rPr>
          <w:rFonts w:eastAsiaTheme="minorHAnsi"/>
          <w:lang w:eastAsia="en-US"/>
        </w:rPr>
        <w:t xml:space="preserve">the </w:t>
      </w:r>
      <w:r w:rsidR="00A05C2A">
        <w:rPr>
          <w:rFonts w:eastAsiaTheme="minorHAnsi"/>
          <w:lang w:eastAsia="en-US"/>
        </w:rPr>
        <w:t xml:space="preserve">network </w:t>
      </w:r>
      <w:r w:rsidR="006A41B1">
        <w:rPr>
          <w:rFonts w:eastAsiaTheme="minorHAnsi"/>
          <w:lang w:eastAsia="en-US"/>
        </w:rPr>
        <w:t xml:space="preserve">over </w:t>
      </w:r>
      <w:r w:rsidR="009A5972">
        <w:rPr>
          <w:rFonts w:eastAsiaTheme="minorHAnsi"/>
          <w:lang w:eastAsia="en-US"/>
        </w:rPr>
        <w:t xml:space="preserve">an extended period of </w:t>
      </w:r>
      <w:r w:rsidR="006A41B1">
        <w:rPr>
          <w:rFonts w:eastAsiaTheme="minorHAnsi"/>
          <w:lang w:eastAsia="en-US"/>
        </w:rPr>
        <w:t>time</w:t>
      </w:r>
      <w:r w:rsidR="00BB52AD">
        <w:rPr>
          <w:rFonts w:eastAsiaTheme="minorHAnsi"/>
          <w:lang w:eastAsia="en-US"/>
        </w:rPr>
        <w:t xml:space="preserve">, although it </w:t>
      </w:r>
      <w:r w:rsidR="00F240E4">
        <w:rPr>
          <w:rFonts w:eastAsiaTheme="minorHAnsi"/>
          <w:lang w:eastAsia="en-US"/>
        </w:rPr>
        <w:t xml:space="preserve">would </w:t>
      </w:r>
      <w:r w:rsidR="00BB52AD">
        <w:rPr>
          <w:rFonts w:eastAsiaTheme="minorHAnsi"/>
          <w:lang w:eastAsia="en-US"/>
        </w:rPr>
        <w:t>be challenging to identify relevant vehicles and routes of interest from among the huge number of possible vehicle/routing combinations</w:t>
      </w:r>
      <w:r w:rsidR="00097FC3">
        <w:rPr>
          <w:rFonts w:eastAsiaTheme="minorHAnsi"/>
          <w:lang w:eastAsia="en-US"/>
        </w:rPr>
        <w:t>, and the scope would be limited by the network coverage.</w:t>
      </w:r>
      <w:r w:rsidR="00815F17">
        <w:rPr>
          <w:rFonts w:eastAsiaTheme="minorHAnsi"/>
          <w:lang w:eastAsia="en-US"/>
        </w:rPr>
        <w:t xml:space="preserve"> </w:t>
      </w:r>
      <w:r w:rsidR="00BB52AD">
        <w:rPr>
          <w:rFonts w:eastAsiaTheme="minorHAnsi"/>
          <w:lang w:eastAsia="en-US"/>
        </w:rPr>
        <w:t xml:space="preserve"> </w:t>
      </w:r>
    </w:p>
    <w:p w14:paraId="66E3A974" w14:textId="77777777" w:rsidR="00B52DD5" w:rsidRDefault="00B52DD5" w:rsidP="00B52DD5"/>
    <w:p w14:paraId="6DBD7A3A" w14:textId="0FF04D94" w:rsidR="006E5FD4" w:rsidRDefault="00097FC3" w:rsidP="00F8640D">
      <w:r>
        <w:t xml:space="preserve">Long-term </w:t>
      </w:r>
      <w:r w:rsidR="0031595D">
        <w:t xml:space="preserve">ANPR </w:t>
      </w:r>
      <w:r>
        <w:t>data collection</w:t>
      </w:r>
      <w:r w:rsidR="0031595D">
        <w:t xml:space="preserve"> </w:t>
      </w:r>
      <w:r>
        <w:t xml:space="preserve">allows analysis of churn </w:t>
      </w:r>
      <w:r w:rsidR="00815F17" w:rsidRPr="00540D60">
        <w:t>among groups of regular drivers</w:t>
      </w:r>
      <w:r w:rsidR="006E5FD4">
        <w:t xml:space="preserve">, </w:t>
      </w:r>
      <w:r w:rsidR="001A3DBE">
        <w:t xml:space="preserve">identifying </w:t>
      </w:r>
      <w:r w:rsidR="00F8640D">
        <w:t>v</w:t>
      </w:r>
      <w:r w:rsidR="005C7C6E">
        <w:t xml:space="preserve">ehicles </w:t>
      </w:r>
      <w:r w:rsidR="001A3DBE">
        <w:t xml:space="preserve">that </w:t>
      </w:r>
      <w:r w:rsidR="005C7C6E">
        <w:t xml:space="preserve">drop out </w:t>
      </w:r>
      <w:r w:rsidR="001A3DBE">
        <w:t xml:space="preserve">of </w:t>
      </w:r>
      <w:r w:rsidR="005C7C6E">
        <w:t>the system over time</w:t>
      </w:r>
      <w:r w:rsidR="001A3DBE">
        <w:t xml:space="preserve"> and </w:t>
      </w:r>
      <w:r w:rsidR="00F8640D">
        <w:t xml:space="preserve">others that </w:t>
      </w:r>
      <w:r w:rsidR="001A3DBE">
        <w:t>join</w:t>
      </w:r>
      <w:r w:rsidR="00F8640D">
        <w:t xml:space="preserve">. Changes in trip-making can occur for a myriad of reasons but the most significant ones are usually associated with changes of home or employment </w:t>
      </w:r>
      <w:r w:rsidR="00815F17" w:rsidRPr="00540D60">
        <w:t>(Beige and Axhausen, 2012).</w:t>
      </w:r>
      <w:r w:rsidR="00815F17">
        <w:t xml:space="preserve"> </w:t>
      </w:r>
      <w:r w:rsidR="00815F17" w:rsidRPr="00540D60">
        <w:t xml:space="preserve">The 2012 London Travel Demand Survey (Transport for London, 2012) suggested that half of the respondents had experienced a </w:t>
      </w:r>
      <w:r w:rsidR="000D7A2A">
        <w:t xml:space="preserve">significant </w:t>
      </w:r>
      <w:r w:rsidR="00815F17" w:rsidRPr="00540D60">
        <w:t>lifestyle change over the previous 12 months</w:t>
      </w:r>
      <w:r w:rsidR="000D7A2A">
        <w:t>,</w:t>
      </w:r>
      <w:r w:rsidR="00815F17" w:rsidRPr="00540D60">
        <w:t xml:space="preserve"> such as </w:t>
      </w:r>
      <w:r w:rsidR="00E6614A">
        <w:t xml:space="preserve">a </w:t>
      </w:r>
      <w:r w:rsidR="00815F17" w:rsidRPr="00540D60">
        <w:t>chang</w:t>
      </w:r>
      <w:r w:rsidR="00E6614A">
        <w:t xml:space="preserve">e of </w:t>
      </w:r>
      <w:r w:rsidR="00815F17" w:rsidRPr="00540D60">
        <w:t xml:space="preserve">home, workplace or school, </w:t>
      </w:r>
      <w:r w:rsidR="000D7A2A">
        <w:t xml:space="preserve">resulting in </w:t>
      </w:r>
      <w:r w:rsidR="00815F17" w:rsidRPr="00540D60">
        <w:t xml:space="preserve">90% of </w:t>
      </w:r>
      <w:r w:rsidR="000D7A2A">
        <w:t xml:space="preserve">those driving a </w:t>
      </w:r>
      <w:r w:rsidR="00815F17" w:rsidRPr="00540D60">
        <w:t xml:space="preserve">car changing their behaviour. </w:t>
      </w:r>
      <w:r w:rsidR="004A7E62">
        <w:t>U</w:t>
      </w:r>
      <w:r w:rsidR="00815F17" w:rsidRPr="00540D60">
        <w:t>nplanned disruptions to either the transport system or peoples’ activities can also influence an individual’s medium to long-term travel behaviour</w:t>
      </w:r>
      <w:r w:rsidR="004A7E62">
        <w:t>: e</w:t>
      </w:r>
      <w:r w:rsidR="00815F17" w:rsidRPr="00540D60">
        <w:t xml:space="preserve">vents such as the 2012 London Olympic Games, the September 2000 fuel shortages, and the aftermath of extreme weather events (e.g. </w:t>
      </w:r>
      <w:r w:rsidR="00815F17">
        <w:t>flooding</w:t>
      </w:r>
      <w:r w:rsidR="00815F17" w:rsidRPr="00540D60">
        <w:t xml:space="preserve">) can all influence travellers to re-evaluate their transport needs and seek alternative travel strategies, which can become new settled behaviours once the disruption has passed, although some might fall back to old habits over time </w:t>
      </w:r>
      <w:r w:rsidR="004A7E62" w:rsidRPr="00540D60">
        <w:t>(Marsden and Docherty, 2013).</w:t>
      </w:r>
      <w:bookmarkStart w:id="1" w:name="article1.body1.sec4.p5"/>
      <w:bookmarkEnd w:id="1"/>
      <w:r w:rsidR="004A7E62">
        <w:t xml:space="preserve"> </w:t>
      </w:r>
    </w:p>
    <w:p w14:paraId="5020960E" w14:textId="77777777" w:rsidR="004A7E62" w:rsidRDefault="004A7E62" w:rsidP="004A7E62"/>
    <w:p w14:paraId="4CC77B51" w14:textId="6B64EBCD" w:rsidR="002A4426" w:rsidRDefault="002A4426" w:rsidP="00534A61">
      <w:r>
        <w:t>It is evident from existing literature that regular drivers may be expected to behave differently from non-regular drivers</w:t>
      </w:r>
      <w:r w:rsidR="00F240E4">
        <w:t xml:space="preserve"> in response to </w:t>
      </w:r>
      <w:r w:rsidR="00534A61">
        <w:t xml:space="preserve">any traffic </w:t>
      </w:r>
      <w:r w:rsidR="00F240E4">
        <w:t>information received</w:t>
      </w:r>
      <w:r w:rsidR="00534A61">
        <w:t xml:space="preserve"> from traffic authorities (e.g. using roadside variable message signs (VMS)) or by third-party information providers via </w:t>
      </w:r>
      <w:r w:rsidR="00534A61" w:rsidRPr="009F6D27">
        <w:t>radio, satnav</w:t>
      </w:r>
      <w:r w:rsidR="00534A61">
        <w:t xml:space="preserve"> or mobile phone</w:t>
      </w:r>
      <w:r w:rsidR="00534A61" w:rsidRPr="009F6D27">
        <w:t xml:space="preserve"> </w:t>
      </w:r>
      <w:r w:rsidR="00534A61">
        <w:t xml:space="preserve">apps (e.g. Waze). </w:t>
      </w:r>
      <w:r>
        <w:t xml:space="preserve">For example, a positive correlation </w:t>
      </w:r>
      <w:r w:rsidR="0036783F">
        <w:t xml:space="preserve">was found </w:t>
      </w:r>
      <w:r>
        <w:t xml:space="preserve">between a driver’s regularity and their willingness to divert from their intended route in response to </w:t>
      </w:r>
      <w:r w:rsidR="00534A61">
        <w:t xml:space="preserve">VMS </w:t>
      </w:r>
      <w:r>
        <w:t xml:space="preserve">information </w:t>
      </w:r>
      <w:r w:rsidR="0036783F">
        <w:t>(</w:t>
      </w:r>
      <w:r w:rsidR="0036783F" w:rsidRPr="0047583C">
        <w:t>Peeta</w:t>
      </w:r>
      <w:r w:rsidR="0036783F">
        <w:t xml:space="preserve"> et al, 2000)</w:t>
      </w:r>
      <w:r w:rsidR="00311573">
        <w:t>, while city-centre parking guidance was more likely to be used by visitors</w:t>
      </w:r>
      <w:r w:rsidR="00534A61">
        <w:t>,</w:t>
      </w:r>
      <w:r w:rsidR="00311573">
        <w:t xml:space="preserve"> with regular drivers relying on local </w:t>
      </w:r>
      <w:r w:rsidR="00311573">
        <w:lastRenderedPageBreak/>
        <w:t>knowledge and</w:t>
      </w:r>
      <w:r w:rsidR="00534A61">
        <w:t>/or</w:t>
      </w:r>
      <w:r w:rsidR="00311573">
        <w:t xml:space="preserve"> following habitual choices (Guo et al, 2014). </w:t>
      </w:r>
      <w:r>
        <w:t>For regular drivers, information about the state of a network (e.g. “congestion at Junction A”) may be preferable to navigational information (e.g. “congestion: exit at Junction B and follow diversion”)</w:t>
      </w:r>
      <w:r w:rsidR="00A13011">
        <w:t>, while f</w:t>
      </w:r>
      <w:r>
        <w:t>or less regular drivers, the opposite may be true</w:t>
      </w:r>
      <w:r w:rsidR="00A13011">
        <w:t xml:space="preserve"> </w:t>
      </w:r>
      <w:r w:rsidR="00A13011" w:rsidRPr="005C6D55">
        <w:t>(Budhiraja, 2005</w:t>
      </w:r>
      <w:r w:rsidR="00A13011">
        <w:t xml:space="preserve">). Knowledge </w:t>
      </w:r>
      <w:r w:rsidR="00254625">
        <w:t xml:space="preserve">of driver </w:t>
      </w:r>
      <w:r>
        <w:t>of regularity</w:t>
      </w:r>
      <w:r w:rsidR="007A4586">
        <w:t xml:space="preserve">, therefore, may allow traffic managers or other information providers to tailor </w:t>
      </w:r>
      <w:r>
        <w:t xml:space="preserve">how and where information should be displayed, and what the content of variable message systems and other sources of information should be.  Regularity and driver familiarity </w:t>
      </w:r>
      <w:r w:rsidR="007A4586">
        <w:t>were also found to be i</w:t>
      </w:r>
      <w:r>
        <w:t xml:space="preserve">mportant factors when </w:t>
      </w:r>
      <w:r w:rsidR="007A4586">
        <w:t xml:space="preserve">trying to predict driver route choices </w:t>
      </w:r>
      <w:r>
        <w:t>(</w:t>
      </w:r>
      <w:r w:rsidRPr="00973DD2">
        <w:t>Froehlich</w:t>
      </w:r>
      <w:r>
        <w:t xml:space="preserve"> </w:t>
      </w:r>
      <w:r w:rsidR="00A13011">
        <w:t>and</w:t>
      </w:r>
      <w:r w:rsidRPr="00973DD2">
        <w:t xml:space="preserve"> Krumm</w:t>
      </w:r>
      <w:r>
        <w:t>, 2008)</w:t>
      </w:r>
      <w:r w:rsidR="007A4586">
        <w:t xml:space="preserve"> which may be useful for </w:t>
      </w:r>
      <w:r>
        <w:t>predicting the wider effects of localised disruption, allowing appropriate action to be taken where possible.</w:t>
      </w:r>
    </w:p>
    <w:p w14:paraId="1DA71DA6" w14:textId="77777777" w:rsidR="002A4426" w:rsidRDefault="002A4426" w:rsidP="004A7E62"/>
    <w:p w14:paraId="01B0D060" w14:textId="7167188D" w:rsidR="00E4176C" w:rsidRPr="00B12051" w:rsidRDefault="00E4176C" w:rsidP="00E4176C">
      <w:r>
        <w:t xml:space="preserve">Finally, when using ANPR data </w:t>
      </w:r>
      <w:r w:rsidR="00534A61">
        <w:t xml:space="preserve">for consideration of regularity, </w:t>
      </w:r>
      <w:r>
        <w:t xml:space="preserve">it should be borne in mind that there is not necessarily a one-to-one correspondence between vehicle trips and an individual person’s trips, for various reasons, including: (i) hire cars; (ii) shared use of a vehicle (typically by different family members or employees in a business); and (iii) lift sharing, which may involve friends or colleagues taking turns to provide the lift. </w:t>
      </w:r>
    </w:p>
    <w:p w14:paraId="1DD1E96B" w14:textId="4EC297FE" w:rsidR="00374FD2" w:rsidRPr="00540D60" w:rsidRDefault="00B227DC" w:rsidP="0031399D">
      <w:pPr>
        <w:pStyle w:val="Heading1"/>
      </w:pPr>
      <w:r>
        <w:t>M</w:t>
      </w:r>
      <w:r w:rsidR="00B94DD6" w:rsidRPr="00540D60">
        <w:t>ethodology</w:t>
      </w:r>
      <w:r w:rsidR="00424F25" w:rsidRPr="00540D60">
        <w:t xml:space="preserve"> </w:t>
      </w:r>
    </w:p>
    <w:p w14:paraId="373A536B" w14:textId="77777777" w:rsidR="009B3FDC" w:rsidRPr="00540D60" w:rsidRDefault="00E913DE" w:rsidP="009B3FDC">
      <w:r w:rsidRPr="00540D60">
        <w:t>L</w:t>
      </w:r>
      <w:r w:rsidR="002262D0" w:rsidRPr="00540D60">
        <w:t>ive data feed</w:t>
      </w:r>
      <w:r w:rsidRPr="00540D60">
        <w:t>s</w:t>
      </w:r>
      <w:r w:rsidR="00C25B98" w:rsidRPr="00540D60">
        <w:t xml:space="preserve"> from 22 ANPR cameras</w:t>
      </w:r>
      <w:r w:rsidR="002262D0" w:rsidRPr="00540D60">
        <w:t xml:space="preserve"> </w:t>
      </w:r>
      <w:r w:rsidR="00FE1CFA" w:rsidRPr="00540D60">
        <w:t xml:space="preserve">originally </w:t>
      </w:r>
      <w:r w:rsidR="002262D0" w:rsidRPr="00540D60">
        <w:t xml:space="preserve">set up by Dorset County Council to monitor </w:t>
      </w:r>
      <w:r w:rsidR="00CC5E25">
        <w:t xml:space="preserve">network performance </w:t>
      </w:r>
      <w:r w:rsidR="002262D0" w:rsidRPr="00540D60">
        <w:t>during the 2012 Olympic sailing ev</w:t>
      </w:r>
      <w:r w:rsidR="00C25B98" w:rsidRPr="00540D60">
        <w:t xml:space="preserve">ents </w:t>
      </w:r>
      <w:r w:rsidR="000E68BF">
        <w:t xml:space="preserve">in </w:t>
      </w:r>
      <w:r w:rsidR="000E68BF" w:rsidRPr="00540D60">
        <w:t xml:space="preserve">Weymouth </w:t>
      </w:r>
      <w:r w:rsidR="00C25B98" w:rsidRPr="00540D60">
        <w:t>were used in this research</w:t>
      </w:r>
      <w:r w:rsidR="002262D0" w:rsidRPr="00540D60">
        <w:t>.</w:t>
      </w:r>
      <w:r w:rsidR="007E2B08" w:rsidRPr="00540D60">
        <w:t xml:space="preserve"> </w:t>
      </w:r>
      <w:r w:rsidR="009E64B6" w:rsidRPr="00540D60">
        <w:t>The majority of the data presented in this paper covered the  period 4</w:t>
      </w:r>
      <w:r w:rsidR="009E64B6" w:rsidRPr="00540D60">
        <w:rPr>
          <w:vertAlign w:val="superscript"/>
        </w:rPr>
        <w:t>th</w:t>
      </w:r>
      <w:r w:rsidR="009E64B6" w:rsidRPr="00540D60">
        <w:t xml:space="preserve"> April 2013 to 12</w:t>
      </w:r>
      <w:r w:rsidR="009E64B6" w:rsidRPr="00540D60">
        <w:rPr>
          <w:vertAlign w:val="superscript"/>
        </w:rPr>
        <w:t>th</w:t>
      </w:r>
      <w:r w:rsidR="009E64B6" w:rsidRPr="00540D60">
        <w:t xml:space="preserve"> February 2014, excluding four consecutive days (17-20 June) on which all data were lost due to a system breakdown. In addition, three cameras were removed from service during the survey period resulting in reduced datasets</w:t>
      </w:r>
      <w:r w:rsidR="009E64B6">
        <w:t xml:space="preserve">: with reference to numbers and directions shown in Figure 1, sites </w:t>
      </w:r>
      <w:r w:rsidR="009E64B6" w:rsidRPr="00540D60">
        <w:t>8(W), 4(N) and 6(N and S)</w:t>
      </w:r>
      <w:r w:rsidR="009E64B6">
        <w:t xml:space="preserve"> comprised </w:t>
      </w:r>
      <w:r w:rsidR="009E64B6" w:rsidRPr="00540D60">
        <w:t xml:space="preserve">88, 107 and 163 weekdays, respectively. </w:t>
      </w:r>
      <w:r w:rsidR="00E1436B" w:rsidRPr="00540D60">
        <w:t xml:space="preserve">The ANPR data were </w:t>
      </w:r>
      <w:r w:rsidR="00E1436B">
        <w:t xml:space="preserve">fed into a database and </w:t>
      </w:r>
      <w:r w:rsidR="00E1436B" w:rsidRPr="00540D60">
        <w:t>analysed using SQL (Structured Query Language)</w:t>
      </w:r>
      <w:r w:rsidR="00747B59">
        <w:t>.</w:t>
      </w:r>
      <w:r w:rsidR="00E1436B" w:rsidRPr="00540D60">
        <w:t xml:space="preserve"> </w:t>
      </w:r>
      <w:r w:rsidR="00747B59" w:rsidRPr="00540D60">
        <w:t xml:space="preserve">An ANPR record in the database comprised a registration plate reading (e.g. AB12XYZ), the time and date the plate was recorded, </w:t>
      </w:r>
      <w:r w:rsidR="00465FDB">
        <w:t xml:space="preserve">a </w:t>
      </w:r>
      <w:r w:rsidR="00747B59" w:rsidRPr="00540D60">
        <w:t>camera location code, and a percentage value (0%-100%) representing the system’s confidence in the accuracy of the reading</w:t>
      </w:r>
      <w:r w:rsidR="00465FDB">
        <w:t xml:space="preserve"> (</w:t>
      </w:r>
      <w:r w:rsidR="00C1292A" w:rsidRPr="00540D60">
        <w:t xml:space="preserve">average </w:t>
      </w:r>
      <w:r w:rsidR="00B227DC">
        <w:t xml:space="preserve">found in data was </w:t>
      </w:r>
      <w:r w:rsidR="00C1292A" w:rsidRPr="00540D60">
        <w:t>90.1%</w:t>
      </w:r>
      <w:r w:rsidR="00465FDB">
        <w:t>)</w:t>
      </w:r>
      <w:r w:rsidR="00C1292A" w:rsidRPr="00540D60">
        <w:t xml:space="preserve">. </w:t>
      </w:r>
      <w:r w:rsidR="009B3FDC" w:rsidRPr="00540D60">
        <w:t>The entire dataset comprised over 55 million individual vehicle observations and covered 210 weekdays; data were also available for weekends but were not used here.</w:t>
      </w:r>
    </w:p>
    <w:p w14:paraId="2B17F128" w14:textId="77777777" w:rsidR="00747B59" w:rsidRDefault="00747B59" w:rsidP="00747B59"/>
    <w:p w14:paraId="59018992" w14:textId="589D7494" w:rsidR="00411383" w:rsidRDefault="00411383" w:rsidP="00411383">
      <w:r w:rsidRPr="00540D60">
        <w:t xml:space="preserve">Vehicles were defined as being regular according to the number of times (N) they appeared in the data set </w:t>
      </w:r>
      <w:r>
        <w:t xml:space="preserve">for a given </w:t>
      </w:r>
      <w:r w:rsidR="008108CF">
        <w:t>site</w:t>
      </w:r>
      <w:r>
        <w:t xml:space="preserve">, time interval (e.g. morning peak) and period (e.g. several months) </w:t>
      </w:r>
      <w:r w:rsidRPr="00540D60">
        <w:t xml:space="preserve">and the consistency of their arrival times </w:t>
      </w:r>
      <w:r>
        <w:t xml:space="preserve">as </w:t>
      </w:r>
      <w:r w:rsidRPr="00540D60">
        <w:t>measured by the standard deviation of arrival time in minutes (</w:t>
      </w:r>
      <w:r w:rsidRPr="00540D60">
        <w:rPr>
          <w:rFonts w:ascii="Symbol" w:hAnsi="Symbol"/>
        </w:rPr>
        <w:t></w:t>
      </w:r>
      <w:r w:rsidRPr="00540D60">
        <w:rPr>
          <w:rFonts w:ascii="Symbol" w:hAnsi="Symbol"/>
        </w:rPr>
        <w:t></w:t>
      </w:r>
      <w:r w:rsidRPr="00540D60">
        <w:t xml:space="preserve">. As regularity is a somewhat subjective term, a range of values for N and </w:t>
      </w:r>
      <w:r w:rsidRPr="00540D60">
        <w:rPr>
          <w:rFonts w:ascii="Symbol" w:hAnsi="Symbol"/>
        </w:rPr>
        <w:t></w:t>
      </w:r>
      <w:r w:rsidRPr="00540D60">
        <w:t xml:space="preserve"> were considered </w:t>
      </w:r>
      <w:r>
        <w:t>(</w:t>
      </w:r>
      <w:r w:rsidRPr="00540D60">
        <w:t xml:space="preserve">section </w:t>
      </w:r>
      <w:r>
        <w:t>5.1</w:t>
      </w:r>
      <w:r w:rsidRPr="00540D60">
        <w:t>)</w:t>
      </w:r>
      <w:r>
        <w:t xml:space="preserve"> </w:t>
      </w:r>
      <w:r w:rsidRPr="00540D60">
        <w:t xml:space="preserve">to determine how many vehicles would be defined as regular according to different combinations of the two parameters namely: </w:t>
      </w:r>
    </w:p>
    <w:p w14:paraId="2B079383" w14:textId="77777777" w:rsidR="00411383" w:rsidRPr="00540D60" w:rsidRDefault="00411383" w:rsidP="00411383"/>
    <w:p w14:paraId="5CB2CA86" w14:textId="40BA3FD4" w:rsidR="00411383" w:rsidRPr="00540D60" w:rsidRDefault="00411383" w:rsidP="00480C6E">
      <w:pPr>
        <w:pStyle w:val="ListParagraph"/>
        <w:numPr>
          <w:ilvl w:val="0"/>
          <w:numId w:val="35"/>
        </w:numPr>
      </w:pPr>
      <w:r w:rsidRPr="00540D60">
        <w:t xml:space="preserve">N </w:t>
      </w:r>
      <w:r w:rsidRPr="00540D60">
        <w:rPr>
          <w:rFonts w:ascii="Symbol" w:hAnsi="Symbol" w:cs="Symbol"/>
        </w:rPr>
        <w:t></w:t>
      </w:r>
      <w:r w:rsidRPr="00540D60">
        <w:rPr>
          <w:rFonts w:ascii="Symbol" w:hAnsi="Symbol" w:cs="Symbol"/>
        </w:rPr>
        <w:t></w:t>
      </w:r>
      <w:r w:rsidRPr="00540D60">
        <w:fldChar w:fldCharType="begin"/>
      </w:r>
      <w:r w:rsidRPr="00540D60">
        <w:fldChar w:fldCharType="separate"/>
      </w:r>
      <w:r w:rsidRPr="00540D60">
        <w:t>{Albareda-Sambola, 2007 #21}</w:t>
      </w:r>
      <w:r w:rsidRPr="00540D60">
        <w:fldChar w:fldCharType="end"/>
      </w:r>
      <w:r w:rsidRPr="00540D60">
        <w:t>30, 40, 50, 60, 70, 80, 90, 100, 110 and 120</w:t>
      </w:r>
      <w:r w:rsidR="00480C6E">
        <w:t xml:space="preserve"> observations </w:t>
      </w:r>
      <w:r w:rsidRPr="00540D60">
        <w:t>(out of 21</w:t>
      </w:r>
      <w:r>
        <w:t>0</w:t>
      </w:r>
      <w:r w:rsidRPr="00540D60">
        <w:t xml:space="preserve"> weekdays), and </w:t>
      </w:r>
    </w:p>
    <w:p w14:paraId="521070E3" w14:textId="77777777" w:rsidR="00411383" w:rsidRDefault="00411383" w:rsidP="00411383">
      <w:pPr>
        <w:pStyle w:val="ListParagraph"/>
        <w:numPr>
          <w:ilvl w:val="0"/>
          <w:numId w:val="35"/>
        </w:numPr>
      </w:pPr>
      <w:r w:rsidRPr="00540D60">
        <w:rPr>
          <w:rFonts w:ascii="Symbol" w:hAnsi="Symbol"/>
        </w:rPr>
        <w:t></w:t>
      </w:r>
      <w:r w:rsidRPr="00540D60">
        <w:rPr>
          <w:rFonts w:ascii="Symbol" w:hAnsi="Symbol"/>
        </w:rPr>
        <w:t></w:t>
      </w:r>
      <w:r w:rsidRPr="00540D60">
        <w:rPr>
          <w:rFonts w:ascii="Symbol" w:hAnsi="Symbol" w:cs="Symbol"/>
        </w:rPr>
        <w:t></w:t>
      </w:r>
      <w:r w:rsidRPr="00540D60">
        <w:t xml:space="preserve"> 5,</w:t>
      </w:r>
      <w:r>
        <w:t xml:space="preserve"> </w:t>
      </w:r>
      <w:r w:rsidRPr="00540D60">
        <w:t>6,</w:t>
      </w:r>
      <w:r>
        <w:t xml:space="preserve"> </w:t>
      </w:r>
      <w:r w:rsidRPr="00540D60">
        <w:t xml:space="preserve">7, 8, 9, 10, 11, 12, 13, 14, 15 minutes, </w:t>
      </w:r>
    </w:p>
    <w:p w14:paraId="5BC7981E" w14:textId="77777777" w:rsidR="00411383" w:rsidRDefault="00411383" w:rsidP="00411383"/>
    <w:p w14:paraId="72B3974E" w14:textId="7C200DC2" w:rsidR="009D0E36" w:rsidRDefault="00411383" w:rsidP="00466DAC">
      <w:r w:rsidRPr="00540D60">
        <w:t xml:space="preserve">giving 110 (=10x11) </w:t>
      </w:r>
      <w:r>
        <w:t xml:space="preserve">combinations of </w:t>
      </w:r>
      <w:r w:rsidRPr="00540D60">
        <w:t xml:space="preserve">(N, </w:t>
      </w:r>
      <w:r w:rsidRPr="00873502">
        <w:rPr>
          <w:rFonts w:ascii="Symbol" w:hAnsi="Symbol"/>
        </w:rPr>
        <w:t></w:t>
      </w:r>
      <w:r w:rsidRPr="00873502">
        <w:rPr>
          <w:rFonts w:ascii="Symbol" w:hAnsi="Symbol"/>
        </w:rPr>
        <w:t></w:t>
      </w:r>
      <w:r w:rsidRPr="00873502">
        <w:rPr>
          <w:rFonts w:ascii="Symbol" w:hAnsi="Symbol"/>
        </w:rPr>
        <w:t></w:t>
      </w:r>
      <w:r>
        <w:t>pairs</w:t>
      </w:r>
      <w:r w:rsidR="001D08FA">
        <w:t xml:space="preserve"> </w:t>
      </w:r>
      <w:r w:rsidR="00466DAC">
        <w:t xml:space="preserve">– the resulting numbers of identified regular vehicles are shown for the morning peak </w:t>
      </w:r>
      <w:r w:rsidR="001D08FA" w:rsidRPr="00540D60">
        <w:t>(</w:t>
      </w:r>
      <w:r w:rsidR="00466DAC" w:rsidRPr="00466DAC">
        <w:fldChar w:fldCharType="begin"/>
      </w:r>
      <w:r w:rsidR="00466DAC" w:rsidRPr="00466DAC">
        <w:instrText xml:space="preserve"> REF _Ref460848904 \h  \* MERGEFORMAT </w:instrText>
      </w:r>
      <w:r w:rsidR="00466DAC" w:rsidRPr="00466DAC">
        <w:fldChar w:fldCharType="separate"/>
      </w:r>
      <w:r w:rsidR="00466DAC" w:rsidRPr="00466DAC">
        <w:t xml:space="preserve">Table </w:t>
      </w:r>
      <w:r w:rsidR="00466DAC" w:rsidRPr="00466DAC">
        <w:rPr>
          <w:noProof/>
        </w:rPr>
        <w:t>1</w:t>
      </w:r>
      <w:r w:rsidR="00466DAC" w:rsidRPr="00466DAC">
        <w:fldChar w:fldCharType="end"/>
      </w:r>
      <w:r w:rsidR="001D08FA" w:rsidRPr="00540D60">
        <w:t>). As one would expect,</w:t>
      </w:r>
      <w:r w:rsidR="009D0E36">
        <w:t xml:space="preserve"> </w:t>
      </w:r>
      <w:r w:rsidR="001D08FA" w:rsidRPr="00540D60">
        <w:t xml:space="preserve">the number of </w:t>
      </w:r>
      <w:r w:rsidR="001D08FA">
        <w:t>‘</w:t>
      </w:r>
      <w:r w:rsidR="001D08FA" w:rsidRPr="00540D60">
        <w:t>regular vehicles</w:t>
      </w:r>
      <w:r w:rsidR="001D08FA">
        <w:t>’</w:t>
      </w:r>
      <w:r w:rsidR="001D08FA" w:rsidRPr="00540D60">
        <w:t xml:space="preserve"> </w:t>
      </w:r>
      <w:r w:rsidR="001D08FA">
        <w:t xml:space="preserve">varied according to the strictness of the definition, ranging from </w:t>
      </w:r>
      <w:r w:rsidR="009D0E36" w:rsidRPr="00540D60">
        <w:t xml:space="preserve">13,455 vehicles </w:t>
      </w:r>
      <w:r w:rsidR="009D0E36">
        <w:t>(</w:t>
      </w:r>
      <w:r w:rsidR="009D0E36" w:rsidRPr="00540D60">
        <w:t>N</w:t>
      </w:r>
      <w:r w:rsidR="009D0E36" w:rsidRPr="00540D60">
        <w:rPr>
          <w:rFonts w:ascii="Symbol" w:hAnsi="Symbol" w:cs="Symbol"/>
        </w:rPr>
        <w:t></w:t>
      </w:r>
      <w:r w:rsidR="009D0E36" w:rsidRPr="00540D60">
        <w:fldChar w:fldCharType="begin"/>
      </w:r>
      <w:r w:rsidR="009D0E36" w:rsidRPr="00540D60">
        <w:fldChar w:fldCharType="separate"/>
      </w:r>
      <w:r w:rsidR="009D0E36" w:rsidRPr="00540D60">
        <w:t>{Albareda-Sambola, 2007 #21}</w:t>
      </w:r>
      <w:r w:rsidR="009D0E36" w:rsidRPr="00540D60">
        <w:fldChar w:fldCharType="end"/>
      </w:r>
      <w:r w:rsidR="009D0E36" w:rsidRPr="00540D60">
        <w:t>30</w:t>
      </w:r>
      <w:r w:rsidR="009D0E36">
        <w:t xml:space="preserve">, </w:t>
      </w:r>
      <w:r w:rsidR="009D0E36" w:rsidRPr="00540D60">
        <w:rPr>
          <w:rFonts w:ascii="Symbol" w:hAnsi="Symbol"/>
        </w:rPr>
        <w:t></w:t>
      </w:r>
      <w:r w:rsidR="009D0E36" w:rsidRPr="00540D60">
        <w:rPr>
          <w:rFonts w:ascii="Symbol" w:hAnsi="Symbol" w:cs="Symbol"/>
        </w:rPr>
        <w:t></w:t>
      </w:r>
      <w:r w:rsidR="009D0E36">
        <w:t>1</w:t>
      </w:r>
      <w:r w:rsidR="009D0E36" w:rsidRPr="00540D60">
        <w:t>5</w:t>
      </w:r>
      <w:r w:rsidR="009D0E36">
        <w:t>) to only 220 vehicles (</w:t>
      </w:r>
      <w:r w:rsidR="009D0E36" w:rsidRPr="00540D60">
        <w:t>N</w:t>
      </w:r>
      <w:r w:rsidR="009D0E36" w:rsidRPr="00540D60">
        <w:rPr>
          <w:rFonts w:ascii="Symbol" w:hAnsi="Symbol" w:cs="Symbol"/>
        </w:rPr>
        <w:t></w:t>
      </w:r>
      <w:r w:rsidR="009D0E36" w:rsidRPr="00540D60">
        <w:fldChar w:fldCharType="begin"/>
      </w:r>
      <w:r w:rsidR="009D0E36" w:rsidRPr="00540D60">
        <w:fldChar w:fldCharType="separate"/>
      </w:r>
      <w:r w:rsidR="009D0E36" w:rsidRPr="00540D60">
        <w:t>{Albareda-Sambola, 2007 #21}</w:t>
      </w:r>
      <w:r w:rsidR="009D0E36" w:rsidRPr="00540D60">
        <w:fldChar w:fldCharType="end"/>
      </w:r>
      <w:r w:rsidR="009D0E36">
        <w:t>12</w:t>
      </w:r>
      <w:r w:rsidR="009D0E36" w:rsidRPr="00540D60">
        <w:t>0</w:t>
      </w:r>
      <w:r w:rsidR="009D0E36">
        <w:t xml:space="preserve">, </w:t>
      </w:r>
      <w:r w:rsidR="009D0E36" w:rsidRPr="00540D60">
        <w:rPr>
          <w:rFonts w:ascii="Symbol" w:hAnsi="Symbol"/>
        </w:rPr>
        <w:t></w:t>
      </w:r>
      <w:r w:rsidR="009D0E36" w:rsidRPr="00540D60">
        <w:rPr>
          <w:rFonts w:ascii="Symbol" w:hAnsi="Symbol" w:cs="Symbol"/>
        </w:rPr>
        <w:t></w:t>
      </w:r>
      <w:r w:rsidR="009D0E36" w:rsidRPr="00540D60">
        <w:t>5</w:t>
      </w:r>
      <w:r w:rsidR="009D0E36">
        <w:t xml:space="preserve">). </w:t>
      </w:r>
      <w:r w:rsidR="00466DAC">
        <w:t xml:space="preserve">The definition chosen here for all </w:t>
      </w:r>
      <w:r w:rsidR="00466DAC">
        <w:lastRenderedPageBreak/>
        <w:t>subsequent analyses was (</w:t>
      </w:r>
      <w:r w:rsidR="00466DAC" w:rsidRPr="00540D60">
        <w:t>N</w:t>
      </w:r>
      <w:r w:rsidR="00466DAC" w:rsidRPr="00540D60">
        <w:rPr>
          <w:rFonts w:ascii="Symbol" w:hAnsi="Symbol" w:cs="Symbol"/>
        </w:rPr>
        <w:t></w:t>
      </w:r>
      <w:r w:rsidR="00466DAC" w:rsidRPr="00540D60">
        <w:fldChar w:fldCharType="begin"/>
      </w:r>
      <w:r w:rsidR="00466DAC" w:rsidRPr="00540D60">
        <w:fldChar w:fldCharType="separate"/>
      </w:r>
      <w:r w:rsidR="00466DAC" w:rsidRPr="00540D60">
        <w:t>{Albareda-Sambola, 2007 #21}</w:t>
      </w:r>
      <w:r w:rsidR="00466DAC" w:rsidRPr="00540D60">
        <w:fldChar w:fldCharType="end"/>
      </w:r>
      <w:r w:rsidR="00466DAC" w:rsidRPr="00540D60">
        <w:t>30</w:t>
      </w:r>
      <w:r w:rsidR="00466DAC">
        <w:t xml:space="preserve">, </w:t>
      </w:r>
      <w:r w:rsidR="00466DAC" w:rsidRPr="00540D60">
        <w:rPr>
          <w:rFonts w:ascii="Symbol" w:hAnsi="Symbol"/>
        </w:rPr>
        <w:t></w:t>
      </w:r>
      <w:r w:rsidR="00466DAC" w:rsidRPr="00540D60">
        <w:rPr>
          <w:rFonts w:ascii="Symbol" w:hAnsi="Symbol" w:cs="Symbol"/>
        </w:rPr>
        <w:t></w:t>
      </w:r>
      <w:r w:rsidR="00466DAC">
        <w:t xml:space="preserve">10), </w:t>
      </w:r>
      <w:r w:rsidR="00466DAC" w:rsidRPr="00540D60">
        <w:t>following on from the work by Cherrett and McDonald (2002).</w:t>
      </w:r>
    </w:p>
    <w:p w14:paraId="55433A30" w14:textId="77777777" w:rsidR="001D08FA" w:rsidRPr="00540D60" w:rsidRDefault="001D08FA" w:rsidP="001D08FA">
      <w:r w:rsidRPr="00540D60">
        <w:t xml:space="preserve">    </w:t>
      </w:r>
    </w:p>
    <w:p w14:paraId="0F1C38A1" w14:textId="1F7F9CEC" w:rsidR="001D08FA" w:rsidRDefault="00466DAC" w:rsidP="00466DAC">
      <w:pPr>
        <w:pStyle w:val="Caption"/>
        <w:rPr>
          <w:b/>
          <w:bCs/>
          <w:i w:val="0"/>
          <w:iCs w:val="0"/>
        </w:rPr>
      </w:pPr>
      <w:bookmarkStart w:id="2" w:name="_Ref460848904"/>
      <w:r w:rsidRPr="00466DAC">
        <w:rPr>
          <w:b/>
          <w:bCs/>
          <w:i w:val="0"/>
          <w:iCs w:val="0"/>
        </w:rPr>
        <w:t xml:space="preserve">Table </w:t>
      </w:r>
      <w:r w:rsidRPr="00466DAC">
        <w:rPr>
          <w:b/>
          <w:bCs/>
          <w:i w:val="0"/>
          <w:iCs w:val="0"/>
        </w:rPr>
        <w:fldChar w:fldCharType="begin"/>
      </w:r>
      <w:r w:rsidRPr="00466DAC">
        <w:rPr>
          <w:b/>
          <w:bCs/>
          <w:i w:val="0"/>
          <w:iCs w:val="0"/>
        </w:rPr>
        <w:instrText xml:space="preserve"> SEQ Table \* ARABIC </w:instrText>
      </w:r>
      <w:r w:rsidRPr="00466DAC">
        <w:rPr>
          <w:b/>
          <w:bCs/>
          <w:i w:val="0"/>
          <w:iCs w:val="0"/>
        </w:rPr>
        <w:fldChar w:fldCharType="separate"/>
      </w:r>
      <w:r w:rsidRPr="00466DAC">
        <w:rPr>
          <w:b/>
          <w:bCs/>
          <w:i w:val="0"/>
          <w:iCs w:val="0"/>
          <w:noProof/>
        </w:rPr>
        <w:t>1</w:t>
      </w:r>
      <w:r w:rsidRPr="00466DAC">
        <w:rPr>
          <w:b/>
          <w:bCs/>
          <w:i w:val="0"/>
          <w:iCs w:val="0"/>
        </w:rPr>
        <w:fldChar w:fldCharType="end"/>
      </w:r>
      <w:bookmarkEnd w:id="2"/>
      <w:r w:rsidR="001D08FA" w:rsidRPr="00F74345">
        <w:rPr>
          <w:b/>
          <w:bCs/>
          <w:i w:val="0"/>
          <w:iCs w:val="0"/>
          <w:noProof/>
        </w:rPr>
        <w:t xml:space="preserve">. </w:t>
      </w:r>
      <w:r w:rsidR="001D08FA" w:rsidRPr="00F74345">
        <w:rPr>
          <w:b/>
          <w:bCs/>
          <w:i w:val="0"/>
          <w:iCs w:val="0"/>
        </w:rPr>
        <w:t xml:space="preserve">Numbers of vehicles across sites meeting minimum days observed and maximum standard deviation of arrival time criteria </w:t>
      </w:r>
    </w:p>
    <w:tbl>
      <w:tblPr>
        <w:tblW w:w="0" w:type="auto"/>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190"/>
        <w:gridCol w:w="766"/>
        <w:gridCol w:w="766"/>
        <w:gridCol w:w="766"/>
        <w:gridCol w:w="766"/>
        <w:gridCol w:w="766"/>
        <w:gridCol w:w="766"/>
        <w:gridCol w:w="766"/>
        <w:gridCol w:w="766"/>
        <w:gridCol w:w="766"/>
        <w:gridCol w:w="766"/>
      </w:tblGrid>
      <w:tr w:rsidR="001D08FA" w:rsidRPr="00540D60" w14:paraId="2DC2D859" w14:textId="77777777" w:rsidTr="00E21594">
        <w:trPr>
          <w:trHeight w:val="300"/>
        </w:trPr>
        <w:tc>
          <w:tcPr>
            <w:tcW w:w="0" w:type="auto"/>
            <w:tcBorders>
              <w:top w:val="single" w:sz="4" w:space="0" w:color="auto"/>
              <w:left w:val="nil"/>
              <w:bottom w:val="nil"/>
              <w:right w:val="nil"/>
            </w:tcBorders>
            <w:shd w:val="clear" w:color="auto" w:fill="auto"/>
            <w:noWrap/>
            <w:vAlign w:val="bottom"/>
          </w:tcPr>
          <w:p w14:paraId="48B52F43" w14:textId="77777777" w:rsidR="001D08FA" w:rsidRPr="00540D60" w:rsidRDefault="001D08FA" w:rsidP="00E21594"/>
        </w:tc>
        <w:tc>
          <w:tcPr>
            <w:tcW w:w="0" w:type="auto"/>
            <w:gridSpan w:val="10"/>
            <w:tcBorders>
              <w:top w:val="single" w:sz="4" w:space="0" w:color="auto"/>
              <w:left w:val="nil"/>
              <w:bottom w:val="nil"/>
              <w:right w:val="nil"/>
            </w:tcBorders>
            <w:shd w:val="clear" w:color="auto" w:fill="auto"/>
            <w:noWrap/>
            <w:vAlign w:val="bottom"/>
          </w:tcPr>
          <w:p w14:paraId="69E2EEB6" w14:textId="77777777" w:rsidR="001D08FA" w:rsidRDefault="001D08FA" w:rsidP="00E21594">
            <w:pPr>
              <w:jc w:val="center"/>
              <w:rPr>
                <w:b/>
                <w:bCs/>
              </w:rPr>
            </w:pPr>
            <w:r w:rsidRPr="006D2675">
              <w:rPr>
                <w:b/>
                <w:bCs/>
              </w:rPr>
              <w:t xml:space="preserve">Minimum number  of days observed </w:t>
            </w:r>
            <w:r>
              <w:rPr>
                <w:b/>
                <w:bCs/>
              </w:rPr>
              <w:t>(N)</w:t>
            </w:r>
          </w:p>
          <w:p w14:paraId="41EC9FFF" w14:textId="77777777" w:rsidR="001D08FA" w:rsidRPr="006D2675" w:rsidRDefault="001D08FA" w:rsidP="00E21594">
            <w:pPr>
              <w:jc w:val="center"/>
              <w:rPr>
                <w:b/>
                <w:bCs/>
              </w:rPr>
            </w:pPr>
            <w:r w:rsidRPr="006D2675">
              <w:rPr>
                <w:b/>
                <w:bCs/>
              </w:rPr>
              <w:t>(percentage of 210 working days)</w:t>
            </w:r>
          </w:p>
        </w:tc>
      </w:tr>
      <w:tr w:rsidR="001D08FA" w:rsidRPr="00540D60" w14:paraId="01A362AD" w14:textId="77777777" w:rsidTr="00E21594">
        <w:trPr>
          <w:trHeight w:val="300"/>
        </w:trPr>
        <w:tc>
          <w:tcPr>
            <w:tcW w:w="0" w:type="auto"/>
            <w:tcBorders>
              <w:top w:val="nil"/>
              <w:left w:val="nil"/>
              <w:bottom w:val="single" w:sz="4" w:space="0" w:color="auto"/>
              <w:right w:val="nil"/>
            </w:tcBorders>
            <w:shd w:val="clear" w:color="auto" w:fill="auto"/>
            <w:noWrap/>
            <w:vAlign w:val="bottom"/>
            <w:hideMark/>
          </w:tcPr>
          <w:p w14:paraId="26F29896" w14:textId="77777777" w:rsidR="001D08FA" w:rsidRPr="006D2675" w:rsidRDefault="001D08FA" w:rsidP="00E21594">
            <w:pPr>
              <w:rPr>
                <w:b/>
                <w:bCs/>
              </w:rPr>
            </w:pPr>
            <w:r w:rsidRPr="006D2675">
              <w:rPr>
                <w:b/>
                <w:bCs/>
              </w:rPr>
              <w:t>Max</w:t>
            </w:r>
            <w:r>
              <w:rPr>
                <w:b/>
                <w:bCs/>
              </w:rPr>
              <w:t xml:space="preserve">. </w:t>
            </w:r>
            <w:r w:rsidRPr="006D2675">
              <w:rPr>
                <w:rFonts w:ascii="Symbol" w:hAnsi="Symbol"/>
                <w:b/>
                <w:bCs/>
              </w:rPr>
              <w:t></w:t>
            </w:r>
            <w:r w:rsidRPr="006D2675">
              <w:rPr>
                <w:rFonts w:ascii="Symbol" w:hAnsi="Symbol"/>
                <w:b/>
                <w:bCs/>
              </w:rPr>
              <w:t></w:t>
            </w:r>
          </w:p>
          <w:p w14:paraId="43D48C8E" w14:textId="77777777" w:rsidR="001D08FA" w:rsidRPr="00540D60" w:rsidRDefault="001D08FA" w:rsidP="00E21594">
            <w:r w:rsidRPr="006D2675">
              <w:rPr>
                <w:b/>
                <w:bCs/>
              </w:rPr>
              <w:t>(minutes)</w:t>
            </w:r>
          </w:p>
        </w:tc>
        <w:tc>
          <w:tcPr>
            <w:tcW w:w="0" w:type="auto"/>
            <w:tcBorders>
              <w:top w:val="nil"/>
              <w:left w:val="nil"/>
              <w:bottom w:val="single" w:sz="4" w:space="0" w:color="auto"/>
              <w:right w:val="nil"/>
            </w:tcBorders>
            <w:shd w:val="clear" w:color="auto" w:fill="auto"/>
            <w:noWrap/>
            <w:vAlign w:val="bottom"/>
            <w:hideMark/>
          </w:tcPr>
          <w:p w14:paraId="4C210A2A" w14:textId="77777777" w:rsidR="001D08FA" w:rsidRPr="006D2675" w:rsidRDefault="001D08FA" w:rsidP="00E21594">
            <w:pPr>
              <w:rPr>
                <w:sz w:val="22"/>
                <w:szCs w:val="22"/>
              </w:rPr>
            </w:pPr>
            <w:r w:rsidRPr="006D2675">
              <w:rPr>
                <w:sz w:val="22"/>
                <w:szCs w:val="22"/>
              </w:rPr>
              <w:t>30</w:t>
            </w:r>
          </w:p>
          <w:p w14:paraId="2A8FBA49" w14:textId="77777777" w:rsidR="001D08FA" w:rsidRPr="006D2675" w:rsidRDefault="001D08FA" w:rsidP="00E21594">
            <w:pPr>
              <w:rPr>
                <w:sz w:val="22"/>
                <w:szCs w:val="22"/>
              </w:rPr>
            </w:pPr>
            <w:r w:rsidRPr="006D2675">
              <w:rPr>
                <w:sz w:val="22"/>
                <w:szCs w:val="22"/>
              </w:rPr>
              <w:t>(14%)</w:t>
            </w:r>
          </w:p>
        </w:tc>
        <w:tc>
          <w:tcPr>
            <w:tcW w:w="0" w:type="auto"/>
            <w:tcBorders>
              <w:top w:val="nil"/>
              <w:left w:val="nil"/>
              <w:bottom w:val="single" w:sz="4" w:space="0" w:color="auto"/>
              <w:right w:val="nil"/>
            </w:tcBorders>
            <w:shd w:val="clear" w:color="auto" w:fill="auto"/>
            <w:noWrap/>
            <w:vAlign w:val="bottom"/>
            <w:hideMark/>
          </w:tcPr>
          <w:p w14:paraId="66EA51DE" w14:textId="77777777" w:rsidR="001D08FA" w:rsidRPr="006D2675" w:rsidRDefault="001D08FA" w:rsidP="00E21594">
            <w:pPr>
              <w:rPr>
                <w:sz w:val="22"/>
                <w:szCs w:val="22"/>
              </w:rPr>
            </w:pPr>
            <w:r w:rsidRPr="006D2675">
              <w:rPr>
                <w:sz w:val="22"/>
                <w:szCs w:val="22"/>
              </w:rPr>
              <w:t>40</w:t>
            </w:r>
          </w:p>
          <w:p w14:paraId="46539933" w14:textId="77777777" w:rsidR="001D08FA" w:rsidRPr="006D2675" w:rsidRDefault="001D08FA" w:rsidP="00E21594">
            <w:pPr>
              <w:rPr>
                <w:sz w:val="22"/>
                <w:szCs w:val="22"/>
              </w:rPr>
            </w:pPr>
            <w:r w:rsidRPr="006D2675">
              <w:rPr>
                <w:sz w:val="22"/>
                <w:szCs w:val="22"/>
              </w:rPr>
              <w:t>(19%)</w:t>
            </w:r>
          </w:p>
        </w:tc>
        <w:tc>
          <w:tcPr>
            <w:tcW w:w="0" w:type="auto"/>
            <w:tcBorders>
              <w:top w:val="nil"/>
              <w:left w:val="nil"/>
              <w:bottom w:val="single" w:sz="4" w:space="0" w:color="auto"/>
              <w:right w:val="nil"/>
            </w:tcBorders>
            <w:shd w:val="clear" w:color="auto" w:fill="auto"/>
            <w:noWrap/>
            <w:vAlign w:val="bottom"/>
            <w:hideMark/>
          </w:tcPr>
          <w:p w14:paraId="1029146B" w14:textId="77777777" w:rsidR="001D08FA" w:rsidRPr="006D2675" w:rsidRDefault="001D08FA" w:rsidP="00E21594">
            <w:pPr>
              <w:rPr>
                <w:sz w:val="22"/>
                <w:szCs w:val="22"/>
              </w:rPr>
            </w:pPr>
            <w:r w:rsidRPr="006D2675">
              <w:rPr>
                <w:sz w:val="22"/>
                <w:szCs w:val="22"/>
              </w:rPr>
              <w:t>50</w:t>
            </w:r>
          </w:p>
          <w:p w14:paraId="13010D03" w14:textId="77777777" w:rsidR="001D08FA" w:rsidRPr="006D2675" w:rsidRDefault="001D08FA" w:rsidP="00E21594">
            <w:pPr>
              <w:rPr>
                <w:sz w:val="22"/>
                <w:szCs w:val="22"/>
              </w:rPr>
            </w:pPr>
            <w:r w:rsidRPr="006D2675">
              <w:rPr>
                <w:sz w:val="22"/>
                <w:szCs w:val="22"/>
              </w:rPr>
              <w:t>(24%)</w:t>
            </w:r>
          </w:p>
        </w:tc>
        <w:tc>
          <w:tcPr>
            <w:tcW w:w="0" w:type="auto"/>
            <w:tcBorders>
              <w:top w:val="nil"/>
              <w:left w:val="nil"/>
              <w:bottom w:val="single" w:sz="4" w:space="0" w:color="auto"/>
              <w:right w:val="nil"/>
            </w:tcBorders>
            <w:shd w:val="clear" w:color="auto" w:fill="auto"/>
            <w:noWrap/>
            <w:vAlign w:val="bottom"/>
            <w:hideMark/>
          </w:tcPr>
          <w:p w14:paraId="2A5CF226" w14:textId="77777777" w:rsidR="001D08FA" w:rsidRPr="006D2675" w:rsidRDefault="001D08FA" w:rsidP="00E21594">
            <w:pPr>
              <w:rPr>
                <w:sz w:val="22"/>
                <w:szCs w:val="22"/>
              </w:rPr>
            </w:pPr>
            <w:r w:rsidRPr="006D2675">
              <w:rPr>
                <w:sz w:val="22"/>
                <w:szCs w:val="22"/>
              </w:rPr>
              <w:t>60</w:t>
            </w:r>
          </w:p>
          <w:p w14:paraId="4AC26F46" w14:textId="77777777" w:rsidR="001D08FA" w:rsidRPr="006D2675" w:rsidRDefault="001D08FA" w:rsidP="00E21594">
            <w:pPr>
              <w:rPr>
                <w:sz w:val="22"/>
                <w:szCs w:val="22"/>
              </w:rPr>
            </w:pPr>
            <w:r w:rsidRPr="006D2675">
              <w:rPr>
                <w:sz w:val="22"/>
                <w:szCs w:val="22"/>
              </w:rPr>
              <w:t>(28%)</w:t>
            </w:r>
          </w:p>
        </w:tc>
        <w:tc>
          <w:tcPr>
            <w:tcW w:w="0" w:type="auto"/>
            <w:tcBorders>
              <w:top w:val="nil"/>
              <w:left w:val="nil"/>
              <w:bottom w:val="single" w:sz="4" w:space="0" w:color="auto"/>
              <w:right w:val="nil"/>
            </w:tcBorders>
            <w:shd w:val="clear" w:color="auto" w:fill="auto"/>
            <w:noWrap/>
            <w:vAlign w:val="bottom"/>
            <w:hideMark/>
          </w:tcPr>
          <w:p w14:paraId="2033B79C" w14:textId="77777777" w:rsidR="001D08FA" w:rsidRPr="006D2675" w:rsidRDefault="001D08FA" w:rsidP="00E21594">
            <w:pPr>
              <w:rPr>
                <w:sz w:val="22"/>
                <w:szCs w:val="22"/>
              </w:rPr>
            </w:pPr>
            <w:r w:rsidRPr="006D2675">
              <w:rPr>
                <w:sz w:val="22"/>
                <w:szCs w:val="22"/>
              </w:rPr>
              <w:t>70</w:t>
            </w:r>
          </w:p>
          <w:p w14:paraId="7B1793B7" w14:textId="77777777" w:rsidR="001D08FA" w:rsidRPr="006D2675" w:rsidRDefault="001D08FA" w:rsidP="00E21594">
            <w:pPr>
              <w:rPr>
                <w:sz w:val="22"/>
                <w:szCs w:val="22"/>
              </w:rPr>
            </w:pPr>
            <w:r w:rsidRPr="006D2675">
              <w:rPr>
                <w:sz w:val="22"/>
                <w:szCs w:val="22"/>
              </w:rPr>
              <w:t>(33%)</w:t>
            </w:r>
          </w:p>
        </w:tc>
        <w:tc>
          <w:tcPr>
            <w:tcW w:w="0" w:type="auto"/>
            <w:tcBorders>
              <w:top w:val="nil"/>
              <w:left w:val="nil"/>
              <w:bottom w:val="single" w:sz="4" w:space="0" w:color="auto"/>
              <w:right w:val="nil"/>
            </w:tcBorders>
            <w:shd w:val="clear" w:color="auto" w:fill="auto"/>
            <w:noWrap/>
            <w:vAlign w:val="bottom"/>
            <w:hideMark/>
          </w:tcPr>
          <w:p w14:paraId="528ACE96" w14:textId="77777777" w:rsidR="001D08FA" w:rsidRPr="006D2675" w:rsidRDefault="001D08FA" w:rsidP="00E21594">
            <w:pPr>
              <w:rPr>
                <w:sz w:val="22"/>
                <w:szCs w:val="22"/>
              </w:rPr>
            </w:pPr>
            <w:r w:rsidRPr="006D2675">
              <w:rPr>
                <w:sz w:val="22"/>
                <w:szCs w:val="22"/>
              </w:rPr>
              <w:t>80</w:t>
            </w:r>
          </w:p>
          <w:p w14:paraId="32243B1E" w14:textId="77777777" w:rsidR="001D08FA" w:rsidRPr="006D2675" w:rsidRDefault="001D08FA" w:rsidP="00E21594">
            <w:pPr>
              <w:rPr>
                <w:sz w:val="22"/>
                <w:szCs w:val="22"/>
              </w:rPr>
            </w:pPr>
            <w:r w:rsidRPr="006D2675">
              <w:rPr>
                <w:sz w:val="22"/>
                <w:szCs w:val="22"/>
              </w:rPr>
              <w:t>(38%)</w:t>
            </w:r>
          </w:p>
        </w:tc>
        <w:tc>
          <w:tcPr>
            <w:tcW w:w="0" w:type="auto"/>
            <w:tcBorders>
              <w:top w:val="nil"/>
              <w:left w:val="nil"/>
              <w:bottom w:val="single" w:sz="4" w:space="0" w:color="auto"/>
              <w:right w:val="nil"/>
            </w:tcBorders>
            <w:shd w:val="clear" w:color="auto" w:fill="auto"/>
            <w:noWrap/>
            <w:vAlign w:val="bottom"/>
            <w:hideMark/>
          </w:tcPr>
          <w:p w14:paraId="32FCB395" w14:textId="77777777" w:rsidR="001D08FA" w:rsidRPr="006D2675" w:rsidRDefault="001D08FA" w:rsidP="00E21594">
            <w:pPr>
              <w:rPr>
                <w:sz w:val="22"/>
                <w:szCs w:val="22"/>
              </w:rPr>
            </w:pPr>
            <w:r w:rsidRPr="006D2675">
              <w:rPr>
                <w:sz w:val="22"/>
                <w:szCs w:val="22"/>
              </w:rPr>
              <w:t>90</w:t>
            </w:r>
          </w:p>
          <w:p w14:paraId="2382321F" w14:textId="77777777" w:rsidR="001D08FA" w:rsidRPr="006D2675" w:rsidRDefault="001D08FA" w:rsidP="00E21594">
            <w:pPr>
              <w:rPr>
                <w:sz w:val="22"/>
                <w:szCs w:val="22"/>
              </w:rPr>
            </w:pPr>
            <w:r w:rsidRPr="006D2675">
              <w:rPr>
                <w:sz w:val="22"/>
                <w:szCs w:val="22"/>
              </w:rPr>
              <w:t>(43%)</w:t>
            </w:r>
          </w:p>
        </w:tc>
        <w:tc>
          <w:tcPr>
            <w:tcW w:w="0" w:type="auto"/>
            <w:tcBorders>
              <w:top w:val="nil"/>
              <w:left w:val="nil"/>
              <w:bottom w:val="single" w:sz="4" w:space="0" w:color="auto"/>
              <w:right w:val="nil"/>
            </w:tcBorders>
            <w:shd w:val="clear" w:color="auto" w:fill="auto"/>
            <w:noWrap/>
            <w:vAlign w:val="bottom"/>
            <w:hideMark/>
          </w:tcPr>
          <w:p w14:paraId="54C9A4AE" w14:textId="77777777" w:rsidR="001D08FA" w:rsidRPr="006D2675" w:rsidRDefault="001D08FA" w:rsidP="00E21594">
            <w:pPr>
              <w:rPr>
                <w:sz w:val="22"/>
                <w:szCs w:val="22"/>
              </w:rPr>
            </w:pPr>
            <w:r w:rsidRPr="006D2675">
              <w:rPr>
                <w:sz w:val="22"/>
                <w:szCs w:val="22"/>
              </w:rPr>
              <w:t>100</w:t>
            </w:r>
          </w:p>
          <w:p w14:paraId="56BF83BF" w14:textId="77777777" w:rsidR="001D08FA" w:rsidRPr="006D2675" w:rsidRDefault="001D08FA" w:rsidP="00E21594">
            <w:pPr>
              <w:rPr>
                <w:sz w:val="22"/>
                <w:szCs w:val="22"/>
              </w:rPr>
            </w:pPr>
            <w:r w:rsidRPr="006D2675">
              <w:rPr>
                <w:sz w:val="22"/>
                <w:szCs w:val="22"/>
              </w:rPr>
              <w:t>(47%)</w:t>
            </w:r>
          </w:p>
        </w:tc>
        <w:tc>
          <w:tcPr>
            <w:tcW w:w="0" w:type="auto"/>
            <w:tcBorders>
              <w:top w:val="nil"/>
              <w:left w:val="nil"/>
              <w:bottom w:val="single" w:sz="4" w:space="0" w:color="auto"/>
              <w:right w:val="nil"/>
            </w:tcBorders>
            <w:shd w:val="clear" w:color="auto" w:fill="auto"/>
            <w:noWrap/>
            <w:vAlign w:val="bottom"/>
            <w:hideMark/>
          </w:tcPr>
          <w:p w14:paraId="0C2E1CBE" w14:textId="77777777" w:rsidR="001D08FA" w:rsidRPr="006D2675" w:rsidRDefault="001D08FA" w:rsidP="00E21594">
            <w:pPr>
              <w:rPr>
                <w:sz w:val="22"/>
                <w:szCs w:val="22"/>
              </w:rPr>
            </w:pPr>
            <w:r w:rsidRPr="006D2675">
              <w:rPr>
                <w:sz w:val="22"/>
                <w:szCs w:val="22"/>
              </w:rPr>
              <w:t>110</w:t>
            </w:r>
          </w:p>
          <w:p w14:paraId="60115D25" w14:textId="77777777" w:rsidR="001D08FA" w:rsidRPr="006D2675" w:rsidRDefault="001D08FA" w:rsidP="00E21594">
            <w:pPr>
              <w:rPr>
                <w:sz w:val="22"/>
                <w:szCs w:val="22"/>
              </w:rPr>
            </w:pPr>
            <w:r w:rsidRPr="006D2675">
              <w:rPr>
                <w:sz w:val="22"/>
                <w:szCs w:val="22"/>
              </w:rPr>
              <w:t>(52%)</w:t>
            </w:r>
          </w:p>
        </w:tc>
        <w:tc>
          <w:tcPr>
            <w:tcW w:w="0" w:type="auto"/>
            <w:tcBorders>
              <w:top w:val="nil"/>
              <w:left w:val="nil"/>
              <w:bottom w:val="single" w:sz="4" w:space="0" w:color="auto"/>
              <w:right w:val="nil"/>
            </w:tcBorders>
            <w:shd w:val="clear" w:color="auto" w:fill="auto"/>
            <w:noWrap/>
            <w:vAlign w:val="bottom"/>
            <w:hideMark/>
          </w:tcPr>
          <w:p w14:paraId="152F3028" w14:textId="77777777" w:rsidR="001D08FA" w:rsidRPr="006D2675" w:rsidRDefault="001D08FA" w:rsidP="00E21594">
            <w:pPr>
              <w:rPr>
                <w:sz w:val="22"/>
                <w:szCs w:val="22"/>
              </w:rPr>
            </w:pPr>
            <w:r w:rsidRPr="006D2675">
              <w:rPr>
                <w:sz w:val="22"/>
                <w:szCs w:val="22"/>
              </w:rPr>
              <w:t>120</w:t>
            </w:r>
          </w:p>
          <w:p w14:paraId="4E572E98" w14:textId="77777777" w:rsidR="001D08FA" w:rsidRPr="006D2675" w:rsidRDefault="001D08FA" w:rsidP="00E21594">
            <w:pPr>
              <w:rPr>
                <w:sz w:val="22"/>
                <w:szCs w:val="22"/>
              </w:rPr>
            </w:pPr>
            <w:r w:rsidRPr="006D2675">
              <w:rPr>
                <w:sz w:val="22"/>
                <w:szCs w:val="22"/>
              </w:rPr>
              <w:t>(57%)</w:t>
            </w:r>
          </w:p>
        </w:tc>
      </w:tr>
      <w:tr w:rsidR="001D08FA" w:rsidRPr="00540D60" w14:paraId="3D0B340B" w14:textId="77777777" w:rsidTr="00E21594">
        <w:trPr>
          <w:trHeight w:val="300"/>
        </w:trPr>
        <w:tc>
          <w:tcPr>
            <w:tcW w:w="0" w:type="auto"/>
            <w:tcBorders>
              <w:top w:val="single" w:sz="4" w:space="0" w:color="auto"/>
              <w:left w:val="nil"/>
              <w:bottom w:val="nil"/>
              <w:right w:val="nil"/>
            </w:tcBorders>
            <w:shd w:val="clear" w:color="auto" w:fill="auto"/>
            <w:noWrap/>
            <w:vAlign w:val="bottom"/>
            <w:hideMark/>
          </w:tcPr>
          <w:p w14:paraId="740D3813" w14:textId="77777777" w:rsidR="001D08FA" w:rsidRPr="006D2675" w:rsidRDefault="001D08FA" w:rsidP="00E21594">
            <w:pPr>
              <w:rPr>
                <w:sz w:val="22"/>
                <w:szCs w:val="22"/>
              </w:rPr>
            </w:pPr>
            <w:r w:rsidRPr="006D2675">
              <w:rPr>
                <w:sz w:val="22"/>
                <w:szCs w:val="22"/>
              </w:rPr>
              <w:t>5</w:t>
            </w:r>
          </w:p>
        </w:tc>
        <w:tc>
          <w:tcPr>
            <w:tcW w:w="0" w:type="auto"/>
            <w:tcBorders>
              <w:top w:val="single" w:sz="4" w:space="0" w:color="auto"/>
              <w:left w:val="nil"/>
              <w:bottom w:val="nil"/>
              <w:right w:val="nil"/>
            </w:tcBorders>
            <w:shd w:val="clear" w:color="auto" w:fill="auto"/>
            <w:noWrap/>
            <w:vAlign w:val="center"/>
            <w:hideMark/>
          </w:tcPr>
          <w:p w14:paraId="3A2D17B5" w14:textId="77777777" w:rsidR="001D08FA" w:rsidRPr="006D2675" w:rsidRDefault="001D08FA" w:rsidP="00E21594">
            <w:pPr>
              <w:rPr>
                <w:sz w:val="22"/>
                <w:szCs w:val="22"/>
              </w:rPr>
            </w:pPr>
            <w:r w:rsidRPr="006D2675">
              <w:rPr>
                <w:sz w:val="22"/>
                <w:szCs w:val="22"/>
              </w:rPr>
              <w:t>1726</w:t>
            </w:r>
          </w:p>
        </w:tc>
        <w:tc>
          <w:tcPr>
            <w:tcW w:w="0" w:type="auto"/>
            <w:tcBorders>
              <w:top w:val="single" w:sz="4" w:space="0" w:color="auto"/>
              <w:left w:val="nil"/>
              <w:bottom w:val="nil"/>
              <w:right w:val="nil"/>
            </w:tcBorders>
            <w:shd w:val="clear" w:color="auto" w:fill="auto"/>
            <w:noWrap/>
            <w:vAlign w:val="center"/>
            <w:hideMark/>
          </w:tcPr>
          <w:p w14:paraId="6EF341DC" w14:textId="77777777" w:rsidR="001D08FA" w:rsidRPr="006D2675" w:rsidRDefault="001D08FA" w:rsidP="00E21594">
            <w:pPr>
              <w:rPr>
                <w:sz w:val="22"/>
                <w:szCs w:val="22"/>
              </w:rPr>
            </w:pPr>
            <w:r w:rsidRPr="006D2675">
              <w:rPr>
                <w:sz w:val="22"/>
                <w:szCs w:val="22"/>
              </w:rPr>
              <w:t>1262</w:t>
            </w:r>
          </w:p>
        </w:tc>
        <w:tc>
          <w:tcPr>
            <w:tcW w:w="0" w:type="auto"/>
            <w:tcBorders>
              <w:top w:val="single" w:sz="4" w:space="0" w:color="auto"/>
              <w:left w:val="nil"/>
              <w:bottom w:val="nil"/>
              <w:right w:val="nil"/>
            </w:tcBorders>
            <w:shd w:val="clear" w:color="auto" w:fill="auto"/>
            <w:noWrap/>
            <w:vAlign w:val="center"/>
            <w:hideMark/>
          </w:tcPr>
          <w:p w14:paraId="05327D3A" w14:textId="77777777" w:rsidR="001D08FA" w:rsidRPr="006D2675" w:rsidRDefault="001D08FA" w:rsidP="00E21594">
            <w:pPr>
              <w:rPr>
                <w:sz w:val="22"/>
                <w:szCs w:val="22"/>
              </w:rPr>
            </w:pPr>
            <w:r w:rsidRPr="006D2675">
              <w:rPr>
                <w:sz w:val="22"/>
                <w:szCs w:val="22"/>
              </w:rPr>
              <w:t>990</w:t>
            </w:r>
          </w:p>
        </w:tc>
        <w:tc>
          <w:tcPr>
            <w:tcW w:w="0" w:type="auto"/>
            <w:tcBorders>
              <w:top w:val="single" w:sz="4" w:space="0" w:color="auto"/>
              <w:left w:val="nil"/>
              <w:bottom w:val="nil"/>
              <w:right w:val="nil"/>
            </w:tcBorders>
            <w:shd w:val="clear" w:color="auto" w:fill="auto"/>
            <w:noWrap/>
            <w:vAlign w:val="center"/>
            <w:hideMark/>
          </w:tcPr>
          <w:p w14:paraId="7CFAC78C" w14:textId="77777777" w:rsidR="001D08FA" w:rsidRPr="006D2675" w:rsidRDefault="001D08FA" w:rsidP="00E21594">
            <w:pPr>
              <w:rPr>
                <w:sz w:val="22"/>
                <w:szCs w:val="22"/>
              </w:rPr>
            </w:pPr>
            <w:r w:rsidRPr="006D2675">
              <w:rPr>
                <w:sz w:val="22"/>
                <w:szCs w:val="22"/>
              </w:rPr>
              <w:t>820</w:t>
            </w:r>
          </w:p>
        </w:tc>
        <w:tc>
          <w:tcPr>
            <w:tcW w:w="0" w:type="auto"/>
            <w:tcBorders>
              <w:top w:val="single" w:sz="4" w:space="0" w:color="auto"/>
              <w:left w:val="nil"/>
              <w:bottom w:val="nil"/>
              <w:right w:val="nil"/>
            </w:tcBorders>
            <w:shd w:val="clear" w:color="auto" w:fill="auto"/>
            <w:noWrap/>
            <w:vAlign w:val="center"/>
            <w:hideMark/>
          </w:tcPr>
          <w:p w14:paraId="3BC64FE1" w14:textId="77777777" w:rsidR="001D08FA" w:rsidRPr="006D2675" w:rsidRDefault="001D08FA" w:rsidP="00E21594">
            <w:pPr>
              <w:rPr>
                <w:sz w:val="22"/>
                <w:szCs w:val="22"/>
              </w:rPr>
            </w:pPr>
            <w:r w:rsidRPr="006D2675">
              <w:rPr>
                <w:sz w:val="22"/>
                <w:szCs w:val="22"/>
              </w:rPr>
              <w:t>648</w:t>
            </w:r>
          </w:p>
        </w:tc>
        <w:tc>
          <w:tcPr>
            <w:tcW w:w="0" w:type="auto"/>
            <w:tcBorders>
              <w:top w:val="single" w:sz="4" w:space="0" w:color="auto"/>
              <w:left w:val="nil"/>
              <w:bottom w:val="nil"/>
              <w:right w:val="nil"/>
            </w:tcBorders>
            <w:shd w:val="clear" w:color="auto" w:fill="auto"/>
            <w:noWrap/>
            <w:vAlign w:val="center"/>
            <w:hideMark/>
          </w:tcPr>
          <w:p w14:paraId="41F3348B" w14:textId="77777777" w:rsidR="001D08FA" w:rsidRPr="006D2675" w:rsidRDefault="001D08FA" w:rsidP="00E21594">
            <w:pPr>
              <w:rPr>
                <w:sz w:val="22"/>
                <w:szCs w:val="22"/>
              </w:rPr>
            </w:pPr>
            <w:r w:rsidRPr="006D2675">
              <w:rPr>
                <w:sz w:val="22"/>
                <w:szCs w:val="22"/>
              </w:rPr>
              <w:t>538</w:t>
            </w:r>
          </w:p>
        </w:tc>
        <w:tc>
          <w:tcPr>
            <w:tcW w:w="0" w:type="auto"/>
            <w:tcBorders>
              <w:top w:val="single" w:sz="4" w:space="0" w:color="auto"/>
              <w:left w:val="nil"/>
              <w:bottom w:val="nil"/>
              <w:right w:val="nil"/>
            </w:tcBorders>
            <w:shd w:val="clear" w:color="auto" w:fill="auto"/>
            <w:noWrap/>
            <w:vAlign w:val="center"/>
            <w:hideMark/>
          </w:tcPr>
          <w:p w14:paraId="2A338F1D" w14:textId="77777777" w:rsidR="001D08FA" w:rsidRPr="006D2675" w:rsidRDefault="001D08FA" w:rsidP="00E21594">
            <w:pPr>
              <w:rPr>
                <w:sz w:val="22"/>
                <w:szCs w:val="22"/>
              </w:rPr>
            </w:pPr>
            <w:r w:rsidRPr="006D2675">
              <w:rPr>
                <w:sz w:val="22"/>
                <w:szCs w:val="22"/>
              </w:rPr>
              <w:t>432</w:t>
            </w:r>
          </w:p>
        </w:tc>
        <w:tc>
          <w:tcPr>
            <w:tcW w:w="0" w:type="auto"/>
            <w:tcBorders>
              <w:top w:val="single" w:sz="4" w:space="0" w:color="auto"/>
              <w:left w:val="nil"/>
              <w:bottom w:val="nil"/>
              <w:right w:val="nil"/>
            </w:tcBorders>
            <w:shd w:val="clear" w:color="auto" w:fill="auto"/>
            <w:noWrap/>
            <w:vAlign w:val="center"/>
            <w:hideMark/>
          </w:tcPr>
          <w:p w14:paraId="1706247A" w14:textId="77777777" w:rsidR="001D08FA" w:rsidRPr="006D2675" w:rsidRDefault="001D08FA" w:rsidP="00E21594">
            <w:pPr>
              <w:rPr>
                <w:sz w:val="22"/>
                <w:szCs w:val="22"/>
              </w:rPr>
            </w:pPr>
            <w:r w:rsidRPr="006D2675">
              <w:rPr>
                <w:sz w:val="22"/>
                <w:szCs w:val="22"/>
              </w:rPr>
              <w:t>343</w:t>
            </w:r>
          </w:p>
        </w:tc>
        <w:tc>
          <w:tcPr>
            <w:tcW w:w="0" w:type="auto"/>
            <w:tcBorders>
              <w:top w:val="single" w:sz="4" w:space="0" w:color="auto"/>
              <w:left w:val="nil"/>
              <w:bottom w:val="nil"/>
              <w:right w:val="nil"/>
            </w:tcBorders>
            <w:shd w:val="clear" w:color="auto" w:fill="auto"/>
            <w:noWrap/>
            <w:vAlign w:val="center"/>
            <w:hideMark/>
          </w:tcPr>
          <w:p w14:paraId="61B22719" w14:textId="77777777" w:rsidR="001D08FA" w:rsidRPr="006D2675" w:rsidRDefault="001D08FA" w:rsidP="00E21594">
            <w:pPr>
              <w:rPr>
                <w:sz w:val="22"/>
                <w:szCs w:val="22"/>
              </w:rPr>
            </w:pPr>
            <w:r w:rsidRPr="006D2675">
              <w:rPr>
                <w:sz w:val="22"/>
                <w:szCs w:val="22"/>
              </w:rPr>
              <w:t>271</w:t>
            </w:r>
          </w:p>
        </w:tc>
        <w:tc>
          <w:tcPr>
            <w:tcW w:w="0" w:type="auto"/>
            <w:tcBorders>
              <w:top w:val="single" w:sz="4" w:space="0" w:color="auto"/>
              <w:left w:val="nil"/>
              <w:bottom w:val="nil"/>
              <w:right w:val="nil"/>
            </w:tcBorders>
            <w:shd w:val="clear" w:color="auto" w:fill="auto"/>
            <w:noWrap/>
            <w:vAlign w:val="center"/>
            <w:hideMark/>
          </w:tcPr>
          <w:p w14:paraId="0A92CE91" w14:textId="77777777" w:rsidR="001D08FA" w:rsidRPr="006D2675" w:rsidRDefault="001D08FA" w:rsidP="00E21594">
            <w:pPr>
              <w:rPr>
                <w:sz w:val="22"/>
                <w:szCs w:val="22"/>
              </w:rPr>
            </w:pPr>
            <w:r w:rsidRPr="006D2675">
              <w:rPr>
                <w:sz w:val="22"/>
                <w:szCs w:val="22"/>
              </w:rPr>
              <w:t>220</w:t>
            </w:r>
          </w:p>
        </w:tc>
      </w:tr>
      <w:tr w:rsidR="001D08FA" w:rsidRPr="00540D60" w14:paraId="56039021" w14:textId="77777777" w:rsidTr="00E21594">
        <w:trPr>
          <w:trHeight w:val="300"/>
        </w:trPr>
        <w:tc>
          <w:tcPr>
            <w:tcW w:w="0" w:type="auto"/>
            <w:tcBorders>
              <w:top w:val="nil"/>
              <w:left w:val="nil"/>
              <w:bottom w:val="nil"/>
              <w:right w:val="nil"/>
            </w:tcBorders>
            <w:shd w:val="clear" w:color="auto" w:fill="auto"/>
            <w:noWrap/>
            <w:vAlign w:val="bottom"/>
            <w:hideMark/>
          </w:tcPr>
          <w:p w14:paraId="71D859A4" w14:textId="77777777" w:rsidR="001D08FA" w:rsidRPr="006D2675" w:rsidRDefault="001D08FA" w:rsidP="00E21594">
            <w:pPr>
              <w:rPr>
                <w:sz w:val="22"/>
                <w:szCs w:val="22"/>
              </w:rPr>
            </w:pPr>
            <w:r w:rsidRPr="006D2675">
              <w:rPr>
                <w:sz w:val="22"/>
                <w:szCs w:val="22"/>
              </w:rPr>
              <w:t>6</w:t>
            </w:r>
          </w:p>
        </w:tc>
        <w:tc>
          <w:tcPr>
            <w:tcW w:w="0" w:type="auto"/>
            <w:tcBorders>
              <w:top w:val="nil"/>
              <w:left w:val="nil"/>
              <w:bottom w:val="nil"/>
              <w:right w:val="nil"/>
            </w:tcBorders>
            <w:shd w:val="clear" w:color="auto" w:fill="auto"/>
            <w:noWrap/>
            <w:vAlign w:val="center"/>
            <w:hideMark/>
          </w:tcPr>
          <w:p w14:paraId="13F3EC01" w14:textId="77777777" w:rsidR="001D08FA" w:rsidRPr="006D2675" w:rsidRDefault="001D08FA" w:rsidP="00E21594">
            <w:pPr>
              <w:rPr>
                <w:sz w:val="22"/>
                <w:szCs w:val="22"/>
              </w:rPr>
            </w:pPr>
            <w:r w:rsidRPr="006D2675">
              <w:rPr>
                <w:sz w:val="22"/>
                <w:szCs w:val="22"/>
              </w:rPr>
              <w:t>2565</w:t>
            </w:r>
          </w:p>
        </w:tc>
        <w:tc>
          <w:tcPr>
            <w:tcW w:w="0" w:type="auto"/>
            <w:tcBorders>
              <w:top w:val="nil"/>
              <w:left w:val="nil"/>
              <w:bottom w:val="nil"/>
              <w:right w:val="nil"/>
            </w:tcBorders>
            <w:shd w:val="clear" w:color="auto" w:fill="auto"/>
            <w:noWrap/>
            <w:vAlign w:val="center"/>
            <w:hideMark/>
          </w:tcPr>
          <w:p w14:paraId="0FB1ACC5" w14:textId="77777777" w:rsidR="001D08FA" w:rsidRPr="006D2675" w:rsidRDefault="001D08FA" w:rsidP="00E21594">
            <w:pPr>
              <w:rPr>
                <w:sz w:val="22"/>
                <w:szCs w:val="22"/>
              </w:rPr>
            </w:pPr>
            <w:r w:rsidRPr="006D2675">
              <w:rPr>
                <w:sz w:val="22"/>
                <w:szCs w:val="22"/>
              </w:rPr>
              <w:t>1913</w:t>
            </w:r>
          </w:p>
        </w:tc>
        <w:tc>
          <w:tcPr>
            <w:tcW w:w="0" w:type="auto"/>
            <w:tcBorders>
              <w:top w:val="nil"/>
              <w:left w:val="nil"/>
              <w:bottom w:val="nil"/>
              <w:right w:val="nil"/>
            </w:tcBorders>
            <w:shd w:val="clear" w:color="auto" w:fill="auto"/>
            <w:noWrap/>
            <w:vAlign w:val="center"/>
            <w:hideMark/>
          </w:tcPr>
          <w:p w14:paraId="2E3DC334" w14:textId="77777777" w:rsidR="001D08FA" w:rsidRPr="006D2675" w:rsidRDefault="001D08FA" w:rsidP="00E21594">
            <w:pPr>
              <w:rPr>
                <w:sz w:val="22"/>
                <w:szCs w:val="22"/>
              </w:rPr>
            </w:pPr>
            <w:r w:rsidRPr="006D2675">
              <w:rPr>
                <w:sz w:val="22"/>
                <w:szCs w:val="22"/>
              </w:rPr>
              <w:t>1517</w:t>
            </w:r>
          </w:p>
        </w:tc>
        <w:tc>
          <w:tcPr>
            <w:tcW w:w="0" w:type="auto"/>
            <w:tcBorders>
              <w:top w:val="nil"/>
              <w:left w:val="nil"/>
              <w:bottom w:val="nil"/>
              <w:right w:val="nil"/>
            </w:tcBorders>
            <w:shd w:val="clear" w:color="auto" w:fill="auto"/>
            <w:noWrap/>
            <w:vAlign w:val="center"/>
            <w:hideMark/>
          </w:tcPr>
          <w:p w14:paraId="1276803A" w14:textId="77777777" w:rsidR="001D08FA" w:rsidRPr="006D2675" w:rsidRDefault="001D08FA" w:rsidP="00E21594">
            <w:pPr>
              <w:rPr>
                <w:sz w:val="22"/>
                <w:szCs w:val="22"/>
              </w:rPr>
            </w:pPr>
            <w:r w:rsidRPr="006D2675">
              <w:rPr>
                <w:sz w:val="22"/>
                <w:szCs w:val="22"/>
              </w:rPr>
              <w:t>1232</w:t>
            </w:r>
          </w:p>
        </w:tc>
        <w:tc>
          <w:tcPr>
            <w:tcW w:w="0" w:type="auto"/>
            <w:tcBorders>
              <w:top w:val="nil"/>
              <w:left w:val="nil"/>
              <w:bottom w:val="nil"/>
              <w:right w:val="nil"/>
            </w:tcBorders>
            <w:shd w:val="clear" w:color="auto" w:fill="auto"/>
            <w:noWrap/>
            <w:vAlign w:val="center"/>
            <w:hideMark/>
          </w:tcPr>
          <w:p w14:paraId="6721FED8" w14:textId="77777777" w:rsidR="001D08FA" w:rsidRPr="006D2675" w:rsidRDefault="001D08FA" w:rsidP="00E21594">
            <w:pPr>
              <w:rPr>
                <w:sz w:val="22"/>
                <w:szCs w:val="22"/>
              </w:rPr>
            </w:pPr>
            <w:r w:rsidRPr="006D2675">
              <w:rPr>
                <w:sz w:val="22"/>
                <w:szCs w:val="22"/>
              </w:rPr>
              <w:t>997</w:t>
            </w:r>
          </w:p>
        </w:tc>
        <w:tc>
          <w:tcPr>
            <w:tcW w:w="0" w:type="auto"/>
            <w:tcBorders>
              <w:top w:val="nil"/>
              <w:left w:val="nil"/>
              <w:bottom w:val="nil"/>
              <w:right w:val="nil"/>
            </w:tcBorders>
            <w:shd w:val="clear" w:color="auto" w:fill="auto"/>
            <w:noWrap/>
            <w:vAlign w:val="center"/>
            <w:hideMark/>
          </w:tcPr>
          <w:p w14:paraId="1E3A9324" w14:textId="77777777" w:rsidR="001D08FA" w:rsidRPr="006D2675" w:rsidRDefault="001D08FA" w:rsidP="00E21594">
            <w:pPr>
              <w:rPr>
                <w:sz w:val="22"/>
                <w:szCs w:val="22"/>
              </w:rPr>
            </w:pPr>
            <w:r w:rsidRPr="006D2675">
              <w:rPr>
                <w:sz w:val="22"/>
                <w:szCs w:val="22"/>
              </w:rPr>
              <w:t>832</w:t>
            </w:r>
          </w:p>
        </w:tc>
        <w:tc>
          <w:tcPr>
            <w:tcW w:w="0" w:type="auto"/>
            <w:tcBorders>
              <w:top w:val="nil"/>
              <w:left w:val="nil"/>
              <w:bottom w:val="nil"/>
              <w:right w:val="nil"/>
            </w:tcBorders>
            <w:shd w:val="clear" w:color="auto" w:fill="auto"/>
            <w:noWrap/>
            <w:vAlign w:val="center"/>
            <w:hideMark/>
          </w:tcPr>
          <w:p w14:paraId="482B8A6B" w14:textId="77777777" w:rsidR="001D08FA" w:rsidRPr="006D2675" w:rsidRDefault="001D08FA" w:rsidP="00E21594">
            <w:pPr>
              <w:rPr>
                <w:sz w:val="22"/>
                <w:szCs w:val="22"/>
              </w:rPr>
            </w:pPr>
            <w:r w:rsidRPr="006D2675">
              <w:rPr>
                <w:sz w:val="22"/>
                <w:szCs w:val="22"/>
              </w:rPr>
              <w:t>668</w:t>
            </w:r>
          </w:p>
        </w:tc>
        <w:tc>
          <w:tcPr>
            <w:tcW w:w="0" w:type="auto"/>
            <w:tcBorders>
              <w:top w:val="nil"/>
              <w:left w:val="nil"/>
              <w:bottom w:val="nil"/>
              <w:right w:val="nil"/>
            </w:tcBorders>
            <w:shd w:val="clear" w:color="auto" w:fill="auto"/>
            <w:noWrap/>
            <w:vAlign w:val="center"/>
            <w:hideMark/>
          </w:tcPr>
          <w:p w14:paraId="496A0981" w14:textId="77777777" w:rsidR="001D08FA" w:rsidRPr="006D2675" w:rsidRDefault="001D08FA" w:rsidP="00E21594">
            <w:pPr>
              <w:rPr>
                <w:sz w:val="22"/>
                <w:szCs w:val="22"/>
              </w:rPr>
            </w:pPr>
            <w:r w:rsidRPr="006D2675">
              <w:rPr>
                <w:sz w:val="22"/>
                <w:szCs w:val="22"/>
              </w:rPr>
              <w:t>530</w:t>
            </w:r>
          </w:p>
        </w:tc>
        <w:tc>
          <w:tcPr>
            <w:tcW w:w="0" w:type="auto"/>
            <w:tcBorders>
              <w:top w:val="nil"/>
              <w:left w:val="nil"/>
              <w:bottom w:val="nil"/>
              <w:right w:val="nil"/>
            </w:tcBorders>
            <w:shd w:val="clear" w:color="auto" w:fill="auto"/>
            <w:noWrap/>
            <w:vAlign w:val="center"/>
            <w:hideMark/>
          </w:tcPr>
          <w:p w14:paraId="03FB8384" w14:textId="77777777" w:rsidR="001D08FA" w:rsidRPr="006D2675" w:rsidRDefault="001D08FA" w:rsidP="00E21594">
            <w:pPr>
              <w:rPr>
                <w:sz w:val="22"/>
                <w:szCs w:val="22"/>
              </w:rPr>
            </w:pPr>
            <w:r w:rsidRPr="006D2675">
              <w:rPr>
                <w:sz w:val="22"/>
                <w:szCs w:val="22"/>
              </w:rPr>
              <w:t>427</w:t>
            </w:r>
          </w:p>
        </w:tc>
        <w:tc>
          <w:tcPr>
            <w:tcW w:w="0" w:type="auto"/>
            <w:tcBorders>
              <w:top w:val="nil"/>
              <w:left w:val="nil"/>
              <w:bottom w:val="nil"/>
              <w:right w:val="nil"/>
            </w:tcBorders>
            <w:shd w:val="clear" w:color="auto" w:fill="auto"/>
            <w:noWrap/>
            <w:vAlign w:val="center"/>
            <w:hideMark/>
          </w:tcPr>
          <w:p w14:paraId="62F116C6" w14:textId="77777777" w:rsidR="001D08FA" w:rsidRPr="006D2675" w:rsidRDefault="001D08FA" w:rsidP="00E21594">
            <w:pPr>
              <w:rPr>
                <w:sz w:val="22"/>
                <w:szCs w:val="22"/>
              </w:rPr>
            </w:pPr>
            <w:r w:rsidRPr="006D2675">
              <w:rPr>
                <w:sz w:val="22"/>
                <w:szCs w:val="22"/>
              </w:rPr>
              <w:t>347</w:t>
            </w:r>
          </w:p>
        </w:tc>
      </w:tr>
      <w:tr w:rsidR="001D08FA" w:rsidRPr="00540D60" w14:paraId="685B9417" w14:textId="77777777" w:rsidTr="00E21594">
        <w:trPr>
          <w:trHeight w:val="300"/>
        </w:trPr>
        <w:tc>
          <w:tcPr>
            <w:tcW w:w="0" w:type="auto"/>
            <w:tcBorders>
              <w:top w:val="nil"/>
              <w:left w:val="nil"/>
              <w:bottom w:val="nil"/>
              <w:right w:val="nil"/>
            </w:tcBorders>
            <w:shd w:val="clear" w:color="auto" w:fill="auto"/>
            <w:noWrap/>
            <w:vAlign w:val="bottom"/>
            <w:hideMark/>
          </w:tcPr>
          <w:p w14:paraId="61BD38E6" w14:textId="77777777" w:rsidR="001D08FA" w:rsidRPr="006D2675" w:rsidRDefault="001D08FA" w:rsidP="00E21594">
            <w:pPr>
              <w:rPr>
                <w:sz w:val="22"/>
                <w:szCs w:val="22"/>
              </w:rPr>
            </w:pPr>
            <w:r w:rsidRPr="006D2675">
              <w:rPr>
                <w:sz w:val="22"/>
                <w:szCs w:val="22"/>
              </w:rPr>
              <w:t>7</w:t>
            </w:r>
          </w:p>
        </w:tc>
        <w:tc>
          <w:tcPr>
            <w:tcW w:w="0" w:type="auto"/>
            <w:tcBorders>
              <w:top w:val="nil"/>
              <w:left w:val="nil"/>
              <w:bottom w:val="nil"/>
              <w:right w:val="nil"/>
            </w:tcBorders>
            <w:shd w:val="clear" w:color="auto" w:fill="auto"/>
            <w:noWrap/>
            <w:vAlign w:val="center"/>
            <w:hideMark/>
          </w:tcPr>
          <w:p w14:paraId="333CB383" w14:textId="77777777" w:rsidR="001D08FA" w:rsidRPr="006D2675" w:rsidRDefault="001D08FA" w:rsidP="00E21594">
            <w:pPr>
              <w:rPr>
                <w:sz w:val="22"/>
                <w:szCs w:val="22"/>
              </w:rPr>
            </w:pPr>
            <w:r w:rsidRPr="006D2675">
              <w:rPr>
                <w:sz w:val="22"/>
                <w:szCs w:val="22"/>
              </w:rPr>
              <w:t>3475</w:t>
            </w:r>
          </w:p>
        </w:tc>
        <w:tc>
          <w:tcPr>
            <w:tcW w:w="0" w:type="auto"/>
            <w:tcBorders>
              <w:top w:val="nil"/>
              <w:left w:val="nil"/>
              <w:bottom w:val="nil"/>
              <w:right w:val="nil"/>
            </w:tcBorders>
            <w:shd w:val="clear" w:color="auto" w:fill="auto"/>
            <w:noWrap/>
            <w:vAlign w:val="center"/>
            <w:hideMark/>
          </w:tcPr>
          <w:p w14:paraId="3ABF67E8" w14:textId="77777777" w:rsidR="001D08FA" w:rsidRPr="006D2675" w:rsidRDefault="001D08FA" w:rsidP="00E21594">
            <w:pPr>
              <w:rPr>
                <w:sz w:val="22"/>
                <w:szCs w:val="22"/>
              </w:rPr>
            </w:pPr>
            <w:r w:rsidRPr="006D2675">
              <w:rPr>
                <w:sz w:val="22"/>
                <w:szCs w:val="22"/>
              </w:rPr>
              <w:t>2618</w:t>
            </w:r>
          </w:p>
        </w:tc>
        <w:tc>
          <w:tcPr>
            <w:tcW w:w="0" w:type="auto"/>
            <w:tcBorders>
              <w:top w:val="nil"/>
              <w:left w:val="nil"/>
              <w:bottom w:val="nil"/>
              <w:right w:val="nil"/>
            </w:tcBorders>
            <w:shd w:val="clear" w:color="auto" w:fill="auto"/>
            <w:noWrap/>
            <w:vAlign w:val="center"/>
            <w:hideMark/>
          </w:tcPr>
          <w:p w14:paraId="5C01F56A" w14:textId="77777777" w:rsidR="001D08FA" w:rsidRPr="006D2675" w:rsidRDefault="001D08FA" w:rsidP="00E21594">
            <w:pPr>
              <w:rPr>
                <w:sz w:val="22"/>
                <w:szCs w:val="22"/>
              </w:rPr>
            </w:pPr>
            <w:r w:rsidRPr="006D2675">
              <w:rPr>
                <w:sz w:val="22"/>
                <w:szCs w:val="22"/>
              </w:rPr>
              <w:t>2084</w:t>
            </w:r>
          </w:p>
        </w:tc>
        <w:tc>
          <w:tcPr>
            <w:tcW w:w="0" w:type="auto"/>
            <w:tcBorders>
              <w:top w:val="nil"/>
              <w:left w:val="nil"/>
              <w:bottom w:val="nil"/>
              <w:right w:val="nil"/>
            </w:tcBorders>
            <w:shd w:val="clear" w:color="auto" w:fill="auto"/>
            <w:noWrap/>
            <w:vAlign w:val="center"/>
            <w:hideMark/>
          </w:tcPr>
          <w:p w14:paraId="5230BDF2" w14:textId="77777777" w:rsidR="001D08FA" w:rsidRPr="006D2675" w:rsidRDefault="001D08FA" w:rsidP="00E21594">
            <w:pPr>
              <w:rPr>
                <w:sz w:val="22"/>
                <w:szCs w:val="22"/>
              </w:rPr>
            </w:pPr>
            <w:r w:rsidRPr="006D2675">
              <w:rPr>
                <w:sz w:val="22"/>
                <w:szCs w:val="22"/>
              </w:rPr>
              <w:t>1695</w:t>
            </w:r>
          </w:p>
        </w:tc>
        <w:tc>
          <w:tcPr>
            <w:tcW w:w="0" w:type="auto"/>
            <w:tcBorders>
              <w:top w:val="nil"/>
              <w:left w:val="nil"/>
              <w:bottom w:val="nil"/>
              <w:right w:val="nil"/>
            </w:tcBorders>
            <w:shd w:val="clear" w:color="auto" w:fill="auto"/>
            <w:noWrap/>
            <w:vAlign w:val="center"/>
            <w:hideMark/>
          </w:tcPr>
          <w:p w14:paraId="32F3CFF8" w14:textId="77777777" w:rsidR="001D08FA" w:rsidRPr="006D2675" w:rsidRDefault="001D08FA" w:rsidP="00E21594">
            <w:pPr>
              <w:rPr>
                <w:sz w:val="22"/>
                <w:szCs w:val="22"/>
              </w:rPr>
            </w:pPr>
            <w:r w:rsidRPr="006D2675">
              <w:rPr>
                <w:sz w:val="22"/>
                <w:szCs w:val="22"/>
              </w:rPr>
              <w:t>1383</w:t>
            </w:r>
          </w:p>
        </w:tc>
        <w:tc>
          <w:tcPr>
            <w:tcW w:w="0" w:type="auto"/>
            <w:tcBorders>
              <w:top w:val="nil"/>
              <w:left w:val="nil"/>
              <w:bottom w:val="nil"/>
              <w:right w:val="nil"/>
            </w:tcBorders>
            <w:shd w:val="clear" w:color="auto" w:fill="auto"/>
            <w:noWrap/>
            <w:vAlign w:val="center"/>
            <w:hideMark/>
          </w:tcPr>
          <w:p w14:paraId="4E7E3BE1" w14:textId="77777777" w:rsidR="001D08FA" w:rsidRPr="006D2675" w:rsidRDefault="001D08FA" w:rsidP="00E21594">
            <w:pPr>
              <w:rPr>
                <w:sz w:val="22"/>
                <w:szCs w:val="22"/>
              </w:rPr>
            </w:pPr>
            <w:r w:rsidRPr="006D2675">
              <w:rPr>
                <w:sz w:val="22"/>
                <w:szCs w:val="22"/>
              </w:rPr>
              <w:t>1136</w:t>
            </w:r>
          </w:p>
        </w:tc>
        <w:tc>
          <w:tcPr>
            <w:tcW w:w="0" w:type="auto"/>
            <w:tcBorders>
              <w:top w:val="nil"/>
              <w:left w:val="nil"/>
              <w:bottom w:val="nil"/>
              <w:right w:val="nil"/>
            </w:tcBorders>
            <w:shd w:val="clear" w:color="auto" w:fill="auto"/>
            <w:noWrap/>
            <w:vAlign w:val="center"/>
            <w:hideMark/>
          </w:tcPr>
          <w:p w14:paraId="5BCBF7F6" w14:textId="77777777" w:rsidR="001D08FA" w:rsidRPr="006D2675" w:rsidRDefault="001D08FA" w:rsidP="00E21594">
            <w:pPr>
              <w:rPr>
                <w:sz w:val="22"/>
                <w:szCs w:val="22"/>
              </w:rPr>
            </w:pPr>
            <w:r w:rsidRPr="006D2675">
              <w:rPr>
                <w:sz w:val="22"/>
                <w:szCs w:val="22"/>
              </w:rPr>
              <w:t>905</w:t>
            </w:r>
          </w:p>
        </w:tc>
        <w:tc>
          <w:tcPr>
            <w:tcW w:w="0" w:type="auto"/>
            <w:tcBorders>
              <w:top w:val="nil"/>
              <w:left w:val="nil"/>
              <w:bottom w:val="nil"/>
              <w:right w:val="nil"/>
            </w:tcBorders>
            <w:shd w:val="clear" w:color="auto" w:fill="auto"/>
            <w:noWrap/>
            <w:vAlign w:val="center"/>
            <w:hideMark/>
          </w:tcPr>
          <w:p w14:paraId="3AF46E50" w14:textId="77777777" w:rsidR="001D08FA" w:rsidRPr="006D2675" w:rsidRDefault="001D08FA" w:rsidP="00E21594">
            <w:pPr>
              <w:rPr>
                <w:sz w:val="22"/>
                <w:szCs w:val="22"/>
              </w:rPr>
            </w:pPr>
            <w:r w:rsidRPr="006D2675">
              <w:rPr>
                <w:sz w:val="22"/>
                <w:szCs w:val="22"/>
              </w:rPr>
              <w:t>721</w:t>
            </w:r>
          </w:p>
        </w:tc>
        <w:tc>
          <w:tcPr>
            <w:tcW w:w="0" w:type="auto"/>
            <w:tcBorders>
              <w:top w:val="nil"/>
              <w:left w:val="nil"/>
              <w:bottom w:val="nil"/>
              <w:right w:val="nil"/>
            </w:tcBorders>
            <w:shd w:val="clear" w:color="auto" w:fill="auto"/>
            <w:noWrap/>
            <w:vAlign w:val="center"/>
            <w:hideMark/>
          </w:tcPr>
          <w:p w14:paraId="4E38B3A6" w14:textId="77777777" w:rsidR="001D08FA" w:rsidRPr="006D2675" w:rsidRDefault="001D08FA" w:rsidP="00E21594">
            <w:pPr>
              <w:rPr>
                <w:sz w:val="22"/>
                <w:szCs w:val="22"/>
              </w:rPr>
            </w:pPr>
            <w:r w:rsidRPr="006D2675">
              <w:rPr>
                <w:sz w:val="22"/>
                <w:szCs w:val="22"/>
              </w:rPr>
              <w:t>585</w:t>
            </w:r>
          </w:p>
        </w:tc>
        <w:tc>
          <w:tcPr>
            <w:tcW w:w="0" w:type="auto"/>
            <w:tcBorders>
              <w:top w:val="nil"/>
              <w:left w:val="nil"/>
              <w:bottom w:val="nil"/>
              <w:right w:val="nil"/>
            </w:tcBorders>
            <w:shd w:val="clear" w:color="auto" w:fill="auto"/>
            <w:noWrap/>
            <w:vAlign w:val="center"/>
            <w:hideMark/>
          </w:tcPr>
          <w:p w14:paraId="7050D72C" w14:textId="77777777" w:rsidR="001D08FA" w:rsidRPr="006D2675" w:rsidRDefault="001D08FA" w:rsidP="00E21594">
            <w:pPr>
              <w:rPr>
                <w:sz w:val="22"/>
                <w:szCs w:val="22"/>
              </w:rPr>
            </w:pPr>
            <w:r w:rsidRPr="006D2675">
              <w:rPr>
                <w:sz w:val="22"/>
                <w:szCs w:val="22"/>
              </w:rPr>
              <w:t>477</w:t>
            </w:r>
          </w:p>
        </w:tc>
      </w:tr>
      <w:tr w:rsidR="001D08FA" w:rsidRPr="00540D60" w14:paraId="525A3F85" w14:textId="77777777" w:rsidTr="00E21594">
        <w:trPr>
          <w:trHeight w:val="300"/>
        </w:trPr>
        <w:tc>
          <w:tcPr>
            <w:tcW w:w="0" w:type="auto"/>
            <w:tcBorders>
              <w:top w:val="nil"/>
              <w:left w:val="nil"/>
              <w:bottom w:val="nil"/>
              <w:right w:val="nil"/>
            </w:tcBorders>
            <w:shd w:val="clear" w:color="auto" w:fill="auto"/>
            <w:noWrap/>
            <w:vAlign w:val="bottom"/>
            <w:hideMark/>
          </w:tcPr>
          <w:p w14:paraId="1C4D1FC8" w14:textId="77777777" w:rsidR="001D08FA" w:rsidRPr="006D2675" w:rsidRDefault="001D08FA" w:rsidP="00E21594">
            <w:pPr>
              <w:rPr>
                <w:sz w:val="22"/>
                <w:szCs w:val="22"/>
              </w:rPr>
            </w:pPr>
            <w:r w:rsidRPr="006D2675">
              <w:rPr>
                <w:sz w:val="22"/>
                <w:szCs w:val="22"/>
              </w:rPr>
              <w:t>8</w:t>
            </w:r>
          </w:p>
        </w:tc>
        <w:tc>
          <w:tcPr>
            <w:tcW w:w="0" w:type="auto"/>
            <w:tcBorders>
              <w:top w:val="nil"/>
              <w:left w:val="nil"/>
              <w:bottom w:val="nil"/>
              <w:right w:val="nil"/>
            </w:tcBorders>
            <w:shd w:val="clear" w:color="auto" w:fill="auto"/>
            <w:noWrap/>
            <w:vAlign w:val="center"/>
            <w:hideMark/>
          </w:tcPr>
          <w:p w14:paraId="55C904EF" w14:textId="77777777" w:rsidR="001D08FA" w:rsidRPr="006D2675" w:rsidRDefault="001D08FA" w:rsidP="00E21594">
            <w:pPr>
              <w:rPr>
                <w:sz w:val="22"/>
                <w:szCs w:val="22"/>
              </w:rPr>
            </w:pPr>
            <w:r w:rsidRPr="006D2675">
              <w:rPr>
                <w:sz w:val="22"/>
                <w:szCs w:val="22"/>
              </w:rPr>
              <w:t>4500</w:t>
            </w:r>
          </w:p>
        </w:tc>
        <w:tc>
          <w:tcPr>
            <w:tcW w:w="0" w:type="auto"/>
            <w:tcBorders>
              <w:top w:val="nil"/>
              <w:left w:val="nil"/>
              <w:bottom w:val="nil"/>
              <w:right w:val="nil"/>
            </w:tcBorders>
            <w:shd w:val="clear" w:color="auto" w:fill="auto"/>
            <w:noWrap/>
            <w:vAlign w:val="center"/>
            <w:hideMark/>
          </w:tcPr>
          <w:p w14:paraId="1BCF3764" w14:textId="77777777" w:rsidR="001D08FA" w:rsidRPr="006D2675" w:rsidRDefault="001D08FA" w:rsidP="00E21594">
            <w:pPr>
              <w:rPr>
                <w:sz w:val="22"/>
                <w:szCs w:val="22"/>
              </w:rPr>
            </w:pPr>
            <w:r w:rsidRPr="006D2675">
              <w:rPr>
                <w:sz w:val="22"/>
                <w:szCs w:val="22"/>
              </w:rPr>
              <w:t>3439</w:t>
            </w:r>
          </w:p>
        </w:tc>
        <w:tc>
          <w:tcPr>
            <w:tcW w:w="0" w:type="auto"/>
            <w:tcBorders>
              <w:top w:val="nil"/>
              <w:left w:val="nil"/>
              <w:bottom w:val="nil"/>
              <w:right w:val="nil"/>
            </w:tcBorders>
            <w:shd w:val="clear" w:color="auto" w:fill="auto"/>
            <w:noWrap/>
            <w:vAlign w:val="center"/>
            <w:hideMark/>
          </w:tcPr>
          <w:p w14:paraId="778CC6C0" w14:textId="77777777" w:rsidR="001D08FA" w:rsidRPr="006D2675" w:rsidRDefault="001D08FA" w:rsidP="00E21594">
            <w:pPr>
              <w:rPr>
                <w:sz w:val="22"/>
                <w:szCs w:val="22"/>
              </w:rPr>
            </w:pPr>
            <w:r w:rsidRPr="006D2675">
              <w:rPr>
                <w:sz w:val="22"/>
                <w:szCs w:val="22"/>
              </w:rPr>
              <w:t>2759</w:t>
            </w:r>
          </w:p>
        </w:tc>
        <w:tc>
          <w:tcPr>
            <w:tcW w:w="0" w:type="auto"/>
            <w:tcBorders>
              <w:top w:val="nil"/>
              <w:left w:val="nil"/>
              <w:bottom w:val="nil"/>
              <w:right w:val="nil"/>
            </w:tcBorders>
            <w:shd w:val="clear" w:color="auto" w:fill="auto"/>
            <w:noWrap/>
            <w:vAlign w:val="center"/>
            <w:hideMark/>
          </w:tcPr>
          <w:p w14:paraId="6EB1A244" w14:textId="77777777" w:rsidR="001D08FA" w:rsidRPr="006D2675" w:rsidRDefault="001D08FA" w:rsidP="00E21594">
            <w:pPr>
              <w:rPr>
                <w:sz w:val="22"/>
                <w:szCs w:val="22"/>
              </w:rPr>
            </w:pPr>
            <w:r w:rsidRPr="006D2675">
              <w:rPr>
                <w:sz w:val="22"/>
                <w:szCs w:val="22"/>
              </w:rPr>
              <w:t>2258</w:t>
            </w:r>
          </w:p>
        </w:tc>
        <w:tc>
          <w:tcPr>
            <w:tcW w:w="0" w:type="auto"/>
            <w:tcBorders>
              <w:top w:val="nil"/>
              <w:left w:val="nil"/>
              <w:bottom w:val="nil"/>
              <w:right w:val="nil"/>
            </w:tcBorders>
            <w:shd w:val="clear" w:color="auto" w:fill="auto"/>
            <w:noWrap/>
            <w:vAlign w:val="center"/>
            <w:hideMark/>
          </w:tcPr>
          <w:p w14:paraId="2FAB07E9" w14:textId="77777777" w:rsidR="001D08FA" w:rsidRPr="006D2675" w:rsidRDefault="001D08FA" w:rsidP="00E21594">
            <w:pPr>
              <w:rPr>
                <w:sz w:val="22"/>
                <w:szCs w:val="22"/>
              </w:rPr>
            </w:pPr>
            <w:r w:rsidRPr="006D2675">
              <w:rPr>
                <w:sz w:val="22"/>
                <w:szCs w:val="22"/>
              </w:rPr>
              <w:t>1832</w:t>
            </w:r>
          </w:p>
        </w:tc>
        <w:tc>
          <w:tcPr>
            <w:tcW w:w="0" w:type="auto"/>
            <w:tcBorders>
              <w:top w:val="nil"/>
              <w:left w:val="nil"/>
              <w:bottom w:val="nil"/>
              <w:right w:val="nil"/>
            </w:tcBorders>
            <w:shd w:val="clear" w:color="auto" w:fill="auto"/>
            <w:noWrap/>
            <w:vAlign w:val="center"/>
            <w:hideMark/>
          </w:tcPr>
          <w:p w14:paraId="4F5B3D33" w14:textId="77777777" w:rsidR="001D08FA" w:rsidRPr="006D2675" w:rsidRDefault="001D08FA" w:rsidP="00E21594">
            <w:pPr>
              <w:rPr>
                <w:sz w:val="22"/>
                <w:szCs w:val="22"/>
              </w:rPr>
            </w:pPr>
            <w:r w:rsidRPr="006D2675">
              <w:rPr>
                <w:sz w:val="22"/>
                <w:szCs w:val="22"/>
              </w:rPr>
              <w:t>1504</w:t>
            </w:r>
          </w:p>
        </w:tc>
        <w:tc>
          <w:tcPr>
            <w:tcW w:w="0" w:type="auto"/>
            <w:tcBorders>
              <w:top w:val="nil"/>
              <w:left w:val="nil"/>
              <w:bottom w:val="nil"/>
              <w:right w:val="nil"/>
            </w:tcBorders>
            <w:shd w:val="clear" w:color="auto" w:fill="auto"/>
            <w:noWrap/>
            <w:vAlign w:val="center"/>
            <w:hideMark/>
          </w:tcPr>
          <w:p w14:paraId="7A47B945" w14:textId="77777777" w:rsidR="001D08FA" w:rsidRPr="006D2675" w:rsidRDefault="001D08FA" w:rsidP="00E21594">
            <w:pPr>
              <w:rPr>
                <w:sz w:val="22"/>
                <w:szCs w:val="22"/>
              </w:rPr>
            </w:pPr>
            <w:r w:rsidRPr="006D2675">
              <w:rPr>
                <w:sz w:val="22"/>
                <w:szCs w:val="22"/>
              </w:rPr>
              <w:t>1199</w:t>
            </w:r>
          </w:p>
        </w:tc>
        <w:tc>
          <w:tcPr>
            <w:tcW w:w="0" w:type="auto"/>
            <w:tcBorders>
              <w:top w:val="nil"/>
              <w:left w:val="nil"/>
              <w:bottom w:val="nil"/>
              <w:right w:val="nil"/>
            </w:tcBorders>
            <w:shd w:val="clear" w:color="auto" w:fill="auto"/>
            <w:noWrap/>
            <w:vAlign w:val="center"/>
            <w:hideMark/>
          </w:tcPr>
          <w:p w14:paraId="2C9B93EA" w14:textId="77777777" w:rsidR="001D08FA" w:rsidRPr="006D2675" w:rsidRDefault="001D08FA" w:rsidP="00E21594">
            <w:pPr>
              <w:rPr>
                <w:sz w:val="22"/>
                <w:szCs w:val="22"/>
              </w:rPr>
            </w:pPr>
            <w:r w:rsidRPr="006D2675">
              <w:rPr>
                <w:sz w:val="22"/>
                <w:szCs w:val="22"/>
              </w:rPr>
              <w:t>960</w:t>
            </w:r>
          </w:p>
        </w:tc>
        <w:tc>
          <w:tcPr>
            <w:tcW w:w="0" w:type="auto"/>
            <w:tcBorders>
              <w:top w:val="nil"/>
              <w:left w:val="nil"/>
              <w:bottom w:val="nil"/>
              <w:right w:val="nil"/>
            </w:tcBorders>
            <w:shd w:val="clear" w:color="auto" w:fill="auto"/>
            <w:noWrap/>
            <w:vAlign w:val="center"/>
            <w:hideMark/>
          </w:tcPr>
          <w:p w14:paraId="6786379F" w14:textId="77777777" w:rsidR="001D08FA" w:rsidRPr="006D2675" w:rsidRDefault="001D08FA" w:rsidP="00E21594">
            <w:pPr>
              <w:rPr>
                <w:sz w:val="22"/>
                <w:szCs w:val="22"/>
              </w:rPr>
            </w:pPr>
            <w:r w:rsidRPr="006D2675">
              <w:rPr>
                <w:sz w:val="22"/>
                <w:szCs w:val="22"/>
              </w:rPr>
              <w:t>781</w:t>
            </w:r>
          </w:p>
        </w:tc>
        <w:tc>
          <w:tcPr>
            <w:tcW w:w="0" w:type="auto"/>
            <w:tcBorders>
              <w:top w:val="nil"/>
              <w:left w:val="nil"/>
              <w:bottom w:val="nil"/>
              <w:right w:val="nil"/>
            </w:tcBorders>
            <w:shd w:val="clear" w:color="auto" w:fill="auto"/>
            <w:noWrap/>
            <w:vAlign w:val="center"/>
            <w:hideMark/>
          </w:tcPr>
          <w:p w14:paraId="2310B0C5" w14:textId="77777777" w:rsidR="001D08FA" w:rsidRPr="006D2675" w:rsidRDefault="001D08FA" w:rsidP="00E21594">
            <w:pPr>
              <w:rPr>
                <w:sz w:val="22"/>
                <w:szCs w:val="22"/>
              </w:rPr>
            </w:pPr>
            <w:r w:rsidRPr="006D2675">
              <w:rPr>
                <w:sz w:val="22"/>
                <w:szCs w:val="22"/>
              </w:rPr>
              <w:t>636</w:t>
            </w:r>
          </w:p>
        </w:tc>
      </w:tr>
      <w:tr w:rsidR="001D08FA" w:rsidRPr="00540D60" w14:paraId="40B400FA" w14:textId="77777777" w:rsidTr="00E21594">
        <w:trPr>
          <w:trHeight w:val="300"/>
        </w:trPr>
        <w:tc>
          <w:tcPr>
            <w:tcW w:w="0" w:type="auto"/>
            <w:tcBorders>
              <w:top w:val="nil"/>
              <w:left w:val="nil"/>
              <w:bottom w:val="nil"/>
              <w:right w:val="nil"/>
            </w:tcBorders>
            <w:shd w:val="clear" w:color="auto" w:fill="auto"/>
            <w:noWrap/>
            <w:vAlign w:val="bottom"/>
            <w:hideMark/>
          </w:tcPr>
          <w:p w14:paraId="6B43B5DE" w14:textId="77777777" w:rsidR="001D08FA" w:rsidRPr="006D2675" w:rsidRDefault="001D08FA" w:rsidP="00E21594">
            <w:pPr>
              <w:rPr>
                <w:sz w:val="22"/>
                <w:szCs w:val="22"/>
              </w:rPr>
            </w:pPr>
            <w:r w:rsidRPr="006D2675">
              <w:rPr>
                <w:sz w:val="22"/>
                <w:szCs w:val="22"/>
              </w:rPr>
              <w:t>9</w:t>
            </w:r>
          </w:p>
        </w:tc>
        <w:tc>
          <w:tcPr>
            <w:tcW w:w="0" w:type="auto"/>
            <w:tcBorders>
              <w:top w:val="nil"/>
              <w:left w:val="nil"/>
              <w:bottom w:val="nil"/>
              <w:right w:val="nil"/>
            </w:tcBorders>
            <w:shd w:val="clear" w:color="auto" w:fill="auto"/>
            <w:noWrap/>
            <w:vAlign w:val="center"/>
            <w:hideMark/>
          </w:tcPr>
          <w:p w14:paraId="1FA4FCB6" w14:textId="77777777" w:rsidR="001D08FA" w:rsidRPr="006D2675" w:rsidRDefault="001D08FA" w:rsidP="00E21594">
            <w:pPr>
              <w:rPr>
                <w:sz w:val="22"/>
                <w:szCs w:val="22"/>
              </w:rPr>
            </w:pPr>
            <w:r w:rsidRPr="006D2675">
              <w:rPr>
                <w:sz w:val="22"/>
                <w:szCs w:val="22"/>
              </w:rPr>
              <w:t>5590</w:t>
            </w:r>
          </w:p>
        </w:tc>
        <w:tc>
          <w:tcPr>
            <w:tcW w:w="0" w:type="auto"/>
            <w:tcBorders>
              <w:top w:val="nil"/>
              <w:left w:val="nil"/>
              <w:bottom w:val="nil"/>
              <w:right w:val="nil"/>
            </w:tcBorders>
            <w:shd w:val="clear" w:color="auto" w:fill="auto"/>
            <w:noWrap/>
            <w:vAlign w:val="center"/>
            <w:hideMark/>
          </w:tcPr>
          <w:p w14:paraId="177F9DB9" w14:textId="77777777" w:rsidR="001D08FA" w:rsidRPr="006D2675" w:rsidRDefault="001D08FA" w:rsidP="00E21594">
            <w:pPr>
              <w:rPr>
                <w:sz w:val="22"/>
                <w:szCs w:val="22"/>
              </w:rPr>
            </w:pPr>
            <w:r w:rsidRPr="006D2675">
              <w:rPr>
                <w:sz w:val="22"/>
                <w:szCs w:val="22"/>
              </w:rPr>
              <w:t>4327</w:t>
            </w:r>
          </w:p>
        </w:tc>
        <w:tc>
          <w:tcPr>
            <w:tcW w:w="0" w:type="auto"/>
            <w:tcBorders>
              <w:top w:val="nil"/>
              <w:left w:val="nil"/>
              <w:bottom w:val="nil"/>
              <w:right w:val="nil"/>
            </w:tcBorders>
            <w:shd w:val="clear" w:color="auto" w:fill="auto"/>
            <w:noWrap/>
            <w:vAlign w:val="center"/>
            <w:hideMark/>
          </w:tcPr>
          <w:p w14:paraId="15D28040" w14:textId="77777777" w:rsidR="001D08FA" w:rsidRPr="006D2675" w:rsidRDefault="001D08FA" w:rsidP="00E21594">
            <w:pPr>
              <w:rPr>
                <w:sz w:val="22"/>
                <w:szCs w:val="22"/>
              </w:rPr>
            </w:pPr>
            <w:r w:rsidRPr="006D2675">
              <w:rPr>
                <w:sz w:val="22"/>
                <w:szCs w:val="22"/>
              </w:rPr>
              <w:t>3506</w:t>
            </w:r>
          </w:p>
        </w:tc>
        <w:tc>
          <w:tcPr>
            <w:tcW w:w="0" w:type="auto"/>
            <w:tcBorders>
              <w:top w:val="nil"/>
              <w:left w:val="nil"/>
              <w:bottom w:val="nil"/>
              <w:right w:val="nil"/>
            </w:tcBorders>
            <w:shd w:val="clear" w:color="auto" w:fill="auto"/>
            <w:noWrap/>
            <w:vAlign w:val="center"/>
            <w:hideMark/>
          </w:tcPr>
          <w:p w14:paraId="478EDA03" w14:textId="77777777" w:rsidR="001D08FA" w:rsidRPr="006D2675" w:rsidRDefault="001D08FA" w:rsidP="00E21594">
            <w:pPr>
              <w:rPr>
                <w:sz w:val="22"/>
                <w:szCs w:val="22"/>
              </w:rPr>
            </w:pPr>
            <w:r w:rsidRPr="006D2675">
              <w:rPr>
                <w:sz w:val="22"/>
                <w:szCs w:val="22"/>
              </w:rPr>
              <w:t>2887</w:t>
            </w:r>
          </w:p>
        </w:tc>
        <w:tc>
          <w:tcPr>
            <w:tcW w:w="0" w:type="auto"/>
            <w:tcBorders>
              <w:top w:val="nil"/>
              <w:left w:val="nil"/>
              <w:bottom w:val="nil"/>
              <w:right w:val="nil"/>
            </w:tcBorders>
            <w:shd w:val="clear" w:color="auto" w:fill="auto"/>
            <w:noWrap/>
            <w:vAlign w:val="center"/>
            <w:hideMark/>
          </w:tcPr>
          <w:p w14:paraId="4E4E78DC" w14:textId="77777777" w:rsidR="001D08FA" w:rsidRPr="006D2675" w:rsidRDefault="001D08FA" w:rsidP="00E21594">
            <w:pPr>
              <w:rPr>
                <w:sz w:val="22"/>
                <w:szCs w:val="22"/>
              </w:rPr>
            </w:pPr>
            <w:r w:rsidRPr="006D2675">
              <w:rPr>
                <w:sz w:val="22"/>
                <w:szCs w:val="22"/>
              </w:rPr>
              <w:t>2367</w:t>
            </w:r>
          </w:p>
        </w:tc>
        <w:tc>
          <w:tcPr>
            <w:tcW w:w="0" w:type="auto"/>
            <w:tcBorders>
              <w:top w:val="nil"/>
              <w:left w:val="nil"/>
              <w:bottom w:val="nil"/>
              <w:right w:val="nil"/>
            </w:tcBorders>
            <w:shd w:val="clear" w:color="auto" w:fill="auto"/>
            <w:noWrap/>
            <w:vAlign w:val="center"/>
            <w:hideMark/>
          </w:tcPr>
          <w:p w14:paraId="337F6C9C" w14:textId="77777777" w:rsidR="001D08FA" w:rsidRPr="006D2675" w:rsidRDefault="001D08FA" w:rsidP="00E21594">
            <w:pPr>
              <w:rPr>
                <w:sz w:val="22"/>
                <w:szCs w:val="22"/>
              </w:rPr>
            </w:pPr>
            <w:r w:rsidRPr="006D2675">
              <w:rPr>
                <w:sz w:val="22"/>
                <w:szCs w:val="22"/>
              </w:rPr>
              <w:t>1957</w:t>
            </w:r>
          </w:p>
        </w:tc>
        <w:tc>
          <w:tcPr>
            <w:tcW w:w="0" w:type="auto"/>
            <w:tcBorders>
              <w:top w:val="nil"/>
              <w:left w:val="nil"/>
              <w:bottom w:val="nil"/>
              <w:right w:val="nil"/>
            </w:tcBorders>
            <w:shd w:val="clear" w:color="auto" w:fill="auto"/>
            <w:noWrap/>
            <w:vAlign w:val="center"/>
            <w:hideMark/>
          </w:tcPr>
          <w:p w14:paraId="3A766A99" w14:textId="77777777" w:rsidR="001D08FA" w:rsidRPr="006D2675" w:rsidRDefault="001D08FA" w:rsidP="00E21594">
            <w:pPr>
              <w:rPr>
                <w:sz w:val="22"/>
                <w:szCs w:val="22"/>
              </w:rPr>
            </w:pPr>
            <w:r w:rsidRPr="006D2675">
              <w:rPr>
                <w:sz w:val="22"/>
                <w:szCs w:val="22"/>
              </w:rPr>
              <w:t>1574</w:t>
            </w:r>
          </w:p>
        </w:tc>
        <w:tc>
          <w:tcPr>
            <w:tcW w:w="0" w:type="auto"/>
            <w:tcBorders>
              <w:top w:val="nil"/>
              <w:left w:val="nil"/>
              <w:bottom w:val="nil"/>
              <w:right w:val="nil"/>
            </w:tcBorders>
            <w:shd w:val="clear" w:color="auto" w:fill="auto"/>
            <w:noWrap/>
            <w:vAlign w:val="center"/>
            <w:hideMark/>
          </w:tcPr>
          <w:p w14:paraId="6BE445D2" w14:textId="77777777" w:rsidR="001D08FA" w:rsidRPr="006D2675" w:rsidRDefault="001D08FA" w:rsidP="00E21594">
            <w:pPr>
              <w:rPr>
                <w:sz w:val="22"/>
                <w:szCs w:val="22"/>
              </w:rPr>
            </w:pPr>
            <w:r w:rsidRPr="006D2675">
              <w:rPr>
                <w:sz w:val="22"/>
                <w:szCs w:val="22"/>
              </w:rPr>
              <w:t>1265</w:t>
            </w:r>
          </w:p>
        </w:tc>
        <w:tc>
          <w:tcPr>
            <w:tcW w:w="0" w:type="auto"/>
            <w:tcBorders>
              <w:top w:val="nil"/>
              <w:left w:val="nil"/>
              <w:bottom w:val="nil"/>
              <w:right w:val="nil"/>
            </w:tcBorders>
            <w:shd w:val="clear" w:color="auto" w:fill="auto"/>
            <w:noWrap/>
            <w:vAlign w:val="center"/>
            <w:hideMark/>
          </w:tcPr>
          <w:p w14:paraId="2F578C1D" w14:textId="77777777" w:rsidR="001D08FA" w:rsidRPr="006D2675" w:rsidRDefault="001D08FA" w:rsidP="00E21594">
            <w:pPr>
              <w:rPr>
                <w:sz w:val="22"/>
                <w:szCs w:val="22"/>
              </w:rPr>
            </w:pPr>
            <w:r w:rsidRPr="006D2675">
              <w:rPr>
                <w:sz w:val="22"/>
                <w:szCs w:val="22"/>
              </w:rPr>
              <w:t>1032</w:t>
            </w:r>
          </w:p>
        </w:tc>
        <w:tc>
          <w:tcPr>
            <w:tcW w:w="0" w:type="auto"/>
            <w:tcBorders>
              <w:top w:val="nil"/>
              <w:left w:val="nil"/>
              <w:bottom w:val="nil"/>
              <w:right w:val="nil"/>
            </w:tcBorders>
            <w:shd w:val="clear" w:color="auto" w:fill="auto"/>
            <w:noWrap/>
            <w:vAlign w:val="center"/>
            <w:hideMark/>
          </w:tcPr>
          <w:p w14:paraId="4CA713EB" w14:textId="77777777" w:rsidR="001D08FA" w:rsidRPr="006D2675" w:rsidRDefault="001D08FA" w:rsidP="00E21594">
            <w:pPr>
              <w:rPr>
                <w:sz w:val="22"/>
                <w:szCs w:val="22"/>
              </w:rPr>
            </w:pPr>
            <w:r w:rsidRPr="006D2675">
              <w:rPr>
                <w:sz w:val="22"/>
                <w:szCs w:val="22"/>
              </w:rPr>
              <w:t>826</w:t>
            </w:r>
          </w:p>
        </w:tc>
      </w:tr>
      <w:tr w:rsidR="001D08FA" w:rsidRPr="00540D60" w14:paraId="2F98A87E" w14:textId="77777777" w:rsidTr="00E21594">
        <w:trPr>
          <w:trHeight w:val="300"/>
        </w:trPr>
        <w:tc>
          <w:tcPr>
            <w:tcW w:w="0" w:type="auto"/>
            <w:tcBorders>
              <w:top w:val="nil"/>
              <w:left w:val="nil"/>
              <w:bottom w:val="nil"/>
              <w:right w:val="nil"/>
            </w:tcBorders>
            <w:shd w:val="clear" w:color="auto" w:fill="auto"/>
            <w:noWrap/>
            <w:vAlign w:val="bottom"/>
            <w:hideMark/>
          </w:tcPr>
          <w:p w14:paraId="54965228" w14:textId="77777777" w:rsidR="001D08FA" w:rsidRPr="006D2675" w:rsidRDefault="001D08FA" w:rsidP="00E21594">
            <w:pPr>
              <w:rPr>
                <w:sz w:val="22"/>
                <w:szCs w:val="22"/>
              </w:rPr>
            </w:pPr>
            <w:r w:rsidRPr="006D2675">
              <w:rPr>
                <w:sz w:val="22"/>
                <w:szCs w:val="22"/>
              </w:rPr>
              <w:t>10</w:t>
            </w:r>
          </w:p>
        </w:tc>
        <w:tc>
          <w:tcPr>
            <w:tcW w:w="0" w:type="auto"/>
            <w:tcBorders>
              <w:top w:val="nil"/>
              <w:left w:val="nil"/>
              <w:bottom w:val="nil"/>
              <w:right w:val="nil"/>
            </w:tcBorders>
            <w:shd w:val="clear" w:color="auto" w:fill="auto"/>
            <w:noWrap/>
            <w:vAlign w:val="center"/>
            <w:hideMark/>
          </w:tcPr>
          <w:p w14:paraId="25DAB27B" w14:textId="77777777" w:rsidR="001D08FA" w:rsidRPr="006D2675" w:rsidRDefault="001D08FA" w:rsidP="00E21594">
            <w:pPr>
              <w:rPr>
                <w:sz w:val="22"/>
                <w:szCs w:val="22"/>
              </w:rPr>
            </w:pPr>
            <w:r w:rsidRPr="006D2675">
              <w:rPr>
                <w:sz w:val="22"/>
                <w:szCs w:val="22"/>
              </w:rPr>
              <w:t>6770</w:t>
            </w:r>
          </w:p>
        </w:tc>
        <w:tc>
          <w:tcPr>
            <w:tcW w:w="0" w:type="auto"/>
            <w:tcBorders>
              <w:top w:val="nil"/>
              <w:left w:val="nil"/>
              <w:bottom w:val="nil"/>
              <w:right w:val="nil"/>
            </w:tcBorders>
            <w:shd w:val="clear" w:color="auto" w:fill="auto"/>
            <w:noWrap/>
            <w:vAlign w:val="center"/>
            <w:hideMark/>
          </w:tcPr>
          <w:p w14:paraId="51FDEC61" w14:textId="77777777" w:rsidR="001D08FA" w:rsidRPr="006D2675" w:rsidRDefault="001D08FA" w:rsidP="00E21594">
            <w:pPr>
              <w:rPr>
                <w:sz w:val="22"/>
                <w:szCs w:val="22"/>
              </w:rPr>
            </w:pPr>
            <w:r w:rsidRPr="006D2675">
              <w:rPr>
                <w:sz w:val="22"/>
                <w:szCs w:val="22"/>
              </w:rPr>
              <w:t>5281</w:t>
            </w:r>
          </w:p>
        </w:tc>
        <w:tc>
          <w:tcPr>
            <w:tcW w:w="0" w:type="auto"/>
            <w:tcBorders>
              <w:top w:val="nil"/>
              <w:left w:val="nil"/>
              <w:bottom w:val="nil"/>
              <w:right w:val="nil"/>
            </w:tcBorders>
            <w:shd w:val="clear" w:color="auto" w:fill="auto"/>
            <w:noWrap/>
            <w:vAlign w:val="center"/>
            <w:hideMark/>
          </w:tcPr>
          <w:p w14:paraId="15621AF6" w14:textId="77777777" w:rsidR="001D08FA" w:rsidRPr="006D2675" w:rsidRDefault="001D08FA" w:rsidP="00E21594">
            <w:pPr>
              <w:rPr>
                <w:sz w:val="22"/>
                <w:szCs w:val="22"/>
              </w:rPr>
            </w:pPr>
            <w:r w:rsidRPr="006D2675">
              <w:rPr>
                <w:sz w:val="22"/>
                <w:szCs w:val="22"/>
              </w:rPr>
              <w:t>4281</w:t>
            </w:r>
          </w:p>
        </w:tc>
        <w:tc>
          <w:tcPr>
            <w:tcW w:w="0" w:type="auto"/>
            <w:tcBorders>
              <w:top w:val="nil"/>
              <w:left w:val="nil"/>
              <w:bottom w:val="nil"/>
              <w:right w:val="nil"/>
            </w:tcBorders>
            <w:shd w:val="clear" w:color="auto" w:fill="auto"/>
            <w:noWrap/>
            <w:vAlign w:val="center"/>
            <w:hideMark/>
          </w:tcPr>
          <w:p w14:paraId="6FB0FB0C" w14:textId="77777777" w:rsidR="001D08FA" w:rsidRPr="006D2675" w:rsidRDefault="001D08FA" w:rsidP="00E21594">
            <w:pPr>
              <w:rPr>
                <w:sz w:val="22"/>
                <w:szCs w:val="22"/>
              </w:rPr>
            </w:pPr>
            <w:r w:rsidRPr="006D2675">
              <w:rPr>
                <w:sz w:val="22"/>
                <w:szCs w:val="22"/>
              </w:rPr>
              <w:t>3532</w:t>
            </w:r>
          </w:p>
        </w:tc>
        <w:tc>
          <w:tcPr>
            <w:tcW w:w="0" w:type="auto"/>
            <w:tcBorders>
              <w:top w:val="nil"/>
              <w:left w:val="nil"/>
              <w:bottom w:val="nil"/>
              <w:right w:val="nil"/>
            </w:tcBorders>
            <w:shd w:val="clear" w:color="auto" w:fill="auto"/>
            <w:noWrap/>
            <w:vAlign w:val="center"/>
            <w:hideMark/>
          </w:tcPr>
          <w:p w14:paraId="739BF796" w14:textId="77777777" w:rsidR="001D08FA" w:rsidRPr="006D2675" w:rsidRDefault="001D08FA" w:rsidP="00E21594">
            <w:pPr>
              <w:rPr>
                <w:sz w:val="22"/>
                <w:szCs w:val="22"/>
              </w:rPr>
            </w:pPr>
            <w:r w:rsidRPr="006D2675">
              <w:rPr>
                <w:sz w:val="22"/>
                <w:szCs w:val="22"/>
              </w:rPr>
              <w:t>2895</w:t>
            </w:r>
          </w:p>
        </w:tc>
        <w:tc>
          <w:tcPr>
            <w:tcW w:w="0" w:type="auto"/>
            <w:tcBorders>
              <w:top w:val="nil"/>
              <w:left w:val="nil"/>
              <w:bottom w:val="nil"/>
              <w:right w:val="nil"/>
            </w:tcBorders>
            <w:shd w:val="clear" w:color="auto" w:fill="auto"/>
            <w:noWrap/>
            <w:vAlign w:val="center"/>
            <w:hideMark/>
          </w:tcPr>
          <w:p w14:paraId="41763BD7" w14:textId="77777777" w:rsidR="001D08FA" w:rsidRPr="006D2675" w:rsidRDefault="001D08FA" w:rsidP="00E21594">
            <w:pPr>
              <w:rPr>
                <w:sz w:val="22"/>
                <w:szCs w:val="22"/>
              </w:rPr>
            </w:pPr>
            <w:r w:rsidRPr="006D2675">
              <w:rPr>
                <w:sz w:val="22"/>
                <w:szCs w:val="22"/>
              </w:rPr>
              <w:t>2406</w:t>
            </w:r>
          </w:p>
        </w:tc>
        <w:tc>
          <w:tcPr>
            <w:tcW w:w="0" w:type="auto"/>
            <w:tcBorders>
              <w:top w:val="nil"/>
              <w:left w:val="nil"/>
              <w:bottom w:val="nil"/>
              <w:right w:val="nil"/>
            </w:tcBorders>
            <w:shd w:val="clear" w:color="auto" w:fill="auto"/>
            <w:noWrap/>
            <w:vAlign w:val="center"/>
            <w:hideMark/>
          </w:tcPr>
          <w:p w14:paraId="6FE274CE" w14:textId="77777777" w:rsidR="001D08FA" w:rsidRPr="006D2675" w:rsidRDefault="001D08FA" w:rsidP="00E21594">
            <w:pPr>
              <w:rPr>
                <w:sz w:val="22"/>
                <w:szCs w:val="22"/>
              </w:rPr>
            </w:pPr>
            <w:r w:rsidRPr="006D2675">
              <w:rPr>
                <w:sz w:val="22"/>
                <w:szCs w:val="22"/>
              </w:rPr>
              <w:t>1964</w:t>
            </w:r>
          </w:p>
        </w:tc>
        <w:tc>
          <w:tcPr>
            <w:tcW w:w="0" w:type="auto"/>
            <w:tcBorders>
              <w:top w:val="nil"/>
              <w:left w:val="nil"/>
              <w:bottom w:val="nil"/>
              <w:right w:val="nil"/>
            </w:tcBorders>
            <w:shd w:val="clear" w:color="auto" w:fill="auto"/>
            <w:noWrap/>
            <w:vAlign w:val="center"/>
            <w:hideMark/>
          </w:tcPr>
          <w:p w14:paraId="5DA7EA89" w14:textId="77777777" w:rsidR="001D08FA" w:rsidRPr="006D2675" w:rsidRDefault="001D08FA" w:rsidP="00E21594">
            <w:pPr>
              <w:rPr>
                <w:sz w:val="22"/>
                <w:szCs w:val="22"/>
              </w:rPr>
            </w:pPr>
            <w:r w:rsidRPr="006D2675">
              <w:rPr>
                <w:sz w:val="22"/>
                <w:szCs w:val="22"/>
              </w:rPr>
              <w:t>1585</w:t>
            </w:r>
          </w:p>
        </w:tc>
        <w:tc>
          <w:tcPr>
            <w:tcW w:w="0" w:type="auto"/>
            <w:tcBorders>
              <w:top w:val="nil"/>
              <w:left w:val="nil"/>
              <w:bottom w:val="nil"/>
              <w:right w:val="nil"/>
            </w:tcBorders>
            <w:shd w:val="clear" w:color="auto" w:fill="auto"/>
            <w:noWrap/>
            <w:vAlign w:val="center"/>
            <w:hideMark/>
          </w:tcPr>
          <w:p w14:paraId="0DDD7299" w14:textId="77777777" w:rsidR="001D08FA" w:rsidRPr="006D2675" w:rsidRDefault="001D08FA" w:rsidP="00E21594">
            <w:pPr>
              <w:rPr>
                <w:sz w:val="22"/>
                <w:szCs w:val="22"/>
              </w:rPr>
            </w:pPr>
            <w:r w:rsidRPr="006D2675">
              <w:rPr>
                <w:sz w:val="22"/>
                <w:szCs w:val="22"/>
              </w:rPr>
              <w:t>1290</w:t>
            </w:r>
          </w:p>
        </w:tc>
        <w:tc>
          <w:tcPr>
            <w:tcW w:w="0" w:type="auto"/>
            <w:tcBorders>
              <w:top w:val="nil"/>
              <w:left w:val="nil"/>
              <w:bottom w:val="nil"/>
              <w:right w:val="nil"/>
            </w:tcBorders>
            <w:shd w:val="clear" w:color="auto" w:fill="auto"/>
            <w:noWrap/>
            <w:vAlign w:val="center"/>
            <w:hideMark/>
          </w:tcPr>
          <w:p w14:paraId="03820F7C" w14:textId="77777777" w:rsidR="001D08FA" w:rsidRPr="006D2675" w:rsidRDefault="001D08FA" w:rsidP="00E21594">
            <w:pPr>
              <w:rPr>
                <w:sz w:val="22"/>
                <w:szCs w:val="22"/>
              </w:rPr>
            </w:pPr>
            <w:r w:rsidRPr="006D2675">
              <w:rPr>
                <w:sz w:val="22"/>
                <w:szCs w:val="22"/>
              </w:rPr>
              <w:t>1034</w:t>
            </w:r>
          </w:p>
        </w:tc>
      </w:tr>
      <w:tr w:rsidR="001D08FA" w:rsidRPr="00540D60" w14:paraId="426F7B2F" w14:textId="77777777" w:rsidTr="00E21594">
        <w:trPr>
          <w:trHeight w:val="300"/>
        </w:trPr>
        <w:tc>
          <w:tcPr>
            <w:tcW w:w="0" w:type="auto"/>
            <w:tcBorders>
              <w:top w:val="nil"/>
              <w:left w:val="nil"/>
              <w:bottom w:val="nil"/>
              <w:right w:val="nil"/>
            </w:tcBorders>
            <w:shd w:val="clear" w:color="auto" w:fill="auto"/>
            <w:noWrap/>
            <w:vAlign w:val="bottom"/>
            <w:hideMark/>
          </w:tcPr>
          <w:p w14:paraId="0E84B634" w14:textId="77777777" w:rsidR="001D08FA" w:rsidRPr="006D2675" w:rsidRDefault="001D08FA" w:rsidP="00E21594">
            <w:pPr>
              <w:rPr>
                <w:sz w:val="22"/>
                <w:szCs w:val="22"/>
              </w:rPr>
            </w:pPr>
            <w:r w:rsidRPr="006D2675">
              <w:rPr>
                <w:sz w:val="22"/>
                <w:szCs w:val="22"/>
              </w:rPr>
              <w:t>11</w:t>
            </w:r>
          </w:p>
        </w:tc>
        <w:tc>
          <w:tcPr>
            <w:tcW w:w="0" w:type="auto"/>
            <w:tcBorders>
              <w:top w:val="nil"/>
              <w:left w:val="nil"/>
              <w:bottom w:val="nil"/>
              <w:right w:val="nil"/>
            </w:tcBorders>
            <w:shd w:val="clear" w:color="auto" w:fill="auto"/>
            <w:noWrap/>
            <w:vAlign w:val="center"/>
            <w:hideMark/>
          </w:tcPr>
          <w:p w14:paraId="144EA6DC" w14:textId="77777777" w:rsidR="001D08FA" w:rsidRPr="006D2675" w:rsidRDefault="001D08FA" w:rsidP="00E21594">
            <w:pPr>
              <w:rPr>
                <w:sz w:val="22"/>
                <w:szCs w:val="22"/>
              </w:rPr>
            </w:pPr>
            <w:r w:rsidRPr="006D2675">
              <w:rPr>
                <w:sz w:val="22"/>
                <w:szCs w:val="22"/>
              </w:rPr>
              <w:t>8036</w:t>
            </w:r>
          </w:p>
        </w:tc>
        <w:tc>
          <w:tcPr>
            <w:tcW w:w="0" w:type="auto"/>
            <w:tcBorders>
              <w:top w:val="nil"/>
              <w:left w:val="nil"/>
              <w:bottom w:val="nil"/>
              <w:right w:val="nil"/>
            </w:tcBorders>
            <w:shd w:val="clear" w:color="auto" w:fill="auto"/>
            <w:noWrap/>
            <w:vAlign w:val="center"/>
            <w:hideMark/>
          </w:tcPr>
          <w:p w14:paraId="286401B7" w14:textId="77777777" w:rsidR="001D08FA" w:rsidRPr="006D2675" w:rsidRDefault="001D08FA" w:rsidP="00E21594">
            <w:pPr>
              <w:rPr>
                <w:sz w:val="22"/>
                <w:szCs w:val="22"/>
              </w:rPr>
            </w:pPr>
            <w:r w:rsidRPr="006D2675">
              <w:rPr>
                <w:sz w:val="22"/>
                <w:szCs w:val="22"/>
              </w:rPr>
              <w:t>6334</w:t>
            </w:r>
          </w:p>
        </w:tc>
        <w:tc>
          <w:tcPr>
            <w:tcW w:w="0" w:type="auto"/>
            <w:tcBorders>
              <w:top w:val="nil"/>
              <w:left w:val="nil"/>
              <w:bottom w:val="nil"/>
              <w:right w:val="nil"/>
            </w:tcBorders>
            <w:shd w:val="clear" w:color="auto" w:fill="auto"/>
            <w:noWrap/>
            <w:vAlign w:val="center"/>
            <w:hideMark/>
          </w:tcPr>
          <w:p w14:paraId="1FA2A160" w14:textId="77777777" w:rsidR="001D08FA" w:rsidRPr="006D2675" w:rsidRDefault="001D08FA" w:rsidP="00E21594">
            <w:pPr>
              <w:rPr>
                <w:sz w:val="22"/>
                <w:szCs w:val="22"/>
              </w:rPr>
            </w:pPr>
            <w:r w:rsidRPr="006D2675">
              <w:rPr>
                <w:sz w:val="22"/>
                <w:szCs w:val="22"/>
              </w:rPr>
              <w:t>5153</w:t>
            </w:r>
          </w:p>
        </w:tc>
        <w:tc>
          <w:tcPr>
            <w:tcW w:w="0" w:type="auto"/>
            <w:tcBorders>
              <w:top w:val="nil"/>
              <w:left w:val="nil"/>
              <w:bottom w:val="nil"/>
              <w:right w:val="nil"/>
            </w:tcBorders>
            <w:shd w:val="clear" w:color="auto" w:fill="auto"/>
            <w:noWrap/>
            <w:vAlign w:val="center"/>
            <w:hideMark/>
          </w:tcPr>
          <w:p w14:paraId="3D1595D3" w14:textId="77777777" w:rsidR="001D08FA" w:rsidRPr="006D2675" w:rsidRDefault="001D08FA" w:rsidP="00E21594">
            <w:pPr>
              <w:rPr>
                <w:sz w:val="22"/>
                <w:szCs w:val="22"/>
              </w:rPr>
            </w:pPr>
            <w:r w:rsidRPr="006D2675">
              <w:rPr>
                <w:sz w:val="22"/>
                <w:szCs w:val="22"/>
              </w:rPr>
              <w:t>4254</w:t>
            </w:r>
          </w:p>
        </w:tc>
        <w:tc>
          <w:tcPr>
            <w:tcW w:w="0" w:type="auto"/>
            <w:tcBorders>
              <w:top w:val="nil"/>
              <w:left w:val="nil"/>
              <w:bottom w:val="nil"/>
              <w:right w:val="nil"/>
            </w:tcBorders>
            <w:shd w:val="clear" w:color="auto" w:fill="auto"/>
            <w:noWrap/>
            <w:vAlign w:val="center"/>
            <w:hideMark/>
          </w:tcPr>
          <w:p w14:paraId="0021911B" w14:textId="77777777" w:rsidR="001D08FA" w:rsidRPr="006D2675" w:rsidRDefault="001D08FA" w:rsidP="00E21594">
            <w:pPr>
              <w:rPr>
                <w:sz w:val="22"/>
                <w:szCs w:val="22"/>
              </w:rPr>
            </w:pPr>
            <w:r w:rsidRPr="006D2675">
              <w:rPr>
                <w:sz w:val="22"/>
                <w:szCs w:val="22"/>
              </w:rPr>
              <w:t>3513</w:t>
            </w:r>
          </w:p>
        </w:tc>
        <w:tc>
          <w:tcPr>
            <w:tcW w:w="0" w:type="auto"/>
            <w:tcBorders>
              <w:top w:val="nil"/>
              <w:left w:val="nil"/>
              <w:bottom w:val="nil"/>
              <w:right w:val="nil"/>
            </w:tcBorders>
            <w:shd w:val="clear" w:color="auto" w:fill="auto"/>
            <w:noWrap/>
            <w:vAlign w:val="center"/>
            <w:hideMark/>
          </w:tcPr>
          <w:p w14:paraId="22C856EF" w14:textId="77777777" w:rsidR="001D08FA" w:rsidRPr="006D2675" w:rsidRDefault="001D08FA" w:rsidP="00E21594">
            <w:pPr>
              <w:rPr>
                <w:sz w:val="22"/>
                <w:szCs w:val="22"/>
              </w:rPr>
            </w:pPr>
            <w:r w:rsidRPr="006D2675">
              <w:rPr>
                <w:sz w:val="22"/>
                <w:szCs w:val="22"/>
              </w:rPr>
              <w:t>2915</w:t>
            </w:r>
          </w:p>
        </w:tc>
        <w:tc>
          <w:tcPr>
            <w:tcW w:w="0" w:type="auto"/>
            <w:tcBorders>
              <w:top w:val="nil"/>
              <w:left w:val="nil"/>
              <w:bottom w:val="nil"/>
              <w:right w:val="nil"/>
            </w:tcBorders>
            <w:shd w:val="clear" w:color="auto" w:fill="auto"/>
            <w:noWrap/>
            <w:vAlign w:val="center"/>
            <w:hideMark/>
          </w:tcPr>
          <w:p w14:paraId="7ABBC30C" w14:textId="77777777" w:rsidR="001D08FA" w:rsidRPr="006D2675" w:rsidRDefault="001D08FA" w:rsidP="00E21594">
            <w:pPr>
              <w:rPr>
                <w:sz w:val="22"/>
                <w:szCs w:val="22"/>
              </w:rPr>
            </w:pPr>
            <w:r w:rsidRPr="006D2675">
              <w:rPr>
                <w:sz w:val="22"/>
                <w:szCs w:val="22"/>
              </w:rPr>
              <w:t>2379</w:t>
            </w:r>
          </w:p>
        </w:tc>
        <w:tc>
          <w:tcPr>
            <w:tcW w:w="0" w:type="auto"/>
            <w:tcBorders>
              <w:top w:val="nil"/>
              <w:left w:val="nil"/>
              <w:bottom w:val="nil"/>
              <w:right w:val="nil"/>
            </w:tcBorders>
            <w:shd w:val="clear" w:color="auto" w:fill="auto"/>
            <w:noWrap/>
            <w:vAlign w:val="center"/>
            <w:hideMark/>
          </w:tcPr>
          <w:p w14:paraId="1036A2BE" w14:textId="77777777" w:rsidR="001D08FA" w:rsidRPr="006D2675" w:rsidRDefault="001D08FA" w:rsidP="00E21594">
            <w:pPr>
              <w:rPr>
                <w:sz w:val="22"/>
                <w:szCs w:val="22"/>
              </w:rPr>
            </w:pPr>
            <w:r w:rsidRPr="006D2675">
              <w:rPr>
                <w:sz w:val="22"/>
                <w:szCs w:val="22"/>
              </w:rPr>
              <w:t>1926</w:t>
            </w:r>
          </w:p>
        </w:tc>
        <w:tc>
          <w:tcPr>
            <w:tcW w:w="0" w:type="auto"/>
            <w:tcBorders>
              <w:top w:val="nil"/>
              <w:left w:val="nil"/>
              <w:bottom w:val="nil"/>
              <w:right w:val="nil"/>
            </w:tcBorders>
            <w:shd w:val="clear" w:color="auto" w:fill="auto"/>
            <w:noWrap/>
            <w:vAlign w:val="center"/>
            <w:hideMark/>
          </w:tcPr>
          <w:p w14:paraId="1B0DFE69" w14:textId="77777777" w:rsidR="001D08FA" w:rsidRPr="006D2675" w:rsidRDefault="001D08FA" w:rsidP="00E21594">
            <w:pPr>
              <w:rPr>
                <w:sz w:val="22"/>
                <w:szCs w:val="22"/>
              </w:rPr>
            </w:pPr>
            <w:r w:rsidRPr="006D2675">
              <w:rPr>
                <w:sz w:val="22"/>
                <w:szCs w:val="22"/>
              </w:rPr>
              <w:t>1571</w:t>
            </w:r>
          </w:p>
        </w:tc>
        <w:tc>
          <w:tcPr>
            <w:tcW w:w="0" w:type="auto"/>
            <w:tcBorders>
              <w:top w:val="nil"/>
              <w:left w:val="nil"/>
              <w:bottom w:val="nil"/>
              <w:right w:val="nil"/>
            </w:tcBorders>
            <w:shd w:val="clear" w:color="auto" w:fill="auto"/>
            <w:noWrap/>
            <w:vAlign w:val="center"/>
            <w:hideMark/>
          </w:tcPr>
          <w:p w14:paraId="02E5BC25" w14:textId="77777777" w:rsidR="001D08FA" w:rsidRPr="006D2675" w:rsidRDefault="001D08FA" w:rsidP="00E21594">
            <w:pPr>
              <w:rPr>
                <w:sz w:val="22"/>
                <w:szCs w:val="22"/>
              </w:rPr>
            </w:pPr>
            <w:r w:rsidRPr="006D2675">
              <w:rPr>
                <w:sz w:val="22"/>
                <w:szCs w:val="22"/>
              </w:rPr>
              <w:t>1264</w:t>
            </w:r>
          </w:p>
        </w:tc>
      </w:tr>
      <w:tr w:rsidR="001D08FA" w:rsidRPr="00540D60" w14:paraId="60F9CDFF" w14:textId="77777777" w:rsidTr="00E21594">
        <w:trPr>
          <w:trHeight w:val="300"/>
        </w:trPr>
        <w:tc>
          <w:tcPr>
            <w:tcW w:w="0" w:type="auto"/>
            <w:tcBorders>
              <w:top w:val="nil"/>
              <w:left w:val="nil"/>
              <w:bottom w:val="nil"/>
              <w:right w:val="nil"/>
            </w:tcBorders>
            <w:shd w:val="clear" w:color="auto" w:fill="auto"/>
            <w:noWrap/>
            <w:vAlign w:val="bottom"/>
            <w:hideMark/>
          </w:tcPr>
          <w:p w14:paraId="49D58634" w14:textId="77777777" w:rsidR="001D08FA" w:rsidRPr="006D2675" w:rsidRDefault="001D08FA" w:rsidP="00E21594">
            <w:pPr>
              <w:rPr>
                <w:sz w:val="22"/>
                <w:szCs w:val="22"/>
              </w:rPr>
            </w:pPr>
            <w:r w:rsidRPr="006D2675">
              <w:rPr>
                <w:sz w:val="22"/>
                <w:szCs w:val="22"/>
              </w:rPr>
              <w:t>12</w:t>
            </w:r>
          </w:p>
        </w:tc>
        <w:tc>
          <w:tcPr>
            <w:tcW w:w="0" w:type="auto"/>
            <w:tcBorders>
              <w:top w:val="nil"/>
              <w:left w:val="nil"/>
              <w:bottom w:val="nil"/>
              <w:right w:val="nil"/>
            </w:tcBorders>
            <w:shd w:val="clear" w:color="auto" w:fill="auto"/>
            <w:noWrap/>
            <w:vAlign w:val="center"/>
            <w:hideMark/>
          </w:tcPr>
          <w:p w14:paraId="1F8A585A" w14:textId="77777777" w:rsidR="001D08FA" w:rsidRPr="006D2675" w:rsidRDefault="001D08FA" w:rsidP="00E21594">
            <w:pPr>
              <w:rPr>
                <w:sz w:val="22"/>
                <w:szCs w:val="22"/>
              </w:rPr>
            </w:pPr>
            <w:r w:rsidRPr="006D2675">
              <w:rPr>
                <w:sz w:val="22"/>
                <w:szCs w:val="22"/>
              </w:rPr>
              <w:t>9269</w:t>
            </w:r>
          </w:p>
        </w:tc>
        <w:tc>
          <w:tcPr>
            <w:tcW w:w="0" w:type="auto"/>
            <w:tcBorders>
              <w:top w:val="nil"/>
              <w:left w:val="nil"/>
              <w:bottom w:val="nil"/>
              <w:right w:val="nil"/>
            </w:tcBorders>
            <w:shd w:val="clear" w:color="auto" w:fill="auto"/>
            <w:noWrap/>
            <w:vAlign w:val="center"/>
            <w:hideMark/>
          </w:tcPr>
          <w:p w14:paraId="196C37E9" w14:textId="77777777" w:rsidR="001D08FA" w:rsidRPr="006D2675" w:rsidRDefault="001D08FA" w:rsidP="00E21594">
            <w:pPr>
              <w:rPr>
                <w:sz w:val="22"/>
                <w:szCs w:val="22"/>
              </w:rPr>
            </w:pPr>
            <w:r w:rsidRPr="006D2675">
              <w:rPr>
                <w:sz w:val="22"/>
                <w:szCs w:val="22"/>
              </w:rPr>
              <w:t>7363</w:t>
            </w:r>
          </w:p>
        </w:tc>
        <w:tc>
          <w:tcPr>
            <w:tcW w:w="0" w:type="auto"/>
            <w:tcBorders>
              <w:top w:val="nil"/>
              <w:left w:val="nil"/>
              <w:bottom w:val="nil"/>
              <w:right w:val="nil"/>
            </w:tcBorders>
            <w:shd w:val="clear" w:color="auto" w:fill="auto"/>
            <w:noWrap/>
            <w:vAlign w:val="center"/>
            <w:hideMark/>
          </w:tcPr>
          <w:p w14:paraId="67A9967F" w14:textId="77777777" w:rsidR="001D08FA" w:rsidRPr="006D2675" w:rsidRDefault="001D08FA" w:rsidP="00E21594">
            <w:pPr>
              <w:rPr>
                <w:sz w:val="22"/>
                <w:szCs w:val="22"/>
              </w:rPr>
            </w:pPr>
            <w:r w:rsidRPr="006D2675">
              <w:rPr>
                <w:sz w:val="22"/>
                <w:szCs w:val="22"/>
              </w:rPr>
              <w:t>5983</w:t>
            </w:r>
          </w:p>
        </w:tc>
        <w:tc>
          <w:tcPr>
            <w:tcW w:w="0" w:type="auto"/>
            <w:tcBorders>
              <w:top w:val="nil"/>
              <w:left w:val="nil"/>
              <w:bottom w:val="nil"/>
              <w:right w:val="nil"/>
            </w:tcBorders>
            <w:shd w:val="clear" w:color="auto" w:fill="auto"/>
            <w:noWrap/>
            <w:vAlign w:val="center"/>
            <w:hideMark/>
          </w:tcPr>
          <w:p w14:paraId="6FFF7075" w14:textId="77777777" w:rsidR="001D08FA" w:rsidRPr="006D2675" w:rsidRDefault="001D08FA" w:rsidP="00E21594">
            <w:pPr>
              <w:rPr>
                <w:sz w:val="22"/>
                <w:szCs w:val="22"/>
              </w:rPr>
            </w:pPr>
            <w:r w:rsidRPr="006D2675">
              <w:rPr>
                <w:sz w:val="22"/>
                <w:szCs w:val="22"/>
              </w:rPr>
              <w:t>4940</w:t>
            </w:r>
          </w:p>
        </w:tc>
        <w:tc>
          <w:tcPr>
            <w:tcW w:w="0" w:type="auto"/>
            <w:tcBorders>
              <w:top w:val="nil"/>
              <w:left w:val="nil"/>
              <w:bottom w:val="nil"/>
              <w:right w:val="nil"/>
            </w:tcBorders>
            <w:shd w:val="clear" w:color="auto" w:fill="auto"/>
            <w:noWrap/>
            <w:vAlign w:val="center"/>
            <w:hideMark/>
          </w:tcPr>
          <w:p w14:paraId="358A2F0B" w14:textId="77777777" w:rsidR="001D08FA" w:rsidRPr="006D2675" w:rsidRDefault="001D08FA" w:rsidP="00E21594">
            <w:pPr>
              <w:rPr>
                <w:sz w:val="22"/>
                <w:szCs w:val="22"/>
              </w:rPr>
            </w:pPr>
            <w:r w:rsidRPr="006D2675">
              <w:rPr>
                <w:sz w:val="22"/>
                <w:szCs w:val="22"/>
              </w:rPr>
              <w:t>4093</w:t>
            </w:r>
          </w:p>
        </w:tc>
        <w:tc>
          <w:tcPr>
            <w:tcW w:w="0" w:type="auto"/>
            <w:tcBorders>
              <w:top w:val="nil"/>
              <w:left w:val="nil"/>
              <w:bottom w:val="nil"/>
              <w:right w:val="nil"/>
            </w:tcBorders>
            <w:shd w:val="clear" w:color="auto" w:fill="auto"/>
            <w:noWrap/>
            <w:vAlign w:val="center"/>
            <w:hideMark/>
          </w:tcPr>
          <w:p w14:paraId="113B7A1D" w14:textId="77777777" w:rsidR="001D08FA" w:rsidRPr="006D2675" w:rsidRDefault="001D08FA" w:rsidP="00E21594">
            <w:pPr>
              <w:rPr>
                <w:sz w:val="22"/>
                <w:szCs w:val="22"/>
              </w:rPr>
            </w:pPr>
            <w:r w:rsidRPr="006D2675">
              <w:rPr>
                <w:sz w:val="22"/>
                <w:szCs w:val="22"/>
              </w:rPr>
              <w:t>3398</w:t>
            </w:r>
          </w:p>
        </w:tc>
        <w:tc>
          <w:tcPr>
            <w:tcW w:w="0" w:type="auto"/>
            <w:tcBorders>
              <w:top w:val="nil"/>
              <w:left w:val="nil"/>
              <w:bottom w:val="nil"/>
              <w:right w:val="nil"/>
            </w:tcBorders>
            <w:shd w:val="clear" w:color="auto" w:fill="auto"/>
            <w:noWrap/>
            <w:vAlign w:val="center"/>
            <w:hideMark/>
          </w:tcPr>
          <w:p w14:paraId="31C85818" w14:textId="77777777" w:rsidR="001D08FA" w:rsidRPr="006D2675" w:rsidRDefault="001D08FA" w:rsidP="00E21594">
            <w:pPr>
              <w:rPr>
                <w:sz w:val="22"/>
                <w:szCs w:val="22"/>
              </w:rPr>
            </w:pPr>
            <w:r w:rsidRPr="006D2675">
              <w:rPr>
                <w:sz w:val="22"/>
                <w:szCs w:val="22"/>
              </w:rPr>
              <w:t>2777</w:t>
            </w:r>
          </w:p>
        </w:tc>
        <w:tc>
          <w:tcPr>
            <w:tcW w:w="0" w:type="auto"/>
            <w:tcBorders>
              <w:top w:val="nil"/>
              <w:left w:val="nil"/>
              <w:bottom w:val="nil"/>
              <w:right w:val="nil"/>
            </w:tcBorders>
            <w:shd w:val="clear" w:color="auto" w:fill="auto"/>
            <w:noWrap/>
            <w:vAlign w:val="center"/>
            <w:hideMark/>
          </w:tcPr>
          <w:p w14:paraId="6DE854FA" w14:textId="77777777" w:rsidR="001D08FA" w:rsidRPr="006D2675" w:rsidRDefault="001D08FA" w:rsidP="00E21594">
            <w:pPr>
              <w:rPr>
                <w:sz w:val="22"/>
                <w:szCs w:val="22"/>
              </w:rPr>
            </w:pPr>
            <w:r w:rsidRPr="006D2675">
              <w:rPr>
                <w:sz w:val="22"/>
                <w:szCs w:val="22"/>
              </w:rPr>
              <w:t>2264</w:t>
            </w:r>
          </w:p>
        </w:tc>
        <w:tc>
          <w:tcPr>
            <w:tcW w:w="0" w:type="auto"/>
            <w:tcBorders>
              <w:top w:val="nil"/>
              <w:left w:val="nil"/>
              <w:bottom w:val="nil"/>
              <w:right w:val="nil"/>
            </w:tcBorders>
            <w:shd w:val="clear" w:color="auto" w:fill="auto"/>
            <w:noWrap/>
            <w:vAlign w:val="center"/>
            <w:hideMark/>
          </w:tcPr>
          <w:p w14:paraId="0510E6DF" w14:textId="77777777" w:rsidR="001D08FA" w:rsidRPr="006D2675" w:rsidRDefault="001D08FA" w:rsidP="00E21594">
            <w:pPr>
              <w:rPr>
                <w:sz w:val="22"/>
                <w:szCs w:val="22"/>
              </w:rPr>
            </w:pPr>
            <w:r w:rsidRPr="006D2675">
              <w:rPr>
                <w:sz w:val="22"/>
                <w:szCs w:val="22"/>
              </w:rPr>
              <w:t>1840</w:t>
            </w:r>
          </w:p>
        </w:tc>
        <w:tc>
          <w:tcPr>
            <w:tcW w:w="0" w:type="auto"/>
            <w:tcBorders>
              <w:top w:val="nil"/>
              <w:left w:val="nil"/>
              <w:bottom w:val="nil"/>
              <w:right w:val="nil"/>
            </w:tcBorders>
            <w:shd w:val="clear" w:color="auto" w:fill="auto"/>
            <w:noWrap/>
            <w:vAlign w:val="center"/>
            <w:hideMark/>
          </w:tcPr>
          <w:p w14:paraId="7475A9A3" w14:textId="77777777" w:rsidR="001D08FA" w:rsidRPr="006D2675" w:rsidRDefault="001D08FA" w:rsidP="00E21594">
            <w:pPr>
              <w:rPr>
                <w:sz w:val="22"/>
                <w:szCs w:val="22"/>
              </w:rPr>
            </w:pPr>
            <w:r w:rsidRPr="006D2675">
              <w:rPr>
                <w:sz w:val="22"/>
                <w:szCs w:val="22"/>
              </w:rPr>
              <w:t>1473</w:t>
            </w:r>
          </w:p>
        </w:tc>
      </w:tr>
      <w:tr w:rsidR="001D08FA" w:rsidRPr="00540D60" w14:paraId="43078F68" w14:textId="77777777" w:rsidTr="00E21594">
        <w:trPr>
          <w:trHeight w:val="300"/>
        </w:trPr>
        <w:tc>
          <w:tcPr>
            <w:tcW w:w="0" w:type="auto"/>
            <w:tcBorders>
              <w:top w:val="nil"/>
              <w:left w:val="nil"/>
              <w:bottom w:val="nil"/>
              <w:right w:val="nil"/>
            </w:tcBorders>
            <w:shd w:val="clear" w:color="auto" w:fill="auto"/>
            <w:noWrap/>
            <w:vAlign w:val="bottom"/>
            <w:hideMark/>
          </w:tcPr>
          <w:p w14:paraId="6A608C2C" w14:textId="77777777" w:rsidR="001D08FA" w:rsidRPr="006D2675" w:rsidRDefault="001D08FA" w:rsidP="00E21594">
            <w:pPr>
              <w:rPr>
                <w:sz w:val="22"/>
                <w:szCs w:val="22"/>
              </w:rPr>
            </w:pPr>
            <w:r w:rsidRPr="006D2675">
              <w:rPr>
                <w:sz w:val="22"/>
                <w:szCs w:val="22"/>
              </w:rPr>
              <w:t>13</w:t>
            </w:r>
          </w:p>
        </w:tc>
        <w:tc>
          <w:tcPr>
            <w:tcW w:w="0" w:type="auto"/>
            <w:tcBorders>
              <w:top w:val="nil"/>
              <w:left w:val="nil"/>
              <w:bottom w:val="nil"/>
              <w:right w:val="nil"/>
            </w:tcBorders>
            <w:shd w:val="clear" w:color="auto" w:fill="auto"/>
            <w:noWrap/>
            <w:vAlign w:val="center"/>
            <w:hideMark/>
          </w:tcPr>
          <w:p w14:paraId="14EE5A57" w14:textId="77777777" w:rsidR="001D08FA" w:rsidRPr="006D2675" w:rsidRDefault="001D08FA" w:rsidP="00E21594">
            <w:pPr>
              <w:rPr>
                <w:sz w:val="22"/>
                <w:szCs w:val="22"/>
              </w:rPr>
            </w:pPr>
            <w:r w:rsidRPr="006D2675">
              <w:rPr>
                <w:sz w:val="22"/>
                <w:szCs w:val="22"/>
              </w:rPr>
              <w:t>10608</w:t>
            </w:r>
          </w:p>
        </w:tc>
        <w:tc>
          <w:tcPr>
            <w:tcW w:w="0" w:type="auto"/>
            <w:tcBorders>
              <w:top w:val="nil"/>
              <w:left w:val="nil"/>
              <w:bottom w:val="nil"/>
              <w:right w:val="nil"/>
            </w:tcBorders>
            <w:shd w:val="clear" w:color="auto" w:fill="auto"/>
            <w:noWrap/>
            <w:vAlign w:val="center"/>
            <w:hideMark/>
          </w:tcPr>
          <w:p w14:paraId="170C73BB" w14:textId="77777777" w:rsidR="001D08FA" w:rsidRPr="006D2675" w:rsidRDefault="001D08FA" w:rsidP="00E21594">
            <w:pPr>
              <w:rPr>
                <w:sz w:val="22"/>
                <w:szCs w:val="22"/>
              </w:rPr>
            </w:pPr>
            <w:r w:rsidRPr="006D2675">
              <w:rPr>
                <w:sz w:val="22"/>
                <w:szCs w:val="22"/>
              </w:rPr>
              <w:t>8461</w:t>
            </w:r>
          </w:p>
        </w:tc>
        <w:tc>
          <w:tcPr>
            <w:tcW w:w="0" w:type="auto"/>
            <w:tcBorders>
              <w:top w:val="nil"/>
              <w:left w:val="nil"/>
              <w:bottom w:val="nil"/>
              <w:right w:val="nil"/>
            </w:tcBorders>
            <w:shd w:val="clear" w:color="auto" w:fill="auto"/>
            <w:noWrap/>
            <w:vAlign w:val="center"/>
            <w:hideMark/>
          </w:tcPr>
          <w:p w14:paraId="53C08248" w14:textId="77777777" w:rsidR="001D08FA" w:rsidRPr="006D2675" w:rsidRDefault="001D08FA" w:rsidP="00E21594">
            <w:pPr>
              <w:rPr>
                <w:sz w:val="22"/>
                <w:szCs w:val="22"/>
              </w:rPr>
            </w:pPr>
            <w:r w:rsidRPr="006D2675">
              <w:rPr>
                <w:sz w:val="22"/>
                <w:szCs w:val="22"/>
              </w:rPr>
              <w:t>6889</w:t>
            </w:r>
          </w:p>
        </w:tc>
        <w:tc>
          <w:tcPr>
            <w:tcW w:w="0" w:type="auto"/>
            <w:tcBorders>
              <w:top w:val="nil"/>
              <w:left w:val="nil"/>
              <w:bottom w:val="nil"/>
              <w:right w:val="nil"/>
            </w:tcBorders>
            <w:shd w:val="clear" w:color="auto" w:fill="auto"/>
            <w:noWrap/>
            <w:vAlign w:val="center"/>
            <w:hideMark/>
          </w:tcPr>
          <w:p w14:paraId="1B52EA96" w14:textId="77777777" w:rsidR="001D08FA" w:rsidRPr="006D2675" w:rsidRDefault="001D08FA" w:rsidP="00E21594">
            <w:pPr>
              <w:rPr>
                <w:sz w:val="22"/>
                <w:szCs w:val="22"/>
              </w:rPr>
            </w:pPr>
            <w:r w:rsidRPr="006D2675">
              <w:rPr>
                <w:sz w:val="22"/>
                <w:szCs w:val="22"/>
              </w:rPr>
              <w:t>5698</w:t>
            </w:r>
          </w:p>
        </w:tc>
        <w:tc>
          <w:tcPr>
            <w:tcW w:w="0" w:type="auto"/>
            <w:tcBorders>
              <w:top w:val="nil"/>
              <w:left w:val="nil"/>
              <w:bottom w:val="nil"/>
              <w:right w:val="nil"/>
            </w:tcBorders>
            <w:shd w:val="clear" w:color="auto" w:fill="auto"/>
            <w:noWrap/>
            <w:vAlign w:val="center"/>
            <w:hideMark/>
          </w:tcPr>
          <w:p w14:paraId="56FE3B95" w14:textId="77777777" w:rsidR="001D08FA" w:rsidRPr="006D2675" w:rsidRDefault="001D08FA" w:rsidP="00E21594">
            <w:pPr>
              <w:rPr>
                <w:sz w:val="22"/>
                <w:szCs w:val="22"/>
              </w:rPr>
            </w:pPr>
            <w:r w:rsidRPr="006D2675">
              <w:rPr>
                <w:sz w:val="22"/>
                <w:szCs w:val="22"/>
              </w:rPr>
              <w:t>4737</w:t>
            </w:r>
          </w:p>
        </w:tc>
        <w:tc>
          <w:tcPr>
            <w:tcW w:w="0" w:type="auto"/>
            <w:tcBorders>
              <w:top w:val="nil"/>
              <w:left w:val="nil"/>
              <w:bottom w:val="nil"/>
              <w:right w:val="nil"/>
            </w:tcBorders>
            <w:shd w:val="clear" w:color="auto" w:fill="auto"/>
            <w:noWrap/>
            <w:vAlign w:val="center"/>
            <w:hideMark/>
          </w:tcPr>
          <w:p w14:paraId="72409AB8" w14:textId="77777777" w:rsidR="001D08FA" w:rsidRPr="006D2675" w:rsidRDefault="001D08FA" w:rsidP="00E21594">
            <w:pPr>
              <w:rPr>
                <w:sz w:val="22"/>
                <w:szCs w:val="22"/>
              </w:rPr>
            </w:pPr>
            <w:r w:rsidRPr="006D2675">
              <w:rPr>
                <w:sz w:val="22"/>
                <w:szCs w:val="22"/>
              </w:rPr>
              <w:t>3925</w:t>
            </w:r>
          </w:p>
        </w:tc>
        <w:tc>
          <w:tcPr>
            <w:tcW w:w="0" w:type="auto"/>
            <w:tcBorders>
              <w:top w:val="nil"/>
              <w:left w:val="nil"/>
              <w:bottom w:val="nil"/>
              <w:right w:val="nil"/>
            </w:tcBorders>
            <w:shd w:val="clear" w:color="auto" w:fill="auto"/>
            <w:noWrap/>
            <w:vAlign w:val="center"/>
            <w:hideMark/>
          </w:tcPr>
          <w:p w14:paraId="337C6BA5" w14:textId="77777777" w:rsidR="001D08FA" w:rsidRPr="006D2675" w:rsidRDefault="001D08FA" w:rsidP="00E21594">
            <w:pPr>
              <w:rPr>
                <w:sz w:val="22"/>
                <w:szCs w:val="22"/>
              </w:rPr>
            </w:pPr>
            <w:r w:rsidRPr="006D2675">
              <w:rPr>
                <w:sz w:val="22"/>
                <w:szCs w:val="22"/>
              </w:rPr>
              <w:t>3200</w:t>
            </w:r>
          </w:p>
        </w:tc>
        <w:tc>
          <w:tcPr>
            <w:tcW w:w="0" w:type="auto"/>
            <w:tcBorders>
              <w:top w:val="nil"/>
              <w:left w:val="nil"/>
              <w:bottom w:val="nil"/>
              <w:right w:val="nil"/>
            </w:tcBorders>
            <w:shd w:val="clear" w:color="auto" w:fill="auto"/>
            <w:noWrap/>
            <w:vAlign w:val="center"/>
            <w:hideMark/>
          </w:tcPr>
          <w:p w14:paraId="473A7ADF" w14:textId="77777777" w:rsidR="001D08FA" w:rsidRPr="006D2675" w:rsidRDefault="001D08FA" w:rsidP="00E21594">
            <w:pPr>
              <w:rPr>
                <w:sz w:val="22"/>
                <w:szCs w:val="22"/>
              </w:rPr>
            </w:pPr>
            <w:r w:rsidRPr="006D2675">
              <w:rPr>
                <w:sz w:val="22"/>
                <w:szCs w:val="22"/>
              </w:rPr>
              <w:t>2609</w:t>
            </w:r>
          </w:p>
        </w:tc>
        <w:tc>
          <w:tcPr>
            <w:tcW w:w="0" w:type="auto"/>
            <w:tcBorders>
              <w:top w:val="nil"/>
              <w:left w:val="nil"/>
              <w:bottom w:val="nil"/>
              <w:right w:val="nil"/>
            </w:tcBorders>
            <w:shd w:val="clear" w:color="auto" w:fill="auto"/>
            <w:noWrap/>
            <w:vAlign w:val="center"/>
            <w:hideMark/>
          </w:tcPr>
          <w:p w14:paraId="2988A65D" w14:textId="77777777" w:rsidR="001D08FA" w:rsidRPr="006D2675" w:rsidRDefault="001D08FA" w:rsidP="00E21594">
            <w:pPr>
              <w:rPr>
                <w:sz w:val="22"/>
                <w:szCs w:val="22"/>
              </w:rPr>
            </w:pPr>
            <w:r w:rsidRPr="006D2675">
              <w:rPr>
                <w:sz w:val="22"/>
                <w:szCs w:val="22"/>
              </w:rPr>
              <w:t>2112</w:t>
            </w:r>
          </w:p>
        </w:tc>
        <w:tc>
          <w:tcPr>
            <w:tcW w:w="0" w:type="auto"/>
            <w:tcBorders>
              <w:top w:val="nil"/>
              <w:left w:val="nil"/>
              <w:bottom w:val="nil"/>
              <w:right w:val="nil"/>
            </w:tcBorders>
            <w:shd w:val="clear" w:color="auto" w:fill="auto"/>
            <w:noWrap/>
            <w:vAlign w:val="center"/>
            <w:hideMark/>
          </w:tcPr>
          <w:p w14:paraId="7A630018" w14:textId="77777777" w:rsidR="001D08FA" w:rsidRPr="006D2675" w:rsidRDefault="001D08FA" w:rsidP="00E21594">
            <w:pPr>
              <w:rPr>
                <w:sz w:val="22"/>
                <w:szCs w:val="22"/>
              </w:rPr>
            </w:pPr>
            <w:r w:rsidRPr="006D2675">
              <w:rPr>
                <w:sz w:val="22"/>
                <w:szCs w:val="22"/>
              </w:rPr>
              <w:t>1694</w:t>
            </w:r>
          </w:p>
        </w:tc>
      </w:tr>
      <w:tr w:rsidR="001D08FA" w:rsidRPr="00540D60" w14:paraId="56A633A5" w14:textId="77777777" w:rsidTr="00E21594">
        <w:trPr>
          <w:trHeight w:val="300"/>
        </w:trPr>
        <w:tc>
          <w:tcPr>
            <w:tcW w:w="0" w:type="auto"/>
            <w:tcBorders>
              <w:top w:val="nil"/>
              <w:left w:val="nil"/>
              <w:bottom w:val="nil"/>
              <w:right w:val="nil"/>
            </w:tcBorders>
            <w:shd w:val="clear" w:color="auto" w:fill="auto"/>
            <w:noWrap/>
            <w:vAlign w:val="bottom"/>
            <w:hideMark/>
          </w:tcPr>
          <w:p w14:paraId="141557D5" w14:textId="77777777" w:rsidR="001D08FA" w:rsidRPr="006D2675" w:rsidRDefault="001D08FA" w:rsidP="00E21594">
            <w:pPr>
              <w:rPr>
                <w:sz w:val="22"/>
                <w:szCs w:val="22"/>
              </w:rPr>
            </w:pPr>
            <w:r w:rsidRPr="006D2675">
              <w:rPr>
                <w:sz w:val="22"/>
                <w:szCs w:val="22"/>
              </w:rPr>
              <w:t>14</w:t>
            </w:r>
          </w:p>
        </w:tc>
        <w:tc>
          <w:tcPr>
            <w:tcW w:w="0" w:type="auto"/>
            <w:tcBorders>
              <w:top w:val="nil"/>
              <w:left w:val="nil"/>
              <w:bottom w:val="nil"/>
              <w:right w:val="nil"/>
            </w:tcBorders>
            <w:shd w:val="clear" w:color="auto" w:fill="auto"/>
            <w:noWrap/>
            <w:vAlign w:val="center"/>
            <w:hideMark/>
          </w:tcPr>
          <w:p w14:paraId="11D7520F" w14:textId="77777777" w:rsidR="001D08FA" w:rsidRPr="006D2675" w:rsidRDefault="001D08FA" w:rsidP="00E21594">
            <w:pPr>
              <w:rPr>
                <w:sz w:val="22"/>
                <w:szCs w:val="22"/>
              </w:rPr>
            </w:pPr>
            <w:r w:rsidRPr="006D2675">
              <w:rPr>
                <w:sz w:val="22"/>
                <w:szCs w:val="22"/>
              </w:rPr>
              <w:t>11965</w:t>
            </w:r>
          </w:p>
        </w:tc>
        <w:tc>
          <w:tcPr>
            <w:tcW w:w="0" w:type="auto"/>
            <w:tcBorders>
              <w:top w:val="nil"/>
              <w:left w:val="nil"/>
              <w:bottom w:val="nil"/>
              <w:right w:val="nil"/>
            </w:tcBorders>
            <w:shd w:val="clear" w:color="auto" w:fill="auto"/>
            <w:noWrap/>
            <w:vAlign w:val="center"/>
            <w:hideMark/>
          </w:tcPr>
          <w:p w14:paraId="0C73CE76" w14:textId="77777777" w:rsidR="001D08FA" w:rsidRPr="006D2675" w:rsidRDefault="001D08FA" w:rsidP="00E21594">
            <w:pPr>
              <w:rPr>
                <w:sz w:val="22"/>
                <w:szCs w:val="22"/>
              </w:rPr>
            </w:pPr>
            <w:r w:rsidRPr="006D2675">
              <w:rPr>
                <w:sz w:val="22"/>
                <w:szCs w:val="22"/>
              </w:rPr>
              <w:t>9570</w:t>
            </w:r>
          </w:p>
        </w:tc>
        <w:tc>
          <w:tcPr>
            <w:tcW w:w="0" w:type="auto"/>
            <w:tcBorders>
              <w:top w:val="nil"/>
              <w:left w:val="nil"/>
              <w:bottom w:val="nil"/>
              <w:right w:val="nil"/>
            </w:tcBorders>
            <w:shd w:val="clear" w:color="auto" w:fill="auto"/>
            <w:noWrap/>
            <w:vAlign w:val="center"/>
            <w:hideMark/>
          </w:tcPr>
          <w:p w14:paraId="51C44382" w14:textId="77777777" w:rsidR="001D08FA" w:rsidRPr="006D2675" w:rsidRDefault="001D08FA" w:rsidP="00E21594">
            <w:pPr>
              <w:rPr>
                <w:sz w:val="22"/>
                <w:szCs w:val="22"/>
              </w:rPr>
            </w:pPr>
            <w:r w:rsidRPr="006D2675">
              <w:rPr>
                <w:sz w:val="22"/>
                <w:szCs w:val="22"/>
              </w:rPr>
              <w:t>7802</w:t>
            </w:r>
          </w:p>
        </w:tc>
        <w:tc>
          <w:tcPr>
            <w:tcW w:w="0" w:type="auto"/>
            <w:tcBorders>
              <w:top w:val="nil"/>
              <w:left w:val="nil"/>
              <w:bottom w:val="nil"/>
              <w:right w:val="nil"/>
            </w:tcBorders>
            <w:shd w:val="clear" w:color="auto" w:fill="auto"/>
            <w:noWrap/>
            <w:vAlign w:val="center"/>
            <w:hideMark/>
          </w:tcPr>
          <w:p w14:paraId="715EA65E" w14:textId="77777777" w:rsidR="001D08FA" w:rsidRPr="006D2675" w:rsidRDefault="001D08FA" w:rsidP="00E21594">
            <w:pPr>
              <w:rPr>
                <w:sz w:val="22"/>
                <w:szCs w:val="22"/>
              </w:rPr>
            </w:pPr>
            <w:r w:rsidRPr="006D2675">
              <w:rPr>
                <w:sz w:val="22"/>
                <w:szCs w:val="22"/>
              </w:rPr>
              <w:t>6446</w:t>
            </w:r>
          </w:p>
        </w:tc>
        <w:tc>
          <w:tcPr>
            <w:tcW w:w="0" w:type="auto"/>
            <w:tcBorders>
              <w:top w:val="nil"/>
              <w:left w:val="nil"/>
              <w:bottom w:val="nil"/>
              <w:right w:val="nil"/>
            </w:tcBorders>
            <w:shd w:val="clear" w:color="auto" w:fill="auto"/>
            <w:noWrap/>
            <w:vAlign w:val="center"/>
            <w:hideMark/>
          </w:tcPr>
          <w:p w14:paraId="572163AD" w14:textId="77777777" w:rsidR="001D08FA" w:rsidRPr="006D2675" w:rsidRDefault="001D08FA" w:rsidP="00E21594">
            <w:pPr>
              <w:rPr>
                <w:sz w:val="22"/>
                <w:szCs w:val="22"/>
              </w:rPr>
            </w:pPr>
            <w:r w:rsidRPr="006D2675">
              <w:rPr>
                <w:sz w:val="22"/>
                <w:szCs w:val="22"/>
              </w:rPr>
              <w:t>5356</w:t>
            </w:r>
          </w:p>
        </w:tc>
        <w:tc>
          <w:tcPr>
            <w:tcW w:w="0" w:type="auto"/>
            <w:tcBorders>
              <w:top w:val="nil"/>
              <w:left w:val="nil"/>
              <w:bottom w:val="nil"/>
              <w:right w:val="nil"/>
            </w:tcBorders>
            <w:shd w:val="clear" w:color="auto" w:fill="auto"/>
            <w:noWrap/>
            <w:vAlign w:val="center"/>
            <w:hideMark/>
          </w:tcPr>
          <w:p w14:paraId="36F9C388" w14:textId="77777777" w:rsidR="001D08FA" w:rsidRPr="006D2675" w:rsidRDefault="001D08FA" w:rsidP="00E21594">
            <w:pPr>
              <w:rPr>
                <w:sz w:val="22"/>
                <w:szCs w:val="22"/>
              </w:rPr>
            </w:pPr>
            <w:r w:rsidRPr="006D2675">
              <w:rPr>
                <w:sz w:val="22"/>
                <w:szCs w:val="22"/>
              </w:rPr>
              <w:t>4449</w:t>
            </w:r>
          </w:p>
        </w:tc>
        <w:tc>
          <w:tcPr>
            <w:tcW w:w="0" w:type="auto"/>
            <w:tcBorders>
              <w:top w:val="nil"/>
              <w:left w:val="nil"/>
              <w:bottom w:val="nil"/>
              <w:right w:val="nil"/>
            </w:tcBorders>
            <w:shd w:val="clear" w:color="auto" w:fill="auto"/>
            <w:noWrap/>
            <w:vAlign w:val="center"/>
            <w:hideMark/>
          </w:tcPr>
          <w:p w14:paraId="26CF1086" w14:textId="77777777" w:rsidR="001D08FA" w:rsidRPr="006D2675" w:rsidRDefault="001D08FA" w:rsidP="00E21594">
            <w:pPr>
              <w:rPr>
                <w:sz w:val="22"/>
                <w:szCs w:val="22"/>
              </w:rPr>
            </w:pPr>
            <w:r w:rsidRPr="006D2675">
              <w:rPr>
                <w:sz w:val="22"/>
                <w:szCs w:val="22"/>
              </w:rPr>
              <w:t>3634</w:t>
            </w:r>
          </w:p>
        </w:tc>
        <w:tc>
          <w:tcPr>
            <w:tcW w:w="0" w:type="auto"/>
            <w:tcBorders>
              <w:top w:val="nil"/>
              <w:left w:val="nil"/>
              <w:bottom w:val="nil"/>
              <w:right w:val="nil"/>
            </w:tcBorders>
            <w:shd w:val="clear" w:color="auto" w:fill="auto"/>
            <w:noWrap/>
            <w:vAlign w:val="center"/>
            <w:hideMark/>
          </w:tcPr>
          <w:p w14:paraId="70B9AF88" w14:textId="77777777" w:rsidR="001D08FA" w:rsidRPr="006D2675" w:rsidRDefault="001D08FA" w:rsidP="00E21594">
            <w:pPr>
              <w:rPr>
                <w:sz w:val="22"/>
                <w:szCs w:val="22"/>
              </w:rPr>
            </w:pPr>
            <w:r w:rsidRPr="006D2675">
              <w:rPr>
                <w:sz w:val="22"/>
                <w:szCs w:val="22"/>
              </w:rPr>
              <w:t>2942</w:t>
            </w:r>
          </w:p>
        </w:tc>
        <w:tc>
          <w:tcPr>
            <w:tcW w:w="0" w:type="auto"/>
            <w:tcBorders>
              <w:top w:val="nil"/>
              <w:left w:val="nil"/>
              <w:bottom w:val="nil"/>
              <w:right w:val="nil"/>
            </w:tcBorders>
            <w:shd w:val="clear" w:color="auto" w:fill="auto"/>
            <w:noWrap/>
            <w:vAlign w:val="center"/>
            <w:hideMark/>
          </w:tcPr>
          <w:p w14:paraId="1E8FDFDB" w14:textId="77777777" w:rsidR="001D08FA" w:rsidRPr="006D2675" w:rsidRDefault="001D08FA" w:rsidP="00E21594">
            <w:pPr>
              <w:rPr>
                <w:sz w:val="22"/>
                <w:szCs w:val="22"/>
              </w:rPr>
            </w:pPr>
            <w:r w:rsidRPr="006D2675">
              <w:rPr>
                <w:sz w:val="22"/>
                <w:szCs w:val="22"/>
              </w:rPr>
              <w:t>2374</w:t>
            </w:r>
          </w:p>
        </w:tc>
        <w:tc>
          <w:tcPr>
            <w:tcW w:w="0" w:type="auto"/>
            <w:tcBorders>
              <w:top w:val="nil"/>
              <w:left w:val="nil"/>
              <w:bottom w:val="nil"/>
              <w:right w:val="nil"/>
            </w:tcBorders>
            <w:shd w:val="clear" w:color="auto" w:fill="auto"/>
            <w:noWrap/>
            <w:vAlign w:val="center"/>
            <w:hideMark/>
          </w:tcPr>
          <w:p w14:paraId="108B9A2C" w14:textId="77777777" w:rsidR="001D08FA" w:rsidRPr="006D2675" w:rsidRDefault="001D08FA" w:rsidP="00E21594">
            <w:pPr>
              <w:rPr>
                <w:sz w:val="22"/>
                <w:szCs w:val="22"/>
              </w:rPr>
            </w:pPr>
            <w:r w:rsidRPr="006D2675">
              <w:rPr>
                <w:sz w:val="22"/>
                <w:szCs w:val="22"/>
              </w:rPr>
              <w:t>1915</w:t>
            </w:r>
          </w:p>
        </w:tc>
      </w:tr>
      <w:tr w:rsidR="001D08FA" w:rsidRPr="00540D60" w14:paraId="0BE0C511" w14:textId="77777777" w:rsidTr="00E21594">
        <w:trPr>
          <w:trHeight w:val="300"/>
        </w:trPr>
        <w:tc>
          <w:tcPr>
            <w:tcW w:w="0" w:type="auto"/>
            <w:tcBorders>
              <w:top w:val="nil"/>
              <w:left w:val="nil"/>
              <w:bottom w:val="single" w:sz="4" w:space="0" w:color="auto"/>
              <w:right w:val="nil"/>
            </w:tcBorders>
            <w:shd w:val="clear" w:color="auto" w:fill="auto"/>
            <w:noWrap/>
            <w:vAlign w:val="bottom"/>
            <w:hideMark/>
          </w:tcPr>
          <w:p w14:paraId="41181A7B" w14:textId="77777777" w:rsidR="001D08FA" w:rsidRPr="006D2675" w:rsidRDefault="001D08FA" w:rsidP="00E21594">
            <w:pPr>
              <w:rPr>
                <w:sz w:val="22"/>
                <w:szCs w:val="22"/>
              </w:rPr>
            </w:pPr>
            <w:r w:rsidRPr="006D2675">
              <w:rPr>
                <w:sz w:val="22"/>
                <w:szCs w:val="22"/>
              </w:rPr>
              <w:t>15</w:t>
            </w:r>
          </w:p>
        </w:tc>
        <w:tc>
          <w:tcPr>
            <w:tcW w:w="0" w:type="auto"/>
            <w:tcBorders>
              <w:top w:val="nil"/>
              <w:left w:val="nil"/>
              <w:bottom w:val="single" w:sz="4" w:space="0" w:color="auto"/>
              <w:right w:val="nil"/>
            </w:tcBorders>
            <w:shd w:val="clear" w:color="auto" w:fill="auto"/>
            <w:noWrap/>
            <w:vAlign w:val="center"/>
            <w:hideMark/>
          </w:tcPr>
          <w:p w14:paraId="54BCBCD8" w14:textId="77777777" w:rsidR="001D08FA" w:rsidRPr="006D2675" w:rsidRDefault="001D08FA" w:rsidP="00E21594">
            <w:pPr>
              <w:rPr>
                <w:sz w:val="22"/>
                <w:szCs w:val="22"/>
                <w:vertAlign w:val="superscript"/>
              </w:rPr>
            </w:pPr>
            <w:r w:rsidRPr="006D2675">
              <w:rPr>
                <w:sz w:val="22"/>
                <w:szCs w:val="22"/>
              </w:rPr>
              <w:t>13455</w:t>
            </w:r>
          </w:p>
        </w:tc>
        <w:tc>
          <w:tcPr>
            <w:tcW w:w="0" w:type="auto"/>
            <w:tcBorders>
              <w:top w:val="nil"/>
              <w:left w:val="nil"/>
              <w:bottom w:val="single" w:sz="4" w:space="0" w:color="auto"/>
              <w:right w:val="nil"/>
            </w:tcBorders>
            <w:shd w:val="clear" w:color="auto" w:fill="auto"/>
            <w:noWrap/>
            <w:vAlign w:val="center"/>
            <w:hideMark/>
          </w:tcPr>
          <w:p w14:paraId="67A59457" w14:textId="77777777" w:rsidR="001D08FA" w:rsidRPr="006D2675" w:rsidRDefault="001D08FA" w:rsidP="00E21594">
            <w:pPr>
              <w:rPr>
                <w:sz w:val="22"/>
                <w:szCs w:val="22"/>
              </w:rPr>
            </w:pPr>
            <w:r w:rsidRPr="006D2675">
              <w:rPr>
                <w:sz w:val="22"/>
                <w:szCs w:val="22"/>
              </w:rPr>
              <w:t>10811</w:t>
            </w:r>
          </w:p>
        </w:tc>
        <w:tc>
          <w:tcPr>
            <w:tcW w:w="0" w:type="auto"/>
            <w:tcBorders>
              <w:top w:val="nil"/>
              <w:left w:val="nil"/>
              <w:bottom w:val="single" w:sz="4" w:space="0" w:color="auto"/>
              <w:right w:val="nil"/>
            </w:tcBorders>
            <w:shd w:val="clear" w:color="auto" w:fill="auto"/>
            <w:noWrap/>
            <w:vAlign w:val="center"/>
            <w:hideMark/>
          </w:tcPr>
          <w:p w14:paraId="5638C0B2" w14:textId="77777777" w:rsidR="001D08FA" w:rsidRPr="006D2675" w:rsidRDefault="001D08FA" w:rsidP="00E21594">
            <w:pPr>
              <w:rPr>
                <w:sz w:val="22"/>
                <w:szCs w:val="22"/>
              </w:rPr>
            </w:pPr>
            <w:r w:rsidRPr="006D2675">
              <w:rPr>
                <w:sz w:val="22"/>
                <w:szCs w:val="22"/>
              </w:rPr>
              <w:t>8821</w:t>
            </w:r>
          </w:p>
        </w:tc>
        <w:tc>
          <w:tcPr>
            <w:tcW w:w="0" w:type="auto"/>
            <w:tcBorders>
              <w:top w:val="nil"/>
              <w:left w:val="nil"/>
              <w:bottom w:val="single" w:sz="4" w:space="0" w:color="auto"/>
              <w:right w:val="nil"/>
            </w:tcBorders>
            <w:shd w:val="clear" w:color="auto" w:fill="auto"/>
            <w:noWrap/>
            <w:vAlign w:val="center"/>
            <w:hideMark/>
          </w:tcPr>
          <w:p w14:paraId="5A454680" w14:textId="77777777" w:rsidR="001D08FA" w:rsidRPr="006D2675" w:rsidRDefault="001D08FA" w:rsidP="00E21594">
            <w:pPr>
              <w:rPr>
                <w:sz w:val="22"/>
                <w:szCs w:val="22"/>
              </w:rPr>
            </w:pPr>
            <w:r w:rsidRPr="006D2675">
              <w:rPr>
                <w:sz w:val="22"/>
                <w:szCs w:val="22"/>
              </w:rPr>
              <w:t>7298</w:t>
            </w:r>
          </w:p>
        </w:tc>
        <w:tc>
          <w:tcPr>
            <w:tcW w:w="0" w:type="auto"/>
            <w:tcBorders>
              <w:top w:val="nil"/>
              <w:left w:val="nil"/>
              <w:bottom w:val="single" w:sz="4" w:space="0" w:color="auto"/>
              <w:right w:val="nil"/>
            </w:tcBorders>
            <w:shd w:val="clear" w:color="auto" w:fill="auto"/>
            <w:noWrap/>
            <w:vAlign w:val="center"/>
            <w:hideMark/>
          </w:tcPr>
          <w:p w14:paraId="2EAE9489" w14:textId="77777777" w:rsidR="001D08FA" w:rsidRPr="006D2675" w:rsidRDefault="001D08FA" w:rsidP="00E21594">
            <w:pPr>
              <w:rPr>
                <w:sz w:val="22"/>
                <w:szCs w:val="22"/>
              </w:rPr>
            </w:pPr>
            <w:r w:rsidRPr="006D2675">
              <w:rPr>
                <w:sz w:val="22"/>
                <w:szCs w:val="22"/>
              </w:rPr>
              <w:t>6069</w:t>
            </w:r>
          </w:p>
        </w:tc>
        <w:tc>
          <w:tcPr>
            <w:tcW w:w="0" w:type="auto"/>
            <w:tcBorders>
              <w:top w:val="nil"/>
              <w:left w:val="nil"/>
              <w:bottom w:val="single" w:sz="4" w:space="0" w:color="auto"/>
              <w:right w:val="nil"/>
            </w:tcBorders>
            <w:shd w:val="clear" w:color="auto" w:fill="auto"/>
            <w:noWrap/>
            <w:vAlign w:val="center"/>
            <w:hideMark/>
          </w:tcPr>
          <w:p w14:paraId="7A852528" w14:textId="77777777" w:rsidR="001D08FA" w:rsidRPr="006D2675" w:rsidRDefault="001D08FA" w:rsidP="00E21594">
            <w:pPr>
              <w:rPr>
                <w:sz w:val="22"/>
                <w:szCs w:val="22"/>
              </w:rPr>
            </w:pPr>
            <w:r w:rsidRPr="006D2675">
              <w:rPr>
                <w:sz w:val="22"/>
                <w:szCs w:val="22"/>
              </w:rPr>
              <w:t>5036</w:t>
            </w:r>
          </w:p>
        </w:tc>
        <w:tc>
          <w:tcPr>
            <w:tcW w:w="0" w:type="auto"/>
            <w:tcBorders>
              <w:top w:val="nil"/>
              <w:left w:val="nil"/>
              <w:bottom w:val="single" w:sz="4" w:space="0" w:color="auto"/>
              <w:right w:val="nil"/>
            </w:tcBorders>
            <w:shd w:val="clear" w:color="auto" w:fill="auto"/>
            <w:noWrap/>
            <w:vAlign w:val="center"/>
            <w:hideMark/>
          </w:tcPr>
          <w:p w14:paraId="60EF641E" w14:textId="77777777" w:rsidR="001D08FA" w:rsidRPr="006D2675" w:rsidRDefault="001D08FA" w:rsidP="00E21594">
            <w:pPr>
              <w:rPr>
                <w:sz w:val="22"/>
                <w:szCs w:val="22"/>
              </w:rPr>
            </w:pPr>
            <w:r w:rsidRPr="006D2675">
              <w:rPr>
                <w:sz w:val="22"/>
                <w:szCs w:val="22"/>
              </w:rPr>
              <w:t>4116</w:t>
            </w:r>
          </w:p>
        </w:tc>
        <w:tc>
          <w:tcPr>
            <w:tcW w:w="0" w:type="auto"/>
            <w:tcBorders>
              <w:top w:val="nil"/>
              <w:left w:val="nil"/>
              <w:bottom w:val="single" w:sz="4" w:space="0" w:color="auto"/>
              <w:right w:val="nil"/>
            </w:tcBorders>
            <w:shd w:val="clear" w:color="auto" w:fill="auto"/>
            <w:noWrap/>
            <w:vAlign w:val="center"/>
            <w:hideMark/>
          </w:tcPr>
          <w:p w14:paraId="5AE0C503" w14:textId="77777777" w:rsidR="001D08FA" w:rsidRPr="006D2675" w:rsidRDefault="001D08FA" w:rsidP="00E21594">
            <w:pPr>
              <w:rPr>
                <w:sz w:val="22"/>
                <w:szCs w:val="22"/>
              </w:rPr>
            </w:pPr>
            <w:r w:rsidRPr="006D2675">
              <w:rPr>
                <w:sz w:val="22"/>
                <w:szCs w:val="22"/>
              </w:rPr>
              <w:t>3316</w:t>
            </w:r>
          </w:p>
        </w:tc>
        <w:tc>
          <w:tcPr>
            <w:tcW w:w="0" w:type="auto"/>
            <w:tcBorders>
              <w:top w:val="nil"/>
              <w:left w:val="nil"/>
              <w:bottom w:val="single" w:sz="4" w:space="0" w:color="auto"/>
              <w:right w:val="nil"/>
            </w:tcBorders>
            <w:shd w:val="clear" w:color="auto" w:fill="auto"/>
            <w:noWrap/>
            <w:vAlign w:val="center"/>
            <w:hideMark/>
          </w:tcPr>
          <w:p w14:paraId="7BF2F66D" w14:textId="77777777" w:rsidR="001D08FA" w:rsidRPr="006D2675" w:rsidRDefault="001D08FA" w:rsidP="00E21594">
            <w:pPr>
              <w:rPr>
                <w:sz w:val="22"/>
                <w:szCs w:val="22"/>
              </w:rPr>
            </w:pPr>
            <w:r w:rsidRPr="006D2675">
              <w:rPr>
                <w:sz w:val="22"/>
                <w:szCs w:val="22"/>
              </w:rPr>
              <w:t>2684</w:t>
            </w:r>
          </w:p>
        </w:tc>
        <w:tc>
          <w:tcPr>
            <w:tcW w:w="0" w:type="auto"/>
            <w:tcBorders>
              <w:top w:val="nil"/>
              <w:left w:val="nil"/>
              <w:bottom w:val="single" w:sz="4" w:space="0" w:color="auto"/>
              <w:right w:val="nil"/>
            </w:tcBorders>
            <w:shd w:val="clear" w:color="auto" w:fill="auto"/>
            <w:noWrap/>
            <w:vAlign w:val="center"/>
            <w:hideMark/>
          </w:tcPr>
          <w:p w14:paraId="32E4BAD8" w14:textId="77777777" w:rsidR="001D08FA" w:rsidRPr="006D2675" w:rsidRDefault="001D08FA" w:rsidP="00E21594">
            <w:pPr>
              <w:rPr>
                <w:sz w:val="22"/>
                <w:szCs w:val="22"/>
              </w:rPr>
            </w:pPr>
            <w:r w:rsidRPr="006D2675">
              <w:rPr>
                <w:sz w:val="22"/>
                <w:szCs w:val="22"/>
              </w:rPr>
              <w:t>2161</w:t>
            </w:r>
          </w:p>
        </w:tc>
      </w:tr>
    </w:tbl>
    <w:p w14:paraId="60BEE104" w14:textId="77777777" w:rsidR="001D08FA" w:rsidRDefault="001D08FA" w:rsidP="009B3FDC"/>
    <w:p w14:paraId="5436A09D" w14:textId="77777777" w:rsidR="00466DAC" w:rsidRDefault="00466DAC" w:rsidP="00466DAC">
      <w:r>
        <w:t>It should be noted that t</w:t>
      </w:r>
      <w:r w:rsidRPr="00540D60">
        <w:t xml:space="preserve">he vehicles identified as ‘regular’ in </w:t>
      </w:r>
      <w:r w:rsidRPr="00466DAC">
        <w:fldChar w:fldCharType="begin"/>
      </w:r>
      <w:r w:rsidRPr="00466DAC">
        <w:instrText xml:space="preserve"> REF _Ref460848904 \h  \* MERGEFORMAT </w:instrText>
      </w:r>
      <w:r w:rsidRPr="00466DAC">
        <w:fldChar w:fldCharType="separate"/>
      </w:r>
      <w:r w:rsidRPr="00466DAC">
        <w:t xml:space="preserve">Table </w:t>
      </w:r>
      <w:r w:rsidRPr="00466DAC">
        <w:rPr>
          <w:noProof/>
        </w:rPr>
        <w:t>1</w:t>
      </w:r>
      <w:r w:rsidRPr="00466DAC">
        <w:fldChar w:fldCharType="end"/>
      </w:r>
      <w:r>
        <w:t xml:space="preserve"> </w:t>
      </w:r>
      <w:r w:rsidRPr="00540D60">
        <w:t>were not necessarily all distinct from one another as some may have been defined as being regular at more than one site (for example, one vehicle</w:t>
      </w:r>
      <w:r>
        <w:t xml:space="preserve"> was observed to be regular at fiv</w:t>
      </w:r>
      <w:r w:rsidRPr="00540D60">
        <w:t xml:space="preserve">e separate </w:t>
      </w:r>
      <w:r>
        <w:t>site</w:t>
      </w:r>
      <w:r w:rsidRPr="00540D60">
        <w:t xml:space="preserve">s, including four </w:t>
      </w:r>
      <w:r>
        <w:t xml:space="preserve">sites where the vehicle was regular in </w:t>
      </w:r>
      <w:r w:rsidRPr="00540D60">
        <w:t>opposing directions of travel, indicating a regular return trip within the morning peak). A more detailed analysis of 2974 regular vehicles (N</w:t>
      </w:r>
      <w:r w:rsidRPr="00540D60">
        <w:rPr>
          <w:rFonts w:ascii="Symbol" w:hAnsi="Symbol" w:cs="Symbol"/>
        </w:rPr>
        <w:t></w:t>
      </w:r>
      <w:r w:rsidRPr="00540D60">
        <w:t xml:space="preserve">30, </w:t>
      </w:r>
      <w:r w:rsidRPr="00540D60">
        <w:rPr>
          <w:rFonts w:ascii="Symbol" w:hAnsi="Symbol"/>
        </w:rPr>
        <w:t></w:t>
      </w:r>
      <w:r w:rsidRPr="00540D60">
        <w:rPr>
          <w:rFonts w:ascii="Symbol" w:hAnsi="Symbol" w:cs="Symbol"/>
        </w:rPr>
        <w:t></w:t>
      </w:r>
      <w:r w:rsidRPr="00540D60">
        <w:t xml:space="preserve">10) during the first four months of the data collection period (4 April – 4 August, 2013), </w:t>
      </w:r>
      <w:r>
        <w:t>suggested</w:t>
      </w:r>
      <w:r w:rsidRPr="00540D60">
        <w:t xml:space="preserve"> that 1671 vehicles (56.2%) were regular at one site only; 686 (23.1%) at two sites; 332 (11.2%) at three; 181 (6.1%) at four; and 104 (3.5%) at between five and nine sites. </w:t>
      </w:r>
    </w:p>
    <w:p w14:paraId="176D02FB" w14:textId="77777777" w:rsidR="001D08FA" w:rsidRDefault="001D08FA" w:rsidP="009B3FDC"/>
    <w:p w14:paraId="72CEC455" w14:textId="2E6E4054" w:rsidR="009E64B6" w:rsidRDefault="009E64B6" w:rsidP="009B3FDC">
      <w:r>
        <w:t xml:space="preserve">For the analysis of </w:t>
      </w:r>
      <w:r w:rsidRPr="00540D60">
        <w:t xml:space="preserve">frequency of </w:t>
      </w:r>
      <w:r>
        <w:t xml:space="preserve">individual </w:t>
      </w:r>
      <w:r w:rsidRPr="00540D60">
        <w:t xml:space="preserve">vehicle observations (section </w:t>
      </w:r>
      <w:r>
        <w:t xml:space="preserve">4.1), a </w:t>
      </w:r>
      <w:r w:rsidRPr="00540D60">
        <w:t xml:space="preserve">minimum 90% read rate confidence level was </w:t>
      </w:r>
      <w:r>
        <w:t>appli</w:t>
      </w:r>
      <w:r w:rsidRPr="00540D60">
        <w:t xml:space="preserve">ed to avoid the inclusion of </w:t>
      </w:r>
      <w:r>
        <w:t xml:space="preserve">too many </w:t>
      </w:r>
      <w:r w:rsidRPr="00540D60">
        <w:t>spurious number plate</w:t>
      </w:r>
      <w:r>
        <w:t xml:space="preserve"> reading</w:t>
      </w:r>
      <w:r w:rsidRPr="00540D60">
        <w:t>s</w:t>
      </w:r>
      <w:r>
        <w:t xml:space="preserve">; however, it’s recognised that this procedure would likely have discarded significant numbers of genuine readings too (the overall sample was reduced by 25.9%). This relates to concerns raised in section 2.1 about ANPR not being well suited to counting vehicles, so the observations of section 4.1 should be treated with some caution. For the analysis of regularity of vehicle arrivals (section 5.1) </w:t>
      </w:r>
      <w:r w:rsidRPr="00540D60">
        <w:t xml:space="preserve">no minimum confidence level requirement was </w:t>
      </w:r>
      <w:r w:rsidR="009B3FDC">
        <w:t xml:space="preserve">applied </w:t>
      </w:r>
      <w:r>
        <w:t xml:space="preserve">on the basis that the selected </w:t>
      </w:r>
      <w:r w:rsidRPr="00540D60">
        <w:t xml:space="preserve">plates </w:t>
      </w:r>
      <w:r>
        <w:t xml:space="preserve">(i.e. those observed </w:t>
      </w:r>
      <w:r w:rsidR="009B3FDC">
        <w:t>N or more times</w:t>
      </w:r>
      <w:r>
        <w:t xml:space="preserve">) </w:t>
      </w:r>
      <w:r w:rsidRPr="00540D60">
        <w:t>w</w:t>
      </w:r>
      <w:r>
        <w:t xml:space="preserve">ould be highly likely to be </w:t>
      </w:r>
      <w:r w:rsidRPr="00540D60">
        <w:t>genuine</w:t>
      </w:r>
      <w:r w:rsidR="009B3FDC">
        <w:t xml:space="preserve"> (</w:t>
      </w:r>
      <w:r>
        <w:t>confidence grows with sample size</w:t>
      </w:r>
      <w:r w:rsidR="009B3FDC">
        <w:t>)</w:t>
      </w:r>
      <w:r>
        <w:t xml:space="preserve"> and, conversely, spurious plates would likely not be selected </w:t>
      </w:r>
      <w:r w:rsidR="009B3FDC">
        <w:t xml:space="preserve">due to appearing in the data infrequently, typically once only. </w:t>
      </w:r>
    </w:p>
    <w:p w14:paraId="79687515" w14:textId="77777777" w:rsidR="000856A8" w:rsidRDefault="000856A8" w:rsidP="009B3FDC"/>
    <w:p w14:paraId="380E7990" w14:textId="65AE06A8" w:rsidR="00F466C2" w:rsidRDefault="00921387" w:rsidP="00921387">
      <w:r>
        <w:t>A</w:t>
      </w:r>
      <w:r w:rsidR="003700A0" w:rsidRPr="00540D60">
        <w:t>nalys</w:t>
      </w:r>
      <w:r>
        <w:t>e</w:t>
      </w:r>
      <w:r w:rsidR="003700A0" w:rsidRPr="00540D60">
        <w:t xml:space="preserve">s </w:t>
      </w:r>
      <w:r w:rsidR="001F3E54">
        <w:t>f</w:t>
      </w:r>
      <w:r w:rsidR="003700A0" w:rsidRPr="00540D60">
        <w:t xml:space="preserve">ocussed on weekdays and defined morning </w:t>
      </w:r>
      <w:r w:rsidR="00664406" w:rsidRPr="00540D60">
        <w:t>(</w:t>
      </w:r>
      <w:r w:rsidR="00000077">
        <w:t>07</w:t>
      </w:r>
      <w:r w:rsidR="00664406" w:rsidRPr="00540D60">
        <w:t>00-</w:t>
      </w:r>
      <w:r w:rsidR="00000077">
        <w:t>09</w:t>
      </w:r>
      <w:r w:rsidR="00664406" w:rsidRPr="00540D60">
        <w:t>00)</w:t>
      </w:r>
      <w:r w:rsidR="00664406">
        <w:t xml:space="preserve"> </w:t>
      </w:r>
      <w:r w:rsidR="003700A0" w:rsidRPr="00540D60">
        <w:t xml:space="preserve">and afternoon peak </w:t>
      </w:r>
      <w:r w:rsidR="001F3E54">
        <w:t xml:space="preserve">traffic </w:t>
      </w:r>
      <w:r w:rsidR="003700A0" w:rsidRPr="00540D60">
        <w:t>time intervals</w:t>
      </w:r>
      <w:r w:rsidR="00664406">
        <w:t xml:space="preserve"> </w:t>
      </w:r>
      <w:r w:rsidR="00664406" w:rsidRPr="00540D60">
        <w:t>(</w:t>
      </w:r>
      <w:r w:rsidR="00000077">
        <w:t>16</w:t>
      </w:r>
      <w:r w:rsidR="00664406" w:rsidRPr="00540D60">
        <w:t>30-</w:t>
      </w:r>
      <w:r w:rsidR="00000077">
        <w:t>18</w:t>
      </w:r>
      <w:r w:rsidR="00664406" w:rsidRPr="00540D60">
        <w:t>30)</w:t>
      </w:r>
      <w:r w:rsidR="003700A0" w:rsidRPr="00540D60">
        <w:t xml:space="preserve">. </w:t>
      </w:r>
      <w:r w:rsidR="005A516E" w:rsidRPr="00540D60">
        <w:t>Using a similar approach to Cherrett and McDonald (2002), w</w:t>
      </w:r>
      <w:r w:rsidR="003700A0" w:rsidRPr="00540D60">
        <w:t>hen co</w:t>
      </w:r>
      <w:r w:rsidR="00664406">
        <w:t>nsidering a given time interval</w:t>
      </w:r>
      <w:r w:rsidR="003700A0" w:rsidRPr="00540D60">
        <w:t xml:space="preserve">, vehicle arrivals were included in the analysis if their mean arrival times were within the time interval, with the mean arrival time calculations being based on all </w:t>
      </w:r>
      <w:r w:rsidR="005A516E" w:rsidRPr="00540D60">
        <w:t>vehicle observations</w:t>
      </w:r>
      <w:r w:rsidR="003700A0" w:rsidRPr="00540D60">
        <w:t xml:space="preserve"> within </w:t>
      </w:r>
      <w:r w:rsidR="00F466C2">
        <w:t xml:space="preserve">the </w:t>
      </w:r>
      <w:r w:rsidR="003700A0" w:rsidRPr="00540D60">
        <w:t xml:space="preserve">interval extended by </w:t>
      </w:r>
      <w:r w:rsidR="005A516E" w:rsidRPr="00540D60">
        <w:t>30 minutes on each side</w:t>
      </w:r>
      <w:r w:rsidR="003700A0" w:rsidRPr="00540D60">
        <w:t xml:space="preserve"> (</w:t>
      </w:r>
      <w:r w:rsidR="00F466C2">
        <w:t>e.</w:t>
      </w:r>
      <w:r w:rsidR="003700A0" w:rsidRPr="00540D60">
        <w:t xml:space="preserve">g. </w:t>
      </w:r>
      <w:r w:rsidR="00000077">
        <w:t>06</w:t>
      </w:r>
      <w:r w:rsidR="003700A0" w:rsidRPr="00540D60">
        <w:t>30-</w:t>
      </w:r>
      <w:r w:rsidR="00000077">
        <w:t>09</w:t>
      </w:r>
      <w:r w:rsidR="003700A0" w:rsidRPr="00540D60">
        <w:t xml:space="preserve">30). As an example, a vehicle arriving at </w:t>
      </w:r>
      <w:r w:rsidR="00000077">
        <w:t>06</w:t>
      </w:r>
      <w:r w:rsidR="003700A0" w:rsidRPr="00540D60">
        <w:t xml:space="preserve">30, </w:t>
      </w:r>
      <w:r w:rsidR="00000077">
        <w:t>06</w:t>
      </w:r>
      <w:r w:rsidR="003700A0" w:rsidRPr="00540D60">
        <w:t xml:space="preserve">50, </w:t>
      </w:r>
      <w:r w:rsidR="00000077">
        <w:t>07</w:t>
      </w:r>
      <w:r w:rsidR="003700A0" w:rsidRPr="00540D60">
        <w:t xml:space="preserve">10, </w:t>
      </w:r>
      <w:r w:rsidR="00000077">
        <w:t>07</w:t>
      </w:r>
      <w:r w:rsidR="003700A0" w:rsidRPr="00540D60">
        <w:t xml:space="preserve">20 and </w:t>
      </w:r>
      <w:r w:rsidR="00000077">
        <w:t>07</w:t>
      </w:r>
      <w:r w:rsidR="003700A0" w:rsidRPr="00540D60">
        <w:t xml:space="preserve">25 on </w:t>
      </w:r>
      <w:r w:rsidR="003700A0" w:rsidRPr="00540D60">
        <w:lastRenderedPageBreak/>
        <w:t>different days would have been included in the analysis, as its mean arrival time (</w:t>
      </w:r>
      <w:r w:rsidR="00000077">
        <w:t>07</w:t>
      </w:r>
      <w:r w:rsidR="003700A0" w:rsidRPr="00540D60">
        <w:t>03) was within the defined morning peak time interval (</w:t>
      </w:r>
      <w:r w:rsidR="00000077">
        <w:t>07</w:t>
      </w:r>
      <w:r w:rsidR="003700A0" w:rsidRPr="00540D60">
        <w:t>00-</w:t>
      </w:r>
      <w:r w:rsidR="00000077">
        <w:t>09</w:t>
      </w:r>
      <w:r w:rsidR="003700A0" w:rsidRPr="00540D60">
        <w:t xml:space="preserve">00). Where a vehicle was observed more than once during a time interval on the same day then only the first observation was used when calculating its mean and standard deviation of arrival time. This happened rarely and was </w:t>
      </w:r>
      <w:r w:rsidR="00DF44F9" w:rsidRPr="00540D60">
        <w:t>often</w:t>
      </w:r>
      <w:r w:rsidR="003700A0" w:rsidRPr="00540D60">
        <w:t xml:space="preserve"> associated with buses which were separately identified using bus operator vehicle records and removed from the dataset.</w:t>
      </w:r>
      <w:r w:rsidR="0024785D">
        <w:t xml:space="preserve"> </w:t>
      </w:r>
    </w:p>
    <w:p w14:paraId="0C4184DA" w14:textId="77777777" w:rsidR="00F466C2" w:rsidRDefault="00F466C2" w:rsidP="00F466C2"/>
    <w:p w14:paraId="647F7E8B" w14:textId="289C69C5" w:rsidR="00F466C2" w:rsidRDefault="00F466C2" w:rsidP="00CC5E25">
      <w:r>
        <w:t xml:space="preserve">For the assessment of using regular vehicles as indicators of network </w:t>
      </w:r>
      <w:r w:rsidR="00CC5E25">
        <w:t xml:space="preserve">performance </w:t>
      </w:r>
      <w:r>
        <w:t xml:space="preserve">(section 5.2) </w:t>
      </w:r>
      <w:r w:rsidRPr="00540D60">
        <w:t xml:space="preserve">the </w:t>
      </w:r>
      <w:r w:rsidR="00ED2095">
        <w:t>mean</w:t>
      </w:r>
      <w:r w:rsidRPr="00540D60">
        <w:t xml:space="preserve"> standard score (also known as z-score) </w:t>
      </w:r>
      <w:r>
        <w:t xml:space="preserve">was calculated for a </w:t>
      </w:r>
      <w:r w:rsidRPr="00540D60">
        <w:t xml:space="preserve">defined </w:t>
      </w:r>
      <w:r>
        <w:t xml:space="preserve">set of </w:t>
      </w:r>
      <w:r w:rsidRPr="00540D60">
        <w:t xml:space="preserve">regular vehicles (1): </w:t>
      </w:r>
    </w:p>
    <w:p w14:paraId="0A2681D3" w14:textId="77777777" w:rsidR="00F466C2" w:rsidRPr="00540D60" w:rsidRDefault="00F466C2" w:rsidP="00F466C2"/>
    <w:p w14:paraId="024F41A4" w14:textId="77777777" w:rsidR="00F466C2" w:rsidRPr="00CC3067" w:rsidRDefault="00F466C2" w:rsidP="00F466C2">
      <w:pPr>
        <w:jc w:val="center"/>
        <w:rPr>
          <w:lang w:val="de-DE"/>
        </w:rPr>
      </w:pPr>
      <w:r w:rsidRPr="00CC3067">
        <w:rPr>
          <w:lang w:val="de-DE"/>
        </w:rPr>
        <w:t>z</w:t>
      </w:r>
      <w:r w:rsidRPr="00CC3067">
        <w:rPr>
          <w:i/>
          <w:iCs/>
          <w:vertAlign w:val="subscript"/>
          <w:lang w:val="de-DE"/>
        </w:rPr>
        <w:t>d</w:t>
      </w:r>
      <w:r w:rsidRPr="00CC3067">
        <w:rPr>
          <w:lang w:val="de-DE"/>
        </w:rPr>
        <w:t xml:space="preserve"> = </w:t>
      </w:r>
      <m:oMath>
        <m:r>
          <w:rPr>
            <w:rFonts w:ascii="Cambria Math" w:hAnsi="Cambria Math"/>
            <w:lang w:val="de-DE"/>
          </w:rPr>
          <m:t>(</m:t>
        </m:r>
        <m:f>
          <m:fPr>
            <m:ctrlPr>
              <w:rPr>
                <w:rFonts w:ascii="Cambria Math" w:hAnsi="Cambria Math"/>
              </w:rPr>
            </m:ctrlPr>
          </m:fPr>
          <m:num>
            <m:r>
              <m:rPr>
                <m:sty m:val="p"/>
              </m:rPr>
              <w:rPr>
                <w:rFonts w:ascii="Cambria Math" w:hAnsi="Cambria Math"/>
                <w:lang w:val="de-DE"/>
              </w:rPr>
              <m:t>1</m:t>
            </m:r>
            <m:ctrlPr>
              <w:rPr>
                <w:rFonts w:ascii="Cambria Math" w:hAnsi="Cambria Math"/>
                <w:i/>
              </w:rPr>
            </m:ctrlPr>
          </m:num>
          <m:den>
            <m:sSub>
              <m:sSubPr>
                <m:ctrlPr>
                  <w:rPr>
                    <w:rFonts w:ascii="Cambria Math" w:hAnsi="Cambria Math"/>
                  </w:rPr>
                </m:ctrlPr>
              </m:sSubPr>
              <m:e>
                <m:r>
                  <w:rPr>
                    <w:rFonts w:ascii="Cambria Math" w:hAnsi="Cambria Math"/>
                  </w:rPr>
                  <m:t>R</m:t>
                </m:r>
              </m:e>
              <m:sub>
                <m:r>
                  <w:rPr>
                    <w:rFonts w:ascii="Cambria Math" w:hAnsi="Cambria Math"/>
                  </w:rPr>
                  <m:t>d</m:t>
                </m:r>
              </m:sub>
            </m:sSub>
          </m:den>
        </m:f>
        <m:r>
          <m:rPr>
            <m:sty m:val="p"/>
          </m:rPr>
          <w:rPr>
            <w:rFonts w:ascii="Cambria Math" w:hAnsi="Cambria Math"/>
            <w:lang w:val="de-DE"/>
          </w:rPr>
          <m:t xml:space="preserve">)* </m:t>
        </m:r>
        <m:nary>
          <m:naryPr>
            <m:chr m:val="∑"/>
            <m:limLoc m:val="undOvr"/>
            <m:supHide m:val="1"/>
            <m:ctrlPr>
              <w:rPr>
                <w:rFonts w:ascii="Cambria Math" w:hAnsi="Cambria Math"/>
              </w:rPr>
            </m:ctrlPr>
          </m:naryPr>
          <m:sub>
            <m:r>
              <w:rPr>
                <w:rFonts w:ascii="Cambria Math" w:hAnsi="Cambria Math"/>
              </w:rPr>
              <m:t>i</m:t>
            </m:r>
            <m:r>
              <m:rPr>
                <m:sty m:val="p"/>
              </m:rPr>
              <w:rPr>
                <w:rFonts w:ascii="Cambria Math" w:hAnsi="Cambria Math"/>
                <w:lang w:val="de-DE"/>
              </w:rPr>
              <m:t>∈S</m:t>
            </m:r>
          </m:sub>
          <m:sup/>
          <m:e>
            <m:d>
              <m:dPr>
                <m:ctrlPr>
                  <w:rPr>
                    <w:rFonts w:ascii="Cambria Math" w:hAnsi="Cambria Math"/>
                    <w:iCs/>
                  </w:rPr>
                </m:ctrlPr>
              </m:dPr>
              <m:e>
                <m:sSub>
                  <m:sSubPr>
                    <m:ctrlPr>
                      <w:rPr>
                        <w:rFonts w:ascii="Cambria Math" w:hAnsi="Cambria Math"/>
                        <w:iCs/>
                      </w:rPr>
                    </m:ctrlPr>
                  </m:sSubPr>
                  <m:e>
                    <m:r>
                      <m:rPr>
                        <m:sty m:val="p"/>
                      </m:rPr>
                      <w:rPr>
                        <w:rFonts w:ascii="Cambria Math" w:hAnsi="Cambria Math"/>
                        <w:lang w:val="de-DE"/>
                      </w:rPr>
                      <m:t>t</m:t>
                    </m:r>
                  </m:e>
                  <m:sub>
                    <m:r>
                      <m:rPr>
                        <m:sty m:val="p"/>
                      </m:rPr>
                      <w:rPr>
                        <w:rFonts w:ascii="Cambria Math" w:hAnsi="Cambria Math"/>
                        <w:lang w:val="de-DE"/>
                      </w:rPr>
                      <m:t>i</m:t>
                    </m:r>
                  </m:sub>
                </m:sSub>
                <m:r>
                  <m:rPr>
                    <m:sty m:val="p"/>
                  </m:rPr>
                  <w:rPr>
                    <w:rFonts w:ascii="Cambria Math" w:hAnsi="Cambria Math"/>
                    <w:lang w:val="de-DE"/>
                  </w:rPr>
                  <m:t>-</m:t>
                </m:r>
                <m:sSub>
                  <m:sSubPr>
                    <m:ctrlPr>
                      <w:rPr>
                        <w:rFonts w:ascii="Cambria Math" w:hAnsi="Cambria Math"/>
                        <w:iCs/>
                      </w:rPr>
                    </m:ctrlPr>
                  </m:sSubPr>
                  <m:e>
                    <m:r>
                      <m:rPr>
                        <m:sty m:val="p"/>
                      </m:rPr>
                      <w:rPr>
                        <w:rFonts w:ascii="Cambria Math" w:hAnsi="Cambria Math"/>
                      </w:rPr>
                      <m:t>μ</m:t>
                    </m:r>
                  </m:e>
                  <m:sub>
                    <m:r>
                      <m:rPr>
                        <m:sty m:val="p"/>
                      </m:rPr>
                      <w:rPr>
                        <w:rFonts w:ascii="Cambria Math" w:hAnsi="Cambria Math"/>
                        <w:lang w:val="de-DE"/>
                      </w:rPr>
                      <m:t>i</m:t>
                    </m:r>
                  </m:sub>
                </m:sSub>
              </m:e>
            </m:d>
            <m:r>
              <m:rPr>
                <m:sty m:val="p"/>
              </m:rPr>
              <w:rPr>
                <w:rFonts w:ascii="Cambria Math" w:hAnsi="Cambria Math"/>
                <w:lang w:val="de-DE"/>
              </w:rPr>
              <m:t>/</m:t>
            </m:r>
            <m:sSub>
              <m:sSubPr>
                <m:ctrlPr>
                  <w:rPr>
                    <w:rFonts w:ascii="Cambria Math" w:hAnsi="Cambria Math"/>
                    <w:iCs/>
                  </w:rPr>
                </m:ctrlPr>
              </m:sSubPr>
              <m:e>
                <m:r>
                  <m:rPr>
                    <m:sty m:val="p"/>
                  </m:rPr>
                  <w:rPr>
                    <w:rFonts w:ascii="Cambria Math" w:hAnsi="Cambria Math"/>
                  </w:rPr>
                  <m:t>σ</m:t>
                </m:r>
              </m:e>
              <m:sub>
                <m:r>
                  <m:rPr>
                    <m:sty m:val="p"/>
                  </m:rPr>
                  <w:rPr>
                    <w:rFonts w:ascii="Cambria Math" w:hAnsi="Cambria Math"/>
                    <w:lang w:val="de-DE"/>
                  </w:rPr>
                  <m:t>i</m:t>
                </m:r>
              </m:sub>
            </m:sSub>
          </m:e>
        </m:nary>
      </m:oMath>
      <w:r w:rsidRPr="00CC3067">
        <w:rPr>
          <w:lang w:val="de-DE"/>
        </w:rPr>
        <w:tab/>
      </w:r>
      <w:r w:rsidRPr="00CC3067">
        <w:rPr>
          <w:lang w:val="de-DE"/>
        </w:rPr>
        <w:tab/>
        <w:t>(1)</w:t>
      </w:r>
    </w:p>
    <w:p w14:paraId="505B15C8" w14:textId="77777777" w:rsidR="00F466C2" w:rsidRPr="00540D60" w:rsidRDefault="00F466C2" w:rsidP="00F466C2">
      <w:r w:rsidRPr="00540D60">
        <w:t>where</w:t>
      </w:r>
      <w:r>
        <w:t>,</w:t>
      </w:r>
      <w:r w:rsidRPr="00540D60">
        <w:t xml:space="preserve"> </w:t>
      </w:r>
    </w:p>
    <w:p w14:paraId="515F6855" w14:textId="77777777" w:rsidR="00F466C2" w:rsidRDefault="00F466C2" w:rsidP="00F466C2">
      <w:pPr>
        <w:ind w:firstLine="567"/>
        <w:rPr>
          <w:rFonts w:ascii="Cambria Math" w:hAnsi="Cambria Math" w:hint="eastAsia"/>
        </w:rPr>
      </w:pPr>
      <w:r>
        <w:rPr>
          <w:rFonts w:ascii="Cambria Math" w:hAnsi="Cambria Math"/>
        </w:rPr>
        <w:t xml:space="preserve">S = set of </w:t>
      </w:r>
      <w:r w:rsidRPr="00540D60">
        <w:t xml:space="preserve">regular vehicles arriving in the time interval on day </w:t>
      </w:r>
      <w:r w:rsidRPr="00540D60">
        <w:rPr>
          <w:i/>
          <w:iCs/>
        </w:rPr>
        <w:t>d</w:t>
      </w:r>
    </w:p>
    <w:p w14:paraId="54325414" w14:textId="77777777" w:rsidR="00F466C2" w:rsidRPr="00540D60" w:rsidRDefault="00F466C2" w:rsidP="00F466C2">
      <w:pPr>
        <w:ind w:firstLine="567"/>
      </w:pPr>
      <w:r w:rsidRPr="00540D60">
        <w:rPr>
          <w:rFonts w:ascii="Cambria Math" w:hAnsi="Cambria Math"/>
        </w:rPr>
        <w:t>R</w:t>
      </w:r>
      <w:r w:rsidRPr="00540D60">
        <w:rPr>
          <w:rFonts w:ascii="Cambria Math" w:hAnsi="Cambria Math"/>
          <w:i/>
          <w:iCs/>
          <w:sz w:val="22"/>
          <w:szCs w:val="22"/>
          <w:vertAlign w:val="subscript"/>
        </w:rPr>
        <w:t>d</w:t>
      </w:r>
      <w:r w:rsidRPr="00540D60">
        <w:t xml:space="preserve"> = number of regular vehicles arriving in the time interval on day </w:t>
      </w:r>
      <w:r w:rsidRPr="00540D60">
        <w:rPr>
          <w:i/>
          <w:iCs/>
        </w:rPr>
        <w:t xml:space="preserve">d </w:t>
      </w:r>
    </w:p>
    <w:p w14:paraId="29D05CE2" w14:textId="77777777" w:rsidR="00F466C2" w:rsidRPr="00540D60" w:rsidRDefault="00F466C2" w:rsidP="00F466C2">
      <w:pPr>
        <w:ind w:firstLine="567"/>
      </w:pPr>
      <w:r w:rsidRPr="00540D60">
        <w:rPr>
          <w:rFonts w:ascii="Cambria Math" w:hAnsi="Cambria Math"/>
        </w:rPr>
        <w:t>t</w:t>
      </w:r>
      <w:r w:rsidRPr="00540D60">
        <w:rPr>
          <w:rFonts w:ascii="Cambria Math" w:hAnsi="Cambria Math"/>
          <w:vertAlign w:val="subscript"/>
        </w:rPr>
        <w:t xml:space="preserve"> i</w:t>
      </w:r>
      <w:r w:rsidRPr="00540D60">
        <w:t xml:space="preserve"> = arrival time of </w:t>
      </w:r>
      <w:r w:rsidRPr="00540D60">
        <w:rPr>
          <w:i/>
          <w:iCs/>
        </w:rPr>
        <w:t>i</w:t>
      </w:r>
      <w:r w:rsidRPr="00540D60">
        <w:rPr>
          <w:vertAlign w:val="superscript"/>
        </w:rPr>
        <w:t>th</w:t>
      </w:r>
      <w:r w:rsidRPr="00540D60">
        <w:t xml:space="preserve"> regular vehicle appearing on day </w:t>
      </w:r>
      <w:r w:rsidRPr="00540D60">
        <w:rPr>
          <w:i/>
          <w:iCs/>
        </w:rPr>
        <w:t>d</w:t>
      </w:r>
      <w:r w:rsidRPr="00540D60">
        <w:t xml:space="preserve">, </w:t>
      </w:r>
    </w:p>
    <w:p w14:paraId="398806DE" w14:textId="77777777" w:rsidR="00F466C2" w:rsidRPr="00540D60" w:rsidRDefault="00F466C2" w:rsidP="00F466C2">
      <w:pPr>
        <w:ind w:firstLine="567"/>
      </w:pPr>
      <w:r w:rsidRPr="00540D60">
        <w:rPr>
          <w:rFonts w:ascii="Symbol" w:hAnsi="Symbol"/>
        </w:rPr>
        <w:t></w:t>
      </w:r>
      <w:r w:rsidRPr="00540D60">
        <w:rPr>
          <w:rFonts w:ascii="Cambria Math" w:hAnsi="Cambria Math"/>
          <w:vertAlign w:val="subscript"/>
        </w:rPr>
        <w:t xml:space="preserve"> i</w:t>
      </w:r>
      <w:r w:rsidRPr="00540D60">
        <w:rPr>
          <w:vertAlign w:val="subscript"/>
        </w:rPr>
        <w:t xml:space="preserve"> </w:t>
      </w:r>
      <w:r w:rsidRPr="00540D60">
        <w:t xml:space="preserve">= mean arrival time of vehicle </w:t>
      </w:r>
      <w:r w:rsidRPr="00540D60">
        <w:rPr>
          <w:i/>
          <w:iCs/>
        </w:rPr>
        <w:t>i</w:t>
      </w:r>
      <w:r w:rsidRPr="00540D60">
        <w:t xml:space="preserve"> over the defined period, </w:t>
      </w:r>
    </w:p>
    <w:p w14:paraId="327C5867" w14:textId="77777777" w:rsidR="00F466C2" w:rsidRPr="00540D60" w:rsidRDefault="00F466C2" w:rsidP="00F466C2">
      <w:pPr>
        <w:ind w:firstLine="567"/>
      </w:pPr>
      <w:r w:rsidRPr="00540D60">
        <w:rPr>
          <w:rFonts w:ascii="Symbol" w:hAnsi="Symbol"/>
        </w:rPr>
        <w:t></w:t>
      </w:r>
      <w:r w:rsidRPr="00540D60">
        <w:rPr>
          <w:vertAlign w:val="subscript"/>
        </w:rPr>
        <w:t xml:space="preserve">i </w:t>
      </w:r>
      <w:r w:rsidRPr="00540D60">
        <w:t xml:space="preserve">= standard deviation of arrival time of vehicle </w:t>
      </w:r>
      <w:r w:rsidRPr="00540D60">
        <w:rPr>
          <w:i/>
          <w:iCs/>
        </w:rPr>
        <w:t>i</w:t>
      </w:r>
      <w:r w:rsidRPr="00540D60">
        <w:t xml:space="preserve"> over the defined period. </w:t>
      </w:r>
    </w:p>
    <w:p w14:paraId="039CBCF4" w14:textId="1374020E" w:rsidR="00F466C2" w:rsidRDefault="00F466C2" w:rsidP="00F466C2"/>
    <w:p w14:paraId="045C9349" w14:textId="0BD66841" w:rsidR="008B2FA6" w:rsidRPr="00540D60" w:rsidRDefault="00F466C2" w:rsidP="00921387">
      <w:r w:rsidRPr="00540D60">
        <w:t>Th</w:t>
      </w:r>
      <w:r>
        <w:t xml:space="preserve">e </w:t>
      </w:r>
      <w:r w:rsidR="00ED2095">
        <w:t>mean</w:t>
      </w:r>
      <w:r w:rsidR="00921387">
        <w:t xml:space="preserve"> standard score </w:t>
      </w:r>
      <w:r w:rsidRPr="00540D60">
        <w:t xml:space="preserve">represents the mean number of standard deviations that observed vehicle arrival times differ from their mean values, with positive values indicating lateness and negative values earliness. As the </w:t>
      </w:r>
      <w:r w:rsidR="00ED2095">
        <w:t>mean</w:t>
      </w:r>
      <w:r w:rsidRPr="00540D60">
        <w:t xml:space="preserve"> standard score can be skewed by a few vehicles being very early or late, the median standard score was also obtained for comparison. </w:t>
      </w:r>
      <w:r>
        <w:t xml:space="preserve">Individual </w:t>
      </w:r>
      <w:r w:rsidRPr="00540D60">
        <w:t>days were then ranked at each site according to both their mean and median standard score values to quickly identify the days with the highest values</w:t>
      </w:r>
      <w:r w:rsidR="00F638C2">
        <w:t xml:space="preserve"> where there might be some network problem causing vehicle delays</w:t>
      </w:r>
      <w:r w:rsidR="008B2FA6">
        <w:t xml:space="preserve">. To demonstrate the technique, in this analysis </w:t>
      </w:r>
      <w:r w:rsidR="008B2FA6" w:rsidRPr="00540D60">
        <w:t xml:space="preserve">we defined regular vehicles as being observed on N </w:t>
      </w:r>
      <w:r w:rsidR="008B2FA6" w:rsidRPr="00540D60">
        <w:rPr>
          <w:rFonts w:ascii="Symbol" w:hAnsi="Symbol" w:cs="Symbol"/>
        </w:rPr>
        <w:t></w:t>
      </w:r>
      <w:r w:rsidR="008B2FA6" w:rsidRPr="00540D60">
        <w:rPr>
          <w:rFonts w:ascii="Symbol" w:hAnsi="Symbol" w:cs="Symbol"/>
        </w:rPr>
        <w:t></w:t>
      </w:r>
      <w:r w:rsidR="008B2FA6" w:rsidRPr="00540D60">
        <w:t xml:space="preserve">30 occasions with a standard deviation in arrival time of </w:t>
      </w:r>
      <w:r w:rsidR="008B2FA6" w:rsidRPr="00540D60">
        <w:rPr>
          <w:rFonts w:ascii="Symbol" w:hAnsi="Symbol"/>
        </w:rPr>
        <w:t></w:t>
      </w:r>
      <w:r w:rsidR="008B2FA6" w:rsidRPr="00540D60">
        <w:rPr>
          <w:rFonts w:ascii="Symbol" w:hAnsi="Symbol"/>
        </w:rPr>
        <w:t></w:t>
      </w:r>
      <w:r w:rsidR="008B2FA6" w:rsidRPr="00540D60">
        <w:rPr>
          <w:rFonts w:ascii="Symbol" w:hAnsi="Symbol" w:cs="Symbol"/>
        </w:rPr>
        <w:t></w:t>
      </w:r>
      <w:r w:rsidR="008B2FA6" w:rsidRPr="00540D60">
        <w:rPr>
          <w:rFonts w:ascii="Symbol" w:hAnsi="Symbol" w:cs="Symbol"/>
        </w:rPr>
        <w:t></w:t>
      </w:r>
      <w:r w:rsidR="008B2FA6" w:rsidRPr="00540D60">
        <w:t>10 for the morning peak interval (</w:t>
      </w:r>
      <w:r w:rsidR="00000077">
        <w:t>07</w:t>
      </w:r>
      <w:r w:rsidR="008B2FA6" w:rsidRPr="00540D60">
        <w:t>00-</w:t>
      </w:r>
      <w:r w:rsidR="00000077">
        <w:t>09</w:t>
      </w:r>
      <w:r w:rsidR="008B2FA6" w:rsidRPr="00540D60">
        <w:t>00) over the period April–July 2013</w:t>
      </w:r>
      <w:r w:rsidR="008B2FA6">
        <w:t xml:space="preserve">. </w:t>
      </w:r>
    </w:p>
    <w:p w14:paraId="541CCD1C" w14:textId="77777777" w:rsidR="00505813" w:rsidRDefault="00505813" w:rsidP="000E5D4C"/>
    <w:p w14:paraId="250B14BE" w14:textId="77777777" w:rsidR="000856A8" w:rsidRDefault="00D27EDF" w:rsidP="000E5D4C">
      <w:r>
        <w:t xml:space="preserve">The analysis of churn of regular vehicles (section 5.3) was made by considering a </w:t>
      </w:r>
      <w:r w:rsidRPr="00540D60">
        <w:t>series of rolling four-month periods</w:t>
      </w:r>
      <w:r>
        <w:t xml:space="preserve"> with updating every month. That is, sets of regular vehicles were identified for the periods April-July, May-August, June-September etc., for each </w:t>
      </w:r>
      <w:r w:rsidR="008108CF">
        <w:t>site</w:t>
      </w:r>
      <w:r>
        <w:t xml:space="preserve"> during the morning peak and then compared with one another to assess for how </w:t>
      </w:r>
      <w:r w:rsidR="0017187F">
        <w:t xml:space="preserve">long individual vehicles were defined </w:t>
      </w:r>
      <w:r w:rsidR="000E5D4C">
        <w:t>as regular (number of periods) and the churn, expressed as a decay rate of the size of a pool of identified regular vehicles over time due to some ceasing to be regular.</w:t>
      </w:r>
    </w:p>
    <w:p w14:paraId="45950A5A" w14:textId="77777777" w:rsidR="000856A8" w:rsidRDefault="000856A8" w:rsidP="000E5D4C"/>
    <w:p w14:paraId="1E81A49D" w14:textId="4C30B433" w:rsidR="003700A0" w:rsidRPr="00540D60" w:rsidRDefault="000856A8" w:rsidP="00020371">
      <w:r>
        <w:t xml:space="preserve">While the main analyses focused on regularity of vehicle arrivals at a specific site, some </w:t>
      </w:r>
      <w:r>
        <w:rPr>
          <w:rFonts w:eastAsiaTheme="minorHAnsi"/>
          <w:lang w:eastAsia="en-US"/>
        </w:rPr>
        <w:t>example</w:t>
      </w:r>
      <w:r w:rsidR="00020371">
        <w:rPr>
          <w:rFonts w:eastAsiaTheme="minorHAnsi"/>
          <w:lang w:eastAsia="en-US"/>
        </w:rPr>
        <w:t xml:space="preserve"> analyse</w:t>
      </w:r>
      <w:r>
        <w:rPr>
          <w:rFonts w:eastAsiaTheme="minorHAnsi"/>
          <w:lang w:eastAsia="en-US"/>
        </w:rPr>
        <w:t xml:space="preserve">s of </w:t>
      </w:r>
      <w:r w:rsidR="00020371">
        <w:rPr>
          <w:rFonts w:eastAsiaTheme="minorHAnsi"/>
          <w:lang w:eastAsia="en-US"/>
        </w:rPr>
        <w:t xml:space="preserve">identifying individual </w:t>
      </w:r>
      <w:r>
        <w:rPr>
          <w:rFonts w:eastAsiaTheme="minorHAnsi"/>
          <w:lang w:eastAsia="en-US"/>
        </w:rPr>
        <w:t xml:space="preserve">vehicles between a pair of sites </w:t>
      </w:r>
      <w:r w:rsidR="00020371">
        <w:rPr>
          <w:rFonts w:eastAsiaTheme="minorHAnsi"/>
          <w:lang w:eastAsia="en-US"/>
        </w:rPr>
        <w:t xml:space="preserve">were </w:t>
      </w:r>
      <w:r>
        <w:rPr>
          <w:rFonts w:eastAsiaTheme="minorHAnsi"/>
          <w:lang w:eastAsia="en-US"/>
        </w:rPr>
        <w:t>a</w:t>
      </w:r>
      <w:r w:rsidR="00020371">
        <w:rPr>
          <w:rFonts w:eastAsiaTheme="minorHAnsi"/>
          <w:lang w:eastAsia="en-US"/>
        </w:rPr>
        <w:t>lso undertaken (</w:t>
      </w:r>
      <w:r>
        <w:rPr>
          <w:rFonts w:eastAsiaTheme="minorHAnsi"/>
          <w:lang w:eastAsia="en-US"/>
        </w:rPr>
        <w:t>section 4.1</w:t>
      </w:r>
      <w:r w:rsidR="00020371">
        <w:rPr>
          <w:rFonts w:eastAsiaTheme="minorHAnsi"/>
          <w:lang w:eastAsia="en-US"/>
        </w:rPr>
        <w:t>) to illustrate the potential for widening the investigation to consideration of specific routes</w:t>
      </w:r>
      <w:r>
        <w:rPr>
          <w:rFonts w:eastAsiaTheme="minorHAnsi"/>
          <w:lang w:eastAsia="en-US"/>
        </w:rPr>
        <w:t xml:space="preserve">.      </w:t>
      </w:r>
      <w:r w:rsidR="0017187F">
        <w:t xml:space="preserve"> </w:t>
      </w:r>
    </w:p>
    <w:p w14:paraId="2DF5F656" w14:textId="7BA9F4F8" w:rsidR="007C7502" w:rsidRPr="00540D60" w:rsidRDefault="007C7502" w:rsidP="0031399D">
      <w:pPr>
        <w:pStyle w:val="Heading1"/>
      </w:pPr>
      <w:r w:rsidRPr="00540D60">
        <w:t xml:space="preserve">Description of </w:t>
      </w:r>
      <w:r w:rsidR="005F4398" w:rsidRPr="00540D60">
        <w:t xml:space="preserve">the </w:t>
      </w:r>
      <w:r w:rsidR="00077C13" w:rsidRPr="00540D60">
        <w:t>case study area</w:t>
      </w:r>
      <w:r w:rsidR="00B4771A">
        <w:t xml:space="preserve"> and data</w:t>
      </w:r>
    </w:p>
    <w:p w14:paraId="3DB25959" w14:textId="6CDE393C" w:rsidR="00784531" w:rsidRPr="00540D60" w:rsidRDefault="007C7502" w:rsidP="0031399D">
      <w:r w:rsidRPr="00540D60">
        <w:t xml:space="preserve">The </w:t>
      </w:r>
      <w:r w:rsidR="00AC3AC9" w:rsidRPr="00540D60">
        <w:t xml:space="preserve">22 </w:t>
      </w:r>
      <w:r w:rsidRPr="00540D60">
        <w:t xml:space="preserve">ANPR </w:t>
      </w:r>
      <w:r w:rsidR="00AC3AC9" w:rsidRPr="00540D60">
        <w:t xml:space="preserve">cameras </w:t>
      </w:r>
      <w:r w:rsidR="0078265A" w:rsidRPr="00540D60">
        <w:t xml:space="preserve">were located </w:t>
      </w:r>
      <w:r w:rsidR="00B64CC9" w:rsidRPr="00540D60">
        <w:t>at 13 sites along the A354</w:t>
      </w:r>
      <w:r w:rsidR="00AC3AC9" w:rsidRPr="00540D60">
        <w:t xml:space="preserve"> connecting the county town of Dorchester (population approximately 19,100), the seaside town of Weymouth (population approximately 52,300) and the Isle of Portland (population approximately 12,400), Dorset, UK, a distance of around 15km (Figure 1).</w:t>
      </w:r>
      <w:r w:rsidR="0078265A" w:rsidRPr="00540D60">
        <w:t xml:space="preserve"> </w:t>
      </w:r>
      <w:r w:rsidR="00077C13" w:rsidRPr="00540D60">
        <w:t xml:space="preserve">Of the 13 sites, nine had two cameras, one </w:t>
      </w:r>
      <w:r w:rsidR="00077C13" w:rsidRPr="00540D60">
        <w:lastRenderedPageBreak/>
        <w:t>covering each direction of travel, and four had a single camera</w:t>
      </w:r>
      <w:r w:rsidR="002A5721">
        <w:t>. T</w:t>
      </w:r>
      <w:r w:rsidR="00704755" w:rsidRPr="00540D60">
        <w:t>h</w:t>
      </w:r>
      <w:r w:rsidR="00156621" w:rsidRPr="00540D60">
        <w:t xml:space="preserve">e directions covered </w:t>
      </w:r>
      <w:r w:rsidR="00000727" w:rsidRPr="00540D60">
        <w:t xml:space="preserve">at each site </w:t>
      </w:r>
      <w:r w:rsidR="00156621" w:rsidRPr="00540D60">
        <w:t xml:space="preserve">are </w:t>
      </w:r>
      <w:r w:rsidR="00704755" w:rsidRPr="00540D60">
        <w:t xml:space="preserve">indicated by </w:t>
      </w:r>
      <w:r w:rsidR="00156621" w:rsidRPr="00540D60">
        <w:t xml:space="preserve">arrows </w:t>
      </w:r>
      <w:r w:rsidR="00704755" w:rsidRPr="00540D60">
        <w:t>(Figure 1)</w:t>
      </w:r>
      <w:r w:rsidR="002A5721">
        <w:t xml:space="preserve"> and</w:t>
      </w:r>
      <w:r w:rsidR="00000727" w:rsidRPr="00540D60">
        <w:t xml:space="preserve"> all</w:t>
      </w:r>
      <w:r w:rsidR="002A5721">
        <w:t xml:space="preserve"> roads had two-way traffic flow</w:t>
      </w:r>
      <w:r w:rsidR="00077C13" w:rsidRPr="00540D60">
        <w:t xml:space="preserve">. </w:t>
      </w:r>
      <w:r w:rsidR="000E4591" w:rsidRPr="00540D60">
        <w:t>For the majority of its length</w:t>
      </w:r>
      <w:r w:rsidR="00E4736F" w:rsidRPr="00540D60">
        <w:t>,</w:t>
      </w:r>
      <w:r w:rsidR="002C4178" w:rsidRPr="00540D60">
        <w:t xml:space="preserve"> </w:t>
      </w:r>
      <w:r w:rsidR="000E4591" w:rsidRPr="00540D60">
        <w:t>t</w:t>
      </w:r>
      <w:r w:rsidR="004E7AEB" w:rsidRPr="00540D60">
        <w:t>h</w:t>
      </w:r>
      <w:r w:rsidR="0078265A" w:rsidRPr="00540D60">
        <w:t xml:space="preserve">e A354 </w:t>
      </w:r>
      <w:r w:rsidR="002C4178" w:rsidRPr="00540D60">
        <w:t>ha</w:t>
      </w:r>
      <w:r w:rsidR="0078265A" w:rsidRPr="00540D60">
        <w:t>d</w:t>
      </w:r>
      <w:r w:rsidR="00584502" w:rsidRPr="00540D60">
        <w:t xml:space="preserve"> a single lane </w:t>
      </w:r>
      <w:r w:rsidR="002C4178" w:rsidRPr="00540D60">
        <w:t xml:space="preserve">in each direction but with </w:t>
      </w:r>
      <w:r w:rsidR="003376BB" w:rsidRPr="00540D60">
        <w:t xml:space="preserve">two </w:t>
      </w:r>
      <w:r w:rsidR="00F30714" w:rsidRPr="00540D60">
        <w:t xml:space="preserve">northbound </w:t>
      </w:r>
      <w:r w:rsidR="003376BB" w:rsidRPr="00540D60">
        <w:t>lanes out of Weymouth</w:t>
      </w:r>
      <w:r w:rsidR="00F30714" w:rsidRPr="00540D60">
        <w:t xml:space="preserve"> (the Weymouth Relief Road)</w:t>
      </w:r>
      <w:r w:rsidR="003376BB" w:rsidRPr="00540D60">
        <w:t xml:space="preserve">. </w:t>
      </w:r>
      <w:r w:rsidR="009219F3" w:rsidRPr="00540D60">
        <w:t>Separate data from automatic traffic counters</w:t>
      </w:r>
      <w:r w:rsidR="004B4FE1" w:rsidRPr="00540D60">
        <w:t xml:space="preserve"> </w:t>
      </w:r>
      <w:r w:rsidR="00AF639A" w:rsidRPr="00540D60">
        <w:t xml:space="preserve">(pneumatic loops in the road surface), </w:t>
      </w:r>
      <w:r w:rsidR="004B4FE1" w:rsidRPr="00540D60">
        <w:t>at site</w:t>
      </w:r>
      <w:r w:rsidR="00AF639A" w:rsidRPr="00540D60">
        <w:t xml:space="preserve"> #3, </w:t>
      </w:r>
      <w:r w:rsidR="004B4FE1" w:rsidRPr="00540D60">
        <w:t>for</w:t>
      </w:r>
      <w:r w:rsidR="00AE7A79" w:rsidRPr="00540D60">
        <w:t xml:space="preserve"> 2013, </w:t>
      </w:r>
      <w:r w:rsidR="004B4FE1" w:rsidRPr="00540D60">
        <w:t>were obtained to quantify</w:t>
      </w:r>
      <w:r w:rsidR="009219F3" w:rsidRPr="00540D60">
        <w:t xml:space="preserve"> </w:t>
      </w:r>
      <w:r w:rsidR="00217983" w:rsidRPr="00540D60">
        <w:t>average working week (Monday to Friday) two-way vehicle flow</w:t>
      </w:r>
      <w:r w:rsidR="00380E1E" w:rsidRPr="00540D60">
        <w:t>s (TWVF)</w:t>
      </w:r>
      <w:r w:rsidR="00217983" w:rsidRPr="00540D60">
        <w:t xml:space="preserve"> by </w:t>
      </w:r>
      <w:r w:rsidR="00606565" w:rsidRPr="00540D60">
        <w:t>month</w:t>
      </w:r>
      <w:r w:rsidR="009219F3" w:rsidRPr="00540D60">
        <w:t xml:space="preserve"> (</w:t>
      </w:r>
      <w:r w:rsidR="009219F3" w:rsidRPr="00540D60">
        <w:fldChar w:fldCharType="begin"/>
      </w:r>
      <w:r w:rsidR="009219F3" w:rsidRPr="00540D60">
        <w:instrText xml:space="preserve"> REF _Ref402252382 \h  \* MERGEFORMAT </w:instrText>
      </w:r>
      <w:r w:rsidR="009219F3" w:rsidRPr="00540D60">
        <w:fldChar w:fldCharType="separate"/>
      </w:r>
      <w:r w:rsidR="00F1794F" w:rsidRPr="00540D60">
        <w:t>Figure 2</w:t>
      </w:r>
      <w:r w:rsidR="009219F3" w:rsidRPr="00540D60">
        <w:fldChar w:fldCharType="end"/>
      </w:r>
      <w:r w:rsidR="009219F3" w:rsidRPr="00540D60">
        <w:t>)</w:t>
      </w:r>
      <w:r w:rsidR="002A5721">
        <w:t>,</w:t>
      </w:r>
      <w:r w:rsidR="009219F3" w:rsidRPr="00540D60">
        <w:t xml:space="preserve"> and </w:t>
      </w:r>
      <w:r w:rsidR="00AE7A79" w:rsidRPr="00540D60">
        <w:t xml:space="preserve">by time of day </w:t>
      </w:r>
      <w:r w:rsidR="009219F3" w:rsidRPr="00540D60">
        <w:t>(</w:t>
      </w:r>
      <w:r w:rsidR="009219F3" w:rsidRPr="00540D60">
        <w:fldChar w:fldCharType="begin"/>
      </w:r>
      <w:r w:rsidR="009219F3" w:rsidRPr="00540D60">
        <w:instrText xml:space="preserve"> REF _Ref402254951 \h  \* MERGEFORMAT </w:instrText>
      </w:r>
      <w:r w:rsidR="009219F3" w:rsidRPr="00540D60">
        <w:fldChar w:fldCharType="separate"/>
      </w:r>
      <w:r w:rsidR="00F1794F" w:rsidRPr="00540D60">
        <w:t xml:space="preserve">Figure </w:t>
      </w:r>
      <w:r w:rsidR="00F1794F" w:rsidRPr="00540D60">
        <w:rPr>
          <w:noProof/>
        </w:rPr>
        <w:t>3</w:t>
      </w:r>
      <w:r w:rsidR="009219F3" w:rsidRPr="00540D60">
        <w:fldChar w:fldCharType="end"/>
      </w:r>
      <w:r w:rsidR="009219F3" w:rsidRPr="00540D60">
        <w:t xml:space="preserve">). These indicated </w:t>
      </w:r>
      <w:r w:rsidR="00E164C6" w:rsidRPr="00540D60">
        <w:t>a peak</w:t>
      </w:r>
      <w:r w:rsidR="00380E1E" w:rsidRPr="00540D60">
        <w:t xml:space="preserve"> </w:t>
      </w:r>
      <w:r w:rsidR="00E51FAD" w:rsidRPr="00540D60">
        <w:t xml:space="preserve">TWVF </w:t>
      </w:r>
      <w:r w:rsidR="00380E1E" w:rsidRPr="00540D60">
        <w:t>during July and Augus</w:t>
      </w:r>
      <w:r w:rsidR="00AF639A" w:rsidRPr="00540D60">
        <w:t>t of just over 29,300 vehicles per week</w:t>
      </w:r>
      <w:r w:rsidR="00380E1E" w:rsidRPr="00540D60">
        <w:t>,</w:t>
      </w:r>
      <w:r w:rsidR="0078265A" w:rsidRPr="00540D60">
        <w:t xml:space="preserve"> </w:t>
      </w:r>
      <w:r w:rsidR="007236BB" w:rsidRPr="00540D60">
        <w:t>with a continuous movement of over 1</w:t>
      </w:r>
      <w:r w:rsidR="004A28DD" w:rsidRPr="00540D60">
        <w:t>,</w:t>
      </w:r>
      <w:r w:rsidR="007236BB" w:rsidRPr="00540D60">
        <w:t xml:space="preserve">600 vehicles per hour (TWVF) between </w:t>
      </w:r>
      <w:r w:rsidR="00000077">
        <w:t>07</w:t>
      </w:r>
      <w:r w:rsidR="007236BB" w:rsidRPr="00540D60">
        <w:t xml:space="preserve">00 and </w:t>
      </w:r>
      <w:r w:rsidR="00000077">
        <w:t>18</w:t>
      </w:r>
      <w:r w:rsidR="00E51FAD" w:rsidRPr="00540D60">
        <w:t>00</w:t>
      </w:r>
      <w:r w:rsidR="0078265A" w:rsidRPr="00540D60">
        <w:t xml:space="preserve">. </w:t>
      </w:r>
      <w:r w:rsidR="00784531" w:rsidRPr="00540D60">
        <w:t xml:space="preserve">Separate </w:t>
      </w:r>
      <w:r w:rsidR="004A28DD" w:rsidRPr="00540D60">
        <w:t>o</w:t>
      </w:r>
      <w:r w:rsidR="00217983" w:rsidRPr="00540D60">
        <w:t xml:space="preserve">ne-way </w:t>
      </w:r>
      <w:r w:rsidR="0079764C" w:rsidRPr="00540D60">
        <w:t>counts</w:t>
      </w:r>
      <w:r w:rsidR="00217983" w:rsidRPr="00540D60">
        <w:t xml:space="preserve"> </w:t>
      </w:r>
      <w:r w:rsidR="00784531" w:rsidRPr="00540D60">
        <w:t xml:space="preserve">recorded during one week in June 2014 </w:t>
      </w:r>
      <w:r w:rsidR="00217983" w:rsidRPr="00540D60">
        <w:t>indicated that o</w:t>
      </w:r>
      <w:r w:rsidR="00C45A44" w:rsidRPr="00540D60">
        <w:t>n weekday mornings</w:t>
      </w:r>
      <w:r w:rsidR="002A5721">
        <w:t>,</w:t>
      </w:r>
      <w:r w:rsidR="00C45A44" w:rsidRPr="00540D60">
        <w:t xml:space="preserve"> the</w:t>
      </w:r>
      <w:r w:rsidR="00C45A44" w:rsidRPr="00540D60" w:rsidDel="003376BB">
        <w:t xml:space="preserve"> </w:t>
      </w:r>
      <w:r w:rsidR="00077C13" w:rsidRPr="00540D60">
        <w:t>predominant flow of vehicles wa</w:t>
      </w:r>
      <w:r w:rsidR="002A5721">
        <w:t>s northbound</w:t>
      </w:r>
      <w:r w:rsidR="00C45A44" w:rsidRPr="00540D60">
        <w:t xml:space="preserve"> </w:t>
      </w:r>
      <w:r w:rsidR="00735D9E" w:rsidRPr="00540D60">
        <w:t xml:space="preserve">towards Dorchester, while </w:t>
      </w:r>
      <w:r w:rsidR="00077C13" w:rsidRPr="00540D60">
        <w:t>in the afternoon the pattern wa</w:t>
      </w:r>
      <w:r w:rsidR="009D6046" w:rsidRPr="00540D60">
        <w:t>s reversed</w:t>
      </w:r>
      <w:r w:rsidR="004A28DD" w:rsidRPr="00540D60">
        <w:t xml:space="preserve">: </w:t>
      </w:r>
      <w:r w:rsidR="00784531" w:rsidRPr="00540D60">
        <w:t xml:space="preserve">the average flow northbound peaked at 1,427 vehicles per hour, from </w:t>
      </w:r>
      <w:r w:rsidR="00000077">
        <w:t>07</w:t>
      </w:r>
      <w:r w:rsidR="00784531" w:rsidRPr="00540D60">
        <w:t xml:space="preserve">00 to </w:t>
      </w:r>
      <w:r w:rsidR="00000077">
        <w:t>08</w:t>
      </w:r>
      <w:r w:rsidR="00784531" w:rsidRPr="00540D60">
        <w:t xml:space="preserve">00, while the average flow southbound peaked at 1,395 vehicles per hour, from </w:t>
      </w:r>
      <w:r w:rsidR="00000077">
        <w:t>17</w:t>
      </w:r>
      <w:r w:rsidR="00784531" w:rsidRPr="00540D60">
        <w:t xml:space="preserve">00 to </w:t>
      </w:r>
      <w:r w:rsidR="00000077">
        <w:t>18</w:t>
      </w:r>
      <w:r w:rsidR="00784531" w:rsidRPr="00540D60">
        <w:t>00.</w:t>
      </w:r>
    </w:p>
    <w:p w14:paraId="02691819" w14:textId="77777777" w:rsidR="00634001" w:rsidRPr="00540D60" w:rsidRDefault="00634001" w:rsidP="0031399D"/>
    <w:p w14:paraId="60E4F5EB" w14:textId="26DD7002" w:rsidR="00326E6B" w:rsidRPr="00540D60" w:rsidRDefault="00F72C7B" w:rsidP="0031399D">
      <w:r>
        <w:rPr>
          <w:noProof/>
          <w:lang w:eastAsia="en-GB"/>
        </w:rPr>
        <w:drawing>
          <wp:inline distT="0" distB="0" distL="0" distR="0" wp14:anchorId="181EC017" wp14:editId="280F5302">
            <wp:extent cx="4154470" cy="4264925"/>
            <wp:effectExtent l="0" t="0" r="0" b="254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JPG"/>
                    <pic:cNvPicPr/>
                  </pic:nvPicPr>
                  <pic:blipFill>
                    <a:blip r:embed="rId6">
                      <a:extLst>
                        <a:ext uri="{28A0092B-C50C-407E-A947-70E740481C1C}">
                          <a14:useLocalDpi xmlns:a14="http://schemas.microsoft.com/office/drawing/2010/main" val="0"/>
                        </a:ext>
                      </a:extLst>
                    </a:blip>
                    <a:stretch>
                      <a:fillRect/>
                    </a:stretch>
                  </pic:blipFill>
                  <pic:spPr>
                    <a:xfrm>
                      <a:off x="0" y="0"/>
                      <a:ext cx="4154532" cy="4264988"/>
                    </a:xfrm>
                    <a:prstGeom prst="rect">
                      <a:avLst/>
                    </a:prstGeom>
                  </pic:spPr>
                </pic:pic>
              </a:graphicData>
            </a:graphic>
          </wp:inline>
        </w:drawing>
      </w:r>
    </w:p>
    <w:p w14:paraId="3D0C0131" w14:textId="0B3046C1" w:rsidR="00DF4FDA" w:rsidRDefault="0077446A" w:rsidP="00F74345">
      <w:pPr>
        <w:pStyle w:val="Caption"/>
      </w:pPr>
      <w:bookmarkStart w:id="3" w:name="_Ref402877084"/>
      <w:r w:rsidRPr="00540D60">
        <w:t xml:space="preserve">Figure </w:t>
      </w:r>
      <w:fldSimple w:instr=" SEQ Figure \* ARABIC ">
        <w:r w:rsidR="00F1794F" w:rsidRPr="00540D60">
          <w:rPr>
            <w:noProof/>
          </w:rPr>
          <w:t>1</w:t>
        </w:r>
      </w:fldSimple>
      <w:bookmarkEnd w:id="3"/>
      <w:r w:rsidR="00F74345">
        <w:rPr>
          <w:noProof/>
        </w:rPr>
        <w:t xml:space="preserve">. </w:t>
      </w:r>
      <w:r w:rsidRPr="00540D60">
        <w:t xml:space="preserve"> </w:t>
      </w:r>
      <w:r w:rsidR="00326E6B" w:rsidRPr="00540D60">
        <w:t xml:space="preserve">ANPR </w:t>
      </w:r>
      <w:r w:rsidR="008108CF">
        <w:t>site</w:t>
      </w:r>
      <w:r w:rsidR="00326E6B" w:rsidRPr="00540D60">
        <w:t>s</w:t>
      </w:r>
      <w:r w:rsidR="00000727" w:rsidRPr="00540D60">
        <w:t xml:space="preserve"> and directions </w:t>
      </w:r>
      <w:r w:rsidR="004C1092" w:rsidRPr="00540D60">
        <w:t xml:space="preserve">of travel </w:t>
      </w:r>
      <w:r w:rsidR="00000727" w:rsidRPr="00540D60">
        <w:t>covered</w:t>
      </w:r>
      <w:r w:rsidR="009D6046" w:rsidRPr="00540D60">
        <w:t xml:space="preserve"> </w:t>
      </w:r>
    </w:p>
    <w:p w14:paraId="0B609404" w14:textId="1C8C9827" w:rsidR="00F72C7B" w:rsidRDefault="00DF4FDA" w:rsidP="00F74345">
      <w:pPr>
        <w:rPr>
          <w:b/>
          <w:bCs/>
        </w:rPr>
      </w:pPr>
      <w:r>
        <w:t>(N</w:t>
      </w:r>
      <w:r w:rsidR="003A52C5" w:rsidRPr="00540D60">
        <w:t>ote</w:t>
      </w:r>
      <w:r>
        <w:t>s</w:t>
      </w:r>
      <w:r w:rsidR="003A52C5" w:rsidRPr="00540D60">
        <w:t xml:space="preserve">: </w:t>
      </w:r>
      <w:r w:rsidR="00F72C7B">
        <w:t>1. For simplicity</w:t>
      </w:r>
      <w:r w:rsidR="002A5721">
        <w:t>,</w:t>
      </w:r>
      <w:r w:rsidR="00F72C7B">
        <w:t xml:space="preserve"> the indicated directions are approximated as north, south, east, west </w:t>
      </w:r>
    </w:p>
    <w:p w14:paraId="0EED1566" w14:textId="422AD709" w:rsidR="00326E6B" w:rsidRPr="00540D60" w:rsidRDefault="00F74345" w:rsidP="00F74345">
      <w:pPr>
        <w:ind w:firstLine="720"/>
        <w:rPr>
          <w:b/>
          <w:bCs/>
        </w:rPr>
      </w:pPr>
      <w:r>
        <w:t xml:space="preserve"> </w:t>
      </w:r>
      <w:r w:rsidR="00F72C7B">
        <w:t xml:space="preserve">2. </w:t>
      </w:r>
      <w:r w:rsidR="00DF4FDA">
        <w:t xml:space="preserve">The </w:t>
      </w:r>
      <w:r w:rsidR="00F47AA0" w:rsidRPr="00540D60">
        <w:t>Isle of Portland</w:t>
      </w:r>
      <w:r w:rsidR="00DF4FDA">
        <w:t xml:space="preserve">, referred to in text, </w:t>
      </w:r>
      <w:r w:rsidR="003A52C5" w:rsidRPr="00540D60">
        <w:t xml:space="preserve">is just </w:t>
      </w:r>
      <w:r w:rsidR="00F47AA0" w:rsidRPr="00540D60">
        <w:t xml:space="preserve">off </w:t>
      </w:r>
      <w:r w:rsidR="008E310C" w:rsidRPr="00540D60">
        <w:t xml:space="preserve">the </w:t>
      </w:r>
      <w:r w:rsidR="00F47AA0" w:rsidRPr="00540D60">
        <w:t xml:space="preserve">map to </w:t>
      </w:r>
      <w:r w:rsidR="00374510">
        <w:t xml:space="preserve">the </w:t>
      </w:r>
      <w:r w:rsidR="00F47AA0" w:rsidRPr="00540D60">
        <w:t>south)</w:t>
      </w:r>
    </w:p>
    <w:p w14:paraId="31D17764" w14:textId="77777777" w:rsidR="00BF3BD2" w:rsidRPr="00540D60" w:rsidRDefault="00BF3BD2" w:rsidP="0031399D"/>
    <w:p w14:paraId="385AA553" w14:textId="4A967AFF" w:rsidR="00326E6B" w:rsidRPr="00540D60" w:rsidRDefault="00326E6B" w:rsidP="0031399D"/>
    <w:p w14:paraId="2DF28FB5" w14:textId="2C68EBDE" w:rsidR="0077446A" w:rsidRPr="00540D60" w:rsidRDefault="00217983" w:rsidP="0031399D">
      <w:r w:rsidRPr="00540D60">
        <w:rPr>
          <w:noProof/>
          <w:lang w:eastAsia="en-GB"/>
        </w:rPr>
        <w:lastRenderedPageBreak/>
        <w:drawing>
          <wp:inline distT="0" distB="0" distL="0" distR="0" wp14:anchorId="502D71B9" wp14:editId="047A6F0A">
            <wp:extent cx="4572000" cy="2740025"/>
            <wp:effectExtent l="0" t="0" r="19050" b="222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D7FDB5C" w14:textId="28937FC6" w:rsidR="0077446A" w:rsidRDefault="0077446A" w:rsidP="00F74345">
      <w:pPr>
        <w:pStyle w:val="Caption"/>
      </w:pPr>
      <w:bookmarkStart w:id="4" w:name="_Ref402252382"/>
      <w:r w:rsidRPr="00540D60">
        <w:t xml:space="preserve">Figure </w:t>
      </w:r>
      <w:fldSimple w:instr=" SEQ Figure \* ARABIC ">
        <w:r w:rsidR="00F1794F" w:rsidRPr="00540D60">
          <w:rPr>
            <w:noProof/>
          </w:rPr>
          <w:t>2</w:t>
        </w:r>
      </w:fldSimple>
      <w:bookmarkEnd w:id="4"/>
      <w:r w:rsidR="00F74345">
        <w:rPr>
          <w:noProof/>
        </w:rPr>
        <w:t xml:space="preserve">. </w:t>
      </w:r>
      <w:r w:rsidR="00735D9E" w:rsidRPr="00540D60">
        <w:t xml:space="preserve">Seasonal variation </w:t>
      </w:r>
      <w:r w:rsidR="00176D32" w:rsidRPr="00540D60">
        <w:t xml:space="preserve">(2013) </w:t>
      </w:r>
      <w:r w:rsidR="00735D9E" w:rsidRPr="00540D60">
        <w:t xml:space="preserve">in </w:t>
      </w:r>
      <w:r w:rsidR="002B3C76" w:rsidRPr="00540D60">
        <w:t xml:space="preserve">two-way </w:t>
      </w:r>
      <w:r w:rsidR="00735D9E" w:rsidRPr="00540D60">
        <w:t xml:space="preserve">flow </w:t>
      </w:r>
      <w:r w:rsidR="002E096E" w:rsidRPr="00540D60">
        <w:t>at site #3</w:t>
      </w:r>
      <w:r w:rsidR="002B3C76" w:rsidRPr="00540D60">
        <w:t xml:space="preserve"> on the A354</w:t>
      </w:r>
      <w:r w:rsidR="002E096E" w:rsidRPr="00540D60">
        <w:t xml:space="preserve"> </w:t>
      </w:r>
      <w:r w:rsidRPr="00540D60">
        <w:t>(</w:t>
      </w:r>
      <w:r w:rsidR="002E096E" w:rsidRPr="00540D60">
        <w:t xml:space="preserve">see </w:t>
      </w:r>
      <w:r w:rsidR="002E096E" w:rsidRPr="00540D60">
        <w:fldChar w:fldCharType="begin"/>
      </w:r>
      <w:r w:rsidR="002E096E" w:rsidRPr="00540D60">
        <w:instrText xml:space="preserve"> REF _Ref402877084 \h </w:instrText>
      </w:r>
      <w:r w:rsidR="00CA42ED" w:rsidRPr="00540D60">
        <w:instrText xml:space="preserve"> \* MERGEFORMAT </w:instrText>
      </w:r>
      <w:r w:rsidR="002E096E" w:rsidRPr="00540D60">
        <w:fldChar w:fldCharType="separate"/>
      </w:r>
      <w:r w:rsidR="00F1794F" w:rsidRPr="00540D60">
        <w:t xml:space="preserve">Figure </w:t>
      </w:r>
      <w:r w:rsidR="00F1794F" w:rsidRPr="00540D60">
        <w:rPr>
          <w:noProof/>
        </w:rPr>
        <w:t>1</w:t>
      </w:r>
      <w:r w:rsidR="002E096E" w:rsidRPr="00540D60">
        <w:fldChar w:fldCharType="end"/>
      </w:r>
      <w:r w:rsidRPr="00540D60">
        <w:t>)</w:t>
      </w:r>
    </w:p>
    <w:p w14:paraId="1FBA9DCF" w14:textId="77777777" w:rsidR="00873502" w:rsidRPr="00873502" w:rsidRDefault="00873502" w:rsidP="00873502"/>
    <w:p w14:paraId="4D331112" w14:textId="77777777" w:rsidR="00735D9E" w:rsidRPr="00540D60" w:rsidRDefault="00735D9E" w:rsidP="0031399D"/>
    <w:p w14:paraId="3B22AC6B" w14:textId="33F7A967" w:rsidR="00735D9E" w:rsidRPr="00540D60" w:rsidRDefault="00176D32" w:rsidP="0031399D">
      <w:r w:rsidRPr="00540D60">
        <w:rPr>
          <w:noProof/>
          <w:lang w:eastAsia="en-GB"/>
        </w:rPr>
        <w:drawing>
          <wp:inline distT="0" distB="0" distL="0" distR="0" wp14:anchorId="3F2A9C20" wp14:editId="64736201">
            <wp:extent cx="4572000" cy="27432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24C3383" w14:textId="4AF01246" w:rsidR="00D33441" w:rsidRPr="00540D60" w:rsidRDefault="00735D9E" w:rsidP="00F74345">
      <w:pPr>
        <w:pStyle w:val="Caption"/>
      </w:pPr>
      <w:bookmarkStart w:id="5" w:name="_Ref402254951"/>
      <w:r w:rsidRPr="00540D60">
        <w:t xml:space="preserve">Figure </w:t>
      </w:r>
      <w:fldSimple w:instr=" SEQ Figure \* ARABIC ">
        <w:r w:rsidR="00F1794F" w:rsidRPr="00540D60">
          <w:rPr>
            <w:noProof/>
          </w:rPr>
          <w:t>3</w:t>
        </w:r>
      </w:fldSimple>
      <w:bookmarkEnd w:id="5"/>
      <w:r w:rsidR="00F74345">
        <w:rPr>
          <w:noProof/>
        </w:rPr>
        <w:t xml:space="preserve">. </w:t>
      </w:r>
      <w:r w:rsidR="00A80F06" w:rsidRPr="00540D60">
        <w:t>V</w:t>
      </w:r>
      <w:r w:rsidRPr="00540D60">
        <w:t xml:space="preserve">ariation in </w:t>
      </w:r>
      <w:r w:rsidR="00606565" w:rsidRPr="00540D60">
        <w:t xml:space="preserve">weekday </w:t>
      </w:r>
      <w:r w:rsidR="002B3C76" w:rsidRPr="00540D60">
        <w:t xml:space="preserve">two-way </w:t>
      </w:r>
      <w:r w:rsidRPr="00540D60">
        <w:t>flow</w:t>
      </w:r>
      <w:r w:rsidR="00D33441" w:rsidRPr="00540D60">
        <w:t>, 2013, at site #3</w:t>
      </w:r>
      <w:r w:rsidR="002B3C76" w:rsidRPr="00540D60">
        <w:t xml:space="preserve"> on the A354</w:t>
      </w:r>
      <w:r w:rsidR="00D33441" w:rsidRPr="00540D60">
        <w:t xml:space="preserve"> (see </w:t>
      </w:r>
      <w:r w:rsidR="00D33441" w:rsidRPr="00540D60">
        <w:fldChar w:fldCharType="begin"/>
      </w:r>
      <w:r w:rsidR="00D33441" w:rsidRPr="00540D60">
        <w:instrText xml:space="preserve"> REF _Ref402877084 \h </w:instrText>
      </w:r>
      <w:r w:rsidR="00CA42ED" w:rsidRPr="00540D60">
        <w:instrText xml:space="preserve"> \* MERGEFORMAT </w:instrText>
      </w:r>
      <w:r w:rsidR="00D33441" w:rsidRPr="00540D60">
        <w:fldChar w:fldCharType="separate"/>
      </w:r>
      <w:r w:rsidR="00F1794F" w:rsidRPr="00540D60">
        <w:t xml:space="preserve">Figure </w:t>
      </w:r>
      <w:r w:rsidR="00F1794F" w:rsidRPr="00540D60">
        <w:rPr>
          <w:noProof/>
        </w:rPr>
        <w:t>1</w:t>
      </w:r>
      <w:r w:rsidR="00D33441" w:rsidRPr="00540D60">
        <w:fldChar w:fldCharType="end"/>
      </w:r>
      <w:r w:rsidR="00D33441" w:rsidRPr="00540D60">
        <w:t>)</w:t>
      </w:r>
    </w:p>
    <w:p w14:paraId="1A65C6DF" w14:textId="707AC2CF" w:rsidR="00CB4F91" w:rsidRDefault="00E03559" w:rsidP="0031399D">
      <w:r w:rsidRPr="00540D60">
        <w:t xml:space="preserve"> </w:t>
      </w:r>
    </w:p>
    <w:p w14:paraId="2B13787E" w14:textId="77777777" w:rsidR="00D0745E" w:rsidRPr="00540D60" w:rsidRDefault="00D0745E" w:rsidP="00D0745E">
      <w:pPr>
        <w:pStyle w:val="Heading2"/>
      </w:pPr>
      <w:r w:rsidRPr="00540D60">
        <w:t>Frequency of vehicle observations</w:t>
      </w:r>
    </w:p>
    <w:p w14:paraId="021E5188" w14:textId="77777777" w:rsidR="00990291" w:rsidRDefault="00D0745E" w:rsidP="00C43960">
      <w:r w:rsidRPr="00540D60">
        <w:t xml:space="preserve">The </w:t>
      </w:r>
      <w:r w:rsidR="00506A5F">
        <w:t xml:space="preserve">number of </w:t>
      </w:r>
      <w:r w:rsidR="005F3A52">
        <w:t xml:space="preserve">observations of </w:t>
      </w:r>
      <w:r w:rsidR="00506A5F">
        <w:t xml:space="preserve">each </w:t>
      </w:r>
      <w:r w:rsidRPr="00540D60">
        <w:t xml:space="preserve">registration plate </w:t>
      </w:r>
      <w:r w:rsidR="00506A5F">
        <w:t xml:space="preserve">during the 210-day period and in the time </w:t>
      </w:r>
      <w:r w:rsidRPr="00540D60">
        <w:t xml:space="preserve">interval </w:t>
      </w:r>
      <w:r w:rsidR="00000077">
        <w:t>07</w:t>
      </w:r>
      <w:r w:rsidRPr="00540D60">
        <w:t>00-</w:t>
      </w:r>
      <w:r w:rsidR="00000077">
        <w:t>09</w:t>
      </w:r>
      <w:r w:rsidRPr="00540D60">
        <w:t xml:space="preserve">00, based on plates with a minimum read confidence estimate of 90%, was obtained for each </w:t>
      </w:r>
      <w:r w:rsidR="00506A5F">
        <w:t>site and averaged across the sites, shown as a cumulative frequency plot (</w:t>
      </w:r>
      <w:r w:rsidR="00506A5F" w:rsidRPr="00540D60">
        <w:fldChar w:fldCharType="begin"/>
      </w:r>
      <w:r w:rsidR="00506A5F" w:rsidRPr="00540D60">
        <w:instrText xml:space="preserve"> REF _Ref379982388 \h </w:instrText>
      </w:r>
      <w:r w:rsidR="00506A5F" w:rsidRPr="00540D60">
        <w:fldChar w:fldCharType="separate"/>
      </w:r>
      <w:r w:rsidR="00506A5F" w:rsidRPr="00540D60">
        <w:t xml:space="preserve">Figure </w:t>
      </w:r>
      <w:r w:rsidR="00506A5F" w:rsidRPr="00540D60">
        <w:rPr>
          <w:noProof/>
        </w:rPr>
        <w:t>4</w:t>
      </w:r>
      <w:r w:rsidR="00506A5F" w:rsidRPr="00540D60">
        <w:fldChar w:fldCharType="end"/>
      </w:r>
      <w:r w:rsidR="00506A5F">
        <w:t>)</w:t>
      </w:r>
      <w:r w:rsidRPr="00540D60">
        <w:t>. This showed that</w:t>
      </w:r>
      <w:r w:rsidR="00506A5F">
        <w:t>, on average across the sites,</w:t>
      </w:r>
      <w:r w:rsidRPr="00540D60">
        <w:t xml:space="preserve"> </w:t>
      </w:r>
      <w:r w:rsidR="00506A5F">
        <w:t>55.7% of the di</w:t>
      </w:r>
      <w:r w:rsidR="00194004">
        <w:t>stinct</w:t>
      </w:r>
      <w:r w:rsidR="00506A5F">
        <w:t xml:space="preserve"> number</w:t>
      </w:r>
      <w:r w:rsidR="002A5721">
        <w:t xml:space="preserve"> plates</w:t>
      </w:r>
      <w:r w:rsidRPr="00540D60">
        <w:t xml:space="preserve"> recorded were only obs</w:t>
      </w:r>
      <w:r w:rsidR="002A5721">
        <w:t xml:space="preserve">erved once during this </w:t>
      </w:r>
      <w:r w:rsidR="00FB6835">
        <w:t xml:space="preserve">time </w:t>
      </w:r>
      <w:r w:rsidR="002A5721">
        <w:t>interval for the particular site</w:t>
      </w:r>
      <w:r w:rsidRPr="00540D60">
        <w:t xml:space="preserve"> during the whole period</w:t>
      </w:r>
      <w:r w:rsidR="00FB6835">
        <w:t>, while a further 26.9% were observed between two and five times and a further 6.8% observed between six and ten times</w:t>
      </w:r>
      <w:r w:rsidR="00B72EA6">
        <w:t xml:space="preserve">. </w:t>
      </w:r>
      <w:r w:rsidR="00FB6835">
        <w:t>The</w:t>
      </w:r>
      <w:r w:rsidR="00194004">
        <w:t xml:space="preserve">se </w:t>
      </w:r>
      <w:r w:rsidR="00B4771A">
        <w:t xml:space="preserve">data </w:t>
      </w:r>
      <w:r w:rsidR="00FB6835" w:rsidRPr="00540D60">
        <w:t>suggest that at each site, one could expect only a small gro</w:t>
      </w:r>
      <w:r w:rsidR="00FB6835">
        <w:t>up of habitual road users</w:t>
      </w:r>
      <w:r w:rsidR="00194004">
        <w:t>: for example, only 5.9</w:t>
      </w:r>
      <w:r w:rsidR="00FB6835" w:rsidRPr="00540D60">
        <w:t xml:space="preserve">% of the observed vehicle population was observed more than 20 times in the 210 days during the morning peak. </w:t>
      </w:r>
    </w:p>
    <w:p w14:paraId="0C6B234B" w14:textId="77777777" w:rsidR="00FB6835" w:rsidRDefault="00FB6835" w:rsidP="00FB6835"/>
    <w:p w14:paraId="5E4CD3E8" w14:textId="77777777" w:rsidR="00FB6835" w:rsidRPr="00540D60" w:rsidRDefault="00FB6835" w:rsidP="00FB6835">
      <w:r>
        <w:rPr>
          <w:noProof/>
          <w:lang w:eastAsia="en-GB"/>
        </w:rPr>
        <w:lastRenderedPageBreak/>
        <w:drawing>
          <wp:inline distT="0" distB="0" distL="0" distR="0" wp14:anchorId="3E1845D9" wp14:editId="443C6C4D">
            <wp:extent cx="5076825" cy="2967038"/>
            <wp:effectExtent l="0" t="0" r="9525" b="2413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46A53A9" w14:textId="01FB71FB" w:rsidR="00FB6835" w:rsidRPr="00540D60" w:rsidRDefault="00FB6835" w:rsidP="00FB6835">
      <w:pPr>
        <w:pStyle w:val="Caption"/>
      </w:pPr>
      <w:r w:rsidRPr="00540D60">
        <w:t xml:space="preserve">Figure </w:t>
      </w:r>
      <w:fldSimple w:instr=" SEQ Figure \* ARABIC ">
        <w:r w:rsidRPr="00540D60">
          <w:rPr>
            <w:noProof/>
          </w:rPr>
          <w:t>4</w:t>
        </w:r>
      </w:fldSimple>
      <w:r>
        <w:rPr>
          <w:noProof/>
        </w:rPr>
        <w:t>. Cumulative f</w:t>
      </w:r>
      <w:r w:rsidRPr="00540D60">
        <w:t>re</w:t>
      </w:r>
      <w:r>
        <w:t xml:space="preserve">quency </w:t>
      </w:r>
      <w:r w:rsidRPr="00540D60">
        <w:t>averaged across all sites</w:t>
      </w:r>
      <w:r>
        <w:t xml:space="preserve"> of individual vehicle observations in 210-day period during </w:t>
      </w:r>
      <w:r w:rsidRPr="00540D60">
        <w:t>morning peak (</w:t>
      </w:r>
      <w:r w:rsidR="00000077">
        <w:t>07</w:t>
      </w:r>
      <w:r w:rsidRPr="00540D60">
        <w:t>00-</w:t>
      </w:r>
      <w:r w:rsidR="00000077">
        <w:t>09</w:t>
      </w:r>
      <w:r w:rsidRPr="00540D60">
        <w:t>00)</w:t>
      </w:r>
    </w:p>
    <w:p w14:paraId="74DAE81C" w14:textId="77777777" w:rsidR="00FB6835" w:rsidRDefault="00FB6835" w:rsidP="00FB6835"/>
    <w:p w14:paraId="636F4B9A" w14:textId="38A10495" w:rsidR="00990291" w:rsidRDefault="00990291" w:rsidP="00395E73">
      <w:r w:rsidRPr="00540D60">
        <w:t xml:space="preserve">It should be noted that </w:t>
      </w:r>
      <w:r>
        <w:t xml:space="preserve">one-off observations </w:t>
      </w:r>
      <w:r w:rsidRPr="00540D60">
        <w:t>could either be genuine or a misreading of a plate that appears elsewhere in the database</w:t>
      </w:r>
      <w:r>
        <w:t>, despite the minimum 90% confidence level imposed</w:t>
      </w:r>
      <w:r w:rsidR="005621CC">
        <w:t>, so some caution i</w:t>
      </w:r>
      <w:r w:rsidR="00395E73">
        <w:t>n interpretations i</w:t>
      </w:r>
      <w:r w:rsidR="005621CC">
        <w:t>s needed</w:t>
      </w:r>
      <w:r w:rsidRPr="00540D60">
        <w:t xml:space="preserve">. The proportions of these </w:t>
      </w:r>
      <w:r>
        <w:t>one-off</w:t>
      </w:r>
      <w:r w:rsidRPr="00540D60">
        <w:t xml:space="preserve"> </w:t>
      </w:r>
      <w:r w:rsidR="00395E73">
        <w:t>observations v</w:t>
      </w:r>
      <w:r w:rsidRPr="00540D60">
        <w:t xml:space="preserve">aried significantly between sites (43% to 62%, </w:t>
      </w:r>
      <w:r w:rsidRPr="00540D60">
        <w:sym w:font="Symbol" w:char="F063"/>
      </w:r>
      <w:r w:rsidRPr="00540D60">
        <w:rPr>
          <w:vertAlign w:val="superscript"/>
        </w:rPr>
        <w:t>2</w:t>
      </w:r>
      <w:r w:rsidRPr="00540D60">
        <w:t xml:space="preserve"> = 6195 and </w:t>
      </w:r>
      <w:r w:rsidRPr="00540D60">
        <w:sym w:font="Symbol" w:char="F063"/>
      </w:r>
      <w:r w:rsidRPr="00540D60">
        <w:rPr>
          <w:vertAlign w:val="superscript"/>
        </w:rPr>
        <w:t xml:space="preserve">2 </w:t>
      </w:r>
      <w:r w:rsidRPr="00540D60">
        <w:rPr>
          <w:vertAlign w:val="subscript"/>
        </w:rPr>
        <w:t>(0.05)</w:t>
      </w:r>
      <w:r w:rsidRPr="00540D60">
        <w:t xml:space="preserve"> (21 d.f.) = 41.4) with the mean observed across southbound sites (57%) being slightly higher compared to northbound (53%) (</w:t>
      </w:r>
      <w:r w:rsidRPr="00990291">
        <w:fldChar w:fldCharType="begin"/>
      </w:r>
      <w:r w:rsidRPr="00990291">
        <w:instrText xml:space="preserve"> REF _Ref460850197 \h  \* MERGEFORMAT </w:instrText>
      </w:r>
      <w:r w:rsidRPr="00990291">
        <w:fldChar w:fldCharType="separate"/>
      </w:r>
      <w:r w:rsidRPr="00990291">
        <w:t xml:space="preserve">Table </w:t>
      </w:r>
      <w:r w:rsidRPr="00990291">
        <w:rPr>
          <w:noProof/>
        </w:rPr>
        <w:t>2</w:t>
      </w:r>
      <w:r w:rsidRPr="00990291">
        <w:fldChar w:fldCharType="end"/>
      </w:r>
      <w:r w:rsidRPr="00540D60">
        <w:t>), which may be a reflection of higher commuting flow in the northbound direction toward Dorchester during the morning period</w:t>
      </w:r>
      <w:r w:rsidR="005621CC">
        <w:t xml:space="preserve">. </w:t>
      </w:r>
    </w:p>
    <w:p w14:paraId="330E8F54" w14:textId="77777777" w:rsidR="00D0745E" w:rsidRDefault="00D0745E" w:rsidP="00D0745E"/>
    <w:p w14:paraId="3C929E6D" w14:textId="143996CE" w:rsidR="00D0745E" w:rsidRDefault="00D0745E" w:rsidP="00990291">
      <w:pPr>
        <w:pStyle w:val="Caption"/>
        <w:rPr>
          <w:b/>
          <w:bCs/>
          <w:i w:val="0"/>
          <w:iCs w:val="0"/>
        </w:rPr>
      </w:pPr>
      <w:bookmarkStart w:id="6" w:name="_Ref460850197"/>
      <w:r w:rsidRPr="00F74345">
        <w:rPr>
          <w:b/>
          <w:bCs/>
          <w:i w:val="0"/>
          <w:iCs w:val="0"/>
        </w:rPr>
        <w:t xml:space="preserve">Table </w:t>
      </w:r>
      <w:r w:rsidRPr="00F74345">
        <w:rPr>
          <w:b/>
          <w:bCs/>
          <w:i w:val="0"/>
          <w:iCs w:val="0"/>
        </w:rPr>
        <w:fldChar w:fldCharType="begin"/>
      </w:r>
      <w:r w:rsidRPr="00F74345">
        <w:rPr>
          <w:b/>
          <w:bCs/>
          <w:i w:val="0"/>
          <w:iCs w:val="0"/>
        </w:rPr>
        <w:instrText xml:space="preserve"> SEQ Table \* ARABIC </w:instrText>
      </w:r>
      <w:r w:rsidRPr="00F74345">
        <w:rPr>
          <w:b/>
          <w:bCs/>
          <w:i w:val="0"/>
          <w:iCs w:val="0"/>
        </w:rPr>
        <w:fldChar w:fldCharType="separate"/>
      </w:r>
      <w:r w:rsidR="00C36220">
        <w:rPr>
          <w:b/>
          <w:bCs/>
          <w:i w:val="0"/>
          <w:iCs w:val="0"/>
          <w:noProof/>
        </w:rPr>
        <w:t>2</w:t>
      </w:r>
      <w:r w:rsidRPr="00F74345">
        <w:rPr>
          <w:b/>
          <w:bCs/>
          <w:i w:val="0"/>
          <w:iCs w:val="0"/>
          <w:noProof/>
        </w:rPr>
        <w:fldChar w:fldCharType="end"/>
      </w:r>
      <w:bookmarkEnd w:id="6"/>
      <w:r>
        <w:rPr>
          <w:b/>
          <w:bCs/>
          <w:i w:val="0"/>
          <w:iCs w:val="0"/>
          <w:noProof/>
        </w:rPr>
        <w:t>.</w:t>
      </w:r>
      <w:r w:rsidRPr="00F74345">
        <w:rPr>
          <w:b/>
          <w:bCs/>
          <w:i w:val="0"/>
          <w:iCs w:val="0"/>
        </w:rPr>
        <w:t xml:space="preserve"> Proportions of </w:t>
      </w:r>
      <w:r w:rsidR="00664406">
        <w:rPr>
          <w:b/>
          <w:bCs/>
          <w:i w:val="0"/>
          <w:iCs w:val="0"/>
        </w:rPr>
        <w:t xml:space="preserve">one-off </w:t>
      </w:r>
      <w:r w:rsidR="00395E73">
        <w:rPr>
          <w:b/>
          <w:bCs/>
          <w:i w:val="0"/>
          <w:iCs w:val="0"/>
        </w:rPr>
        <w:t xml:space="preserve">observations of </w:t>
      </w:r>
      <w:r w:rsidR="00990291">
        <w:rPr>
          <w:b/>
          <w:bCs/>
          <w:i w:val="0"/>
          <w:iCs w:val="0"/>
        </w:rPr>
        <w:t>plate</w:t>
      </w:r>
      <w:r w:rsidRPr="00F74345">
        <w:rPr>
          <w:b/>
          <w:bCs/>
          <w:i w:val="0"/>
          <w:iCs w:val="0"/>
        </w:rPr>
        <w:t>s at each site</w:t>
      </w:r>
    </w:p>
    <w:p w14:paraId="3144D6DD" w14:textId="77777777" w:rsidR="0062753D" w:rsidRPr="0062753D" w:rsidRDefault="0062753D" w:rsidP="0062753D"/>
    <w:tbl>
      <w:tblPr>
        <w:tblW w:w="0" w:type="auto"/>
        <w:tblInd w:w="93" w:type="dxa"/>
        <w:tblLook w:val="04A0" w:firstRow="1" w:lastRow="0" w:firstColumn="1" w:lastColumn="0" w:noHBand="0" w:noVBand="1"/>
      </w:tblPr>
      <w:tblGrid>
        <w:gridCol w:w="1476"/>
        <w:gridCol w:w="1484"/>
        <w:gridCol w:w="1471"/>
      </w:tblGrid>
      <w:tr w:rsidR="0062753D" w:rsidRPr="0062753D" w14:paraId="56CF60D7" w14:textId="77777777" w:rsidTr="0062753D">
        <w:trPr>
          <w:trHeight w:val="720"/>
        </w:trPr>
        <w:tc>
          <w:tcPr>
            <w:tcW w:w="0" w:type="auto"/>
            <w:tcBorders>
              <w:top w:val="single" w:sz="4" w:space="0" w:color="auto"/>
              <w:left w:val="nil"/>
              <w:bottom w:val="single" w:sz="4" w:space="0" w:color="auto"/>
              <w:right w:val="nil"/>
            </w:tcBorders>
            <w:shd w:val="clear" w:color="auto" w:fill="auto"/>
            <w:vAlign w:val="center"/>
            <w:hideMark/>
          </w:tcPr>
          <w:p w14:paraId="38F3AF62" w14:textId="77777777" w:rsidR="0062753D" w:rsidRDefault="0062753D" w:rsidP="0062753D">
            <w:pPr>
              <w:jc w:val="left"/>
              <w:rPr>
                <w:rFonts w:ascii="Times New Roman" w:eastAsia="Times New Roman" w:hAnsi="Times New Roman" w:cs="Times New Roman"/>
                <w:b/>
                <w:bCs/>
                <w:color w:val="000000"/>
              </w:rPr>
            </w:pPr>
            <w:r w:rsidRPr="0062753D">
              <w:rPr>
                <w:rFonts w:ascii="Times New Roman" w:eastAsia="Times New Roman" w:hAnsi="Times New Roman" w:cs="Times New Roman"/>
                <w:b/>
                <w:bCs/>
                <w:color w:val="000000"/>
              </w:rPr>
              <w:t xml:space="preserve">Site number </w:t>
            </w:r>
          </w:p>
          <w:p w14:paraId="677769F1" w14:textId="6308CB17" w:rsidR="0062753D" w:rsidRPr="0062753D" w:rsidRDefault="0062753D" w:rsidP="0062753D">
            <w:pPr>
              <w:jc w:val="left"/>
              <w:rPr>
                <w:rFonts w:ascii="Times New Roman" w:eastAsia="Times New Roman" w:hAnsi="Times New Roman" w:cs="Times New Roman"/>
                <w:b/>
                <w:bCs/>
                <w:color w:val="000000"/>
              </w:rPr>
            </w:pPr>
            <w:r>
              <w:rPr>
                <w:rFonts w:ascii="Times New Roman" w:eastAsia="Times New Roman" w:hAnsi="Times New Roman" w:cs="Times New Roman"/>
                <w:b/>
                <w:bCs/>
                <w:color w:val="000000"/>
              </w:rPr>
              <w:t>(</w:t>
            </w:r>
            <w:r w:rsidRPr="0062753D">
              <w:rPr>
                <w:rFonts w:ascii="Times New Roman" w:eastAsia="Times New Roman" w:hAnsi="Times New Roman" w:cs="Times New Roman"/>
                <w:b/>
                <w:bCs/>
                <w:color w:val="000000"/>
              </w:rPr>
              <w:t>Figure 1)</w:t>
            </w:r>
          </w:p>
        </w:tc>
        <w:tc>
          <w:tcPr>
            <w:tcW w:w="0" w:type="auto"/>
            <w:tcBorders>
              <w:top w:val="single" w:sz="4" w:space="0" w:color="auto"/>
              <w:left w:val="nil"/>
              <w:bottom w:val="single" w:sz="4" w:space="0" w:color="auto"/>
              <w:right w:val="nil"/>
            </w:tcBorders>
            <w:shd w:val="clear" w:color="auto" w:fill="auto"/>
            <w:noWrap/>
            <w:vAlign w:val="center"/>
            <w:hideMark/>
          </w:tcPr>
          <w:p w14:paraId="6B283411" w14:textId="77777777" w:rsidR="0062753D" w:rsidRPr="0062753D" w:rsidRDefault="0062753D" w:rsidP="0062753D">
            <w:pPr>
              <w:jc w:val="left"/>
              <w:rPr>
                <w:rFonts w:ascii="Times New Roman" w:eastAsia="Times New Roman" w:hAnsi="Times New Roman" w:cs="Times New Roman"/>
                <w:b/>
                <w:bCs/>
                <w:color w:val="000000"/>
              </w:rPr>
            </w:pPr>
            <w:r w:rsidRPr="0062753D">
              <w:rPr>
                <w:rFonts w:ascii="Times New Roman" w:eastAsia="Times New Roman" w:hAnsi="Times New Roman" w:cs="Times New Roman"/>
                <w:b/>
                <w:bCs/>
                <w:color w:val="000000"/>
              </w:rPr>
              <w:t>Northbound</w:t>
            </w:r>
          </w:p>
        </w:tc>
        <w:tc>
          <w:tcPr>
            <w:tcW w:w="0" w:type="auto"/>
            <w:tcBorders>
              <w:top w:val="single" w:sz="4" w:space="0" w:color="auto"/>
              <w:left w:val="nil"/>
              <w:bottom w:val="single" w:sz="4" w:space="0" w:color="auto"/>
              <w:right w:val="nil"/>
            </w:tcBorders>
            <w:shd w:val="clear" w:color="auto" w:fill="auto"/>
            <w:vAlign w:val="center"/>
            <w:hideMark/>
          </w:tcPr>
          <w:p w14:paraId="00625123" w14:textId="77777777" w:rsidR="0062753D" w:rsidRPr="0062753D" w:rsidRDefault="0062753D" w:rsidP="0062753D">
            <w:pPr>
              <w:jc w:val="left"/>
              <w:rPr>
                <w:rFonts w:ascii="Times New Roman" w:eastAsia="Times New Roman" w:hAnsi="Times New Roman" w:cs="Times New Roman"/>
                <w:b/>
                <w:bCs/>
                <w:color w:val="000000"/>
              </w:rPr>
            </w:pPr>
            <w:r w:rsidRPr="0062753D">
              <w:rPr>
                <w:rFonts w:ascii="Times New Roman" w:eastAsia="Times New Roman" w:hAnsi="Times New Roman" w:cs="Times New Roman"/>
                <w:b/>
                <w:bCs/>
                <w:color w:val="000000"/>
              </w:rPr>
              <w:t>Southbound</w:t>
            </w:r>
          </w:p>
        </w:tc>
      </w:tr>
      <w:tr w:rsidR="0062753D" w:rsidRPr="0062753D" w14:paraId="4C3289B2" w14:textId="77777777" w:rsidTr="0062753D">
        <w:trPr>
          <w:trHeight w:val="315"/>
        </w:trPr>
        <w:tc>
          <w:tcPr>
            <w:tcW w:w="0" w:type="auto"/>
            <w:tcBorders>
              <w:top w:val="nil"/>
              <w:left w:val="nil"/>
              <w:bottom w:val="nil"/>
              <w:right w:val="nil"/>
            </w:tcBorders>
            <w:shd w:val="clear" w:color="auto" w:fill="auto"/>
            <w:noWrap/>
            <w:vAlign w:val="center"/>
            <w:hideMark/>
          </w:tcPr>
          <w:p w14:paraId="6CC2E9A0" w14:textId="77777777" w:rsidR="0062753D" w:rsidRPr="0062753D" w:rsidRDefault="0062753D" w:rsidP="0062753D">
            <w:pPr>
              <w:rPr>
                <w:rFonts w:ascii="Times New Roman" w:eastAsia="Times New Roman" w:hAnsi="Times New Roman" w:cs="Times New Roman"/>
                <w:color w:val="000000"/>
              </w:rPr>
            </w:pPr>
            <w:r w:rsidRPr="0062753D">
              <w:rPr>
                <w:rFonts w:ascii="Times New Roman" w:eastAsia="Times New Roman" w:hAnsi="Times New Roman" w:cs="Times New Roman"/>
                <w:color w:val="000000"/>
              </w:rPr>
              <w:t>1</w:t>
            </w:r>
          </w:p>
        </w:tc>
        <w:tc>
          <w:tcPr>
            <w:tcW w:w="0" w:type="auto"/>
            <w:tcBorders>
              <w:top w:val="nil"/>
              <w:left w:val="nil"/>
              <w:bottom w:val="nil"/>
              <w:right w:val="nil"/>
            </w:tcBorders>
            <w:shd w:val="clear" w:color="auto" w:fill="auto"/>
            <w:noWrap/>
            <w:vAlign w:val="center"/>
            <w:hideMark/>
          </w:tcPr>
          <w:p w14:paraId="0C899F55" w14:textId="77777777" w:rsidR="0062753D" w:rsidRPr="0062753D" w:rsidRDefault="0062753D" w:rsidP="0062753D">
            <w:pPr>
              <w:rPr>
                <w:rFonts w:ascii="Times New Roman" w:eastAsia="Times New Roman" w:hAnsi="Times New Roman" w:cs="Times New Roman"/>
                <w:color w:val="000000"/>
              </w:rPr>
            </w:pPr>
            <w:r w:rsidRPr="0062753D">
              <w:rPr>
                <w:rFonts w:ascii="Times New Roman" w:eastAsia="Times New Roman" w:hAnsi="Times New Roman" w:cs="Times New Roman"/>
                <w:color w:val="000000"/>
              </w:rPr>
              <w:t>58%</w:t>
            </w:r>
          </w:p>
        </w:tc>
        <w:tc>
          <w:tcPr>
            <w:tcW w:w="0" w:type="auto"/>
            <w:tcBorders>
              <w:top w:val="nil"/>
              <w:left w:val="nil"/>
              <w:bottom w:val="nil"/>
              <w:right w:val="nil"/>
            </w:tcBorders>
            <w:shd w:val="clear" w:color="auto" w:fill="auto"/>
            <w:noWrap/>
            <w:vAlign w:val="center"/>
            <w:hideMark/>
          </w:tcPr>
          <w:p w14:paraId="16B22B44" w14:textId="77777777" w:rsidR="0062753D" w:rsidRPr="0062753D" w:rsidRDefault="0062753D" w:rsidP="0062753D">
            <w:pPr>
              <w:rPr>
                <w:rFonts w:ascii="Times New Roman" w:eastAsia="Times New Roman" w:hAnsi="Times New Roman" w:cs="Times New Roman"/>
                <w:color w:val="000000"/>
              </w:rPr>
            </w:pPr>
            <w:r w:rsidRPr="0062753D">
              <w:rPr>
                <w:rFonts w:ascii="Times New Roman" w:eastAsia="Times New Roman" w:hAnsi="Times New Roman" w:cs="Times New Roman"/>
                <w:color w:val="000000"/>
              </w:rPr>
              <w:t>-</w:t>
            </w:r>
          </w:p>
        </w:tc>
      </w:tr>
      <w:tr w:rsidR="0062753D" w:rsidRPr="0062753D" w14:paraId="35C21A5B" w14:textId="77777777" w:rsidTr="0062753D">
        <w:trPr>
          <w:trHeight w:val="315"/>
        </w:trPr>
        <w:tc>
          <w:tcPr>
            <w:tcW w:w="0" w:type="auto"/>
            <w:tcBorders>
              <w:top w:val="nil"/>
              <w:left w:val="nil"/>
              <w:bottom w:val="nil"/>
              <w:right w:val="nil"/>
            </w:tcBorders>
            <w:shd w:val="clear" w:color="auto" w:fill="auto"/>
            <w:noWrap/>
            <w:vAlign w:val="center"/>
            <w:hideMark/>
          </w:tcPr>
          <w:p w14:paraId="49D96222" w14:textId="77777777" w:rsidR="0062753D" w:rsidRPr="0062753D" w:rsidRDefault="0062753D" w:rsidP="0062753D">
            <w:pPr>
              <w:rPr>
                <w:rFonts w:ascii="Times New Roman" w:eastAsia="Times New Roman" w:hAnsi="Times New Roman" w:cs="Times New Roman"/>
                <w:color w:val="000000"/>
              </w:rPr>
            </w:pPr>
            <w:r w:rsidRPr="0062753D">
              <w:rPr>
                <w:rFonts w:ascii="Times New Roman" w:eastAsia="Times New Roman" w:hAnsi="Times New Roman" w:cs="Times New Roman"/>
                <w:color w:val="000000"/>
              </w:rPr>
              <w:t>2</w:t>
            </w:r>
          </w:p>
        </w:tc>
        <w:tc>
          <w:tcPr>
            <w:tcW w:w="0" w:type="auto"/>
            <w:tcBorders>
              <w:top w:val="nil"/>
              <w:left w:val="nil"/>
              <w:bottom w:val="nil"/>
              <w:right w:val="nil"/>
            </w:tcBorders>
            <w:shd w:val="clear" w:color="auto" w:fill="auto"/>
            <w:noWrap/>
            <w:vAlign w:val="center"/>
            <w:hideMark/>
          </w:tcPr>
          <w:p w14:paraId="33967E7B" w14:textId="77777777" w:rsidR="0062753D" w:rsidRPr="0062753D" w:rsidRDefault="0062753D" w:rsidP="0062753D">
            <w:pPr>
              <w:rPr>
                <w:rFonts w:ascii="Times New Roman" w:eastAsia="Times New Roman" w:hAnsi="Times New Roman" w:cs="Times New Roman"/>
                <w:color w:val="000000"/>
              </w:rPr>
            </w:pPr>
            <w:r w:rsidRPr="0062753D">
              <w:rPr>
                <w:rFonts w:ascii="Times New Roman" w:eastAsia="Times New Roman" w:hAnsi="Times New Roman" w:cs="Times New Roman"/>
                <w:color w:val="000000"/>
              </w:rPr>
              <w:t>-</w:t>
            </w:r>
          </w:p>
        </w:tc>
        <w:tc>
          <w:tcPr>
            <w:tcW w:w="0" w:type="auto"/>
            <w:tcBorders>
              <w:top w:val="nil"/>
              <w:left w:val="nil"/>
              <w:bottom w:val="nil"/>
              <w:right w:val="nil"/>
            </w:tcBorders>
            <w:shd w:val="clear" w:color="auto" w:fill="auto"/>
            <w:vAlign w:val="center"/>
            <w:hideMark/>
          </w:tcPr>
          <w:p w14:paraId="2F7EFD24" w14:textId="77777777" w:rsidR="0062753D" w:rsidRPr="0062753D" w:rsidRDefault="0062753D" w:rsidP="0062753D">
            <w:pPr>
              <w:rPr>
                <w:rFonts w:ascii="Times New Roman" w:eastAsia="Times New Roman" w:hAnsi="Times New Roman" w:cs="Times New Roman"/>
                <w:color w:val="000000"/>
              </w:rPr>
            </w:pPr>
            <w:r w:rsidRPr="0062753D">
              <w:rPr>
                <w:rFonts w:ascii="Times New Roman" w:eastAsia="Times New Roman" w:hAnsi="Times New Roman" w:cs="Times New Roman"/>
                <w:color w:val="000000"/>
              </w:rPr>
              <w:t>53%</w:t>
            </w:r>
          </w:p>
        </w:tc>
      </w:tr>
      <w:tr w:rsidR="0062753D" w:rsidRPr="0062753D" w14:paraId="6D0E2CC3" w14:textId="77777777" w:rsidTr="0062753D">
        <w:trPr>
          <w:trHeight w:val="315"/>
        </w:trPr>
        <w:tc>
          <w:tcPr>
            <w:tcW w:w="0" w:type="auto"/>
            <w:tcBorders>
              <w:top w:val="nil"/>
              <w:left w:val="nil"/>
              <w:bottom w:val="nil"/>
              <w:right w:val="nil"/>
            </w:tcBorders>
            <w:shd w:val="clear" w:color="auto" w:fill="auto"/>
            <w:noWrap/>
            <w:vAlign w:val="center"/>
            <w:hideMark/>
          </w:tcPr>
          <w:p w14:paraId="7279EB73" w14:textId="77777777" w:rsidR="0062753D" w:rsidRPr="0062753D" w:rsidRDefault="0062753D" w:rsidP="0062753D">
            <w:pPr>
              <w:rPr>
                <w:rFonts w:ascii="Times New Roman" w:eastAsia="Times New Roman" w:hAnsi="Times New Roman" w:cs="Times New Roman"/>
                <w:color w:val="000000"/>
              </w:rPr>
            </w:pPr>
            <w:r w:rsidRPr="0062753D">
              <w:rPr>
                <w:rFonts w:ascii="Times New Roman" w:eastAsia="Times New Roman" w:hAnsi="Times New Roman" w:cs="Times New Roman"/>
                <w:color w:val="000000"/>
              </w:rPr>
              <w:t>3</w:t>
            </w:r>
          </w:p>
        </w:tc>
        <w:tc>
          <w:tcPr>
            <w:tcW w:w="0" w:type="auto"/>
            <w:tcBorders>
              <w:top w:val="nil"/>
              <w:left w:val="nil"/>
              <w:bottom w:val="nil"/>
              <w:right w:val="nil"/>
            </w:tcBorders>
            <w:shd w:val="clear" w:color="auto" w:fill="auto"/>
            <w:vAlign w:val="center"/>
            <w:hideMark/>
          </w:tcPr>
          <w:p w14:paraId="4A4A852D" w14:textId="77777777" w:rsidR="0062753D" w:rsidRPr="0062753D" w:rsidRDefault="0062753D" w:rsidP="0062753D">
            <w:pPr>
              <w:rPr>
                <w:rFonts w:ascii="Times New Roman" w:eastAsia="Times New Roman" w:hAnsi="Times New Roman" w:cs="Times New Roman"/>
                <w:color w:val="000000"/>
              </w:rPr>
            </w:pPr>
            <w:r w:rsidRPr="0062753D">
              <w:rPr>
                <w:rFonts w:ascii="Times New Roman" w:eastAsia="Times New Roman" w:hAnsi="Times New Roman" w:cs="Times New Roman"/>
                <w:color w:val="000000"/>
              </w:rPr>
              <w:t>53%</w:t>
            </w:r>
          </w:p>
        </w:tc>
        <w:tc>
          <w:tcPr>
            <w:tcW w:w="0" w:type="auto"/>
            <w:tcBorders>
              <w:top w:val="nil"/>
              <w:left w:val="nil"/>
              <w:bottom w:val="nil"/>
              <w:right w:val="nil"/>
            </w:tcBorders>
            <w:shd w:val="clear" w:color="auto" w:fill="auto"/>
            <w:vAlign w:val="center"/>
            <w:hideMark/>
          </w:tcPr>
          <w:p w14:paraId="27E3E67E" w14:textId="77777777" w:rsidR="0062753D" w:rsidRPr="0062753D" w:rsidRDefault="0062753D" w:rsidP="0062753D">
            <w:pPr>
              <w:rPr>
                <w:rFonts w:ascii="Times New Roman" w:eastAsia="Times New Roman" w:hAnsi="Times New Roman" w:cs="Times New Roman"/>
                <w:color w:val="000000"/>
              </w:rPr>
            </w:pPr>
            <w:r w:rsidRPr="0062753D">
              <w:rPr>
                <w:rFonts w:ascii="Times New Roman" w:eastAsia="Times New Roman" w:hAnsi="Times New Roman" w:cs="Times New Roman"/>
                <w:color w:val="000000"/>
              </w:rPr>
              <w:t>62%</w:t>
            </w:r>
          </w:p>
        </w:tc>
      </w:tr>
      <w:tr w:rsidR="0062753D" w:rsidRPr="0062753D" w14:paraId="191F17B4" w14:textId="77777777" w:rsidTr="0062753D">
        <w:trPr>
          <w:trHeight w:val="315"/>
        </w:trPr>
        <w:tc>
          <w:tcPr>
            <w:tcW w:w="0" w:type="auto"/>
            <w:tcBorders>
              <w:top w:val="nil"/>
              <w:left w:val="nil"/>
              <w:bottom w:val="nil"/>
              <w:right w:val="nil"/>
            </w:tcBorders>
            <w:shd w:val="clear" w:color="auto" w:fill="auto"/>
            <w:noWrap/>
            <w:vAlign w:val="center"/>
            <w:hideMark/>
          </w:tcPr>
          <w:p w14:paraId="53D82F7F" w14:textId="77777777" w:rsidR="0062753D" w:rsidRPr="0062753D" w:rsidRDefault="0062753D" w:rsidP="0062753D">
            <w:pPr>
              <w:rPr>
                <w:rFonts w:ascii="Times New Roman" w:eastAsia="Times New Roman" w:hAnsi="Times New Roman" w:cs="Times New Roman"/>
                <w:color w:val="000000"/>
              </w:rPr>
            </w:pPr>
            <w:r w:rsidRPr="0062753D">
              <w:rPr>
                <w:rFonts w:ascii="Times New Roman" w:eastAsia="Times New Roman" w:hAnsi="Times New Roman" w:cs="Times New Roman"/>
                <w:color w:val="000000"/>
              </w:rPr>
              <w:t>4</w:t>
            </w:r>
          </w:p>
        </w:tc>
        <w:tc>
          <w:tcPr>
            <w:tcW w:w="0" w:type="auto"/>
            <w:tcBorders>
              <w:top w:val="nil"/>
              <w:left w:val="nil"/>
              <w:bottom w:val="nil"/>
              <w:right w:val="nil"/>
            </w:tcBorders>
            <w:shd w:val="clear" w:color="auto" w:fill="auto"/>
            <w:vAlign w:val="center"/>
            <w:hideMark/>
          </w:tcPr>
          <w:p w14:paraId="27A30251" w14:textId="77777777" w:rsidR="0062753D" w:rsidRPr="0062753D" w:rsidRDefault="0062753D" w:rsidP="0062753D">
            <w:pPr>
              <w:rPr>
                <w:rFonts w:ascii="Times New Roman" w:eastAsia="Times New Roman" w:hAnsi="Times New Roman" w:cs="Times New Roman"/>
                <w:color w:val="000000"/>
              </w:rPr>
            </w:pPr>
            <w:r w:rsidRPr="0062753D">
              <w:rPr>
                <w:rFonts w:ascii="Times New Roman" w:eastAsia="Times New Roman" w:hAnsi="Times New Roman" w:cs="Times New Roman"/>
                <w:color w:val="000000"/>
              </w:rPr>
              <w:t>59%</w:t>
            </w:r>
          </w:p>
        </w:tc>
        <w:tc>
          <w:tcPr>
            <w:tcW w:w="0" w:type="auto"/>
            <w:tcBorders>
              <w:top w:val="nil"/>
              <w:left w:val="nil"/>
              <w:bottom w:val="nil"/>
              <w:right w:val="nil"/>
            </w:tcBorders>
            <w:shd w:val="clear" w:color="auto" w:fill="auto"/>
            <w:noWrap/>
            <w:vAlign w:val="center"/>
            <w:hideMark/>
          </w:tcPr>
          <w:p w14:paraId="339C9579" w14:textId="77777777" w:rsidR="0062753D" w:rsidRPr="0062753D" w:rsidRDefault="0062753D" w:rsidP="0062753D">
            <w:pPr>
              <w:rPr>
                <w:rFonts w:ascii="Times New Roman" w:eastAsia="Times New Roman" w:hAnsi="Times New Roman" w:cs="Times New Roman"/>
                <w:color w:val="000000"/>
              </w:rPr>
            </w:pPr>
            <w:r w:rsidRPr="0062753D">
              <w:rPr>
                <w:rFonts w:ascii="Times New Roman" w:eastAsia="Times New Roman" w:hAnsi="Times New Roman" w:cs="Times New Roman"/>
                <w:color w:val="000000"/>
              </w:rPr>
              <w:t>-</w:t>
            </w:r>
          </w:p>
        </w:tc>
      </w:tr>
      <w:tr w:rsidR="0062753D" w:rsidRPr="0062753D" w14:paraId="0417B028" w14:textId="77777777" w:rsidTr="0062753D">
        <w:trPr>
          <w:trHeight w:val="315"/>
        </w:trPr>
        <w:tc>
          <w:tcPr>
            <w:tcW w:w="0" w:type="auto"/>
            <w:tcBorders>
              <w:top w:val="nil"/>
              <w:left w:val="nil"/>
              <w:bottom w:val="nil"/>
              <w:right w:val="nil"/>
            </w:tcBorders>
            <w:shd w:val="clear" w:color="auto" w:fill="auto"/>
            <w:noWrap/>
            <w:vAlign w:val="center"/>
            <w:hideMark/>
          </w:tcPr>
          <w:p w14:paraId="58DD1893" w14:textId="77777777" w:rsidR="0062753D" w:rsidRPr="0062753D" w:rsidRDefault="0062753D" w:rsidP="0062753D">
            <w:pPr>
              <w:rPr>
                <w:rFonts w:ascii="Times New Roman" w:eastAsia="Times New Roman" w:hAnsi="Times New Roman" w:cs="Times New Roman"/>
                <w:color w:val="000000"/>
              </w:rPr>
            </w:pPr>
            <w:r w:rsidRPr="0062753D">
              <w:rPr>
                <w:rFonts w:ascii="Times New Roman" w:eastAsia="Times New Roman" w:hAnsi="Times New Roman" w:cs="Times New Roman"/>
                <w:color w:val="000000"/>
              </w:rPr>
              <w:t>5</w:t>
            </w:r>
          </w:p>
        </w:tc>
        <w:tc>
          <w:tcPr>
            <w:tcW w:w="0" w:type="auto"/>
            <w:tcBorders>
              <w:top w:val="nil"/>
              <w:left w:val="nil"/>
              <w:bottom w:val="nil"/>
              <w:right w:val="nil"/>
            </w:tcBorders>
            <w:shd w:val="clear" w:color="auto" w:fill="auto"/>
            <w:vAlign w:val="center"/>
            <w:hideMark/>
          </w:tcPr>
          <w:p w14:paraId="3504A47B" w14:textId="77777777" w:rsidR="0062753D" w:rsidRPr="0062753D" w:rsidRDefault="0062753D" w:rsidP="0062753D">
            <w:pPr>
              <w:rPr>
                <w:rFonts w:ascii="Times New Roman" w:eastAsia="Times New Roman" w:hAnsi="Times New Roman" w:cs="Times New Roman"/>
                <w:color w:val="000000"/>
              </w:rPr>
            </w:pPr>
            <w:r w:rsidRPr="0062753D">
              <w:rPr>
                <w:rFonts w:ascii="Times New Roman" w:eastAsia="Times New Roman" w:hAnsi="Times New Roman" w:cs="Times New Roman"/>
                <w:color w:val="000000"/>
              </w:rPr>
              <w:t>49%</w:t>
            </w:r>
          </w:p>
        </w:tc>
        <w:tc>
          <w:tcPr>
            <w:tcW w:w="0" w:type="auto"/>
            <w:tcBorders>
              <w:top w:val="nil"/>
              <w:left w:val="nil"/>
              <w:bottom w:val="nil"/>
              <w:right w:val="nil"/>
            </w:tcBorders>
            <w:shd w:val="clear" w:color="auto" w:fill="auto"/>
            <w:vAlign w:val="center"/>
            <w:hideMark/>
          </w:tcPr>
          <w:p w14:paraId="0E26DDCD" w14:textId="77777777" w:rsidR="0062753D" w:rsidRPr="0062753D" w:rsidRDefault="0062753D" w:rsidP="0062753D">
            <w:pPr>
              <w:rPr>
                <w:rFonts w:ascii="Times New Roman" w:eastAsia="Times New Roman" w:hAnsi="Times New Roman" w:cs="Times New Roman"/>
                <w:color w:val="000000"/>
              </w:rPr>
            </w:pPr>
            <w:r w:rsidRPr="0062753D">
              <w:rPr>
                <w:rFonts w:ascii="Times New Roman" w:eastAsia="Times New Roman" w:hAnsi="Times New Roman" w:cs="Times New Roman"/>
                <w:color w:val="000000"/>
              </w:rPr>
              <w:t>59%</w:t>
            </w:r>
          </w:p>
        </w:tc>
      </w:tr>
      <w:tr w:rsidR="0062753D" w:rsidRPr="0062753D" w14:paraId="3926F678" w14:textId="77777777" w:rsidTr="0062753D">
        <w:trPr>
          <w:trHeight w:val="315"/>
        </w:trPr>
        <w:tc>
          <w:tcPr>
            <w:tcW w:w="0" w:type="auto"/>
            <w:tcBorders>
              <w:top w:val="nil"/>
              <w:left w:val="nil"/>
              <w:bottom w:val="nil"/>
              <w:right w:val="nil"/>
            </w:tcBorders>
            <w:shd w:val="clear" w:color="auto" w:fill="auto"/>
            <w:noWrap/>
            <w:vAlign w:val="center"/>
            <w:hideMark/>
          </w:tcPr>
          <w:p w14:paraId="1BCDA83B" w14:textId="77777777" w:rsidR="0062753D" w:rsidRPr="0062753D" w:rsidRDefault="0062753D" w:rsidP="0062753D">
            <w:pPr>
              <w:rPr>
                <w:rFonts w:ascii="Times New Roman" w:eastAsia="Times New Roman" w:hAnsi="Times New Roman" w:cs="Times New Roman"/>
                <w:color w:val="000000"/>
              </w:rPr>
            </w:pPr>
            <w:r w:rsidRPr="0062753D">
              <w:rPr>
                <w:rFonts w:ascii="Times New Roman" w:eastAsia="Times New Roman" w:hAnsi="Times New Roman" w:cs="Times New Roman"/>
                <w:color w:val="000000"/>
              </w:rPr>
              <w:t>6</w:t>
            </w:r>
          </w:p>
        </w:tc>
        <w:tc>
          <w:tcPr>
            <w:tcW w:w="0" w:type="auto"/>
            <w:tcBorders>
              <w:top w:val="nil"/>
              <w:left w:val="nil"/>
              <w:bottom w:val="nil"/>
              <w:right w:val="nil"/>
            </w:tcBorders>
            <w:shd w:val="clear" w:color="auto" w:fill="auto"/>
            <w:vAlign w:val="center"/>
            <w:hideMark/>
          </w:tcPr>
          <w:p w14:paraId="3BBB8DAA" w14:textId="77777777" w:rsidR="0062753D" w:rsidRPr="0062753D" w:rsidRDefault="0062753D" w:rsidP="0062753D">
            <w:pPr>
              <w:rPr>
                <w:rFonts w:ascii="Times New Roman" w:eastAsia="Times New Roman" w:hAnsi="Times New Roman" w:cs="Times New Roman"/>
                <w:color w:val="000000"/>
              </w:rPr>
            </w:pPr>
            <w:r w:rsidRPr="0062753D">
              <w:rPr>
                <w:rFonts w:ascii="Times New Roman" w:eastAsia="Times New Roman" w:hAnsi="Times New Roman" w:cs="Times New Roman"/>
                <w:color w:val="000000"/>
              </w:rPr>
              <w:t>49%</w:t>
            </w:r>
          </w:p>
        </w:tc>
        <w:tc>
          <w:tcPr>
            <w:tcW w:w="0" w:type="auto"/>
            <w:tcBorders>
              <w:top w:val="nil"/>
              <w:left w:val="nil"/>
              <w:bottom w:val="nil"/>
              <w:right w:val="nil"/>
            </w:tcBorders>
            <w:shd w:val="clear" w:color="auto" w:fill="auto"/>
            <w:vAlign w:val="center"/>
            <w:hideMark/>
          </w:tcPr>
          <w:p w14:paraId="25368F5F" w14:textId="77777777" w:rsidR="0062753D" w:rsidRPr="0062753D" w:rsidRDefault="0062753D" w:rsidP="0062753D">
            <w:pPr>
              <w:rPr>
                <w:rFonts w:ascii="Times New Roman" w:eastAsia="Times New Roman" w:hAnsi="Times New Roman" w:cs="Times New Roman"/>
                <w:color w:val="000000"/>
              </w:rPr>
            </w:pPr>
            <w:r w:rsidRPr="0062753D">
              <w:rPr>
                <w:rFonts w:ascii="Times New Roman" w:eastAsia="Times New Roman" w:hAnsi="Times New Roman" w:cs="Times New Roman"/>
                <w:color w:val="000000"/>
              </w:rPr>
              <w:t>61%</w:t>
            </w:r>
          </w:p>
        </w:tc>
      </w:tr>
      <w:tr w:rsidR="0062753D" w:rsidRPr="0062753D" w14:paraId="3FE22630" w14:textId="77777777" w:rsidTr="0062753D">
        <w:trPr>
          <w:trHeight w:val="315"/>
        </w:trPr>
        <w:tc>
          <w:tcPr>
            <w:tcW w:w="0" w:type="auto"/>
            <w:tcBorders>
              <w:top w:val="nil"/>
              <w:left w:val="nil"/>
              <w:bottom w:val="nil"/>
              <w:right w:val="nil"/>
            </w:tcBorders>
            <w:shd w:val="clear" w:color="auto" w:fill="auto"/>
            <w:noWrap/>
            <w:vAlign w:val="center"/>
            <w:hideMark/>
          </w:tcPr>
          <w:p w14:paraId="26CA33F6" w14:textId="77777777" w:rsidR="0062753D" w:rsidRPr="0062753D" w:rsidRDefault="0062753D" w:rsidP="0062753D">
            <w:pPr>
              <w:rPr>
                <w:rFonts w:ascii="Times New Roman" w:eastAsia="Times New Roman" w:hAnsi="Times New Roman" w:cs="Times New Roman"/>
                <w:color w:val="000000"/>
              </w:rPr>
            </w:pPr>
            <w:r w:rsidRPr="0062753D">
              <w:rPr>
                <w:rFonts w:ascii="Times New Roman" w:eastAsia="Times New Roman" w:hAnsi="Times New Roman" w:cs="Times New Roman"/>
                <w:color w:val="000000"/>
              </w:rPr>
              <w:t>9</w:t>
            </w:r>
          </w:p>
        </w:tc>
        <w:tc>
          <w:tcPr>
            <w:tcW w:w="0" w:type="auto"/>
            <w:tcBorders>
              <w:top w:val="nil"/>
              <w:left w:val="nil"/>
              <w:bottom w:val="nil"/>
              <w:right w:val="nil"/>
            </w:tcBorders>
            <w:shd w:val="clear" w:color="auto" w:fill="auto"/>
            <w:vAlign w:val="center"/>
            <w:hideMark/>
          </w:tcPr>
          <w:p w14:paraId="36381A17" w14:textId="77777777" w:rsidR="0062753D" w:rsidRPr="0062753D" w:rsidRDefault="0062753D" w:rsidP="0062753D">
            <w:pPr>
              <w:rPr>
                <w:rFonts w:ascii="Times New Roman" w:eastAsia="Times New Roman" w:hAnsi="Times New Roman" w:cs="Times New Roman"/>
                <w:color w:val="000000"/>
              </w:rPr>
            </w:pPr>
            <w:r w:rsidRPr="0062753D">
              <w:rPr>
                <w:rFonts w:ascii="Times New Roman" w:eastAsia="Times New Roman" w:hAnsi="Times New Roman" w:cs="Times New Roman"/>
                <w:color w:val="000000"/>
              </w:rPr>
              <w:t>58%</w:t>
            </w:r>
          </w:p>
        </w:tc>
        <w:tc>
          <w:tcPr>
            <w:tcW w:w="0" w:type="auto"/>
            <w:tcBorders>
              <w:top w:val="nil"/>
              <w:left w:val="nil"/>
              <w:bottom w:val="nil"/>
              <w:right w:val="nil"/>
            </w:tcBorders>
            <w:shd w:val="clear" w:color="auto" w:fill="auto"/>
            <w:vAlign w:val="center"/>
            <w:hideMark/>
          </w:tcPr>
          <w:p w14:paraId="214DC743" w14:textId="77777777" w:rsidR="0062753D" w:rsidRPr="0062753D" w:rsidRDefault="0062753D" w:rsidP="0062753D">
            <w:pPr>
              <w:rPr>
                <w:rFonts w:ascii="Times New Roman" w:eastAsia="Times New Roman" w:hAnsi="Times New Roman" w:cs="Times New Roman"/>
                <w:color w:val="000000"/>
              </w:rPr>
            </w:pPr>
            <w:r w:rsidRPr="0062753D">
              <w:rPr>
                <w:rFonts w:ascii="Times New Roman" w:eastAsia="Times New Roman" w:hAnsi="Times New Roman" w:cs="Times New Roman"/>
                <w:color w:val="000000"/>
              </w:rPr>
              <w:t>43%</w:t>
            </w:r>
          </w:p>
        </w:tc>
      </w:tr>
      <w:tr w:rsidR="0062753D" w:rsidRPr="0062753D" w14:paraId="7A5360F8" w14:textId="77777777" w:rsidTr="0062753D">
        <w:trPr>
          <w:trHeight w:val="315"/>
        </w:trPr>
        <w:tc>
          <w:tcPr>
            <w:tcW w:w="0" w:type="auto"/>
            <w:tcBorders>
              <w:top w:val="nil"/>
              <w:left w:val="nil"/>
              <w:bottom w:val="nil"/>
              <w:right w:val="nil"/>
            </w:tcBorders>
            <w:shd w:val="clear" w:color="auto" w:fill="auto"/>
            <w:noWrap/>
            <w:vAlign w:val="center"/>
            <w:hideMark/>
          </w:tcPr>
          <w:p w14:paraId="61DFD8E6" w14:textId="77777777" w:rsidR="0062753D" w:rsidRPr="0062753D" w:rsidRDefault="0062753D" w:rsidP="0062753D">
            <w:pPr>
              <w:rPr>
                <w:rFonts w:ascii="Times New Roman" w:eastAsia="Times New Roman" w:hAnsi="Times New Roman" w:cs="Times New Roman"/>
                <w:color w:val="000000"/>
              </w:rPr>
            </w:pPr>
            <w:r w:rsidRPr="0062753D">
              <w:rPr>
                <w:rFonts w:ascii="Times New Roman" w:eastAsia="Times New Roman" w:hAnsi="Times New Roman" w:cs="Times New Roman"/>
                <w:color w:val="000000"/>
              </w:rPr>
              <w:t>11</w:t>
            </w:r>
          </w:p>
        </w:tc>
        <w:tc>
          <w:tcPr>
            <w:tcW w:w="0" w:type="auto"/>
            <w:tcBorders>
              <w:top w:val="nil"/>
              <w:left w:val="nil"/>
              <w:bottom w:val="nil"/>
              <w:right w:val="nil"/>
            </w:tcBorders>
            <w:shd w:val="clear" w:color="auto" w:fill="auto"/>
            <w:vAlign w:val="center"/>
            <w:hideMark/>
          </w:tcPr>
          <w:p w14:paraId="6390EB1C" w14:textId="77777777" w:rsidR="0062753D" w:rsidRPr="0062753D" w:rsidRDefault="0062753D" w:rsidP="0062753D">
            <w:pPr>
              <w:rPr>
                <w:rFonts w:ascii="Times New Roman" w:eastAsia="Times New Roman" w:hAnsi="Times New Roman" w:cs="Times New Roman"/>
                <w:color w:val="000000"/>
              </w:rPr>
            </w:pPr>
            <w:r w:rsidRPr="0062753D">
              <w:rPr>
                <w:rFonts w:ascii="Times New Roman" w:eastAsia="Times New Roman" w:hAnsi="Times New Roman" w:cs="Times New Roman"/>
                <w:color w:val="000000"/>
              </w:rPr>
              <w:t>45%</w:t>
            </w:r>
          </w:p>
        </w:tc>
        <w:tc>
          <w:tcPr>
            <w:tcW w:w="0" w:type="auto"/>
            <w:tcBorders>
              <w:top w:val="nil"/>
              <w:left w:val="nil"/>
              <w:bottom w:val="nil"/>
              <w:right w:val="nil"/>
            </w:tcBorders>
            <w:shd w:val="clear" w:color="auto" w:fill="auto"/>
            <w:vAlign w:val="center"/>
            <w:hideMark/>
          </w:tcPr>
          <w:p w14:paraId="49987F2B" w14:textId="77777777" w:rsidR="0062753D" w:rsidRPr="0062753D" w:rsidRDefault="0062753D" w:rsidP="0062753D">
            <w:pPr>
              <w:rPr>
                <w:rFonts w:ascii="Times New Roman" w:eastAsia="Times New Roman" w:hAnsi="Times New Roman" w:cs="Times New Roman"/>
                <w:color w:val="000000"/>
              </w:rPr>
            </w:pPr>
            <w:r w:rsidRPr="0062753D">
              <w:rPr>
                <w:rFonts w:ascii="Times New Roman" w:eastAsia="Times New Roman" w:hAnsi="Times New Roman" w:cs="Times New Roman"/>
                <w:color w:val="000000"/>
              </w:rPr>
              <w:t>58%</w:t>
            </w:r>
          </w:p>
        </w:tc>
      </w:tr>
      <w:tr w:rsidR="0062753D" w:rsidRPr="0062753D" w14:paraId="008E687D" w14:textId="77777777" w:rsidTr="0062753D">
        <w:trPr>
          <w:trHeight w:val="315"/>
        </w:trPr>
        <w:tc>
          <w:tcPr>
            <w:tcW w:w="0" w:type="auto"/>
            <w:tcBorders>
              <w:top w:val="nil"/>
              <w:left w:val="nil"/>
              <w:bottom w:val="nil"/>
              <w:right w:val="nil"/>
            </w:tcBorders>
            <w:shd w:val="clear" w:color="auto" w:fill="auto"/>
            <w:noWrap/>
            <w:vAlign w:val="center"/>
            <w:hideMark/>
          </w:tcPr>
          <w:p w14:paraId="6BBC0DD1" w14:textId="77777777" w:rsidR="0062753D" w:rsidRPr="0062753D" w:rsidRDefault="0062753D" w:rsidP="0062753D">
            <w:pPr>
              <w:rPr>
                <w:rFonts w:ascii="Times New Roman" w:eastAsia="Times New Roman" w:hAnsi="Times New Roman" w:cs="Times New Roman"/>
                <w:color w:val="000000"/>
              </w:rPr>
            </w:pPr>
            <w:r w:rsidRPr="0062753D">
              <w:rPr>
                <w:rFonts w:ascii="Times New Roman" w:eastAsia="Times New Roman" w:hAnsi="Times New Roman" w:cs="Times New Roman"/>
                <w:color w:val="000000"/>
              </w:rPr>
              <w:t>13</w:t>
            </w:r>
          </w:p>
        </w:tc>
        <w:tc>
          <w:tcPr>
            <w:tcW w:w="0" w:type="auto"/>
            <w:tcBorders>
              <w:top w:val="nil"/>
              <w:left w:val="nil"/>
              <w:bottom w:val="nil"/>
              <w:right w:val="nil"/>
            </w:tcBorders>
            <w:shd w:val="clear" w:color="auto" w:fill="auto"/>
            <w:vAlign w:val="center"/>
            <w:hideMark/>
          </w:tcPr>
          <w:p w14:paraId="286AF134" w14:textId="77777777" w:rsidR="0062753D" w:rsidRPr="0062753D" w:rsidRDefault="0062753D" w:rsidP="0062753D">
            <w:pPr>
              <w:rPr>
                <w:rFonts w:ascii="Times New Roman" w:eastAsia="Times New Roman" w:hAnsi="Times New Roman" w:cs="Times New Roman"/>
                <w:color w:val="000000"/>
              </w:rPr>
            </w:pPr>
            <w:r w:rsidRPr="0062753D">
              <w:rPr>
                <w:rFonts w:ascii="Times New Roman" w:eastAsia="Times New Roman" w:hAnsi="Times New Roman" w:cs="Times New Roman"/>
                <w:color w:val="000000"/>
              </w:rPr>
              <w:t>55%</w:t>
            </w:r>
          </w:p>
        </w:tc>
        <w:tc>
          <w:tcPr>
            <w:tcW w:w="0" w:type="auto"/>
            <w:tcBorders>
              <w:top w:val="nil"/>
              <w:left w:val="nil"/>
              <w:bottom w:val="nil"/>
              <w:right w:val="nil"/>
            </w:tcBorders>
            <w:shd w:val="clear" w:color="auto" w:fill="auto"/>
            <w:vAlign w:val="center"/>
            <w:hideMark/>
          </w:tcPr>
          <w:p w14:paraId="29B42F7C" w14:textId="77777777" w:rsidR="0062753D" w:rsidRPr="0062753D" w:rsidRDefault="0062753D" w:rsidP="0062753D">
            <w:pPr>
              <w:rPr>
                <w:rFonts w:ascii="Times New Roman" w:eastAsia="Times New Roman" w:hAnsi="Times New Roman" w:cs="Times New Roman"/>
                <w:color w:val="000000"/>
              </w:rPr>
            </w:pPr>
            <w:r w:rsidRPr="0062753D">
              <w:rPr>
                <w:rFonts w:ascii="Times New Roman" w:eastAsia="Times New Roman" w:hAnsi="Times New Roman" w:cs="Times New Roman"/>
                <w:color w:val="000000"/>
              </w:rPr>
              <w:t>61%</w:t>
            </w:r>
          </w:p>
        </w:tc>
      </w:tr>
      <w:tr w:rsidR="0062753D" w:rsidRPr="0062753D" w14:paraId="1B8C2805" w14:textId="77777777" w:rsidTr="0062753D">
        <w:trPr>
          <w:trHeight w:val="630"/>
        </w:trPr>
        <w:tc>
          <w:tcPr>
            <w:tcW w:w="0" w:type="auto"/>
            <w:tcBorders>
              <w:top w:val="single" w:sz="4" w:space="0" w:color="auto"/>
              <w:left w:val="nil"/>
              <w:bottom w:val="single" w:sz="4" w:space="0" w:color="auto"/>
              <w:right w:val="nil"/>
            </w:tcBorders>
            <w:shd w:val="clear" w:color="auto" w:fill="auto"/>
            <w:noWrap/>
            <w:vAlign w:val="center"/>
            <w:hideMark/>
          </w:tcPr>
          <w:p w14:paraId="724B3EFA" w14:textId="77777777" w:rsidR="0062753D" w:rsidRPr="0062753D" w:rsidRDefault="0062753D" w:rsidP="0062753D">
            <w:pPr>
              <w:rPr>
                <w:rFonts w:ascii="Times New Roman" w:eastAsia="Times New Roman" w:hAnsi="Times New Roman" w:cs="Times New Roman"/>
                <w:b/>
                <w:bCs/>
                <w:color w:val="000000"/>
              </w:rPr>
            </w:pPr>
            <w:r w:rsidRPr="0062753D">
              <w:rPr>
                <w:rFonts w:ascii="Times New Roman" w:eastAsia="Times New Roman" w:hAnsi="Times New Roman" w:cs="Times New Roman"/>
                <w:b/>
                <w:bCs/>
                <w:color w:val="000000"/>
              </w:rPr>
              <w:t>Site number</w:t>
            </w:r>
          </w:p>
        </w:tc>
        <w:tc>
          <w:tcPr>
            <w:tcW w:w="0" w:type="auto"/>
            <w:tcBorders>
              <w:top w:val="single" w:sz="4" w:space="0" w:color="auto"/>
              <w:left w:val="nil"/>
              <w:bottom w:val="single" w:sz="4" w:space="0" w:color="auto"/>
              <w:right w:val="nil"/>
            </w:tcBorders>
            <w:shd w:val="clear" w:color="auto" w:fill="auto"/>
            <w:noWrap/>
            <w:vAlign w:val="center"/>
            <w:hideMark/>
          </w:tcPr>
          <w:p w14:paraId="4BBBE62C" w14:textId="77777777" w:rsidR="0062753D" w:rsidRPr="0062753D" w:rsidRDefault="0062753D" w:rsidP="0062753D">
            <w:pPr>
              <w:jc w:val="left"/>
              <w:rPr>
                <w:rFonts w:ascii="Times New Roman" w:eastAsia="Times New Roman" w:hAnsi="Times New Roman" w:cs="Times New Roman"/>
                <w:b/>
                <w:bCs/>
                <w:color w:val="000000"/>
              </w:rPr>
            </w:pPr>
            <w:r w:rsidRPr="0062753D">
              <w:rPr>
                <w:rFonts w:ascii="Times New Roman" w:eastAsia="Times New Roman" w:hAnsi="Times New Roman" w:cs="Times New Roman"/>
                <w:b/>
                <w:bCs/>
                <w:color w:val="000000"/>
              </w:rPr>
              <w:t>Eastbound</w:t>
            </w:r>
          </w:p>
        </w:tc>
        <w:tc>
          <w:tcPr>
            <w:tcW w:w="0" w:type="auto"/>
            <w:tcBorders>
              <w:top w:val="single" w:sz="4" w:space="0" w:color="auto"/>
              <w:left w:val="nil"/>
              <w:bottom w:val="single" w:sz="4" w:space="0" w:color="auto"/>
              <w:right w:val="nil"/>
            </w:tcBorders>
            <w:shd w:val="clear" w:color="auto" w:fill="auto"/>
            <w:vAlign w:val="center"/>
            <w:hideMark/>
          </w:tcPr>
          <w:p w14:paraId="0279F3D7" w14:textId="77777777" w:rsidR="0062753D" w:rsidRPr="0062753D" w:rsidRDefault="0062753D" w:rsidP="0062753D">
            <w:pPr>
              <w:jc w:val="left"/>
              <w:rPr>
                <w:rFonts w:ascii="Times New Roman" w:eastAsia="Times New Roman" w:hAnsi="Times New Roman" w:cs="Times New Roman"/>
                <w:b/>
                <w:bCs/>
                <w:color w:val="000000"/>
              </w:rPr>
            </w:pPr>
            <w:r w:rsidRPr="0062753D">
              <w:rPr>
                <w:rFonts w:ascii="Times New Roman" w:eastAsia="Times New Roman" w:hAnsi="Times New Roman" w:cs="Times New Roman"/>
                <w:b/>
                <w:bCs/>
                <w:color w:val="000000"/>
              </w:rPr>
              <w:t>Westbound</w:t>
            </w:r>
          </w:p>
        </w:tc>
      </w:tr>
      <w:tr w:rsidR="0062753D" w:rsidRPr="0062753D" w14:paraId="3320CA9F" w14:textId="77777777" w:rsidTr="0062753D">
        <w:trPr>
          <w:trHeight w:val="315"/>
        </w:trPr>
        <w:tc>
          <w:tcPr>
            <w:tcW w:w="0" w:type="auto"/>
            <w:tcBorders>
              <w:top w:val="nil"/>
              <w:left w:val="nil"/>
              <w:bottom w:val="nil"/>
              <w:right w:val="nil"/>
            </w:tcBorders>
            <w:shd w:val="clear" w:color="auto" w:fill="auto"/>
            <w:noWrap/>
            <w:vAlign w:val="center"/>
            <w:hideMark/>
          </w:tcPr>
          <w:p w14:paraId="6AE80209" w14:textId="77777777" w:rsidR="0062753D" w:rsidRPr="0062753D" w:rsidRDefault="0062753D" w:rsidP="0062753D">
            <w:pPr>
              <w:rPr>
                <w:rFonts w:ascii="Times New Roman" w:eastAsia="Times New Roman" w:hAnsi="Times New Roman" w:cs="Times New Roman"/>
                <w:color w:val="000000"/>
              </w:rPr>
            </w:pPr>
            <w:r w:rsidRPr="0062753D">
              <w:rPr>
                <w:rFonts w:ascii="Times New Roman" w:eastAsia="Times New Roman" w:hAnsi="Times New Roman" w:cs="Times New Roman"/>
                <w:color w:val="000000"/>
              </w:rPr>
              <w:t>7</w:t>
            </w:r>
          </w:p>
        </w:tc>
        <w:tc>
          <w:tcPr>
            <w:tcW w:w="0" w:type="auto"/>
            <w:tcBorders>
              <w:top w:val="nil"/>
              <w:left w:val="nil"/>
              <w:bottom w:val="nil"/>
              <w:right w:val="nil"/>
            </w:tcBorders>
            <w:shd w:val="clear" w:color="auto" w:fill="auto"/>
            <w:vAlign w:val="center"/>
            <w:hideMark/>
          </w:tcPr>
          <w:p w14:paraId="61A30948" w14:textId="77777777" w:rsidR="0062753D" w:rsidRPr="0062753D" w:rsidRDefault="0062753D" w:rsidP="0062753D">
            <w:pPr>
              <w:rPr>
                <w:rFonts w:ascii="Times New Roman" w:eastAsia="Times New Roman" w:hAnsi="Times New Roman" w:cs="Times New Roman"/>
                <w:color w:val="000000"/>
              </w:rPr>
            </w:pPr>
            <w:r w:rsidRPr="0062753D">
              <w:rPr>
                <w:rFonts w:ascii="Times New Roman" w:eastAsia="Times New Roman" w:hAnsi="Times New Roman" w:cs="Times New Roman"/>
                <w:color w:val="000000"/>
              </w:rPr>
              <w:t>51%</w:t>
            </w:r>
          </w:p>
        </w:tc>
        <w:tc>
          <w:tcPr>
            <w:tcW w:w="0" w:type="auto"/>
            <w:tcBorders>
              <w:top w:val="nil"/>
              <w:left w:val="nil"/>
              <w:bottom w:val="nil"/>
              <w:right w:val="nil"/>
            </w:tcBorders>
            <w:shd w:val="clear" w:color="auto" w:fill="auto"/>
            <w:noWrap/>
            <w:vAlign w:val="center"/>
            <w:hideMark/>
          </w:tcPr>
          <w:p w14:paraId="46A7EC4B" w14:textId="77777777" w:rsidR="0062753D" w:rsidRPr="0062753D" w:rsidRDefault="0062753D" w:rsidP="0062753D">
            <w:pPr>
              <w:rPr>
                <w:rFonts w:ascii="Times New Roman" w:eastAsia="Times New Roman" w:hAnsi="Times New Roman" w:cs="Times New Roman"/>
                <w:color w:val="000000"/>
              </w:rPr>
            </w:pPr>
            <w:r w:rsidRPr="0062753D">
              <w:rPr>
                <w:rFonts w:ascii="Times New Roman" w:eastAsia="Times New Roman" w:hAnsi="Times New Roman" w:cs="Times New Roman"/>
                <w:color w:val="000000"/>
              </w:rPr>
              <w:t>-</w:t>
            </w:r>
          </w:p>
        </w:tc>
      </w:tr>
      <w:tr w:rsidR="0062753D" w:rsidRPr="0062753D" w14:paraId="23CF6D0A" w14:textId="77777777" w:rsidTr="0062753D">
        <w:trPr>
          <w:trHeight w:val="315"/>
        </w:trPr>
        <w:tc>
          <w:tcPr>
            <w:tcW w:w="0" w:type="auto"/>
            <w:tcBorders>
              <w:top w:val="nil"/>
              <w:left w:val="nil"/>
              <w:bottom w:val="nil"/>
              <w:right w:val="nil"/>
            </w:tcBorders>
            <w:shd w:val="clear" w:color="auto" w:fill="auto"/>
            <w:noWrap/>
            <w:vAlign w:val="center"/>
            <w:hideMark/>
          </w:tcPr>
          <w:p w14:paraId="0C09F348" w14:textId="77777777" w:rsidR="0062753D" w:rsidRPr="0062753D" w:rsidRDefault="0062753D" w:rsidP="0062753D">
            <w:pPr>
              <w:rPr>
                <w:rFonts w:ascii="Times New Roman" w:eastAsia="Times New Roman" w:hAnsi="Times New Roman" w:cs="Times New Roman"/>
                <w:color w:val="000000"/>
              </w:rPr>
            </w:pPr>
            <w:r w:rsidRPr="0062753D">
              <w:rPr>
                <w:rFonts w:ascii="Times New Roman" w:eastAsia="Times New Roman" w:hAnsi="Times New Roman" w:cs="Times New Roman"/>
                <w:color w:val="000000"/>
              </w:rPr>
              <w:t>8</w:t>
            </w:r>
          </w:p>
        </w:tc>
        <w:tc>
          <w:tcPr>
            <w:tcW w:w="0" w:type="auto"/>
            <w:tcBorders>
              <w:top w:val="nil"/>
              <w:left w:val="nil"/>
              <w:bottom w:val="nil"/>
              <w:right w:val="nil"/>
            </w:tcBorders>
            <w:shd w:val="clear" w:color="auto" w:fill="auto"/>
            <w:vAlign w:val="center"/>
            <w:hideMark/>
          </w:tcPr>
          <w:p w14:paraId="74C6C980" w14:textId="77777777" w:rsidR="0062753D" w:rsidRPr="0062753D" w:rsidRDefault="0062753D" w:rsidP="0062753D">
            <w:pPr>
              <w:rPr>
                <w:rFonts w:ascii="Times New Roman" w:eastAsia="Times New Roman" w:hAnsi="Times New Roman" w:cs="Times New Roman"/>
                <w:color w:val="000000"/>
              </w:rPr>
            </w:pPr>
            <w:r w:rsidRPr="0062753D">
              <w:rPr>
                <w:rFonts w:ascii="Times New Roman" w:eastAsia="Times New Roman" w:hAnsi="Times New Roman" w:cs="Times New Roman"/>
                <w:color w:val="000000"/>
              </w:rPr>
              <w:t>51%</w:t>
            </w:r>
          </w:p>
        </w:tc>
        <w:tc>
          <w:tcPr>
            <w:tcW w:w="0" w:type="auto"/>
            <w:tcBorders>
              <w:top w:val="nil"/>
              <w:left w:val="nil"/>
              <w:bottom w:val="nil"/>
              <w:right w:val="nil"/>
            </w:tcBorders>
            <w:shd w:val="clear" w:color="auto" w:fill="auto"/>
            <w:vAlign w:val="center"/>
            <w:hideMark/>
          </w:tcPr>
          <w:p w14:paraId="092D241F" w14:textId="77777777" w:rsidR="0062753D" w:rsidRPr="0062753D" w:rsidRDefault="0062753D" w:rsidP="0062753D">
            <w:pPr>
              <w:rPr>
                <w:rFonts w:ascii="Times New Roman" w:eastAsia="Times New Roman" w:hAnsi="Times New Roman" w:cs="Times New Roman"/>
                <w:color w:val="000000"/>
              </w:rPr>
            </w:pPr>
            <w:r w:rsidRPr="0062753D">
              <w:rPr>
                <w:rFonts w:ascii="Times New Roman" w:eastAsia="Times New Roman" w:hAnsi="Times New Roman" w:cs="Times New Roman"/>
                <w:color w:val="000000"/>
              </w:rPr>
              <w:t>59%</w:t>
            </w:r>
          </w:p>
        </w:tc>
      </w:tr>
      <w:tr w:rsidR="0062753D" w:rsidRPr="0062753D" w14:paraId="1A0F7D7A" w14:textId="77777777" w:rsidTr="0062753D">
        <w:trPr>
          <w:trHeight w:val="315"/>
        </w:trPr>
        <w:tc>
          <w:tcPr>
            <w:tcW w:w="0" w:type="auto"/>
            <w:tcBorders>
              <w:top w:val="nil"/>
              <w:left w:val="nil"/>
              <w:bottom w:val="nil"/>
              <w:right w:val="nil"/>
            </w:tcBorders>
            <w:shd w:val="clear" w:color="auto" w:fill="auto"/>
            <w:noWrap/>
            <w:vAlign w:val="center"/>
            <w:hideMark/>
          </w:tcPr>
          <w:p w14:paraId="6796DFD0" w14:textId="77777777" w:rsidR="0062753D" w:rsidRPr="0062753D" w:rsidRDefault="0062753D" w:rsidP="0062753D">
            <w:pPr>
              <w:rPr>
                <w:rFonts w:ascii="Times New Roman" w:eastAsia="Times New Roman" w:hAnsi="Times New Roman" w:cs="Times New Roman"/>
                <w:color w:val="000000"/>
              </w:rPr>
            </w:pPr>
            <w:r w:rsidRPr="0062753D">
              <w:rPr>
                <w:rFonts w:ascii="Times New Roman" w:eastAsia="Times New Roman" w:hAnsi="Times New Roman" w:cs="Times New Roman"/>
                <w:color w:val="000000"/>
              </w:rPr>
              <w:t>10</w:t>
            </w:r>
          </w:p>
        </w:tc>
        <w:tc>
          <w:tcPr>
            <w:tcW w:w="0" w:type="auto"/>
            <w:tcBorders>
              <w:top w:val="nil"/>
              <w:left w:val="nil"/>
              <w:bottom w:val="nil"/>
              <w:right w:val="nil"/>
            </w:tcBorders>
            <w:shd w:val="clear" w:color="auto" w:fill="auto"/>
            <w:vAlign w:val="center"/>
            <w:hideMark/>
          </w:tcPr>
          <w:p w14:paraId="22151DD5" w14:textId="77777777" w:rsidR="0062753D" w:rsidRPr="0062753D" w:rsidRDefault="0062753D" w:rsidP="0062753D">
            <w:pPr>
              <w:rPr>
                <w:rFonts w:ascii="Times New Roman" w:eastAsia="Times New Roman" w:hAnsi="Times New Roman" w:cs="Times New Roman"/>
                <w:color w:val="000000"/>
              </w:rPr>
            </w:pPr>
            <w:r w:rsidRPr="0062753D">
              <w:rPr>
                <w:rFonts w:ascii="Times New Roman" w:eastAsia="Times New Roman" w:hAnsi="Times New Roman" w:cs="Times New Roman"/>
                <w:color w:val="000000"/>
              </w:rPr>
              <w:t>52%</w:t>
            </w:r>
          </w:p>
        </w:tc>
        <w:tc>
          <w:tcPr>
            <w:tcW w:w="0" w:type="auto"/>
            <w:tcBorders>
              <w:top w:val="nil"/>
              <w:left w:val="nil"/>
              <w:bottom w:val="nil"/>
              <w:right w:val="nil"/>
            </w:tcBorders>
            <w:shd w:val="clear" w:color="auto" w:fill="auto"/>
            <w:vAlign w:val="center"/>
            <w:hideMark/>
          </w:tcPr>
          <w:p w14:paraId="1F26441B" w14:textId="77777777" w:rsidR="0062753D" w:rsidRPr="0062753D" w:rsidRDefault="0062753D" w:rsidP="0062753D">
            <w:pPr>
              <w:rPr>
                <w:rFonts w:ascii="Times New Roman" w:eastAsia="Times New Roman" w:hAnsi="Times New Roman" w:cs="Times New Roman"/>
                <w:color w:val="000000"/>
              </w:rPr>
            </w:pPr>
            <w:r w:rsidRPr="0062753D">
              <w:rPr>
                <w:rFonts w:ascii="Times New Roman" w:eastAsia="Times New Roman" w:hAnsi="Times New Roman" w:cs="Times New Roman"/>
                <w:color w:val="000000"/>
              </w:rPr>
              <w:t>60%</w:t>
            </w:r>
          </w:p>
        </w:tc>
      </w:tr>
      <w:tr w:rsidR="0062753D" w:rsidRPr="0062753D" w14:paraId="0966367C" w14:textId="77777777" w:rsidTr="0062753D">
        <w:trPr>
          <w:trHeight w:val="315"/>
        </w:trPr>
        <w:tc>
          <w:tcPr>
            <w:tcW w:w="0" w:type="auto"/>
            <w:tcBorders>
              <w:top w:val="nil"/>
              <w:left w:val="nil"/>
              <w:bottom w:val="single" w:sz="4" w:space="0" w:color="auto"/>
              <w:right w:val="nil"/>
            </w:tcBorders>
            <w:shd w:val="clear" w:color="auto" w:fill="auto"/>
            <w:noWrap/>
            <w:vAlign w:val="center"/>
            <w:hideMark/>
          </w:tcPr>
          <w:p w14:paraId="5F4D779A" w14:textId="77777777" w:rsidR="0062753D" w:rsidRPr="0062753D" w:rsidRDefault="0062753D" w:rsidP="0062753D">
            <w:pPr>
              <w:rPr>
                <w:rFonts w:ascii="Times New Roman" w:eastAsia="Times New Roman" w:hAnsi="Times New Roman" w:cs="Times New Roman"/>
                <w:color w:val="000000"/>
              </w:rPr>
            </w:pPr>
            <w:r w:rsidRPr="0062753D">
              <w:rPr>
                <w:rFonts w:ascii="Times New Roman" w:eastAsia="Times New Roman" w:hAnsi="Times New Roman" w:cs="Times New Roman"/>
                <w:color w:val="000000"/>
              </w:rPr>
              <w:t>12</w:t>
            </w:r>
          </w:p>
        </w:tc>
        <w:tc>
          <w:tcPr>
            <w:tcW w:w="0" w:type="auto"/>
            <w:tcBorders>
              <w:top w:val="nil"/>
              <w:left w:val="nil"/>
              <w:bottom w:val="single" w:sz="4" w:space="0" w:color="auto"/>
              <w:right w:val="nil"/>
            </w:tcBorders>
            <w:shd w:val="clear" w:color="auto" w:fill="auto"/>
            <w:vAlign w:val="center"/>
            <w:hideMark/>
          </w:tcPr>
          <w:p w14:paraId="39F23752" w14:textId="77777777" w:rsidR="0062753D" w:rsidRPr="0062753D" w:rsidRDefault="0062753D" w:rsidP="0062753D">
            <w:pPr>
              <w:rPr>
                <w:rFonts w:ascii="Times New Roman" w:eastAsia="Times New Roman" w:hAnsi="Times New Roman" w:cs="Times New Roman"/>
                <w:color w:val="000000"/>
              </w:rPr>
            </w:pPr>
            <w:r w:rsidRPr="0062753D">
              <w:rPr>
                <w:rFonts w:ascii="Times New Roman" w:eastAsia="Times New Roman" w:hAnsi="Times New Roman" w:cs="Times New Roman"/>
                <w:color w:val="000000"/>
              </w:rPr>
              <w:t>48%</w:t>
            </w:r>
          </w:p>
        </w:tc>
        <w:tc>
          <w:tcPr>
            <w:tcW w:w="0" w:type="auto"/>
            <w:tcBorders>
              <w:top w:val="nil"/>
              <w:left w:val="nil"/>
              <w:bottom w:val="single" w:sz="4" w:space="0" w:color="auto"/>
              <w:right w:val="nil"/>
            </w:tcBorders>
            <w:shd w:val="clear" w:color="auto" w:fill="auto"/>
            <w:vAlign w:val="center"/>
            <w:hideMark/>
          </w:tcPr>
          <w:p w14:paraId="1C411F9B" w14:textId="77777777" w:rsidR="0062753D" w:rsidRPr="0062753D" w:rsidRDefault="0062753D" w:rsidP="0062753D">
            <w:pPr>
              <w:rPr>
                <w:rFonts w:ascii="Times New Roman" w:eastAsia="Times New Roman" w:hAnsi="Times New Roman" w:cs="Times New Roman"/>
                <w:color w:val="000000"/>
              </w:rPr>
            </w:pPr>
            <w:r w:rsidRPr="0062753D">
              <w:rPr>
                <w:rFonts w:ascii="Times New Roman" w:eastAsia="Times New Roman" w:hAnsi="Times New Roman" w:cs="Times New Roman"/>
                <w:color w:val="000000"/>
              </w:rPr>
              <w:t>55%</w:t>
            </w:r>
          </w:p>
        </w:tc>
      </w:tr>
    </w:tbl>
    <w:p w14:paraId="608590AC" w14:textId="78155910" w:rsidR="00D0745E" w:rsidRDefault="00E913BB" w:rsidP="00753ED7">
      <w:pPr>
        <w:spacing w:after="200"/>
      </w:pPr>
      <w:r>
        <w:lastRenderedPageBreak/>
        <w:t xml:space="preserve">Although not the main focus of this paper, </w:t>
      </w:r>
      <w:r w:rsidR="000618C5">
        <w:t xml:space="preserve">these </w:t>
      </w:r>
      <w:r w:rsidR="00A8462D">
        <w:t xml:space="preserve">data </w:t>
      </w:r>
      <w:r>
        <w:t xml:space="preserve">may </w:t>
      </w:r>
      <w:r w:rsidR="00D0745E" w:rsidRPr="00540D60">
        <w:t xml:space="preserve">also </w:t>
      </w:r>
      <w:r>
        <w:t xml:space="preserve">be </w:t>
      </w:r>
      <w:r w:rsidR="00A8462D">
        <w:t xml:space="preserve">used to </w:t>
      </w:r>
      <w:r w:rsidR="00D0745E" w:rsidRPr="00540D60">
        <w:t xml:space="preserve">reveal </w:t>
      </w:r>
      <w:r w:rsidR="00A8462D">
        <w:t xml:space="preserve">the </w:t>
      </w:r>
      <w:r w:rsidR="00D0745E" w:rsidRPr="00540D60">
        <w:t xml:space="preserve">movements of vehicles between sites. For example, during the </w:t>
      </w:r>
      <w:r w:rsidR="000618C5">
        <w:t>morning (</w:t>
      </w:r>
      <w:r w:rsidR="00000077">
        <w:t>06</w:t>
      </w:r>
      <w:r w:rsidR="00D0745E" w:rsidRPr="00540D60">
        <w:t>30-</w:t>
      </w:r>
      <w:r w:rsidR="00000077">
        <w:t>09</w:t>
      </w:r>
      <w:r w:rsidR="00D0745E" w:rsidRPr="00540D60">
        <w:t>30</w:t>
      </w:r>
      <w:r w:rsidR="000618C5">
        <w:t>)</w:t>
      </w:r>
      <w:r w:rsidR="00991B05">
        <w:t xml:space="preserve">, on average, </w:t>
      </w:r>
      <w:r w:rsidR="00991B05" w:rsidRPr="00540D60">
        <w:t xml:space="preserve">32.8% of vehicles </w:t>
      </w:r>
      <w:r w:rsidR="00991B05">
        <w:t xml:space="preserve">travelling northwards </w:t>
      </w:r>
      <w:r w:rsidR="004607B8">
        <w:t xml:space="preserve">(towards Dorchester) </w:t>
      </w:r>
      <w:r w:rsidR="00991B05" w:rsidRPr="00540D60">
        <w:t>at site 6 were also observed at site 3</w:t>
      </w:r>
      <w:r w:rsidR="00991B05">
        <w:t xml:space="preserve"> on the same day</w:t>
      </w:r>
      <w:r w:rsidR="00991B05" w:rsidRPr="00540D60">
        <w:t>;</w:t>
      </w:r>
      <w:r w:rsidR="00D0745E" w:rsidRPr="00540D60">
        <w:t xml:space="preserve"> </w:t>
      </w:r>
      <w:r w:rsidR="00991B05">
        <w:t>while, in the opposite direction of travel</w:t>
      </w:r>
      <w:r w:rsidR="004607B8">
        <w:t xml:space="preserve"> (towards Weymouth)</w:t>
      </w:r>
      <w:r w:rsidR="00991B05">
        <w:t xml:space="preserve">, </w:t>
      </w:r>
      <w:r w:rsidR="00D0745E" w:rsidRPr="00540D60">
        <w:t xml:space="preserve">26.8% of vehicles </w:t>
      </w:r>
      <w:r w:rsidR="00991B05">
        <w:t xml:space="preserve">travelling southwards </w:t>
      </w:r>
      <w:r w:rsidR="00D0745E" w:rsidRPr="00540D60">
        <w:t>at site 3</w:t>
      </w:r>
      <w:r w:rsidR="00991B05">
        <w:t xml:space="preserve"> </w:t>
      </w:r>
      <w:r w:rsidR="00D0745E" w:rsidRPr="00540D60">
        <w:t>were also observed at site 6</w:t>
      </w:r>
      <w:r w:rsidR="00991B05">
        <w:t xml:space="preserve">. </w:t>
      </w:r>
      <w:r w:rsidR="004607B8">
        <w:t xml:space="preserve">And, to provide some indication of </w:t>
      </w:r>
      <w:r w:rsidR="00D0745E" w:rsidRPr="00540D60">
        <w:t xml:space="preserve">typical commuting travel, </w:t>
      </w:r>
      <w:r w:rsidR="004607B8">
        <w:t xml:space="preserve">on average, </w:t>
      </w:r>
      <w:r w:rsidR="00D0745E" w:rsidRPr="00540D60">
        <w:t>only 19% of vehicles observed travelling south</w:t>
      </w:r>
      <w:r w:rsidR="004607B8">
        <w:t>wards</w:t>
      </w:r>
      <w:r w:rsidR="00D0745E" w:rsidRPr="00540D60">
        <w:t xml:space="preserve"> at site 3 in the morning (</w:t>
      </w:r>
      <w:r w:rsidR="00000077">
        <w:t>06</w:t>
      </w:r>
      <w:r w:rsidR="00D0745E" w:rsidRPr="00540D60">
        <w:t>30-</w:t>
      </w:r>
      <w:r w:rsidR="00000077">
        <w:t>09</w:t>
      </w:r>
      <w:r w:rsidR="00D0745E" w:rsidRPr="00540D60">
        <w:t xml:space="preserve">30) were also observed </w:t>
      </w:r>
      <w:r w:rsidR="004607B8">
        <w:t xml:space="preserve">returning to the same site </w:t>
      </w:r>
      <w:r w:rsidR="00D0745E" w:rsidRPr="00540D60">
        <w:t>in the opposite direction during the afternoon (</w:t>
      </w:r>
      <w:r w:rsidR="00000077">
        <w:t>1600-19</w:t>
      </w:r>
      <w:r w:rsidR="00D0745E" w:rsidRPr="00540D60">
        <w:t>00)</w:t>
      </w:r>
      <w:r w:rsidR="00A8462D">
        <w:t xml:space="preserve">, </w:t>
      </w:r>
      <w:r w:rsidR="00CA2702">
        <w:t>suggesti</w:t>
      </w:r>
      <w:r w:rsidR="004607B8">
        <w:t xml:space="preserve">ve of the </w:t>
      </w:r>
      <w:r w:rsidR="00CA2702">
        <w:t xml:space="preserve">greater variability in route choice </w:t>
      </w:r>
      <w:r w:rsidR="00753ED7">
        <w:t xml:space="preserve">in </w:t>
      </w:r>
      <w:r w:rsidR="00CA2702">
        <w:t xml:space="preserve">the </w:t>
      </w:r>
      <w:r w:rsidR="00661C5B">
        <w:t xml:space="preserve">afternoon </w:t>
      </w:r>
      <w:r w:rsidR="00CA2702">
        <w:t xml:space="preserve">resulting from differing activity profiles </w:t>
      </w:r>
      <w:r w:rsidR="00CA2702" w:rsidRPr="00CA2702">
        <w:rPr>
          <w:rFonts w:cs="Arial"/>
        </w:rPr>
        <w:t>(Schlich et al., 2004)</w:t>
      </w:r>
      <w:r w:rsidR="00CA2702">
        <w:t>.</w:t>
      </w:r>
      <w:r w:rsidR="00D0745E" w:rsidRPr="00CA2702">
        <w:t xml:space="preserve">  </w:t>
      </w:r>
    </w:p>
    <w:p w14:paraId="4239A53C" w14:textId="42AE69EA" w:rsidR="00C26C82" w:rsidRDefault="0087053C" w:rsidP="000F1CFA">
      <w:pPr>
        <w:pStyle w:val="Heading1"/>
      </w:pPr>
      <w:bookmarkStart w:id="7" w:name="_Ref375138088"/>
      <w:bookmarkStart w:id="8" w:name="_Toc379542253"/>
      <w:r w:rsidRPr="00540D60">
        <w:t>Re</w:t>
      </w:r>
      <w:r w:rsidR="001D7420" w:rsidRPr="00540D60">
        <w:t>sults</w:t>
      </w:r>
      <w:bookmarkEnd w:id="7"/>
      <w:bookmarkEnd w:id="8"/>
      <w:r w:rsidR="00CC2B19" w:rsidRPr="00540D60">
        <w:t xml:space="preserve"> and Discussion</w:t>
      </w:r>
    </w:p>
    <w:p w14:paraId="0DB43EFB" w14:textId="65E84621" w:rsidR="009D0E36" w:rsidRPr="009D0E36" w:rsidRDefault="009D0E36" w:rsidP="00395E73">
      <w:r>
        <w:t xml:space="preserve">All results were based on </w:t>
      </w:r>
      <w:r w:rsidRPr="00540D60">
        <w:t>regular vehicle</w:t>
      </w:r>
      <w:r>
        <w:t xml:space="preserve">s </w:t>
      </w:r>
      <w:r w:rsidRPr="00540D60">
        <w:t>having N</w:t>
      </w:r>
      <w:r w:rsidRPr="00540D60">
        <w:rPr>
          <w:rFonts w:ascii="Symbol" w:hAnsi="Symbol" w:cs="Symbol"/>
        </w:rPr>
        <w:t></w:t>
      </w:r>
      <w:r w:rsidRPr="00540D60">
        <w:t xml:space="preserve">30 observations with a standard deviation in arrival time </w:t>
      </w:r>
      <w:r w:rsidR="00395E73">
        <w:t xml:space="preserve">within the AM or PM peak period </w:t>
      </w:r>
      <w:r w:rsidRPr="00540D60">
        <w:t xml:space="preserve">of </w:t>
      </w:r>
      <w:r w:rsidRPr="00540D60">
        <w:rPr>
          <w:rFonts w:ascii="Symbol" w:hAnsi="Symbol"/>
        </w:rPr>
        <w:t></w:t>
      </w:r>
      <w:r w:rsidRPr="00540D60">
        <w:rPr>
          <w:rFonts w:ascii="Symbol" w:hAnsi="Symbol"/>
        </w:rPr>
        <w:t></w:t>
      </w:r>
      <w:r w:rsidRPr="00540D60">
        <w:rPr>
          <w:rFonts w:ascii="Symbol" w:hAnsi="Symbol" w:cs="Symbol"/>
        </w:rPr>
        <w:t></w:t>
      </w:r>
      <w:r w:rsidRPr="00540D60">
        <w:rPr>
          <w:rFonts w:ascii="Symbol" w:hAnsi="Symbol" w:cs="Symbol"/>
        </w:rPr>
        <w:t></w:t>
      </w:r>
      <w:r w:rsidRPr="00540D60">
        <w:t>10 minutes</w:t>
      </w:r>
      <w:r w:rsidR="00466DAC">
        <w:t xml:space="preserve"> (section 3). </w:t>
      </w:r>
    </w:p>
    <w:p w14:paraId="4E30C4F6" w14:textId="5867C4DB" w:rsidR="00692035" w:rsidRPr="00540D60" w:rsidRDefault="0069188D" w:rsidP="0031399D">
      <w:pPr>
        <w:pStyle w:val="Heading2"/>
      </w:pPr>
      <w:bookmarkStart w:id="9" w:name="_Ref430338098"/>
      <w:r>
        <w:t>Understanding v</w:t>
      </w:r>
      <w:r w:rsidR="007F02A8" w:rsidRPr="00540D60">
        <w:t>ehicle arrival time r</w:t>
      </w:r>
      <w:r w:rsidR="00A43D58" w:rsidRPr="00540D60">
        <w:t>egularity</w:t>
      </w:r>
      <w:bookmarkEnd w:id="9"/>
      <w:r w:rsidR="00A43D58" w:rsidRPr="00540D60">
        <w:t xml:space="preserve"> </w:t>
      </w:r>
      <w:r w:rsidR="000B132F" w:rsidRPr="00540D60">
        <w:t xml:space="preserve"> </w:t>
      </w:r>
    </w:p>
    <w:p w14:paraId="316A2FA7" w14:textId="55ED5A76" w:rsidR="00F23094" w:rsidRPr="00540D60" w:rsidRDefault="00F23094" w:rsidP="009D0E36">
      <w:bookmarkStart w:id="10" w:name="_Ref385936532"/>
      <w:r w:rsidRPr="00540D60">
        <w:t>For the morning peak (</w:t>
      </w:r>
      <w:r>
        <w:t>07</w:t>
      </w:r>
      <w:r w:rsidRPr="00540D60">
        <w:t>00-</w:t>
      </w:r>
      <w:r>
        <w:t>09</w:t>
      </w:r>
      <w:r w:rsidRPr="00540D60">
        <w:t>00), 6770 regular vehicles</w:t>
      </w:r>
      <w:r w:rsidR="009D0E36">
        <w:t xml:space="preserve"> were identified</w:t>
      </w:r>
      <w:r w:rsidR="00505813">
        <w:t>, corresponding to approximately one-fifth of the traffic total traffic flow,</w:t>
      </w:r>
      <w:r w:rsidRPr="00540D60">
        <w:t xml:space="preserve"> while a similar analysis for the afternoon peak (</w:t>
      </w:r>
      <w:r>
        <w:t>16</w:t>
      </w:r>
      <w:r w:rsidRPr="00540D60">
        <w:t>30-</w:t>
      </w:r>
      <w:r>
        <w:t>18</w:t>
      </w:r>
      <w:r w:rsidRPr="00540D60">
        <w:t>30) indicated only 820 regular vehicles across all the sites (</w:t>
      </w:r>
      <w:r w:rsidRPr="00540D60">
        <w:fldChar w:fldCharType="begin"/>
      </w:r>
      <w:r w:rsidRPr="00540D60">
        <w:instrText xml:space="preserve"> REF _Ref385936532 \h </w:instrText>
      </w:r>
      <w:r w:rsidRPr="00540D60">
        <w:fldChar w:fldCharType="separate"/>
      </w:r>
      <w:r w:rsidRPr="00540D60">
        <w:t xml:space="preserve">Table </w:t>
      </w:r>
      <w:r w:rsidRPr="00540D60">
        <w:rPr>
          <w:noProof/>
        </w:rPr>
        <w:t>3</w:t>
      </w:r>
      <w:r w:rsidRPr="00540D60">
        <w:fldChar w:fldCharType="end"/>
      </w:r>
      <w:r w:rsidRPr="00540D60">
        <w:t>). This is attributed to the fact that proportionally more commuting takes place during the morning compared to the afternoon (</w:t>
      </w:r>
      <w:r>
        <w:t>Department for Transport</w:t>
      </w:r>
      <w:r w:rsidRPr="00540D60">
        <w:t>, 201</w:t>
      </w:r>
      <w:r>
        <w:t>5</w:t>
      </w:r>
      <w:r w:rsidRPr="00540D60">
        <w:t xml:space="preserve">) and that work departure times have been observed to be more flexible, given that other activities can be combined with the </w:t>
      </w:r>
      <w:r w:rsidR="00661C5B">
        <w:t xml:space="preserve">afternoon </w:t>
      </w:r>
      <w:r w:rsidRPr="00540D60">
        <w:t>return journey (</w:t>
      </w:r>
      <w:r w:rsidRPr="001A4851">
        <w:rPr>
          <w:rFonts w:eastAsiaTheme="minorHAnsi"/>
          <w:lang w:eastAsia="en-US"/>
        </w:rPr>
        <w:t>Järv</w:t>
      </w:r>
      <w:r w:rsidRPr="00540D60">
        <w:rPr>
          <w:rFonts w:cs="Arial"/>
        </w:rPr>
        <w:t xml:space="preserve"> et al., 2012; Schlich et al., 2004).</w:t>
      </w:r>
      <w:r w:rsidRPr="00540D60">
        <w:t xml:space="preserve"> During the morning peak period, the number of regular vehicles in the northbound direction, ranged from 208 to 531 vehicles between the sites, with an average of 358 vehicles; while in the southbound direction, the range was 205 to 544 vehicles, with an average of 333 vehicles.</w:t>
      </w:r>
    </w:p>
    <w:p w14:paraId="51B2E053" w14:textId="77777777" w:rsidR="00F23094" w:rsidRPr="00540D60" w:rsidRDefault="00F23094" w:rsidP="00F23094"/>
    <w:p w14:paraId="625A3303" w14:textId="26A438DB" w:rsidR="00EA1503" w:rsidRDefault="009961EE" w:rsidP="00F47329">
      <w:pPr>
        <w:pStyle w:val="Caption"/>
        <w:rPr>
          <w:b/>
          <w:bCs/>
          <w:i w:val="0"/>
          <w:iCs w:val="0"/>
        </w:rPr>
      </w:pPr>
      <w:r w:rsidRPr="00F74345">
        <w:rPr>
          <w:rFonts w:cstheme="majorBidi"/>
          <w:b/>
          <w:bCs/>
          <w:i w:val="0"/>
          <w:iCs w:val="0"/>
        </w:rPr>
        <w:t xml:space="preserve">Table </w:t>
      </w:r>
      <w:r w:rsidR="00276346" w:rsidRPr="00F74345">
        <w:rPr>
          <w:rFonts w:cstheme="majorBidi"/>
          <w:b/>
          <w:bCs/>
          <w:i w:val="0"/>
          <w:iCs w:val="0"/>
        </w:rPr>
        <w:fldChar w:fldCharType="begin"/>
      </w:r>
      <w:r w:rsidR="00276346" w:rsidRPr="00F74345">
        <w:rPr>
          <w:rFonts w:cstheme="majorBidi"/>
          <w:b/>
          <w:bCs/>
          <w:i w:val="0"/>
          <w:iCs w:val="0"/>
        </w:rPr>
        <w:instrText xml:space="preserve"> SEQ Table \* ARABIC </w:instrText>
      </w:r>
      <w:r w:rsidR="00276346" w:rsidRPr="00F74345">
        <w:rPr>
          <w:rFonts w:cstheme="majorBidi"/>
          <w:b/>
          <w:bCs/>
          <w:i w:val="0"/>
          <w:iCs w:val="0"/>
        </w:rPr>
        <w:fldChar w:fldCharType="separate"/>
      </w:r>
      <w:r w:rsidR="00466DAC">
        <w:rPr>
          <w:rFonts w:cstheme="majorBidi"/>
          <w:b/>
          <w:bCs/>
          <w:i w:val="0"/>
          <w:iCs w:val="0"/>
          <w:noProof/>
        </w:rPr>
        <w:t>3</w:t>
      </w:r>
      <w:r w:rsidR="00276346" w:rsidRPr="00F74345">
        <w:rPr>
          <w:rFonts w:cstheme="majorBidi"/>
          <w:b/>
          <w:bCs/>
          <w:i w:val="0"/>
          <w:iCs w:val="0"/>
          <w:noProof/>
        </w:rPr>
        <w:fldChar w:fldCharType="end"/>
      </w:r>
      <w:bookmarkEnd w:id="10"/>
      <w:r w:rsidR="00F74345" w:rsidRPr="00F74345">
        <w:rPr>
          <w:rFonts w:cstheme="majorBidi"/>
          <w:b/>
          <w:bCs/>
          <w:i w:val="0"/>
          <w:iCs w:val="0"/>
          <w:noProof/>
        </w:rPr>
        <w:t>.</w:t>
      </w:r>
      <w:r w:rsidRPr="00F74345">
        <w:rPr>
          <w:rFonts w:cstheme="majorBidi"/>
          <w:b/>
          <w:bCs/>
          <w:i w:val="0"/>
          <w:iCs w:val="0"/>
        </w:rPr>
        <w:t xml:space="preserve"> </w:t>
      </w:r>
      <w:r w:rsidR="001F01F5" w:rsidRPr="00F74345">
        <w:rPr>
          <w:b/>
          <w:bCs/>
          <w:i w:val="0"/>
          <w:iCs w:val="0"/>
        </w:rPr>
        <w:t xml:space="preserve">Numbers of regular vehicles </w:t>
      </w:r>
      <w:r w:rsidR="00F47329">
        <w:rPr>
          <w:b/>
          <w:bCs/>
          <w:i w:val="0"/>
          <w:iCs w:val="0"/>
        </w:rPr>
        <w:t>(</w:t>
      </w:r>
      <w:r w:rsidR="00F47329" w:rsidRPr="00F47329">
        <w:rPr>
          <w:b/>
          <w:bCs/>
          <w:i w:val="0"/>
          <w:iCs w:val="0"/>
        </w:rPr>
        <w:t>N</w:t>
      </w:r>
      <w:r w:rsidR="00F47329" w:rsidRPr="00F47329">
        <w:rPr>
          <w:rFonts w:ascii="Symbol" w:hAnsi="Symbol" w:cs="Symbol"/>
          <w:b/>
          <w:bCs/>
          <w:i w:val="0"/>
          <w:iCs w:val="0"/>
        </w:rPr>
        <w:t></w:t>
      </w:r>
      <w:r w:rsidR="00F47329" w:rsidRPr="00F47329">
        <w:rPr>
          <w:b/>
          <w:bCs/>
          <w:i w:val="0"/>
          <w:iCs w:val="0"/>
        </w:rPr>
        <w:t xml:space="preserve">30, </w:t>
      </w:r>
      <w:r w:rsidR="00F47329" w:rsidRPr="00F47329">
        <w:rPr>
          <w:rFonts w:ascii="Symbol" w:hAnsi="Symbol"/>
          <w:b/>
          <w:bCs/>
          <w:i w:val="0"/>
          <w:iCs w:val="0"/>
        </w:rPr>
        <w:t></w:t>
      </w:r>
      <w:r w:rsidR="00F47329" w:rsidRPr="00F47329">
        <w:rPr>
          <w:rFonts w:ascii="Symbol" w:hAnsi="Symbol" w:cs="Symbol"/>
          <w:b/>
          <w:bCs/>
          <w:i w:val="0"/>
          <w:iCs w:val="0"/>
        </w:rPr>
        <w:t></w:t>
      </w:r>
      <w:r w:rsidR="00F47329" w:rsidRPr="00F47329">
        <w:rPr>
          <w:b/>
          <w:bCs/>
          <w:i w:val="0"/>
          <w:iCs w:val="0"/>
        </w:rPr>
        <w:t>10</w:t>
      </w:r>
      <w:r w:rsidR="00F47329">
        <w:rPr>
          <w:b/>
          <w:bCs/>
          <w:i w:val="0"/>
          <w:iCs w:val="0"/>
        </w:rPr>
        <w:t>)</w:t>
      </w:r>
      <w:r w:rsidR="00F47329">
        <w:t xml:space="preserve"> </w:t>
      </w:r>
      <w:r w:rsidR="00F47329">
        <w:rPr>
          <w:b/>
          <w:bCs/>
          <w:i w:val="0"/>
          <w:iCs w:val="0"/>
        </w:rPr>
        <w:t xml:space="preserve">in </w:t>
      </w:r>
      <w:r w:rsidR="001F01F5" w:rsidRPr="00F74345">
        <w:rPr>
          <w:b/>
          <w:bCs/>
          <w:i w:val="0"/>
          <w:iCs w:val="0"/>
        </w:rPr>
        <w:t>AM</w:t>
      </w:r>
      <w:r w:rsidR="00F47329">
        <w:rPr>
          <w:b/>
          <w:bCs/>
          <w:i w:val="0"/>
          <w:iCs w:val="0"/>
        </w:rPr>
        <w:t>/</w:t>
      </w:r>
      <w:r w:rsidR="001F01F5" w:rsidRPr="00F74345">
        <w:rPr>
          <w:b/>
          <w:bCs/>
          <w:i w:val="0"/>
          <w:iCs w:val="0"/>
        </w:rPr>
        <w:t>PM peak periods</w:t>
      </w:r>
    </w:p>
    <w:tbl>
      <w:tblPr>
        <w:tblW w:w="0" w:type="auto"/>
        <w:tblInd w:w="93" w:type="dxa"/>
        <w:tblLook w:val="04A0" w:firstRow="1" w:lastRow="0" w:firstColumn="1" w:lastColumn="0" w:noHBand="0" w:noVBand="1"/>
      </w:tblPr>
      <w:tblGrid>
        <w:gridCol w:w="1476"/>
        <w:gridCol w:w="1256"/>
        <w:gridCol w:w="1256"/>
        <w:gridCol w:w="1256"/>
        <w:gridCol w:w="1256"/>
      </w:tblGrid>
      <w:tr w:rsidR="00EA1503" w:rsidRPr="00540D60" w14:paraId="7C1C6385" w14:textId="77777777" w:rsidTr="006D2675">
        <w:trPr>
          <w:trHeight w:val="300"/>
        </w:trPr>
        <w:tc>
          <w:tcPr>
            <w:tcW w:w="0" w:type="auto"/>
            <w:vMerge w:val="restart"/>
            <w:tcBorders>
              <w:top w:val="single" w:sz="4" w:space="0" w:color="auto"/>
            </w:tcBorders>
            <w:shd w:val="clear" w:color="auto" w:fill="auto"/>
            <w:vAlign w:val="center"/>
            <w:hideMark/>
          </w:tcPr>
          <w:p w14:paraId="46AC18C9" w14:textId="77777777" w:rsidR="00EA1503" w:rsidRPr="00873502" w:rsidRDefault="00EA1503" w:rsidP="0031399D">
            <w:pPr>
              <w:rPr>
                <w:b/>
                <w:bCs/>
              </w:rPr>
            </w:pPr>
            <w:r w:rsidRPr="00873502">
              <w:rPr>
                <w:b/>
                <w:bCs/>
              </w:rPr>
              <w:t>Site number</w:t>
            </w:r>
          </w:p>
        </w:tc>
        <w:tc>
          <w:tcPr>
            <w:tcW w:w="0" w:type="auto"/>
            <w:gridSpan w:val="2"/>
            <w:tcBorders>
              <w:top w:val="single" w:sz="4" w:space="0" w:color="auto"/>
            </w:tcBorders>
            <w:shd w:val="clear" w:color="auto" w:fill="auto"/>
            <w:noWrap/>
            <w:vAlign w:val="center"/>
          </w:tcPr>
          <w:p w14:paraId="533FBFFE" w14:textId="77777777" w:rsidR="00EA1503" w:rsidRPr="00873502" w:rsidRDefault="00EA1503" w:rsidP="00F47329">
            <w:pPr>
              <w:jc w:val="center"/>
              <w:rPr>
                <w:b/>
                <w:bCs/>
              </w:rPr>
            </w:pPr>
            <w:r w:rsidRPr="00873502">
              <w:rPr>
                <w:b/>
                <w:bCs/>
              </w:rPr>
              <w:t>Northbound</w:t>
            </w:r>
          </w:p>
        </w:tc>
        <w:tc>
          <w:tcPr>
            <w:tcW w:w="0" w:type="auto"/>
            <w:gridSpan w:val="2"/>
            <w:tcBorders>
              <w:top w:val="single" w:sz="4" w:space="0" w:color="auto"/>
            </w:tcBorders>
            <w:vAlign w:val="center"/>
          </w:tcPr>
          <w:p w14:paraId="4FB55F78" w14:textId="77777777" w:rsidR="00EA1503" w:rsidRPr="00873502" w:rsidRDefault="00EA1503" w:rsidP="00F47329">
            <w:pPr>
              <w:jc w:val="center"/>
              <w:rPr>
                <w:b/>
                <w:bCs/>
              </w:rPr>
            </w:pPr>
            <w:r w:rsidRPr="00873502">
              <w:rPr>
                <w:b/>
                <w:bCs/>
              </w:rPr>
              <w:t>Southbound</w:t>
            </w:r>
          </w:p>
        </w:tc>
      </w:tr>
      <w:tr w:rsidR="00EA1503" w:rsidRPr="00540D60" w14:paraId="601BF1F2" w14:textId="77777777" w:rsidTr="006D2675">
        <w:trPr>
          <w:trHeight w:val="300"/>
        </w:trPr>
        <w:tc>
          <w:tcPr>
            <w:tcW w:w="0" w:type="auto"/>
            <w:vMerge/>
            <w:tcBorders>
              <w:bottom w:val="single" w:sz="4" w:space="0" w:color="auto"/>
            </w:tcBorders>
            <w:shd w:val="clear" w:color="auto" w:fill="auto"/>
            <w:noWrap/>
            <w:vAlign w:val="center"/>
          </w:tcPr>
          <w:p w14:paraId="6822D8DB" w14:textId="77777777" w:rsidR="00EA1503" w:rsidRPr="00873502" w:rsidRDefault="00EA1503" w:rsidP="0031399D">
            <w:pPr>
              <w:rPr>
                <w:b/>
                <w:bCs/>
              </w:rPr>
            </w:pPr>
          </w:p>
        </w:tc>
        <w:tc>
          <w:tcPr>
            <w:tcW w:w="0" w:type="auto"/>
            <w:tcBorders>
              <w:bottom w:val="single" w:sz="4" w:space="0" w:color="auto"/>
            </w:tcBorders>
            <w:shd w:val="clear" w:color="auto" w:fill="auto"/>
            <w:noWrap/>
            <w:vAlign w:val="center"/>
          </w:tcPr>
          <w:p w14:paraId="1BE626D9" w14:textId="6250E2C4" w:rsidR="00EA1503" w:rsidRPr="00873502" w:rsidRDefault="00000077" w:rsidP="0031399D">
            <w:pPr>
              <w:rPr>
                <w:b/>
                <w:bCs/>
              </w:rPr>
            </w:pPr>
            <w:r>
              <w:rPr>
                <w:b/>
                <w:bCs/>
              </w:rPr>
              <w:t>07</w:t>
            </w:r>
            <w:r w:rsidR="00F47329">
              <w:rPr>
                <w:b/>
                <w:bCs/>
              </w:rPr>
              <w:t>00-</w:t>
            </w:r>
            <w:r>
              <w:rPr>
                <w:b/>
                <w:bCs/>
              </w:rPr>
              <w:t>09</w:t>
            </w:r>
            <w:r w:rsidR="00F47329">
              <w:rPr>
                <w:b/>
                <w:bCs/>
              </w:rPr>
              <w:t>00</w:t>
            </w:r>
          </w:p>
        </w:tc>
        <w:tc>
          <w:tcPr>
            <w:tcW w:w="0" w:type="auto"/>
            <w:tcBorders>
              <w:bottom w:val="single" w:sz="4" w:space="0" w:color="auto"/>
            </w:tcBorders>
            <w:shd w:val="clear" w:color="auto" w:fill="auto"/>
            <w:noWrap/>
            <w:vAlign w:val="center"/>
          </w:tcPr>
          <w:p w14:paraId="676D0BC7" w14:textId="0FCA4526" w:rsidR="00EA1503" w:rsidRPr="00873502" w:rsidRDefault="00000077" w:rsidP="00F47329">
            <w:pPr>
              <w:rPr>
                <w:b/>
                <w:bCs/>
              </w:rPr>
            </w:pPr>
            <w:r>
              <w:rPr>
                <w:b/>
                <w:bCs/>
              </w:rPr>
              <w:t>16</w:t>
            </w:r>
            <w:r w:rsidR="00F47329">
              <w:rPr>
                <w:b/>
                <w:bCs/>
              </w:rPr>
              <w:t>30-</w:t>
            </w:r>
            <w:r>
              <w:rPr>
                <w:b/>
                <w:bCs/>
              </w:rPr>
              <w:t>18</w:t>
            </w:r>
            <w:r w:rsidR="00F47329">
              <w:rPr>
                <w:b/>
                <w:bCs/>
              </w:rPr>
              <w:t>30</w:t>
            </w:r>
          </w:p>
        </w:tc>
        <w:tc>
          <w:tcPr>
            <w:tcW w:w="0" w:type="auto"/>
            <w:tcBorders>
              <w:bottom w:val="single" w:sz="4" w:space="0" w:color="auto"/>
            </w:tcBorders>
            <w:vAlign w:val="center"/>
          </w:tcPr>
          <w:p w14:paraId="5D69ACEE" w14:textId="48559AAB" w:rsidR="00EA1503" w:rsidRPr="00873502" w:rsidRDefault="00000077" w:rsidP="0031399D">
            <w:pPr>
              <w:rPr>
                <w:b/>
                <w:bCs/>
              </w:rPr>
            </w:pPr>
            <w:r>
              <w:rPr>
                <w:b/>
                <w:bCs/>
              </w:rPr>
              <w:t>07</w:t>
            </w:r>
            <w:r w:rsidR="00F47329">
              <w:rPr>
                <w:b/>
                <w:bCs/>
              </w:rPr>
              <w:t>00-</w:t>
            </w:r>
            <w:r>
              <w:rPr>
                <w:b/>
                <w:bCs/>
              </w:rPr>
              <w:t>09</w:t>
            </w:r>
            <w:r w:rsidR="00F47329">
              <w:rPr>
                <w:b/>
                <w:bCs/>
              </w:rPr>
              <w:t>00</w:t>
            </w:r>
          </w:p>
        </w:tc>
        <w:tc>
          <w:tcPr>
            <w:tcW w:w="0" w:type="auto"/>
            <w:tcBorders>
              <w:bottom w:val="single" w:sz="4" w:space="0" w:color="auto"/>
            </w:tcBorders>
            <w:vAlign w:val="center"/>
          </w:tcPr>
          <w:p w14:paraId="3A1C05EC" w14:textId="6414DC57" w:rsidR="00EA1503" w:rsidRPr="00873502" w:rsidRDefault="00000077" w:rsidP="0031399D">
            <w:pPr>
              <w:rPr>
                <w:b/>
                <w:bCs/>
              </w:rPr>
            </w:pPr>
            <w:r>
              <w:rPr>
                <w:b/>
                <w:bCs/>
              </w:rPr>
              <w:t>16</w:t>
            </w:r>
            <w:r w:rsidR="00F47329">
              <w:rPr>
                <w:b/>
                <w:bCs/>
              </w:rPr>
              <w:t>30-</w:t>
            </w:r>
            <w:r>
              <w:rPr>
                <w:b/>
                <w:bCs/>
              </w:rPr>
              <w:t>18</w:t>
            </w:r>
            <w:r w:rsidR="00F47329">
              <w:rPr>
                <w:b/>
                <w:bCs/>
              </w:rPr>
              <w:t>30</w:t>
            </w:r>
          </w:p>
        </w:tc>
      </w:tr>
      <w:tr w:rsidR="00497C96" w:rsidRPr="00540D60" w14:paraId="32209512" w14:textId="77777777" w:rsidTr="006D2675">
        <w:trPr>
          <w:trHeight w:val="300"/>
        </w:trPr>
        <w:tc>
          <w:tcPr>
            <w:tcW w:w="0" w:type="auto"/>
            <w:shd w:val="clear" w:color="auto" w:fill="auto"/>
            <w:noWrap/>
            <w:vAlign w:val="center"/>
          </w:tcPr>
          <w:p w14:paraId="2F86CE61" w14:textId="2CEAEF8B" w:rsidR="00497C96" w:rsidRDefault="00497C96" w:rsidP="0031399D">
            <w:r>
              <w:t>1</w:t>
            </w:r>
          </w:p>
        </w:tc>
        <w:tc>
          <w:tcPr>
            <w:tcW w:w="0" w:type="auto"/>
            <w:shd w:val="clear" w:color="auto" w:fill="auto"/>
            <w:noWrap/>
            <w:vAlign w:val="center"/>
          </w:tcPr>
          <w:p w14:paraId="61A81C74" w14:textId="4BF46649" w:rsidR="00497C96" w:rsidRDefault="00497C96" w:rsidP="00F47329">
            <w:pPr>
              <w:jc w:val="center"/>
            </w:pPr>
            <w:r>
              <w:t>297</w:t>
            </w:r>
          </w:p>
        </w:tc>
        <w:tc>
          <w:tcPr>
            <w:tcW w:w="0" w:type="auto"/>
            <w:shd w:val="clear" w:color="auto" w:fill="auto"/>
            <w:noWrap/>
            <w:vAlign w:val="center"/>
          </w:tcPr>
          <w:p w14:paraId="09587758" w14:textId="7A04E099" w:rsidR="00497C96" w:rsidRDefault="00497C96" w:rsidP="00F47329">
            <w:pPr>
              <w:jc w:val="center"/>
            </w:pPr>
            <w:r>
              <w:t>14</w:t>
            </w:r>
          </w:p>
        </w:tc>
        <w:tc>
          <w:tcPr>
            <w:tcW w:w="0" w:type="auto"/>
            <w:vAlign w:val="center"/>
          </w:tcPr>
          <w:p w14:paraId="21E71F59" w14:textId="282944DF" w:rsidR="00497C96" w:rsidRDefault="00497C96" w:rsidP="00F47329">
            <w:pPr>
              <w:jc w:val="center"/>
            </w:pPr>
            <w:r>
              <w:t>-</w:t>
            </w:r>
          </w:p>
        </w:tc>
        <w:tc>
          <w:tcPr>
            <w:tcW w:w="0" w:type="auto"/>
            <w:vAlign w:val="center"/>
          </w:tcPr>
          <w:p w14:paraId="3AAA4B89" w14:textId="5243D915" w:rsidR="00497C96" w:rsidRDefault="00497C96" w:rsidP="00F47329">
            <w:pPr>
              <w:jc w:val="center"/>
            </w:pPr>
            <w:r>
              <w:t>-</w:t>
            </w:r>
          </w:p>
        </w:tc>
      </w:tr>
      <w:tr w:rsidR="006D2675" w:rsidRPr="00540D60" w14:paraId="6A41FA21" w14:textId="77777777" w:rsidTr="006D2675">
        <w:trPr>
          <w:trHeight w:val="300"/>
        </w:trPr>
        <w:tc>
          <w:tcPr>
            <w:tcW w:w="0" w:type="auto"/>
            <w:shd w:val="clear" w:color="auto" w:fill="auto"/>
            <w:noWrap/>
            <w:vAlign w:val="center"/>
          </w:tcPr>
          <w:p w14:paraId="7A123DB3" w14:textId="0025AC25" w:rsidR="006D2675" w:rsidRPr="00540D60" w:rsidRDefault="006D2675" w:rsidP="0031399D">
            <w:r>
              <w:t>2</w:t>
            </w:r>
          </w:p>
        </w:tc>
        <w:tc>
          <w:tcPr>
            <w:tcW w:w="0" w:type="auto"/>
            <w:shd w:val="clear" w:color="auto" w:fill="auto"/>
            <w:noWrap/>
            <w:vAlign w:val="center"/>
          </w:tcPr>
          <w:p w14:paraId="28D5ECCC" w14:textId="47938840" w:rsidR="006D2675" w:rsidRPr="00540D60" w:rsidRDefault="00497C96" w:rsidP="00F47329">
            <w:pPr>
              <w:jc w:val="center"/>
            </w:pPr>
            <w:r>
              <w:t>-</w:t>
            </w:r>
          </w:p>
        </w:tc>
        <w:tc>
          <w:tcPr>
            <w:tcW w:w="0" w:type="auto"/>
            <w:shd w:val="clear" w:color="auto" w:fill="auto"/>
            <w:noWrap/>
            <w:vAlign w:val="center"/>
          </w:tcPr>
          <w:p w14:paraId="31EA0FD3" w14:textId="01DED186" w:rsidR="006D2675" w:rsidRPr="00540D60" w:rsidRDefault="00497C96" w:rsidP="00F47329">
            <w:pPr>
              <w:jc w:val="center"/>
            </w:pPr>
            <w:r>
              <w:t>-</w:t>
            </w:r>
          </w:p>
        </w:tc>
        <w:tc>
          <w:tcPr>
            <w:tcW w:w="0" w:type="auto"/>
            <w:vAlign w:val="center"/>
          </w:tcPr>
          <w:p w14:paraId="7B6DD097" w14:textId="4049A6FD" w:rsidR="006D2675" w:rsidRPr="00540D60" w:rsidRDefault="006D2675" w:rsidP="00F47329">
            <w:pPr>
              <w:jc w:val="center"/>
            </w:pPr>
            <w:r>
              <w:t>297</w:t>
            </w:r>
          </w:p>
        </w:tc>
        <w:tc>
          <w:tcPr>
            <w:tcW w:w="0" w:type="auto"/>
            <w:vAlign w:val="center"/>
          </w:tcPr>
          <w:p w14:paraId="3EE820E0" w14:textId="6497FD71" w:rsidR="006D2675" w:rsidRPr="00540D60" w:rsidRDefault="006D2675" w:rsidP="00F47329">
            <w:pPr>
              <w:jc w:val="center"/>
            </w:pPr>
            <w:r>
              <w:t>37</w:t>
            </w:r>
          </w:p>
        </w:tc>
      </w:tr>
      <w:tr w:rsidR="00BE1098" w:rsidRPr="00540D60" w14:paraId="638E6476" w14:textId="77777777" w:rsidTr="006D2675">
        <w:trPr>
          <w:trHeight w:val="300"/>
        </w:trPr>
        <w:tc>
          <w:tcPr>
            <w:tcW w:w="0" w:type="auto"/>
            <w:shd w:val="clear" w:color="auto" w:fill="auto"/>
            <w:noWrap/>
            <w:vAlign w:val="center"/>
            <w:hideMark/>
          </w:tcPr>
          <w:p w14:paraId="32765BDC" w14:textId="77777777" w:rsidR="00BE1098" w:rsidRPr="00540D60" w:rsidRDefault="00BE1098" w:rsidP="0031399D">
            <w:r w:rsidRPr="00540D60">
              <w:t>3</w:t>
            </w:r>
          </w:p>
        </w:tc>
        <w:tc>
          <w:tcPr>
            <w:tcW w:w="0" w:type="auto"/>
            <w:shd w:val="clear" w:color="auto" w:fill="auto"/>
            <w:noWrap/>
            <w:vAlign w:val="center"/>
          </w:tcPr>
          <w:p w14:paraId="01AEC604" w14:textId="2DEDDD68" w:rsidR="00BE1098" w:rsidRPr="00540D60" w:rsidRDefault="00BE1098" w:rsidP="00F47329">
            <w:pPr>
              <w:jc w:val="center"/>
              <w:rPr>
                <w:rFonts w:eastAsia="Times New Roman"/>
              </w:rPr>
            </w:pPr>
            <w:r w:rsidRPr="00540D60">
              <w:t>531</w:t>
            </w:r>
          </w:p>
        </w:tc>
        <w:tc>
          <w:tcPr>
            <w:tcW w:w="0" w:type="auto"/>
            <w:shd w:val="clear" w:color="auto" w:fill="auto"/>
            <w:noWrap/>
            <w:vAlign w:val="center"/>
          </w:tcPr>
          <w:p w14:paraId="28EF38AF" w14:textId="31AF0C65" w:rsidR="00BE1098" w:rsidRPr="00540D60" w:rsidRDefault="00BE1098" w:rsidP="00F47329">
            <w:pPr>
              <w:jc w:val="center"/>
              <w:rPr>
                <w:rFonts w:eastAsia="Times New Roman"/>
              </w:rPr>
            </w:pPr>
            <w:r w:rsidRPr="00540D60">
              <w:t>47</w:t>
            </w:r>
          </w:p>
        </w:tc>
        <w:tc>
          <w:tcPr>
            <w:tcW w:w="0" w:type="auto"/>
            <w:vAlign w:val="center"/>
          </w:tcPr>
          <w:p w14:paraId="7C5E5203" w14:textId="2F594861" w:rsidR="00BE1098" w:rsidRPr="00540D60" w:rsidRDefault="00BE1098" w:rsidP="00F47329">
            <w:pPr>
              <w:jc w:val="center"/>
            </w:pPr>
            <w:r w:rsidRPr="00540D60">
              <w:t>495</w:t>
            </w:r>
          </w:p>
        </w:tc>
        <w:tc>
          <w:tcPr>
            <w:tcW w:w="0" w:type="auto"/>
            <w:vAlign w:val="center"/>
          </w:tcPr>
          <w:p w14:paraId="497D3606" w14:textId="1788F0A9" w:rsidR="00BE1098" w:rsidRPr="00540D60" w:rsidRDefault="00BE1098" w:rsidP="00F47329">
            <w:pPr>
              <w:jc w:val="center"/>
            </w:pPr>
            <w:r w:rsidRPr="00540D60">
              <w:t>74</w:t>
            </w:r>
          </w:p>
        </w:tc>
      </w:tr>
      <w:tr w:rsidR="00BE1098" w:rsidRPr="00540D60" w14:paraId="13F52597" w14:textId="77777777" w:rsidTr="006D2675">
        <w:trPr>
          <w:trHeight w:val="300"/>
        </w:trPr>
        <w:tc>
          <w:tcPr>
            <w:tcW w:w="0" w:type="auto"/>
            <w:shd w:val="clear" w:color="auto" w:fill="auto"/>
            <w:noWrap/>
            <w:vAlign w:val="center"/>
            <w:hideMark/>
          </w:tcPr>
          <w:p w14:paraId="68B0EC5D" w14:textId="77777777" w:rsidR="00BE1098" w:rsidRPr="00540D60" w:rsidRDefault="00BE1098" w:rsidP="0031399D">
            <w:r w:rsidRPr="00540D60">
              <w:t>4</w:t>
            </w:r>
          </w:p>
        </w:tc>
        <w:tc>
          <w:tcPr>
            <w:tcW w:w="0" w:type="auto"/>
            <w:shd w:val="clear" w:color="auto" w:fill="auto"/>
            <w:noWrap/>
            <w:vAlign w:val="center"/>
          </w:tcPr>
          <w:p w14:paraId="6668A265" w14:textId="1953AEE2" w:rsidR="00BE1098" w:rsidRPr="00540D60" w:rsidRDefault="00BE1098" w:rsidP="00F47329">
            <w:pPr>
              <w:jc w:val="center"/>
              <w:rPr>
                <w:rFonts w:eastAsia="Times New Roman"/>
              </w:rPr>
            </w:pPr>
            <w:r w:rsidRPr="00540D60">
              <w:t>208</w:t>
            </w:r>
          </w:p>
        </w:tc>
        <w:tc>
          <w:tcPr>
            <w:tcW w:w="0" w:type="auto"/>
            <w:shd w:val="clear" w:color="auto" w:fill="auto"/>
            <w:noWrap/>
            <w:vAlign w:val="center"/>
          </w:tcPr>
          <w:p w14:paraId="572AEB22" w14:textId="237B5F5A" w:rsidR="00BE1098" w:rsidRPr="00540D60" w:rsidRDefault="00BE1098" w:rsidP="00F47329">
            <w:pPr>
              <w:jc w:val="center"/>
              <w:rPr>
                <w:rFonts w:eastAsia="Times New Roman"/>
              </w:rPr>
            </w:pPr>
            <w:r w:rsidRPr="00540D60">
              <w:t>21</w:t>
            </w:r>
          </w:p>
        </w:tc>
        <w:tc>
          <w:tcPr>
            <w:tcW w:w="0" w:type="auto"/>
            <w:gridSpan w:val="2"/>
            <w:shd w:val="clear" w:color="auto" w:fill="auto"/>
            <w:vAlign w:val="center"/>
          </w:tcPr>
          <w:p w14:paraId="248B6D84" w14:textId="13577224" w:rsidR="00BE1098" w:rsidRPr="00540D60" w:rsidRDefault="0082684E" w:rsidP="00F47329">
            <w:pPr>
              <w:jc w:val="center"/>
            </w:pPr>
            <w:r>
              <w:t>-            -</w:t>
            </w:r>
          </w:p>
        </w:tc>
      </w:tr>
      <w:tr w:rsidR="00BE1098" w:rsidRPr="00540D60" w14:paraId="0C57B441" w14:textId="77777777" w:rsidTr="008809E9">
        <w:trPr>
          <w:trHeight w:val="300"/>
        </w:trPr>
        <w:tc>
          <w:tcPr>
            <w:tcW w:w="0" w:type="auto"/>
            <w:shd w:val="clear" w:color="auto" w:fill="auto"/>
            <w:noWrap/>
            <w:vAlign w:val="center"/>
            <w:hideMark/>
          </w:tcPr>
          <w:p w14:paraId="3EAFD404" w14:textId="77777777" w:rsidR="00BE1098" w:rsidRPr="00540D60" w:rsidRDefault="00BE1098" w:rsidP="0031399D">
            <w:r w:rsidRPr="00540D60">
              <w:t>5</w:t>
            </w:r>
          </w:p>
        </w:tc>
        <w:tc>
          <w:tcPr>
            <w:tcW w:w="0" w:type="auto"/>
            <w:shd w:val="clear" w:color="auto" w:fill="auto"/>
            <w:noWrap/>
            <w:vAlign w:val="center"/>
          </w:tcPr>
          <w:p w14:paraId="7A658633" w14:textId="3A68CE3F" w:rsidR="00BE1098" w:rsidRPr="00540D60" w:rsidRDefault="00BE1098" w:rsidP="00F47329">
            <w:pPr>
              <w:jc w:val="center"/>
              <w:rPr>
                <w:rFonts w:eastAsia="Times New Roman"/>
              </w:rPr>
            </w:pPr>
            <w:r w:rsidRPr="00540D60">
              <w:t>518</w:t>
            </w:r>
          </w:p>
        </w:tc>
        <w:tc>
          <w:tcPr>
            <w:tcW w:w="0" w:type="auto"/>
            <w:shd w:val="clear" w:color="auto" w:fill="auto"/>
            <w:noWrap/>
            <w:vAlign w:val="center"/>
          </w:tcPr>
          <w:p w14:paraId="23DA502F" w14:textId="4F05BF4F" w:rsidR="00BE1098" w:rsidRPr="00540D60" w:rsidRDefault="00BE1098" w:rsidP="00F47329">
            <w:pPr>
              <w:jc w:val="center"/>
              <w:rPr>
                <w:rFonts w:eastAsia="Times New Roman"/>
              </w:rPr>
            </w:pPr>
            <w:r w:rsidRPr="00540D60">
              <w:t>65</w:t>
            </w:r>
          </w:p>
        </w:tc>
        <w:tc>
          <w:tcPr>
            <w:tcW w:w="0" w:type="auto"/>
            <w:vAlign w:val="center"/>
          </w:tcPr>
          <w:p w14:paraId="0942E615" w14:textId="1F4FAEBE" w:rsidR="00BE1098" w:rsidRPr="00540D60" w:rsidRDefault="00BE1098" w:rsidP="00F47329">
            <w:pPr>
              <w:jc w:val="center"/>
              <w:rPr>
                <w:rFonts w:eastAsia="Times New Roman"/>
              </w:rPr>
            </w:pPr>
            <w:r w:rsidRPr="00540D60">
              <w:t>544</w:t>
            </w:r>
          </w:p>
        </w:tc>
        <w:tc>
          <w:tcPr>
            <w:tcW w:w="0" w:type="auto"/>
            <w:vAlign w:val="center"/>
          </w:tcPr>
          <w:p w14:paraId="66816049" w14:textId="295148C4" w:rsidR="00BE1098" w:rsidRPr="00540D60" w:rsidRDefault="00BE1098" w:rsidP="00F47329">
            <w:pPr>
              <w:jc w:val="center"/>
              <w:rPr>
                <w:rFonts w:eastAsia="Times New Roman"/>
              </w:rPr>
            </w:pPr>
            <w:r w:rsidRPr="00540D60">
              <w:t>77</w:t>
            </w:r>
          </w:p>
        </w:tc>
      </w:tr>
      <w:tr w:rsidR="00BE1098" w:rsidRPr="00540D60" w14:paraId="66BEF7FD" w14:textId="77777777" w:rsidTr="008809E9">
        <w:trPr>
          <w:trHeight w:val="300"/>
        </w:trPr>
        <w:tc>
          <w:tcPr>
            <w:tcW w:w="0" w:type="auto"/>
            <w:shd w:val="clear" w:color="auto" w:fill="auto"/>
            <w:noWrap/>
            <w:vAlign w:val="center"/>
            <w:hideMark/>
          </w:tcPr>
          <w:p w14:paraId="1BAACC06" w14:textId="77777777" w:rsidR="00BE1098" w:rsidRPr="00540D60" w:rsidRDefault="00BE1098" w:rsidP="0031399D">
            <w:r w:rsidRPr="00540D60">
              <w:t>6</w:t>
            </w:r>
          </w:p>
        </w:tc>
        <w:tc>
          <w:tcPr>
            <w:tcW w:w="0" w:type="auto"/>
            <w:shd w:val="clear" w:color="auto" w:fill="auto"/>
            <w:noWrap/>
            <w:vAlign w:val="center"/>
          </w:tcPr>
          <w:p w14:paraId="0261D4AE" w14:textId="61BD1EED" w:rsidR="00BE1098" w:rsidRPr="00540D60" w:rsidRDefault="00BE1098" w:rsidP="00F47329">
            <w:pPr>
              <w:jc w:val="center"/>
              <w:rPr>
                <w:rFonts w:eastAsia="Times New Roman"/>
              </w:rPr>
            </w:pPr>
            <w:r w:rsidRPr="00540D60">
              <w:t>492</w:t>
            </w:r>
          </w:p>
        </w:tc>
        <w:tc>
          <w:tcPr>
            <w:tcW w:w="0" w:type="auto"/>
            <w:shd w:val="clear" w:color="auto" w:fill="auto"/>
            <w:noWrap/>
            <w:vAlign w:val="center"/>
          </w:tcPr>
          <w:p w14:paraId="7E28CA29" w14:textId="2A891BB5" w:rsidR="00BE1098" w:rsidRPr="00540D60" w:rsidRDefault="00BE1098" w:rsidP="00F47329">
            <w:pPr>
              <w:jc w:val="center"/>
              <w:rPr>
                <w:rFonts w:eastAsia="Times New Roman"/>
              </w:rPr>
            </w:pPr>
            <w:r w:rsidRPr="00540D60">
              <w:t>74</w:t>
            </w:r>
          </w:p>
        </w:tc>
        <w:tc>
          <w:tcPr>
            <w:tcW w:w="0" w:type="auto"/>
            <w:vAlign w:val="center"/>
          </w:tcPr>
          <w:p w14:paraId="7DE07483" w14:textId="4EEF84D1" w:rsidR="00BE1098" w:rsidRPr="00540D60" w:rsidRDefault="00BE1098" w:rsidP="00F47329">
            <w:pPr>
              <w:jc w:val="center"/>
              <w:rPr>
                <w:rFonts w:eastAsia="Times New Roman"/>
              </w:rPr>
            </w:pPr>
            <w:r w:rsidRPr="00540D60">
              <w:t>263</w:t>
            </w:r>
          </w:p>
        </w:tc>
        <w:tc>
          <w:tcPr>
            <w:tcW w:w="0" w:type="auto"/>
            <w:vAlign w:val="center"/>
          </w:tcPr>
          <w:p w14:paraId="26E2D2D5" w14:textId="2E614642" w:rsidR="00BE1098" w:rsidRPr="00540D60" w:rsidRDefault="00BE1098" w:rsidP="00F47329">
            <w:pPr>
              <w:jc w:val="center"/>
              <w:rPr>
                <w:rFonts w:eastAsia="Times New Roman"/>
              </w:rPr>
            </w:pPr>
            <w:r w:rsidRPr="00540D60">
              <w:t>37</w:t>
            </w:r>
          </w:p>
        </w:tc>
      </w:tr>
      <w:tr w:rsidR="00BE1098" w:rsidRPr="00540D60" w14:paraId="6DD054D5" w14:textId="77777777" w:rsidTr="008809E9">
        <w:trPr>
          <w:trHeight w:val="300"/>
        </w:trPr>
        <w:tc>
          <w:tcPr>
            <w:tcW w:w="0" w:type="auto"/>
            <w:shd w:val="clear" w:color="auto" w:fill="auto"/>
            <w:noWrap/>
            <w:vAlign w:val="center"/>
            <w:hideMark/>
          </w:tcPr>
          <w:p w14:paraId="473C911B" w14:textId="77777777" w:rsidR="00BE1098" w:rsidRPr="00540D60" w:rsidRDefault="00BE1098" w:rsidP="0031399D">
            <w:r w:rsidRPr="00540D60">
              <w:t>9</w:t>
            </w:r>
          </w:p>
        </w:tc>
        <w:tc>
          <w:tcPr>
            <w:tcW w:w="0" w:type="auto"/>
            <w:shd w:val="clear" w:color="auto" w:fill="auto"/>
            <w:noWrap/>
            <w:vAlign w:val="center"/>
          </w:tcPr>
          <w:p w14:paraId="79979DBC" w14:textId="4F2B5FE2" w:rsidR="00BE1098" w:rsidRPr="00540D60" w:rsidRDefault="00BE1098" w:rsidP="00F47329">
            <w:pPr>
              <w:jc w:val="center"/>
              <w:rPr>
                <w:rFonts w:eastAsia="Times New Roman"/>
              </w:rPr>
            </w:pPr>
            <w:r w:rsidRPr="00540D60">
              <w:t>242</w:t>
            </w:r>
          </w:p>
        </w:tc>
        <w:tc>
          <w:tcPr>
            <w:tcW w:w="0" w:type="auto"/>
            <w:shd w:val="clear" w:color="auto" w:fill="auto"/>
            <w:noWrap/>
            <w:vAlign w:val="center"/>
          </w:tcPr>
          <w:p w14:paraId="488B28D6" w14:textId="68F8B8B5" w:rsidR="00BE1098" w:rsidRPr="00540D60" w:rsidRDefault="00BE1098" w:rsidP="00F47329">
            <w:pPr>
              <w:jc w:val="center"/>
              <w:rPr>
                <w:rFonts w:eastAsia="Times New Roman"/>
              </w:rPr>
            </w:pPr>
            <w:r w:rsidRPr="00540D60">
              <w:t>66</w:t>
            </w:r>
          </w:p>
        </w:tc>
        <w:tc>
          <w:tcPr>
            <w:tcW w:w="0" w:type="auto"/>
            <w:vAlign w:val="center"/>
          </w:tcPr>
          <w:p w14:paraId="1DAA7708" w14:textId="44510CB6" w:rsidR="00BE1098" w:rsidRPr="00540D60" w:rsidRDefault="00BE1098" w:rsidP="00F47329">
            <w:pPr>
              <w:jc w:val="center"/>
              <w:rPr>
                <w:rFonts w:eastAsia="Times New Roman"/>
              </w:rPr>
            </w:pPr>
            <w:r w:rsidRPr="00540D60">
              <w:t>279</w:t>
            </w:r>
          </w:p>
        </w:tc>
        <w:tc>
          <w:tcPr>
            <w:tcW w:w="0" w:type="auto"/>
            <w:vAlign w:val="center"/>
          </w:tcPr>
          <w:p w14:paraId="2FA526DA" w14:textId="64D112E6" w:rsidR="00BE1098" w:rsidRPr="00540D60" w:rsidRDefault="00BE1098" w:rsidP="00F47329">
            <w:pPr>
              <w:jc w:val="center"/>
              <w:rPr>
                <w:rFonts w:eastAsia="Times New Roman"/>
              </w:rPr>
            </w:pPr>
            <w:r w:rsidRPr="00540D60">
              <w:t>21</w:t>
            </w:r>
          </w:p>
        </w:tc>
      </w:tr>
      <w:tr w:rsidR="00BE1098" w:rsidRPr="00540D60" w14:paraId="058DC81D" w14:textId="77777777" w:rsidTr="008809E9">
        <w:trPr>
          <w:trHeight w:val="300"/>
        </w:trPr>
        <w:tc>
          <w:tcPr>
            <w:tcW w:w="0" w:type="auto"/>
            <w:shd w:val="clear" w:color="auto" w:fill="auto"/>
            <w:noWrap/>
            <w:vAlign w:val="center"/>
            <w:hideMark/>
          </w:tcPr>
          <w:p w14:paraId="6C534ED6" w14:textId="77777777" w:rsidR="00BE1098" w:rsidRPr="00540D60" w:rsidRDefault="00BE1098" w:rsidP="0031399D">
            <w:r w:rsidRPr="00540D60">
              <w:t>11</w:t>
            </w:r>
          </w:p>
        </w:tc>
        <w:tc>
          <w:tcPr>
            <w:tcW w:w="0" w:type="auto"/>
            <w:shd w:val="clear" w:color="auto" w:fill="auto"/>
            <w:noWrap/>
            <w:vAlign w:val="center"/>
          </w:tcPr>
          <w:p w14:paraId="53045151" w14:textId="6AA8A389" w:rsidR="00BE1098" w:rsidRPr="00540D60" w:rsidRDefault="00BE1098" w:rsidP="00F47329">
            <w:pPr>
              <w:jc w:val="center"/>
              <w:rPr>
                <w:rFonts w:eastAsia="Times New Roman"/>
              </w:rPr>
            </w:pPr>
            <w:r w:rsidRPr="00540D60">
              <w:t>344</w:t>
            </w:r>
          </w:p>
        </w:tc>
        <w:tc>
          <w:tcPr>
            <w:tcW w:w="0" w:type="auto"/>
            <w:shd w:val="clear" w:color="auto" w:fill="auto"/>
            <w:noWrap/>
            <w:vAlign w:val="center"/>
          </w:tcPr>
          <w:p w14:paraId="67B067B7" w14:textId="28D2DC4F" w:rsidR="00BE1098" w:rsidRPr="00540D60" w:rsidRDefault="00BE1098" w:rsidP="00F47329">
            <w:pPr>
              <w:jc w:val="center"/>
              <w:rPr>
                <w:rFonts w:eastAsia="Times New Roman"/>
              </w:rPr>
            </w:pPr>
            <w:r w:rsidRPr="00540D60">
              <w:t>24</w:t>
            </w:r>
          </w:p>
        </w:tc>
        <w:tc>
          <w:tcPr>
            <w:tcW w:w="0" w:type="auto"/>
            <w:vAlign w:val="center"/>
          </w:tcPr>
          <w:p w14:paraId="7587C8C5" w14:textId="52FAD54C" w:rsidR="00BE1098" w:rsidRPr="00540D60" w:rsidRDefault="00BE1098" w:rsidP="00F47329">
            <w:pPr>
              <w:jc w:val="center"/>
              <w:rPr>
                <w:rFonts w:eastAsia="Times New Roman"/>
              </w:rPr>
            </w:pPr>
            <w:r w:rsidRPr="00540D60">
              <w:t>245</w:t>
            </w:r>
          </w:p>
        </w:tc>
        <w:tc>
          <w:tcPr>
            <w:tcW w:w="0" w:type="auto"/>
            <w:vAlign w:val="center"/>
          </w:tcPr>
          <w:p w14:paraId="752E1FFB" w14:textId="43CEFD99" w:rsidR="00BE1098" w:rsidRPr="00540D60" w:rsidRDefault="00BE1098" w:rsidP="00F47329">
            <w:pPr>
              <w:jc w:val="center"/>
              <w:rPr>
                <w:rFonts w:eastAsia="Times New Roman"/>
              </w:rPr>
            </w:pPr>
            <w:r w:rsidRPr="00540D60">
              <w:t>10</w:t>
            </w:r>
          </w:p>
        </w:tc>
      </w:tr>
      <w:tr w:rsidR="00BE1098" w:rsidRPr="00540D60" w14:paraId="55F49E64" w14:textId="77777777" w:rsidTr="006D2675">
        <w:trPr>
          <w:trHeight w:val="300"/>
        </w:trPr>
        <w:tc>
          <w:tcPr>
            <w:tcW w:w="0" w:type="auto"/>
            <w:shd w:val="clear" w:color="auto" w:fill="auto"/>
            <w:noWrap/>
            <w:vAlign w:val="center"/>
          </w:tcPr>
          <w:p w14:paraId="758A4062" w14:textId="791CE03C" w:rsidR="00BE1098" w:rsidRPr="00540D60" w:rsidRDefault="00BE1098" w:rsidP="0031399D">
            <w:r w:rsidRPr="00540D60">
              <w:t>13</w:t>
            </w:r>
          </w:p>
        </w:tc>
        <w:tc>
          <w:tcPr>
            <w:tcW w:w="0" w:type="auto"/>
            <w:shd w:val="clear" w:color="auto" w:fill="auto"/>
            <w:noWrap/>
            <w:vAlign w:val="center"/>
          </w:tcPr>
          <w:p w14:paraId="53D4EE14" w14:textId="6296AA5D" w:rsidR="00BE1098" w:rsidRPr="00540D60" w:rsidRDefault="00BE1098" w:rsidP="00F47329">
            <w:pPr>
              <w:jc w:val="center"/>
            </w:pPr>
            <w:r w:rsidRPr="00540D60">
              <w:t>231</w:t>
            </w:r>
          </w:p>
        </w:tc>
        <w:tc>
          <w:tcPr>
            <w:tcW w:w="0" w:type="auto"/>
            <w:shd w:val="clear" w:color="auto" w:fill="auto"/>
            <w:noWrap/>
            <w:vAlign w:val="center"/>
          </w:tcPr>
          <w:p w14:paraId="2ABE667C" w14:textId="3C5A9366" w:rsidR="00BE1098" w:rsidRPr="00540D60" w:rsidRDefault="00BE1098" w:rsidP="00F47329">
            <w:pPr>
              <w:jc w:val="center"/>
              <w:rPr>
                <w:rFonts w:eastAsia="Times New Roman"/>
              </w:rPr>
            </w:pPr>
            <w:r w:rsidRPr="00540D60">
              <w:t>14</w:t>
            </w:r>
          </w:p>
        </w:tc>
        <w:tc>
          <w:tcPr>
            <w:tcW w:w="0" w:type="auto"/>
            <w:vAlign w:val="center"/>
          </w:tcPr>
          <w:p w14:paraId="656E6821" w14:textId="7BD5A4F7" w:rsidR="00BE1098" w:rsidRPr="00540D60" w:rsidRDefault="00BE1098" w:rsidP="00F47329">
            <w:pPr>
              <w:jc w:val="center"/>
            </w:pPr>
            <w:r w:rsidRPr="00540D60">
              <w:t>205</w:t>
            </w:r>
          </w:p>
        </w:tc>
        <w:tc>
          <w:tcPr>
            <w:tcW w:w="0" w:type="auto"/>
            <w:vAlign w:val="center"/>
          </w:tcPr>
          <w:p w14:paraId="579DA5F5" w14:textId="76E3B85C" w:rsidR="00BE1098" w:rsidRPr="00540D60" w:rsidRDefault="00BE1098" w:rsidP="00F47329">
            <w:pPr>
              <w:jc w:val="center"/>
              <w:rPr>
                <w:rFonts w:eastAsia="Times New Roman"/>
              </w:rPr>
            </w:pPr>
            <w:r w:rsidRPr="00540D60">
              <w:t>41</w:t>
            </w:r>
          </w:p>
        </w:tc>
      </w:tr>
      <w:tr w:rsidR="00BE1098" w:rsidRPr="00540D60" w14:paraId="4F3F8E00" w14:textId="77777777" w:rsidTr="006D2675">
        <w:trPr>
          <w:trHeight w:val="300"/>
        </w:trPr>
        <w:tc>
          <w:tcPr>
            <w:tcW w:w="0" w:type="auto"/>
            <w:tcBorders>
              <w:bottom w:val="single" w:sz="4" w:space="0" w:color="auto"/>
            </w:tcBorders>
            <w:shd w:val="clear" w:color="auto" w:fill="auto"/>
            <w:noWrap/>
            <w:vAlign w:val="center"/>
          </w:tcPr>
          <w:p w14:paraId="1E900799" w14:textId="5EEA755E" w:rsidR="00BE1098" w:rsidRPr="00540D60" w:rsidRDefault="00BE1098" w:rsidP="0031399D">
            <w:r w:rsidRPr="00540D60">
              <w:t>Total</w:t>
            </w:r>
          </w:p>
        </w:tc>
        <w:tc>
          <w:tcPr>
            <w:tcW w:w="0" w:type="auto"/>
            <w:tcBorders>
              <w:bottom w:val="single" w:sz="4" w:space="0" w:color="auto"/>
            </w:tcBorders>
            <w:shd w:val="clear" w:color="auto" w:fill="auto"/>
            <w:noWrap/>
            <w:vAlign w:val="center"/>
          </w:tcPr>
          <w:p w14:paraId="16804131" w14:textId="4912ABB1" w:rsidR="00BE1098" w:rsidRPr="00540D60" w:rsidRDefault="00BE1098" w:rsidP="00F47329">
            <w:pPr>
              <w:jc w:val="center"/>
              <w:rPr>
                <w:rFonts w:eastAsia="Times New Roman"/>
              </w:rPr>
            </w:pPr>
            <w:r w:rsidRPr="00540D60">
              <w:t>2900</w:t>
            </w:r>
          </w:p>
        </w:tc>
        <w:tc>
          <w:tcPr>
            <w:tcW w:w="0" w:type="auto"/>
            <w:tcBorders>
              <w:bottom w:val="single" w:sz="4" w:space="0" w:color="auto"/>
            </w:tcBorders>
            <w:shd w:val="clear" w:color="auto" w:fill="auto"/>
            <w:noWrap/>
            <w:vAlign w:val="center"/>
          </w:tcPr>
          <w:p w14:paraId="5151A8A7" w14:textId="79D57B94" w:rsidR="00BE1098" w:rsidRPr="00540D60" w:rsidRDefault="00BE1098" w:rsidP="00F47329">
            <w:pPr>
              <w:jc w:val="center"/>
              <w:rPr>
                <w:rFonts w:eastAsia="Times New Roman"/>
              </w:rPr>
            </w:pPr>
            <w:r w:rsidRPr="00540D60">
              <w:t>325</w:t>
            </w:r>
          </w:p>
        </w:tc>
        <w:tc>
          <w:tcPr>
            <w:tcW w:w="0" w:type="auto"/>
            <w:tcBorders>
              <w:bottom w:val="single" w:sz="4" w:space="0" w:color="auto"/>
            </w:tcBorders>
            <w:vAlign w:val="center"/>
          </w:tcPr>
          <w:p w14:paraId="44BFDCD1" w14:textId="4E268833" w:rsidR="00BE1098" w:rsidRPr="00540D60" w:rsidRDefault="00BE1098" w:rsidP="00F47329">
            <w:pPr>
              <w:jc w:val="center"/>
              <w:rPr>
                <w:rFonts w:eastAsia="Times New Roman"/>
              </w:rPr>
            </w:pPr>
            <w:r w:rsidRPr="00540D60">
              <w:t>2291</w:t>
            </w:r>
          </w:p>
        </w:tc>
        <w:tc>
          <w:tcPr>
            <w:tcW w:w="0" w:type="auto"/>
            <w:tcBorders>
              <w:bottom w:val="single" w:sz="4" w:space="0" w:color="auto"/>
            </w:tcBorders>
            <w:vAlign w:val="center"/>
          </w:tcPr>
          <w:p w14:paraId="0F872914" w14:textId="1924A333" w:rsidR="00BE1098" w:rsidRPr="00540D60" w:rsidRDefault="00BE1098" w:rsidP="00F47329">
            <w:pPr>
              <w:jc w:val="center"/>
              <w:rPr>
                <w:rFonts w:eastAsia="Times New Roman"/>
              </w:rPr>
            </w:pPr>
            <w:r w:rsidRPr="00540D60">
              <w:t>297</w:t>
            </w:r>
          </w:p>
        </w:tc>
      </w:tr>
      <w:tr w:rsidR="00EA1503" w:rsidRPr="00540D60" w14:paraId="325F44D9" w14:textId="77777777" w:rsidTr="006D2675">
        <w:trPr>
          <w:trHeight w:val="300"/>
        </w:trPr>
        <w:tc>
          <w:tcPr>
            <w:tcW w:w="0" w:type="auto"/>
            <w:tcBorders>
              <w:top w:val="single" w:sz="4" w:space="0" w:color="auto"/>
              <w:bottom w:val="single" w:sz="4" w:space="0" w:color="auto"/>
            </w:tcBorders>
            <w:shd w:val="clear" w:color="auto" w:fill="auto"/>
            <w:noWrap/>
            <w:vAlign w:val="center"/>
            <w:hideMark/>
          </w:tcPr>
          <w:p w14:paraId="54377682" w14:textId="77777777" w:rsidR="00EA1503" w:rsidRPr="00873502" w:rsidRDefault="00EA1503" w:rsidP="0031399D">
            <w:pPr>
              <w:rPr>
                <w:b/>
                <w:bCs/>
              </w:rPr>
            </w:pPr>
            <w:r w:rsidRPr="00873502">
              <w:rPr>
                <w:b/>
                <w:bCs/>
              </w:rPr>
              <w:t>Site number</w:t>
            </w:r>
          </w:p>
        </w:tc>
        <w:tc>
          <w:tcPr>
            <w:tcW w:w="0" w:type="auto"/>
            <w:gridSpan w:val="2"/>
            <w:tcBorders>
              <w:top w:val="single" w:sz="4" w:space="0" w:color="auto"/>
              <w:bottom w:val="single" w:sz="4" w:space="0" w:color="auto"/>
            </w:tcBorders>
            <w:shd w:val="clear" w:color="auto" w:fill="auto"/>
            <w:noWrap/>
            <w:vAlign w:val="center"/>
          </w:tcPr>
          <w:p w14:paraId="6ECA3144" w14:textId="77777777" w:rsidR="00EA1503" w:rsidRPr="00873502" w:rsidRDefault="00EA1503" w:rsidP="00F47329">
            <w:pPr>
              <w:jc w:val="center"/>
              <w:rPr>
                <w:b/>
                <w:bCs/>
              </w:rPr>
            </w:pPr>
            <w:r w:rsidRPr="00873502">
              <w:rPr>
                <w:b/>
                <w:bCs/>
              </w:rPr>
              <w:t>Eastbound</w:t>
            </w:r>
          </w:p>
        </w:tc>
        <w:tc>
          <w:tcPr>
            <w:tcW w:w="0" w:type="auto"/>
            <w:gridSpan w:val="2"/>
            <w:tcBorders>
              <w:top w:val="single" w:sz="4" w:space="0" w:color="auto"/>
              <w:bottom w:val="single" w:sz="4" w:space="0" w:color="auto"/>
            </w:tcBorders>
            <w:vAlign w:val="center"/>
          </w:tcPr>
          <w:p w14:paraId="5DD0E7F3" w14:textId="77777777" w:rsidR="00EA1503" w:rsidRPr="00873502" w:rsidRDefault="00EA1503" w:rsidP="00F47329">
            <w:pPr>
              <w:jc w:val="center"/>
              <w:rPr>
                <w:b/>
                <w:bCs/>
              </w:rPr>
            </w:pPr>
            <w:r w:rsidRPr="00873502">
              <w:rPr>
                <w:b/>
                <w:bCs/>
              </w:rPr>
              <w:t>Westbound</w:t>
            </w:r>
          </w:p>
        </w:tc>
      </w:tr>
      <w:tr w:rsidR="00497C96" w:rsidRPr="00540D60" w14:paraId="69E4AF51" w14:textId="77777777" w:rsidTr="008809E9">
        <w:trPr>
          <w:trHeight w:val="300"/>
        </w:trPr>
        <w:tc>
          <w:tcPr>
            <w:tcW w:w="0" w:type="auto"/>
            <w:shd w:val="clear" w:color="auto" w:fill="auto"/>
            <w:noWrap/>
            <w:vAlign w:val="center"/>
          </w:tcPr>
          <w:p w14:paraId="4A11F6B2" w14:textId="05269327" w:rsidR="00497C96" w:rsidRPr="00540D60" w:rsidRDefault="00497C96" w:rsidP="0031399D">
            <w:r>
              <w:t>7</w:t>
            </w:r>
          </w:p>
        </w:tc>
        <w:tc>
          <w:tcPr>
            <w:tcW w:w="0" w:type="auto"/>
            <w:shd w:val="clear" w:color="auto" w:fill="auto"/>
            <w:noWrap/>
            <w:vAlign w:val="center"/>
          </w:tcPr>
          <w:p w14:paraId="2E31F058" w14:textId="33E7FD6F" w:rsidR="00497C96" w:rsidRPr="00540D60" w:rsidRDefault="00497C96" w:rsidP="00F47329">
            <w:pPr>
              <w:jc w:val="center"/>
            </w:pPr>
            <w:r>
              <w:t>315</w:t>
            </w:r>
          </w:p>
        </w:tc>
        <w:tc>
          <w:tcPr>
            <w:tcW w:w="0" w:type="auto"/>
            <w:shd w:val="clear" w:color="auto" w:fill="auto"/>
            <w:noWrap/>
            <w:vAlign w:val="center"/>
          </w:tcPr>
          <w:p w14:paraId="4CDE261A" w14:textId="65F262FD" w:rsidR="00497C96" w:rsidRPr="00540D60" w:rsidRDefault="00497C96" w:rsidP="00F47329">
            <w:pPr>
              <w:jc w:val="center"/>
            </w:pPr>
            <w:r>
              <w:t>98</w:t>
            </w:r>
          </w:p>
        </w:tc>
        <w:tc>
          <w:tcPr>
            <w:tcW w:w="0" w:type="auto"/>
            <w:vAlign w:val="center"/>
          </w:tcPr>
          <w:p w14:paraId="01688DE3" w14:textId="1ECC71AF" w:rsidR="00497C96" w:rsidRPr="00540D60" w:rsidRDefault="00497C96" w:rsidP="00F47329">
            <w:pPr>
              <w:jc w:val="center"/>
            </w:pPr>
            <w:r>
              <w:t>-</w:t>
            </w:r>
          </w:p>
        </w:tc>
        <w:tc>
          <w:tcPr>
            <w:tcW w:w="0" w:type="auto"/>
            <w:vAlign w:val="center"/>
          </w:tcPr>
          <w:p w14:paraId="2317FA29" w14:textId="2431FE06" w:rsidR="00497C96" w:rsidRPr="00540D60" w:rsidRDefault="00497C96" w:rsidP="00F47329">
            <w:pPr>
              <w:jc w:val="center"/>
            </w:pPr>
            <w:r>
              <w:t>-</w:t>
            </w:r>
          </w:p>
        </w:tc>
      </w:tr>
      <w:tr w:rsidR="00BE1098" w:rsidRPr="00540D60" w14:paraId="4EA49AC5" w14:textId="77777777" w:rsidTr="008809E9">
        <w:trPr>
          <w:trHeight w:val="300"/>
        </w:trPr>
        <w:tc>
          <w:tcPr>
            <w:tcW w:w="0" w:type="auto"/>
            <w:shd w:val="clear" w:color="auto" w:fill="auto"/>
            <w:noWrap/>
            <w:vAlign w:val="center"/>
            <w:hideMark/>
          </w:tcPr>
          <w:p w14:paraId="3D7EAEF8" w14:textId="77777777" w:rsidR="00BE1098" w:rsidRPr="00540D60" w:rsidRDefault="00BE1098" w:rsidP="0031399D">
            <w:r w:rsidRPr="00540D60">
              <w:t>8</w:t>
            </w:r>
          </w:p>
        </w:tc>
        <w:tc>
          <w:tcPr>
            <w:tcW w:w="0" w:type="auto"/>
            <w:shd w:val="clear" w:color="auto" w:fill="auto"/>
            <w:noWrap/>
            <w:vAlign w:val="center"/>
          </w:tcPr>
          <w:p w14:paraId="400B3091" w14:textId="59DA876F" w:rsidR="00BE1098" w:rsidRPr="00540D60" w:rsidRDefault="00BE1098" w:rsidP="00F47329">
            <w:pPr>
              <w:jc w:val="center"/>
              <w:rPr>
                <w:rFonts w:eastAsia="Times New Roman"/>
              </w:rPr>
            </w:pPr>
            <w:r w:rsidRPr="00540D60">
              <w:t>286</w:t>
            </w:r>
          </w:p>
        </w:tc>
        <w:tc>
          <w:tcPr>
            <w:tcW w:w="0" w:type="auto"/>
            <w:shd w:val="clear" w:color="auto" w:fill="auto"/>
            <w:noWrap/>
            <w:vAlign w:val="center"/>
          </w:tcPr>
          <w:p w14:paraId="085307AA" w14:textId="4ADEAAF7" w:rsidR="00BE1098" w:rsidRPr="00540D60" w:rsidRDefault="00BE1098" w:rsidP="00F47329">
            <w:pPr>
              <w:jc w:val="center"/>
              <w:rPr>
                <w:rFonts w:eastAsia="Times New Roman"/>
              </w:rPr>
            </w:pPr>
            <w:r w:rsidRPr="00540D60">
              <w:t>26</w:t>
            </w:r>
          </w:p>
        </w:tc>
        <w:tc>
          <w:tcPr>
            <w:tcW w:w="0" w:type="auto"/>
            <w:vAlign w:val="center"/>
          </w:tcPr>
          <w:p w14:paraId="7459C831" w14:textId="6A8AD3B0" w:rsidR="00BE1098" w:rsidRPr="00540D60" w:rsidRDefault="00BE1098" w:rsidP="00F47329">
            <w:pPr>
              <w:jc w:val="center"/>
              <w:rPr>
                <w:rFonts w:eastAsia="Times New Roman"/>
              </w:rPr>
            </w:pPr>
            <w:r w:rsidRPr="00540D60">
              <w:t>100</w:t>
            </w:r>
          </w:p>
        </w:tc>
        <w:tc>
          <w:tcPr>
            <w:tcW w:w="0" w:type="auto"/>
            <w:vAlign w:val="center"/>
          </w:tcPr>
          <w:p w14:paraId="3361EBEC" w14:textId="5BDEFB11" w:rsidR="00BE1098" w:rsidRPr="00540D60" w:rsidRDefault="00BE1098" w:rsidP="00F47329">
            <w:pPr>
              <w:jc w:val="center"/>
              <w:rPr>
                <w:rFonts w:eastAsia="Times New Roman"/>
              </w:rPr>
            </w:pPr>
            <w:r w:rsidRPr="00540D60">
              <w:t>4</w:t>
            </w:r>
          </w:p>
        </w:tc>
      </w:tr>
      <w:tr w:rsidR="00BE1098" w:rsidRPr="00540D60" w14:paraId="5F263540" w14:textId="77777777" w:rsidTr="008809E9">
        <w:trPr>
          <w:trHeight w:val="300"/>
        </w:trPr>
        <w:tc>
          <w:tcPr>
            <w:tcW w:w="0" w:type="auto"/>
            <w:shd w:val="clear" w:color="auto" w:fill="auto"/>
            <w:noWrap/>
            <w:vAlign w:val="center"/>
          </w:tcPr>
          <w:p w14:paraId="1BD24FD6" w14:textId="77777777" w:rsidR="00BE1098" w:rsidRPr="00540D60" w:rsidRDefault="00BE1098" w:rsidP="0031399D">
            <w:r w:rsidRPr="00540D60">
              <w:t>10</w:t>
            </w:r>
          </w:p>
        </w:tc>
        <w:tc>
          <w:tcPr>
            <w:tcW w:w="0" w:type="auto"/>
            <w:shd w:val="clear" w:color="auto" w:fill="auto"/>
            <w:noWrap/>
            <w:vAlign w:val="center"/>
          </w:tcPr>
          <w:p w14:paraId="6E4D772B" w14:textId="2F8AA3CA" w:rsidR="00BE1098" w:rsidRPr="00540D60" w:rsidRDefault="00BE1098" w:rsidP="00F47329">
            <w:pPr>
              <w:jc w:val="center"/>
            </w:pPr>
            <w:r w:rsidRPr="00540D60">
              <w:t>137</w:t>
            </w:r>
          </w:p>
        </w:tc>
        <w:tc>
          <w:tcPr>
            <w:tcW w:w="0" w:type="auto"/>
            <w:shd w:val="clear" w:color="auto" w:fill="auto"/>
            <w:noWrap/>
            <w:vAlign w:val="center"/>
          </w:tcPr>
          <w:p w14:paraId="2CE18FD4" w14:textId="5B51923B" w:rsidR="00BE1098" w:rsidRPr="00540D60" w:rsidRDefault="00BE1098" w:rsidP="00F47329">
            <w:pPr>
              <w:jc w:val="center"/>
              <w:rPr>
                <w:rFonts w:eastAsia="Times New Roman"/>
              </w:rPr>
            </w:pPr>
            <w:r w:rsidRPr="00540D60">
              <w:t>12</w:t>
            </w:r>
          </w:p>
        </w:tc>
        <w:tc>
          <w:tcPr>
            <w:tcW w:w="0" w:type="auto"/>
            <w:vAlign w:val="center"/>
          </w:tcPr>
          <w:p w14:paraId="64577E5F" w14:textId="6AE7FB39" w:rsidR="00BE1098" w:rsidRPr="00540D60" w:rsidRDefault="00BE1098" w:rsidP="00F47329">
            <w:pPr>
              <w:jc w:val="center"/>
              <w:rPr>
                <w:rFonts w:eastAsia="Times New Roman"/>
              </w:rPr>
            </w:pPr>
            <w:r w:rsidRPr="00540D60">
              <w:t>186</w:t>
            </w:r>
          </w:p>
        </w:tc>
        <w:tc>
          <w:tcPr>
            <w:tcW w:w="0" w:type="auto"/>
            <w:vAlign w:val="center"/>
          </w:tcPr>
          <w:p w14:paraId="0B97F1DC" w14:textId="1452905F" w:rsidR="00BE1098" w:rsidRPr="00540D60" w:rsidRDefault="00BE1098" w:rsidP="00F47329">
            <w:pPr>
              <w:jc w:val="center"/>
              <w:rPr>
                <w:rFonts w:eastAsia="Times New Roman"/>
              </w:rPr>
            </w:pPr>
            <w:r w:rsidRPr="00540D60">
              <w:t>12</w:t>
            </w:r>
          </w:p>
        </w:tc>
      </w:tr>
      <w:tr w:rsidR="00BE1098" w:rsidRPr="00540D60" w14:paraId="159EE51A" w14:textId="77777777" w:rsidTr="006D2675">
        <w:trPr>
          <w:trHeight w:val="300"/>
        </w:trPr>
        <w:tc>
          <w:tcPr>
            <w:tcW w:w="0" w:type="auto"/>
            <w:shd w:val="clear" w:color="auto" w:fill="auto"/>
            <w:noWrap/>
            <w:vAlign w:val="center"/>
          </w:tcPr>
          <w:p w14:paraId="11DFC344" w14:textId="77777777" w:rsidR="00BE1098" w:rsidRPr="00540D60" w:rsidRDefault="00BE1098" w:rsidP="0031399D">
            <w:r w:rsidRPr="00540D60">
              <w:t>12</w:t>
            </w:r>
          </w:p>
        </w:tc>
        <w:tc>
          <w:tcPr>
            <w:tcW w:w="0" w:type="auto"/>
            <w:shd w:val="clear" w:color="auto" w:fill="auto"/>
            <w:noWrap/>
            <w:vAlign w:val="center"/>
          </w:tcPr>
          <w:p w14:paraId="5052B94E" w14:textId="74BA3686" w:rsidR="00BE1098" w:rsidRPr="00540D60" w:rsidRDefault="00BE1098" w:rsidP="00F47329">
            <w:pPr>
              <w:jc w:val="center"/>
            </w:pPr>
            <w:r w:rsidRPr="00540D60">
              <w:t>300</w:t>
            </w:r>
          </w:p>
        </w:tc>
        <w:tc>
          <w:tcPr>
            <w:tcW w:w="0" w:type="auto"/>
            <w:shd w:val="clear" w:color="auto" w:fill="auto"/>
            <w:noWrap/>
            <w:vAlign w:val="center"/>
          </w:tcPr>
          <w:p w14:paraId="109BD41F" w14:textId="6363CCBB" w:rsidR="00BE1098" w:rsidRPr="00540D60" w:rsidRDefault="00BE1098" w:rsidP="00F47329">
            <w:pPr>
              <w:jc w:val="center"/>
              <w:rPr>
                <w:rFonts w:eastAsia="Times New Roman"/>
              </w:rPr>
            </w:pPr>
            <w:r w:rsidRPr="00540D60">
              <w:t>22</w:t>
            </w:r>
          </w:p>
        </w:tc>
        <w:tc>
          <w:tcPr>
            <w:tcW w:w="0" w:type="auto"/>
            <w:vAlign w:val="center"/>
          </w:tcPr>
          <w:p w14:paraId="45255EE9" w14:textId="609DB650" w:rsidR="00BE1098" w:rsidRPr="00540D60" w:rsidRDefault="00BE1098" w:rsidP="00F47329">
            <w:pPr>
              <w:jc w:val="center"/>
              <w:rPr>
                <w:rFonts w:eastAsia="Times New Roman"/>
              </w:rPr>
            </w:pPr>
            <w:r w:rsidRPr="00540D60">
              <w:t>255</w:t>
            </w:r>
          </w:p>
        </w:tc>
        <w:tc>
          <w:tcPr>
            <w:tcW w:w="0" w:type="auto"/>
            <w:vAlign w:val="center"/>
          </w:tcPr>
          <w:p w14:paraId="45B6EC95" w14:textId="3E795425" w:rsidR="00BE1098" w:rsidRPr="00540D60" w:rsidRDefault="00BE1098" w:rsidP="00F47329">
            <w:pPr>
              <w:jc w:val="center"/>
              <w:rPr>
                <w:rFonts w:eastAsia="Times New Roman"/>
              </w:rPr>
            </w:pPr>
            <w:r w:rsidRPr="00540D60">
              <w:t>24</w:t>
            </w:r>
          </w:p>
        </w:tc>
      </w:tr>
      <w:tr w:rsidR="00BE1098" w:rsidRPr="00540D60" w14:paraId="413FF593" w14:textId="77777777" w:rsidTr="006D2675">
        <w:trPr>
          <w:trHeight w:val="300"/>
        </w:trPr>
        <w:tc>
          <w:tcPr>
            <w:tcW w:w="0" w:type="auto"/>
            <w:tcBorders>
              <w:bottom w:val="single" w:sz="4" w:space="0" w:color="auto"/>
            </w:tcBorders>
            <w:shd w:val="clear" w:color="auto" w:fill="auto"/>
            <w:noWrap/>
            <w:vAlign w:val="center"/>
          </w:tcPr>
          <w:p w14:paraId="70B2E76F" w14:textId="4DBCE23E" w:rsidR="00BE1098" w:rsidRPr="00540D60" w:rsidRDefault="00BE1098" w:rsidP="0031399D">
            <w:r w:rsidRPr="00540D60">
              <w:t>Total</w:t>
            </w:r>
          </w:p>
        </w:tc>
        <w:tc>
          <w:tcPr>
            <w:tcW w:w="0" w:type="auto"/>
            <w:tcBorders>
              <w:bottom w:val="single" w:sz="4" w:space="0" w:color="auto"/>
            </w:tcBorders>
            <w:shd w:val="clear" w:color="auto" w:fill="auto"/>
            <w:noWrap/>
            <w:vAlign w:val="center"/>
          </w:tcPr>
          <w:p w14:paraId="1A6583B7" w14:textId="26CAB116" w:rsidR="00BE1098" w:rsidRPr="00540D60" w:rsidRDefault="00BE1098" w:rsidP="00F47329">
            <w:pPr>
              <w:jc w:val="center"/>
            </w:pPr>
            <w:r w:rsidRPr="00540D60">
              <w:t>1038</w:t>
            </w:r>
          </w:p>
        </w:tc>
        <w:tc>
          <w:tcPr>
            <w:tcW w:w="0" w:type="auto"/>
            <w:tcBorders>
              <w:bottom w:val="single" w:sz="4" w:space="0" w:color="auto"/>
            </w:tcBorders>
            <w:shd w:val="clear" w:color="auto" w:fill="auto"/>
            <w:noWrap/>
            <w:vAlign w:val="center"/>
          </w:tcPr>
          <w:p w14:paraId="437AB6A8" w14:textId="06B1FFF9" w:rsidR="00BE1098" w:rsidRPr="00540D60" w:rsidRDefault="00BE1098" w:rsidP="00F47329">
            <w:pPr>
              <w:jc w:val="center"/>
              <w:rPr>
                <w:rFonts w:eastAsia="Times New Roman"/>
              </w:rPr>
            </w:pPr>
            <w:r w:rsidRPr="00540D60">
              <w:t>158</w:t>
            </w:r>
          </w:p>
        </w:tc>
        <w:tc>
          <w:tcPr>
            <w:tcW w:w="0" w:type="auto"/>
            <w:tcBorders>
              <w:bottom w:val="single" w:sz="4" w:space="0" w:color="auto"/>
            </w:tcBorders>
            <w:vAlign w:val="center"/>
          </w:tcPr>
          <w:p w14:paraId="55BE2731" w14:textId="1D67F79A" w:rsidR="00BE1098" w:rsidRPr="00540D60" w:rsidRDefault="00BE1098" w:rsidP="00F47329">
            <w:pPr>
              <w:jc w:val="center"/>
              <w:rPr>
                <w:rFonts w:eastAsia="Times New Roman"/>
              </w:rPr>
            </w:pPr>
            <w:r w:rsidRPr="00540D60">
              <w:t>541</w:t>
            </w:r>
          </w:p>
        </w:tc>
        <w:tc>
          <w:tcPr>
            <w:tcW w:w="0" w:type="auto"/>
            <w:tcBorders>
              <w:bottom w:val="single" w:sz="4" w:space="0" w:color="auto"/>
            </w:tcBorders>
            <w:vAlign w:val="center"/>
          </w:tcPr>
          <w:p w14:paraId="7AF26CAC" w14:textId="4F9DDBCB" w:rsidR="00BE1098" w:rsidRPr="00540D60" w:rsidRDefault="00BE1098" w:rsidP="00F47329">
            <w:pPr>
              <w:jc w:val="center"/>
              <w:rPr>
                <w:rFonts w:eastAsia="Times New Roman"/>
              </w:rPr>
            </w:pPr>
            <w:r w:rsidRPr="00540D60">
              <w:t>40</w:t>
            </w:r>
          </w:p>
        </w:tc>
      </w:tr>
    </w:tbl>
    <w:p w14:paraId="2DD2F5DF" w14:textId="318D098A" w:rsidR="00562C76" w:rsidRDefault="00562C76" w:rsidP="00CC5E25">
      <w:r w:rsidRPr="00540D60">
        <w:lastRenderedPageBreak/>
        <w:t>A more detailed breakdown of vehicle regularity, by 15-minute time window based on average arrival time, was performed for the morning peak period at t</w:t>
      </w:r>
      <w:r w:rsidR="00974919">
        <w:t>wo</w:t>
      </w:r>
      <w:r w:rsidRPr="00540D60">
        <w:t xml:space="preserve"> selected sites </w:t>
      </w:r>
      <w:r w:rsidR="00CC5E25">
        <w:t xml:space="preserve">and both directions of travel </w:t>
      </w:r>
      <w:r w:rsidRPr="00540D60">
        <w:t>(site numbers 3</w:t>
      </w:r>
      <w:r w:rsidR="00974919">
        <w:t xml:space="preserve"> and</w:t>
      </w:r>
      <w:r w:rsidRPr="00540D60">
        <w:t xml:space="preserve"> </w:t>
      </w:r>
      <w:r w:rsidR="00760A96" w:rsidRPr="00540D60">
        <w:t>5</w:t>
      </w:r>
      <w:r w:rsidR="00974919">
        <w:t>, Figure 1), tho</w:t>
      </w:r>
      <w:r w:rsidR="00760A96" w:rsidRPr="00540D60">
        <w:t>se recording</w:t>
      </w:r>
      <w:r w:rsidRPr="00540D60">
        <w:t xml:space="preserve"> the largest numbers of regular vehicles (</w:t>
      </w:r>
      <w:r w:rsidRPr="00540D60">
        <w:fldChar w:fldCharType="begin"/>
      </w:r>
      <w:r w:rsidRPr="00540D60">
        <w:instrText xml:space="preserve"> REF _Ref430698686 \h </w:instrText>
      </w:r>
      <w:r w:rsidRPr="00540D60">
        <w:fldChar w:fldCharType="separate"/>
      </w:r>
      <w:r w:rsidR="00F1794F" w:rsidRPr="00540D60">
        <w:t xml:space="preserve">Table </w:t>
      </w:r>
      <w:r w:rsidR="00F1794F" w:rsidRPr="00540D60">
        <w:rPr>
          <w:noProof/>
        </w:rPr>
        <w:t>4</w:t>
      </w:r>
      <w:r w:rsidRPr="00540D60">
        <w:fldChar w:fldCharType="end"/>
      </w:r>
      <w:r w:rsidRPr="00540D60">
        <w:t xml:space="preserve">). This analysis indicated a range of between </w:t>
      </w:r>
      <w:r w:rsidR="00974919">
        <w:t>36</w:t>
      </w:r>
      <w:r w:rsidR="008C5F36" w:rsidRPr="00540D60">
        <w:t xml:space="preserve"> </w:t>
      </w:r>
      <w:r w:rsidRPr="00540D60">
        <w:t>and 10</w:t>
      </w:r>
      <w:r w:rsidR="008C5F36" w:rsidRPr="00540D60">
        <w:t>2</w:t>
      </w:r>
      <w:r w:rsidRPr="00540D60">
        <w:t xml:space="preserve">, and an average of </w:t>
      </w:r>
      <w:r w:rsidR="00974919">
        <w:t>65</w:t>
      </w:r>
      <w:r w:rsidR="008C5F36" w:rsidRPr="00540D60">
        <w:t xml:space="preserve"> </w:t>
      </w:r>
      <w:r w:rsidRPr="00540D60">
        <w:t>regular vehicles across the different combinations. The number of regular vehicles in each time window reflected the overall flow profile</w:t>
      </w:r>
      <w:r w:rsidR="00974919">
        <w:t xml:space="preserve">, with most being observed in the </w:t>
      </w:r>
      <w:r w:rsidR="00000077">
        <w:t>08</w:t>
      </w:r>
      <w:r w:rsidR="00974919">
        <w:t>00-</w:t>
      </w:r>
      <w:r w:rsidR="00000077">
        <w:t>08</w:t>
      </w:r>
      <w:r w:rsidRPr="00540D60">
        <w:t>15</w:t>
      </w:r>
      <w:r w:rsidR="00974919">
        <w:t xml:space="preserve"> time window. </w:t>
      </w:r>
      <w:r w:rsidRPr="00540D60">
        <w:t>The site where the most regular</w:t>
      </w:r>
      <w:r w:rsidR="00760A96" w:rsidRPr="00540D60">
        <w:t xml:space="preserve"> vehicles were observed was</w:t>
      </w:r>
      <w:r w:rsidRPr="00540D60">
        <w:t xml:space="preserve"> #5, southbound</w:t>
      </w:r>
      <w:r w:rsidR="00974919">
        <w:t xml:space="preserve"> </w:t>
      </w:r>
      <w:r w:rsidRPr="00540D60">
        <w:t>(</w:t>
      </w:r>
      <w:r w:rsidR="008C5F36" w:rsidRPr="00540D60">
        <w:t>544</w:t>
      </w:r>
      <w:r w:rsidRPr="00540D60">
        <w:t xml:space="preserve"> vehicles) which is likely to reflect traffic travelling to the two major supermarkets located there but, more significantly, the Mount Pleasant </w:t>
      </w:r>
      <w:r w:rsidR="00E14C05" w:rsidRPr="00540D60">
        <w:t>park-and-r</w:t>
      </w:r>
      <w:r w:rsidRPr="00540D60">
        <w:t xml:space="preserve">ide site which has space for 1000 vehicles and services Weymouth by bus every 15 minutes outside of the winter months. </w:t>
      </w:r>
    </w:p>
    <w:p w14:paraId="2DECC235" w14:textId="77777777" w:rsidR="00F74345" w:rsidRPr="00540D60" w:rsidRDefault="00F74345" w:rsidP="0031399D"/>
    <w:p w14:paraId="0C78881E" w14:textId="017CA266" w:rsidR="0060523D" w:rsidRPr="00F74345" w:rsidRDefault="0060523D" w:rsidP="00F47329">
      <w:pPr>
        <w:rPr>
          <w:b/>
          <w:bCs/>
        </w:rPr>
      </w:pPr>
      <w:bookmarkStart w:id="11" w:name="_Ref430698686"/>
      <w:r w:rsidRPr="00F74345">
        <w:rPr>
          <w:b/>
          <w:bCs/>
        </w:rPr>
        <w:t xml:space="preserve">Table </w:t>
      </w:r>
      <w:r w:rsidR="00C024D5" w:rsidRPr="00F74345">
        <w:rPr>
          <w:b/>
          <w:bCs/>
        </w:rPr>
        <w:fldChar w:fldCharType="begin"/>
      </w:r>
      <w:r w:rsidR="00C024D5" w:rsidRPr="00F74345">
        <w:rPr>
          <w:b/>
          <w:bCs/>
        </w:rPr>
        <w:instrText xml:space="preserve"> SEQ Table \* ARABIC </w:instrText>
      </w:r>
      <w:r w:rsidR="00C024D5" w:rsidRPr="00F74345">
        <w:rPr>
          <w:b/>
          <w:bCs/>
        </w:rPr>
        <w:fldChar w:fldCharType="separate"/>
      </w:r>
      <w:r w:rsidR="00466DAC">
        <w:rPr>
          <w:b/>
          <w:bCs/>
          <w:noProof/>
        </w:rPr>
        <w:t>4</w:t>
      </w:r>
      <w:r w:rsidR="00C024D5" w:rsidRPr="00F74345">
        <w:rPr>
          <w:b/>
          <w:bCs/>
          <w:noProof/>
        </w:rPr>
        <w:fldChar w:fldCharType="end"/>
      </w:r>
      <w:bookmarkEnd w:id="11"/>
      <w:r w:rsidR="00F74345" w:rsidRPr="00F74345">
        <w:rPr>
          <w:b/>
          <w:bCs/>
          <w:noProof/>
        </w:rPr>
        <w:t xml:space="preserve">. </w:t>
      </w:r>
      <w:r w:rsidRPr="00F74345">
        <w:rPr>
          <w:b/>
          <w:bCs/>
        </w:rPr>
        <w:t xml:space="preserve">Numbers of regular vehicles </w:t>
      </w:r>
      <w:r w:rsidR="00F47329" w:rsidRPr="00F47329">
        <w:rPr>
          <w:b/>
          <w:bCs/>
        </w:rPr>
        <w:t>(N</w:t>
      </w:r>
      <w:r w:rsidR="00F47329" w:rsidRPr="00F47329">
        <w:rPr>
          <w:rFonts w:ascii="Symbol" w:hAnsi="Symbol" w:cs="Symbol"/>
          <w:b/>
          <w:bCs/>
        </w:rPr>
        <w:t></w:t>
      </w:r>
      <w:r w:rsidR="00F47329" w:rsidRPr="00F47329">
        <w:rPr>
          <w:b/>
          <w:bCs/>
        </w:rPr>
        <w:t xml:space="preserve">30, </w:t>
      </w:r>
      <w:r w:rsidR="00F47329" w:rsidRPr="00F47329">
        <w:rPr>
          <w:rFonts w:ascii="Symbol" w:hAnsi="Symbol"/>
          <w:b/>
          <w:bCs/>
        </w:rPr>
        <w:t></w:t>
      </w:r>
      <w:r w:rsidR="00F47329" w:rsidRPr="00F47329">
        <w:rPr>
          <w:rFonts w:ascii="Symbol" w:hAnsi="Symbol" w:cs="Symbol"/>
          <w:b/>
          <w:bCs/>
        </w:rPr>
        <w:t></w:t>
      </w:r>
      <w:r w:rsidR="00F47329" w:rsidRPr="00F47329">
        <w:rPr>
          <w:b/>
          <w:bCs/>
        </w:rPr>
        <w:t>10)</w:t>
      </w:r>
      <w:r w:rsidR="00F47329">
        <w:t xml:space="preserve"> </w:t>
      </w:r>
      <w:r w:rsidR="004F765F" w:rsidRPr="00F74345">
        <w:rPr>
          <w:b/>
          <w:bCs/>
        </w:rPr>
        <w:t>by 15-minute time interval</w:t>
      </w:r>
    </w:p>
    <w:tbl>
      <w:tblPr>
        <w:tblW w:w="0" w:type="auto"/>
        <w:tblInd w:w="93" w:type="dxa"/>
        <w:tblLook w:val="04A0" w:firstRow="1" w:lastRow="0" w:firstColumn="1" w:lastColumn="0" w:noHBand="0" w:noVBand="1"/>
      </w:tblPr>
      <w:tblGrid>
        <w:gridCol w:w="1476"/>
        <w:gridCol w:w="1176"/>
        <w:gridCol w:w="696"/>
        <w:gridCol w:w="696"/>
        <w:gridCol w:w="696"/>
        <w:gridCol w:w="696"/>
        <w:gridCol w:w="696"/>
        <w:gridCol w:w="696"/>
        <w:gridCol w:w="696"/>
        <w:gridCol w:w="696"/>
        <w:gridCol w:w="763"/>
      </w:tblGrid>
      <w:tr w:rsidR="001F01F5" w:rsidRPr="00540D60" w14:paraId="795FAB05" w14:textId="77777777" w:rsidTr="003320CD">
        <w:trPr>
          <w:trHeight w:val="300"/>
        </w:trPr>
        <w:tc>
          <w:tcPr>
            <w:tcW w:w="0" w:type="auto"/>
            <w:vMerge w:val="restart"/>
            <w:tcBorders>
              <w:top w:val="single" w:sz="4" w:space="0" w:color="auto"/>
            </w:tcBorders>
            <w:shd w:val="clear" w:color="auto" w:fill="auto"/>
            <w:noWrap/>
            <w:vAlign w:val="center"/>
          </w:tcPr>
          <w:p w14:paraId="75066F50" w14:textId="2D517690" w:rsidR="001F01F5" w:rsidRPr="003320CD" w:rsidRDefault="001F01F5" w:rsidP="0031399D">
            <w:pPr>
              <w:rPr>
                <w:b/>
                <w:bCs/>
              </w:rPr>
            </w:pPr>
            <w:r w:rsidRPr="003320CD">
              <w:rPr>
                <w:b/>
                <w:bCs/>
              </w:rPr>
              <w:t>Site number</w:t>
            </w:r>
          </w:p>
        </w:tc>
        <w:tc>
          <w:tcPr>
            <w:tcW w:w="0" w:type="auto"/>
            <w:vMerge w:val="restart"/>
            <w:tcBorders>
              <w:top w:val="single" w:sz="4" w:space="0" w:color="auto"/>
            </w:tcBorders>
            <w:shd w:val="clear" w:color="auto" w:fill="auto"/>
            <w:noWrap/>
            <w:vAlign w:val="center"/>
          </w:tcPr>
          <w:p w14:paraId="12E94015" w14:textId="77777777" w:rsidR="001F01F5" w:rsidRPr="003320CD" w:rsidRDefault="001F01F5" w:rsidP="0031399D">
            <w:pPr>
              <w:rPr>
                <w:b/>
                <w:bCs/>
              </w:rPr>
            </w:pPr>
            <w:r w:rsidRPr="003320CD">
              <w:rPr>
                <w:b/>
                <w:bCs/>
              </w:rPr>
              <w:t>Direction</w:t>
            </w:r>
          </w:p>
        </w:tc>
        <w:tc>
          <w:tcPr>
            <w:tcW w:w="0" w:type="auto"/>
            <w:gridSpan w:val="8"/>
            <w:tcBorders>
              <w:top w:val="single" w:sz="4" w:space="0" w:color="auto"/>
            </w:tcBorders>
            <w:shd w:val="clear" w:color="auto" w:fill="auto"/>
            <w:noWrap/>
            <w:vAlign w:val="center"/>
          </w:tcPr>
          <w:p w14:paraId="194C2E63" w14:textId="77777777" w:rsidR="001F01F5" w:rsidRPr="003320CD" w:rsidRDefault="001F01F5" w:rsidP="003320CD">
            <w:pPr>
              <w:jc w:val="center"/>
              <w:rPr>
                <w:b/>
                <w:bCs/>
              </w:rPr>
            </w:pPr>
            <w:r w:rsidRPr="003320CD">
              <w:rPr>
                <w:b/>
                <w:bCs/>
              </w:rPr>
              <w:t>15-minute interval commencing</w:t>
            </w:r>
          </w:p>
        </w:tc>
        <w:tc>
          <w:tcPr>
            <w:tcW w:w="0" w:type="auto"/>
            <w:vMerge w:val="restart"/>
            <w:tcBorders>
              <w:top w:val="single" w:sz="4" w:space="0" w:color="auto"/>
            </w:tcBorders>
            <w:vAlign w:val="center"/>
          </w:tcPr>
          <w:p w14:paraId="1A9C4DC1" w14:textId="77777777" w:rsidR="001F01F5" w:rsidRPr="003320CD" w:rsidRDefault="001F01F5" w:rsidP="0031399D">
            <w:pPr>
              <w:rPr>
                <w:b/>
                <w:bCs/>
              </w:rPr>
            </w:pPr>
            <w:r w:rsidRPr="003320CD">
              <w:rPr>
                <w:b/>
                <w:bCs/>
              </w:rPr>
              <w:t>Total</w:t>
            </w:r>
          </w:p>
        </w:tc>
      </w:tr>
      <w:tr w:rsidR="001F01F5" w:rsidRPr="00540D60" w14:paraId="18154919" w14:textId="77777777" w:rsidTr="003320CD">
        <w:trPr>
          <w:trHeight w:val="300"/>
        </w:trPr>
        <w:tc>
          <w:tcPr>
            <w:tcW w:w="0" w:type="auto"/>
            <w:vMerge/>
            <w:tcBorders>
              <w:bottom w:val="single" w:sz="4" w:space="0" w:color="auto"/>
            </w:tcBorders>
            <w:shd w:val="clear" w:color="auto" w:fill="auto"/>
            <w:noWrap/>
            <w:vAlign w:val="center"/>
            <w:hideMark/>
          </w:tcPr>
          <w:p w14:paraId="6630CAB6" w14:textId="77777777" w:rsidR="001F01F5" w:rsidRPr="00540D60" w:rsidRDefault="001F01F5" w:rsidP="0031399D"/>
        </w:tc>
        <w:tc>
          <w:tcPr>
            <w:tcW w:w="0" w:type="auto"/>
            <w:vMerge/>
            <w:tcBorders>
              <w:bottom w:val="single" w:sz="4" w:space="0" w:color="auto"/>
            </w:tcBorders>
            <w:shd w:val="clear" w:color="auto" w:fill="auto"/>
            <w:noWrap/>
            <w:vAlign w:val="center"/>
            <w:hideMark/>
          </w:tcPr>
          <w:p w14:paraId="78DD9788" w14:textId="77777777" w:rsidR="001F01F5" w:rsidRPr="00540D60" w:rsidRDefault="001F01F5" w:rsidP="0031399D"/>
        </w:tc>
        <w:tc>
          <w:tcPr>
            <w:tcW w:w="0" w:type="auto"/>
            <w:tcBorders>
              <w:bottom w:val="single" w:sz="4" w:space="0" w:color="auto"/>
            </w:tcBorders>
            <w:shd w:val="clear" w:color="auto" w:fill="auto"/>
            <w:noWrap/>
            <w:vAlign w:val="center"/>
            <w:hideMark/>
          </w:tcPr>
          <w:p w14:paraId="680B406E" w14:textId="48AE116E" w:rsidR="001F01F5" w:rsidRPr="003320CD" w:rsidRDefault="00000077" w:rsidP="003320CD">
            <w:pPr>
              <w:jc w:val="left"/>
              <w:rPr>
                <w:b/>
                <w:bCs/>
              </w:rPr>
            </w:pPr>
            <w:r>
              <w:rPr>
                <w:b/>
                <w:bCs/>
              </w:rPr>
              <w:t>07</w:t>
            </w:r>
            <w:r w:rsidR="006E7A3A" w:rsidRPr="003320CD">
              <w:rPr>
                <w:b/>
                <w:bCs/>
              </w:rPr>
              <w:t>00</w:t>
            </w:r>
          </w:p>
        </w:tc>
        <w:tc>
          <w:tcPr>
            <w:tcW w:w="0" w:type="auto"/>
            <w:tcBorders>
              <w:bottom w:val="single" w:sz="4" w:space="0" w:color="auto"/>
            </w:tcBorders>
            <w:shd w:val="clear" w:color="auto" w:fill="auto"/>
            <w:noWrap/>
            <w:vAlign w:val="center"/>
            <w:hideMark/>
          </w:tcPr>
          <w:p w14:paraId="12B397C0" w14:textId="137B6F32" w:rsidR="001F01F5" w:rsidRPr="003320CD" w:rsidRDefault="00000077" w:rsidP="003320CD">
            <w:pPr>
              <w:jc w:val="left"/>
              <w:rPr>
                <w:b/>
                <w:bCs/>
              </w:rPr>
            </w:pPr>
            <w:r>
              <w:rPr>
                <w:b/>
                <w:bCs/>
              </w:rPr>
              <w:t>07</w:t>
            </w:r>
            <w:r w:rsidR="001F01F5" w:rsidRPr="003320CD">
              <w:rPr>
                <w:b/>
                <w:bCs/>
              </w:rPr>
              <w:t>15</w:t>
            </w:r>
          </w:p>
        </w:tc>
        <w:tc>
          <w:tcPr>
            <w:tcW w:w="0" w:type="auto"/>
            <w:tcBorders>
              <w:bottom w:val="single" w:sz="4" w:space="0" w:color="auto"/>
            </w:tcBorders>
            <w:shd w:val="clear" w:color="auto" w:fill="auto"/>
            <w:noWrap/>
            <w:vAlign w:val="center"/>
            <w:hideMark/>
          </w:tcPr>
          <w:p w14:paraId="0ED167C9" w14:textId="31FCB274" w:rsidR="001F01F5" w:rsidRPr="003320CD" w:rsidRDefault="00000077" w:rsidP="003320CD">
            <w:pPr>
              <w:jc w:val="left"/>
              <w:rPr>
                <w:b/>
                <w:bCs/>
              </w:rPr>
            </w:pPr>
            <w:r>
              <w:rPr>
                <w:b/>
                <w:bCs/>
              </w:rPr>
              <w:t>07</w:t>
            </w:r>
            <w:r w:rsidR="001F01F5" w:rsidRPr="003320CD">
              <w:rPr>
                <w:b/>
                <w:bCs/>
              </w:rPr>
              <w:t>30</w:t>
            </w:r>
          </w:p>
        </w:tc>
        <w:tc>
          <w:tcPr>
            <w:tcW w:w="0" w:type="auto"/>
            <w:tcBorders>
              <w:bottom w:val="single" w:sz="4" w:space="0" w:color="auto"/>
            </w:tcBorders>
            <w:shd w:val="clear" w:color="auto" w:fill="auto"/>
            <w:noWrap/>
            <w:vAlign w:val="center"/>
            <w:hideMark/>
          </w:tcPr>
          <w:p w14:paraId="128744FE" w14:textId="0D62FB23" w:rsidR="001F01F5" w:rsidRPr="003320CD" w:rsidRDefault="00000077" w:rsidP="003320CD">
            <w:pPr>
              <w:jc w:val="left"/>
              <w:rPr>
                <w:b/>
                <w:bCs/>
              </w:rPr>
            </w:pPr>
            <w:r>
              <w:rPr>
                <w:b/>
                <w:bCs/>
              </w:rPr>
              <w:t>07</w:t>
            </w:r>
            <w:r w:rsidR="001F01F5" w:rsidRPr="003320CD">
              <w:rPr>
                <w:b/>
                <w:bCs/>
              </w:rPr>
              <w:t>45</w:t>
            </w:r>
          </w:p>
        </w:tc>
        <w:tc>
          <w:tcPr>
            <w:tcW w:w="0" w:type="auto"/>
            <w:tcBorders>
              <w:bottom w:val="single" w:sz="4" w:space="0" w:color="auto"/>
            </w:tcBorders>
            <w:shd w:val="clear" w:color="auto" w:fill="auto"/>
            <w:noWrap/>
            <w:vAlign w:val="center"/>
            <w:hideMark/>
          </w:tcPr>
          <w:p w14:paraId="6A6E75E0" w14:textId="77777777" w:rsidR="001F01F5" w:rsidRPr="003320CD" w:rsidRDefault="001F01F5" w:rsidP="003320CD">
            <w:pPr>
              <w:jc w:val="left"/>
              <w:rPr>
                <w:b/>
                <w:bCs/>
              </w:rPr>
            </w:pPr>
            <w:r w:rsidRPr="003320CD">
              <w:rPr>
                <w:b/>
                <w:bCs/>
              </w:rPr>
              <w:t>0800</w:t>
            </w:r>
          </w:p>
        </w:tc>
        <w:tc>
          <w:tcPr>
            <w:tcW w:w="0" w:type="auto"/>
            <w:tcBorders>
              <w:bottom w:val="single" w:sz="4" w:space="0" w:color="auto"/>
            </w:tcBorders>
            <w:shd w:val="clear" w:color="auto" w:fill="auto"/>
            <w:noWrap/>
            <w:vAlign w:val="center"/>
            <w:hideMark/>
          </w:tcPr>
          <w:p w14:paraId="2AACF5A8" w14:textId="77777777" w:rsidR="001F01F5" w:rsidRPr="003320CD" w:rsidRDefault="001F01F5" w:rsidP="003320CD">
            <w:pPr>
              <w:jc w:val="left"/>
              <w:rPr>
                <w:b/>
                <w:bCs/>
              </w:rPr>
            </w:pPr>
            <w:r w:rsidRPr="003320CD">
              <w:rPr>
                <w:b/>
                <w:bCs/>
              </w:rPr>
              <w:t>0815</w:t>
            </w:r>
          </w:p>
        </w:tc>
        <w:tc>
          <w:tcPr>
            <w:tcW w:w="0" w:type="auto"/>
            <w:tcBorders>
              <w:bottom w:val="single" w:sz="4" w:space="0" w:color="auto"/>
            </w:tcBorders>
            <w:shd w:val="clear" w:color="auto" w:fill="auto"/>
            <w:noWrap/>
            <w:vAlign w:val="center"/>
            <w:hideMark/>
          </w:tcPr>
          <w:p w14:paraId="4858FB5B" w14:textId="77777777" w:rsidR="001F01F5" w:rsidRPr="003320CD" w:rsidRDefault="001F01F5" w:rsidP="003320CD">
            <w:pPr>
              <w:jc w:val="left"/>
              <w:rPr>
                <w:b/>
                <w:bCs/>
              </w:rPr>
            </w:pPr>
            <w:r w:rsidRPr="003320CD">
              <w:rPr>
                <w:b/>
                <w:bCs/>
              </w:rPr>
              <w:t>0830</w:t>
            </w:r>
          </w:p>
        </w:tc>
        <w:tc>
          <w:tcPr>
            <w:tcW w:w="0" w:type="auto"/>
            <w:tcBorders>
              <w:bottom w:val="single" w:sz="4" w:space="0" w:color="auto"/>
            </w:tcBorders>
            <w:shd w:val="clear" w:color="auto" w:fill="auto"/>
            <w:noWrap/>
            <w:vAlign w:val="center"/>
            <w:hideMark/>
          </w:tcPr>
          <w:p w14:paraId="18AFBD49" w14:textId="77777777" w:rsidR="001F01F5" w:rsidRPr="003320CD" w:rsidRDefault="001F01F5" w:rsidP="003320CD">
            <w:pPr>
              <w:jc w:val="left"/>
              <w:rPr>
                <w:b/>
                <w:bCs/>
              </w:rPr>
            </w:pPr>
            <w:r w:rsidRPr="003320CD">
              <w:rPr>
                <w:b/>
                <w:bCs/>
              </w:rPr>
              <w:t>0845</w:t>
            </w:r>
          </w:p>
        </w:tc>
        <w:tc>
          <w:tcPr>
            <w:tcW w:w="0" w:type="auto"/>
            <w:vMerge/>
            <w:tcBorders>
              <w:bottom w:val="single" w:sz="4" w:space="0" w:color="auto"/>
            </w:tcBorders>
            <w:vAlign w:val="center"/>
          </w:tcPr>
          <w:p w14:paraId="28FD4A3A" w14:textId="77777777" w:rsidR="001F01F5" w:rsidRPr="00540D60" w:rsidRDefault="001F01F5" w:rsidP="0031399D"/>
        </w:tc>
      </w:tr>
      <w:tr w:rsidR="008C5F36" w:rsidRPr="00540D60" w14:paraId="22C95EDD" w14:textId="77777777" w:rsidTr="003320CD">
        <w:trPr>
          <w:trHeight w:val="300"/>
        </w:trPr>
        <w:tc>
          <w:tcPr>
            <w:tcW w:w="0" w:type="auto"/>
            <w:tcBorders>
              <w:top w:val="single" w:sz="4" w:space="0" w:color="auto"/>
            </w:tcBorders>
            <w:shd w:val="clear" w:color="auto" w:fill="auto"/>
            <w:noWrap/>
            <w:vAlign w:val="center"/>
            <w:hideMark/>
          </w:tcPr>
          <w:p w14:paraId="03A1F623" w14:textId="77777777" w:rsidR="008C5F36" w:rsidRPr="00540D60" w:rsidRDefault="008C5F36" w:rsidP="0031399D">
            <w:r w:rsidRPr="00540D60">
              <w:t>3</w:t>
            </w:r>
          </w:p>
        </w:tc>
        <w:tc>
          <w:tcPr>
            <w:tcW w:w="0" w:type="auto"/>
            <w:tcBorders>
              <w:top w:val="single" w:sz="4" w:space="0" w:color="auto"/>
            </w:tcBorders>
            <w:shd w:val="clear" w:color="auto" w:fill="auto"/>
            <w:noWrap/>
            <w:vAlign w:val="center"/>
            <w:hideMark/>
          </w:tcPr>
          <w:p w14:paraId="776C5D13" w14:textId="63AA82A4" w:rsidR="008C5F36" w:rsidRPr="00540D60" w:rsidRDefault="00C86995" w:rsidP="0031399D">
            <w:r w:rsidRPr="00540D60">
              <w:t>N</w:t>
            </w:r>
            <w:r w:rsidR="008C5F36" w:rsidRPr="00540D60">
              <w:t>orth</w:t>
            </w:r>
          </w:p>
        </w:tc>
        <w:tc>
          <w:tcPr>
            <w:tcW w:w="0" w:type="auto"/>
            <w:tcBorders>
              <w:top w:val="single" w:sz="4" w:space="0" w:color="auto"/>
            </w:tcBorders>
            <w:shd w:val="clear" w:color="auto" w:fill="auto"/>
            <w:noWrap/>
            <w:vAlign w:val="center"/>
          </w:tcPr>
          <w:p w14:paraId="133BA33B" w14:textId="396C8B15" w:rsidR="008C5F36" w:rsidRPr="00540D60" w:rsidRDefault="008C5F36" w:rsidP="0031399D">
            <w:pPr>
              <w:rPr>
                <w:rFonts w:eastAsia="Times New Roman"/>
              </w:rPr>
            </w:pPr>
            <w:r w:rsidRPr="00540D60">
              <w:t>75</w:t>
            </w:r>
          </w:p>
        </w:tc>
        <w:tc>
          <w:tcPr>
            <w:tcW w:w="0" w:type="auto"/>
            <w:tcBorders>
              <w:top w:val="single" w:sz="4" w:space="0" w:color="auto"/>
            </w:tcBorders>
            <w:shd w:val="clear" w:color="auto" w:fill="auto"/>
            <w:noWrap/>
            <w:vAlign w:val="center"/>
          </w:tcPr>
          <w:p w14:paraId="71F1D58A" w14:textId="14206898" w:rsidR="008C5F36" w:rsidRPr="00540D60" w:rsidRDefault="008C5F36" w:rsidP="0031399D">
            <w:pPr>
              <w:rPr>
                <w:rFonts w:eastAsia="Times New Roman"/>
              </w:rPr>
            </w:pPr>
            <w:r w:rsidRPr="00540D60">
              <w:t>76</w:t>
            </w:r>
          </w:p>
        </w:tc>
        <w:tc>
          <w:tcPr>
            <w:tcW w:w="0" w:type="auto"/>
            <w:tcBorders>
              <w:top w:val="single" w:sz="4" w:space="0" w:color="auto"/>
            </w:tcBorders>
            <w:shd w:val="clear" w:color="auto" w:fill="auto"/>
            <w:noWrap/>
            <w:vAlign w:val="center"/>
          </w:tcPr>
          <w:p w14:paraId="6599F76E" w14:textId="3A593908" w:rsidR="008C5F36" w:rsidRPr="00540D60" w:rsidRDefault="008C5F36" w:rsidP="0031399D">
            <w:pPr>
              <w:rPr>
                <w:rFonts w:eastAsia="Times New Roman"/>
              </w:rPr>
            </w:pPr>
            <w:r w:rsidRPr="00540D60">
              <w:t>82</w:t>
            </w:r>
          </w:p>
        </w:tc>
        <w:tc>
          <w:tcPr>
            <w:tcW w:w="0" w:type="auto"/>
            <w:tcBorders>
              <w:top w:val="single" w:sz="4" w:space="0" w:color="auto"/>
            </w:tcBorders>
            <w:shd w:val="clear" w:color="auto" w:fill="auto"/>
            <w:noWrap/>
            <w:vAlign w:val="center"/>
          </w:tcPr>
          <w:p w14:paraId="5EB6312B" w14:textId="0BEDA906" w:rsidR="008C5F36" w:rsidRPr="00540D60" w:rsidRDefault="008C5F36" w:rsidP="0031399D">
            <w:pPr>
              <w:rPr>
                <w:rFonts w:eastAsia="Times New Roman"/>
              </w:rPr>
            </w:pPr>
            <w:r w:rsidRPr="00540D60">
              <w:t>64</w:t>
            </w:r>
          </w:p>
        </w:tc>
        <w:tc>
          <w:tcPr>
            <w:tcW w:w="0" w:type="auto"/>
            <w:tcBorders>
              <w:top w:val="single" w:sz="4" w:space="0" w:color="auto"/>
            </w:tcBorders>
            <w:shd w:val="clear" w:color="auto" w:fill="auto"/>
            <w:noWrap/>
            <w:vAlign w:val="center"/>
          </w:tcPr>
          <w:p w14:paraId="0E892247" w14:textId="3779F8BD" w:rsidR="008C5F36" w:rsidRPr="00540D60" w:rsidRDefault="008C5F36" w:rsidP="0031399D">
            <w:pPr>
              <w:rPr>
                <w:rFonts w:eastAsia="Times New Roman"/>
              </w:rPr>
            </w:pPr>
            <w:r w:rsidRPr="00540D60">
              <w:t>64</w:t>
            </w:r>
          </w:p>
        </w:tc>
        <w:tc>
          <w:tcPr>
            <w:tcW w:w="0" w:type="auto"/>
            <w:tcBorders>
              <w:top w:val="single" w:sz="4" w:space="0" w:color="auto"/>
            </w:tcBorders>
            <w:shd w:val="clear" w:color="auto" w:fill="auto"/>
            <w:noWrap/>
            <w:vAlign w:val="center"/>
          </w:tcPr>
          <w:p w14:paraId="3DF4C799" w14:textId="5D482EEB" w:rsidR="008C5F36" w:rsidRPr="00540D60" w:rsidRDefault="008C5F36" w:rsidP="0031399D">
            <w:pPr>
              <w:rPr>
                <w:rFonts w:eastAsia="Times New Roman"/>
              </w:rPr>
            </w:pPr>
            <w:r w:rsidRPr="00540D60">
              <w:t>64</w:t>
            </w:r>
          </w:p>
        </w:tc>
        <w:tc>
          <w:tcPr>
            <w:tcW w:w="0" w:type="auto"/>
            <w:tcBorders>
              <w:top w:val="single" w:sz="4" w:space="0" w:color="auto"/>
            </w:tcBorders>
            <w:shd w:val="clear" w:color="auto" w:fill="auto"/>
            <w:noWrap/>
            <w:vAlign w:val="center"/>
          </w:tcPr>
          <w:p w14:paraId="729A0F32" w14:textId="353CD96B" w:rsidR="008C5F36" w:rsidRPr="00540D60" w:rsidRDefault="008C5F36" w:rsidP="0031399D">
            <w:pPr>
              <w:rPr>
                <w:rFonts w:eastAsia="Times New Roman"/>
              </w:rPr>
            </w:pPr>
            <w:r w:rsidRPr="00540D60">
              <w:t>59</w:t>
            </w:r>
          </w:p>
        </w:tc>
        <w:tc>
          <w:tcPr>
            <w:tcW w:w="0" w:type="auto"/>
            <w:tcBorders>
              <w:top w:val="single" w:sz="4" w:space="0" w:color="auto"/>
            </w:tcBorders>
            <w:shd w:val="clear" w:color="auto" w:fill="auto"/>
            <w:noWrap/>
            <w:vAlign w:val="center"/>
          </w:tcPr>
          <w:p w14:paraId="1B45F078" w14:textId="7A6DB4DC" w:rsidR="008C5F36" w:rsidRPr="00540D60" w:rsidRDefault="008C5F36" w:rsidP="0031399D">
            <w:pPr>
              <w:rPr>
                <w:rFonts w:eastAsia="Times New Roman"/>
              </w:rPr>
            </w:pPr>
            <w:r w:rsidRPr="00540D60">
              <w:t>47</w:t>
            </w:r>
          </w:p>
        </w:tc>
        <w:tc>
          <w:tcPr>
            <w:tcW w:w="0" w:type="auto"/>
            <w:tcBorders>
              <w:top w:val="single" w:sz="4" w:space="0" w:color="auto"/>
            </w:tcBorders>
            <w:vAlign w:val="center"/>
          </w:tcPr>
          <w:p w14:paraId="6526F672" w14:textId="3A663AE1" w:rsidR="008C5F36" w:rsidRPr="00540D60" w:rsidRDefault="008C5F36" w:rsidP="0031399D">
            <w:pPr>
              <w:rPr>
                <w:rFonts w:eastAsia="Times New Roman"/>
                <w:b/>
                <w:bCs/>
              </w:rPr>
            </w:pPr>
            <w:r w:rsidRPr="00540D60">
              <w:t>531</w:t>
            </w:r>
          </w:p>
        </w:tc>
      </w:tr>
      <w:tr w:rsidR="00C86995" w:rsidRPr="00540D60" w14:paraId="0B0C0A79" w14:textId="77777777" w:rsidTr="003320CD">
        <w:trPr>
          <w:trHeight w:val="300"/>
        </w:trPr>
        <w:tc>
          <w:tcPr>
            <w:tcW w:w="0" w:type="auto"/>
            <w:tcBorders>
              <w:top w:val="nil"/>
            </w:tcBorders>
            <w:shd w:val="clear" w:color="auto" w:fill="auto"/>
            <w:noWrap/>
            <w:vAlign w:val="center"/>
            <w:hideMark/>
          </w:tcPr>
          <w:p w14:paraId="224909E5" w14:textId="77777777" w:rsidR="00C86995" w:rsidRPr="00540D60" w:rsidRDefault="00C86995" w:rsidP="0031399D">
            <w:r w:rsidRPr="00540D60">
              <w:t>5</w:t>
            </w:r>
          </w:p>
        </w:tc>
        <w:tc>
          <w:tcPr>
            <w:tcW w:w="0" w:type="auto"/>
            <w:tcBorders>
              <w:top w:val="nil"/>
            </w:tcBorders>
            <w:shd w:val="clear" w:color="auto" w:fill="auto"/>
            <w:noWrap/>
            <w:hideMark/>
          </w:tcPr>
          <w:p w14:paraId="670D6636" w14:textId="0343B9DB" w:rsidR="00C86995" w:rsidRPr="00540D60" w:rsidRDefault="00C86995" w:rsidP="0031399D">
            <w:r w:rsidRPr="00540D60">
              <w:t>North</w:t>
            </w:r>
          </w:p>
        </w:tc>
        <w:tc>
          <w:tcPr>
            <w:tcW w:w="0" w:type="auto"/>
            <w:tcBorders>
              <w:top w:val="nil"/>
            </w:tcBorders>
            <w:shd w:val="clear" w:color="auto" w:fill="auto"/>
            <w:noWrap/>
            <w:vAlign w:val="center"/>
          </w:tcPr>
          <w:p w14:paraId="08172586" w14:textId="5DC057B4" w:rsidR="00C86995" w:rsidRPr="00540D60" w:rsidRDefault="00C86995" w:rsidP="0031399D">
            <w:pPr>
              <w:rPr>
                <w:rFonts w:eastAsia="Times New Roman"/>
              </w:rPr>
            </w:pPr>
            <w:r w:rsidRPr="00540D60">
              <w:t>84</w:t>
            </w:r>
          </w:p>
        </w:tc>
        <w:tc>
          <w:tcPr>
            <w:tcW w:w="0" w:type="auto"/>
            <w:tcBorders>
              <w:top w:val="nil"/>
            </w:tcBorders>
            <w:shd w:val="clear" w:color="auto" w:fill="auto"/>
            <w:noWrap/>
            <w:vAlign w:val="center"/>
          </w:tcPr>
          <w:p w14:paraId="7B073B7A" w14:textId="36F170EE" w:rsidR="00C86995" w:rsidRPr="00540D60" w:rsidRDefault="00C86995" w:rsidP="0031399D">
            <w:pPr>
              <w:rPr>
                <w:rFonts w:eastAsia="Times New Roman"/>
              </w:rPr>
            </w:pPr>
            <w:r w:rsidRPr="00540D60">
              <w:t>69</w:t>
            </w:r>
          </w:p>
        </w:tc>
        <w:tc>
          <w:tcPr>
            <w:tcW w:w="0" w:type="auto"/>
            <w:tcBorders>
              <w:top w:val="nil"/>
            </w:tcBorders>
            <w:shd w:val="clear" w:color="auto" w:fill="auto"/>
            <w:noWrap/>
            <w:vAlign w:val="center"/>
          </w:tcPr>
          <w:p w14:paraId="5F81A131" w14:textId="67861A73" w:rsidR="00C86995" w:rsidRPr="00540D60" w:rsidRDefault="00C86995" w:rsidP="0031399D">
            <w:pPr>
              <w:rPr>
                <w:rFonts w:eastAsia="Times New Roman"/>
              </w:rPr>
            </w:pPr>
            <w:r w:rsidRPr="00540D60">
              <w:t>65</w:t>
            </w:r>
          </w:p>
        </w:tc>
        <w:tc>
          <w:tcPr>
            <w:tcW w:w="0" w:type="auto"/>
            <w:tcBorders>
              <w:top w:val="nil"/>
            </w:tcBorders>
            <w:shd w:val="clear" w:color="auto" w:fill="auto"/>
            <w:noWrap/>
            <w:vAlign w:val="center"/>
          </w:tcPr>
          <w:p w14:paraId="0B11C7F8" w14:textId="1EB18C44" w:rsidR="00C86995" w:rsidRPr="00540D60" w:rsidRDefault="00C86995" w:rsidP="0031399D">
            <w:pPr>
              <w:rPr>
                <w:rFonts w:eastAsia="Times New Roman"/>
              </w:rPr>
            </w:pPr>
            <w:r w:rsidRPr="00540D60">
              <w:t>48</w:t>
            </w:r>
          </w:p>
        </w:tc>
        <w:tc>
          <w:tcPr>
            <w:tcW w:w="0" w:type="auto"/>
            <w:tcBorders>
              <w:top w:val="nil"/>
            </w:tcBorders>
            <w:shd w:val="clear" w:color="auto" w:fill="auto"/>
            <w:noWrap/>
            <w:vAlign w:val="center"/>
          </w:tcPr>
          <w:p w14:paraId="44312F8A" w14:textId="1C5EC20E" w:rsidR="00C86995" w:rsidRPr="00540D60" w:rsidRDefault="00C86995" w:rsidP="0031399D">
            <w:pPr>
              <w:rPr>
                <w:rFonts w:eastAsia="Times New Roman"/>
              </w:rPr>
            </w:pPr>
            <w:r w:rsidRPr="00540D60">
              <w:t>72</w:t>
            </w:r>
          </w:p>
        </w:tc>
        <w:tc>
          <w:tcPr>
            <w:tcW w:w="0" w:type="auto"/>
            <w:tcBorders>
              <w:top w:val="nil"/>
            </w:tcBorders>
            <w:shd w:val="clear" w:color="auto" w:fill="auto"/>
            <w:noWrap/>
            <w:vAlign w:val="center"/>
          </w:tcPr>
          <w:p w14:paraId="2DF98EAF" w14:textId="7A475325" w:rsidR="00C86995" w:rsidRPr="00540D60" w:rsidRDefault="00C86995" w:rsidP="0031399D">
            <w:pPr>
              <w:rPr>
                <w:rFonts w:eastAsia="Times New Roman"/>
              </w:rPr>
            </w:pPr>
            <w:r w:rsidRPr="00540D60">
              <w:t>68</w:t>
            </w:r>
          </w:p>
        </w:tc>
        <w:tc>
          <w:tcPr>
            <w:tcW w:w="0" w:type="auto"/>
            <w:tcBorders>
              <w:top w:val="nil"/>
            </w:tcBorders>
            <w:shd w:val="clear" w:color="auto" w:fill="auto"/>
            <w:noWrap/>
            <w:vAlign w:val="center"/>
          </w:tcPr>
          <w:p w14:paraId="59E3A956" w14:textId="1D4DBE43" w:rsidR="00C86995" w:rsidRPr="00540D60" w:rsidRDefault="00C86995" w:rsidP="0031399D">
            <w:pPr>
              <w:rPr>
                <w:rFonts w:eastAsia="Times New Roman"/>
              </w:rPr>
            </w:pPr>
            <w:r w:rsidRPr="00540D60">
              <w:t>74</w:t>
            </w:r>
          </w:p>
        </w:tc>
        <w:tc>
          <w:tcPr>
            <w:tcW w:w="0" w:type="auto"/>
            <w:tcBorders>
              <w:top w:val="nil"/>
            </w:tcBorders>
            <w:shd w:val="clear" w:color="auto" w:fill="auto"/>
            <w:noWrap/>
            <w:vAlign w:val="center"/>
          </w:tcPr>
          <w:p w14:paraId="0DE43950" w14:textId="4A88C191" w:rsidR="00C86995" w:rsidRPr="00540D60" w:rsidRDefault="00C86995" w:rsidP="0031399D">
            <w:pPr>
              <w:rPr>
                <w:rFonts w:eastAsia="Times New Roman"/>
              </w:rPr>
            </w:pPr>
            <w:r w:rsidRPr="00540D60">
              <w:t>38</w:t>
            </w:r>
          </w:p>
        </w:tc>
        <w:tc>
          <w:tcPr>
            <w:tcW w:w="0" w:type="auto"/>
            <w:tcBorders>
              <w:top w:val="nil"/>
            </w:tcBorders>
            <w:vAlign w:val="center"/>
          </w:tcPr>
          <w:p w14:paraId="07776937" w14:textId="7EED98EF" w:rsidR="00C86995" w:rsidRPr="00540D60" w:rsidRDefault="00C86995" w:rsidP="0031399D">
            <w:pPr>
              <w:rPr>
                <w:rFonts w:eastAsia="Times New Roman"/>
                <w:b/>
                <w:bCs/>
              </w:rPr>
            </w:pPr>
            <w:r w:rsidRPr="00540D60">
              <w:t>518</w:t>
            </w:r>
          </w:p>
        </w:tc>
      </w:tr>
      <w:tr w:rsidR="008C5F36" w:rsidRPr="00540D60" w14:paraId="4FB8F11E" w14:textId="77777777" w:rsidTr="003320CD">
        <w:trPr>
          <w:trHeight w:val="300"/>
        </w:trPr>
        <w:tc>
          <w:tcPr>
            <w:tcW w:w="0" w:type="auto"/>
            <w:tcBorders>
              <w:top w:val="nil"/>
            </w:tcBorders>
            <w:shd w:val="clear" w:color="auto" w:fill="auto"/>
            <w:noWrap/>
            <w:vAlign w:val="center"/>
            <w:hideMark/>
          </w:tcPr>
          <w:p w14:paraId="6C8E5AC4" w14:textId="77777777" w:rsidR="008C5F36" w:rsidRPr="00540D60" w:rsidRDefault="008C5F36" w:rsidP="0031399D">
            <w:r w:rsidRPr="00540D60">
              <w:t>3</w:t>
            </w:r>
          </w:p>
        </w:tc>
        <w:tc>
          <w:tcPr>
            <w:tcW w:w="0" w:type="auto"/>
            <w:tcBorders>
              <w:top w:val="nil"/>
            </w:tcBorders>
            <w:shd w:val="clear" w:color="auto" w:fill="auto"/>
            <w:noWrap/>
            <w:vAlign w:val="center"/>
            <w:hideMark/>
          </w:tcPr>
          <w:p w14:paraId="2C3D0CD6" w14:textId="0CAB130C" w:rsidR="008C5F36" w:rsidRPr="00540D60" w:rsidRDefault="00C86995" w:rsidP="0031399D">
            <w:r w:rsidRPr="00540D60">
              <w:t>Sout</w:t>
            </w:r>
            <w:r w:rsidR="008C5F36" w:rsidRPr="00540D60">
              <w:t>h</w:t>
            </w:r>
          </w:p>
        </w:tc>
        <w:tc>
          <w:tcPr>
            <w:tcW w:w="0" w:type="auto"/>
            <w:tcBorders>
              <w:top w:val="nil"/>
            </w:tcBorders>
            <w:shd w:val="clear" w:color="auto" w:fill="auto"/>
            <w:noWrap/>
            <w:vAlign w:val="center"/>
          </w:tcPr>
          <w:p w14:paraId="3D223C58" w14:textId="5E3AB37D" w:rsidR="008C5F36" w:rsidRPr="00540D60" w:rsidRDefault="008C5F36" w:rsidP="0031399D">
            <w:pPr>
              <w:rPr>
                <w:rFonts w:eastAsia="Times New Roman"/>
              </w:rPr>
            </w:pPr>
            <w:r w:rsidRPr="00540D60">
              <w:t>39</w:t>
            </w:r>
          </w:p>
        </w:tc>
        <w:tc>
          <w:tcPr>
            <w:tcW w:w="0" w:type="auto"/>
            <w:tcBorders>
              <w:top w:val="nil"/>
            </w:tcBorders>
            <w:shd w:val="clear" w:color="auto" w:fill="auto"/>
            <w:noWrap/>
            <w:vAlign w:val="center"/>
          </w:tcPr>
          <w:p w14:paraId="6571C433" w14:textId="0D04A731" w:rsidR="008C5F36" w:rsidRPr="00540D60" w:rsidRDefault="008C5F36" w:rsidP="0031399D">
            <w:pPr>
              <w:rPr>
                <w:rFonts w:eastAsia="Times New Roman"/>
              </w:rPr>
            </w:pPr>
            <w:r w:rsidRPr="00540D60">
              <w:t>39</w:t>
            </w:r>
          </w:p>
        </w:tc>
        <w:tc>
          <w:tcPr>
            <w:tcW w:w="0" w:type="auto"/>
            <w:tcBorders>
              <w:top w:val="nil"/>
            </w:tcBorders>
            <w:shd w:val="clear" w:color="auto" w:fill="auto"/>
            <w:noWrap/>
            <w:vAlign w:val="center"/>
          </w:tcPr>
          <w:p w14:paraId="5880B643" w14:textId="068EC20B" w:rsidR="008C5F36" w:rsidRPr="00540D60" w:rsidRDefault="008C5F36" w:rsidP="0031399D">
            <w:pPr>
              <w:rPr>
                <w:rFonts w:eastAsia="Times New Roman"/>
              </w:rPr>
            </w:pPr>
            <w:r w:rsidRPr="00540D60">
              <w:t>65</w:t>
            </w:r>
          </w:p>
        </w:tc>
        <w:tc>
          <w:tcPr>
            <w:tcW w:w="0" w:type="auto"/>
            <w:tcBorders>
              <w:top w:val="nil"/>
            </w:tcBorders>
            <w:shd w:val="clear" w:color="auto" w:fill="auto"/>
            <w:noWrap/>
            <w:vAlign w:val="center"/>
          </w:tcPr>
          <w:p w14:paraId="5CDD0B18" w14:textId="2DB6DF29" w:rsidR="008C5F36" w:rsidRPr="00540D60" w:rsidRDefault="008C5F36" w:rsidP="0031399D">
            <w:pPr>
              <w:rPr>
                <w:rFonts w:eastAsia="Times New Roman"/>
              </w:rPr>
            </w:pPr>
            <w:r w:rsidRPr="00540D60">
              <w:t>70</w:t>
            </w:r>
          </w:p>
        </w:tc>
        <w:tc>
          <w:tcPr>
            <w:tcW w:w="0" w:type="auto"/>
            <w:tcBorders>
              <w:top w:val="nil"/>
            </w:tcBorders>
            <w:shd w:val="clear" w:color="auto" w:fill="auto"/>
            <w:noWrap/>
            <w:vAlign w:val="center"/>
          </w:tcPr>
          <w:p w14:paraId="26FF80FF" w14:textId="5B9C0674" w:rsidR="008C5F36" w:rsidRPr="00540D60" w:rsidRDefault="008C5F36" w:rsidP="0031399D">
            <w:pPr>
              <w:rPr>
                <w:rFonts w:eastAsia="Times New Roman"/>
              </w:rPr>
            </w:pPr>
            <w:r w:rsidRPr="00540D60">
              <w:t>84</w:t>
            </w:r>
          </w:p>
        </w:tc>
        <w:tc>
          <w:tcPr>
            <w:tcW w:w="0" w:type="auto"/>
            <w:tcBorders>
              <w:top w:val="nil"/>
            </w:tcBorders>
            <w:shd w:val="clear" w:color="auto" w:fill="auto"/>
            <w:noWrap/>
            <w:vAlign w:val="center"/>
          </w:tcPr>
          <w:p w14:paraId="330471FB" w14:textId="0BB072D3" w:rsidR="008C5F36" w:rsidRPr="00540D60" w:rsidRDefault="008C5F36" w:rsidP="0031399D">
            <w:pPr>
              <w:rPr>
                <w:rFonts w:eastAsia="Times New Roman"/>
              </w:rPr>
            </w:pPr>
            <w:r w:rsidRPr="00540D60">
              <w:t>68</w:t>
            </w:r>
          </w:p>
        </w:tc>
        <w:tc>
          <w:tcPr>
            <w:tcW w:w="0" w:type="auto"/>
            <w:tcBorders>
              <w:top w:val="nil"/>
            </w:tcBorders>
            <w:shd w:val="clear" w:color="auto" w:fill="auto"/>
            <w:noWrap/>
            <w:vAlign w:val="center"/>
          </w:tcPr>
          <w:p w14:paraId="4C957EA1" w14:textId="0B31C499" w:rsidR="008C5F36" w:rsidRPr="00540D60" w:rsidRDefault="008C5F36" w:rsidP="0031399D">
            <w:pPr>
              <w:rPr>
                <w:rFonts w:eastAsia="Times New Roman"/>
              </w:rPr>
            </w:pPr>
            <w:r w:rsidRPr="00540D60">
              <w:t>64</w:t>
            </w:r>
          </w:p>
        </w:tc>
        <w:tc>
          <w:tcPr>
            <w:tcW w:w="0" w:type="auto"/>
            <w:tcBorders>
              <w:top w:val="nil"/>
            </w:tcBorders>
            <w:shd w:val="clear" w:color="auto" w:fill="auto"/>
            <w:noWrap/>
            <w:vAlign w:val="center"/>
          </w:tcPr>
          <w:p w14:paraId="1E27B52A" w14:textId="0F4FE10D" w:rsidR="008C5F36" w:rsidRPr="00540D60" w:rsidRDefault="008C5F36" w:rsidP="0031399D">
            <w:pPr>
              <w:rPr>
                <w:rFonts w:eastAsia="Times New Roman"/>
              </w:rPr>
            </w:pPr>
            <w:r w:rsidRPr="00540D60">
              <w:t>66</w:t>
            </w:r>
          </w:p>
        </w:tc>
        <w:tc>
          <w:tcPr>
            <w:tcW w:w="0" w:type="auto"/>
            <w:tcBorders>
              <w:top w:val="nil"/>
            </w:tcBorders>
            <w:vAlign w:val="center"/>
          </w:tcPr>
          <w:p w14:paraId="745DDB74" w14:textId="348B839B" w:rsidR="008C5F36" w:rsidRPr="00540D60" w:rsidRDefault="008C5F36" w:rsidP="0031399D">
            <w:pPr>
              <w:rPr>
                <w:rFonts w:eastAsia="Times New Roman"/>
                <w:b/>
                <w:bCs/>
              </w:rPr>
            </w:pPr>
            <w:r w:rsidRPr="00540D60">
              <w:t>495</w:t>
            </w:r>
          </w:p>
        </w:tc>
      </w:tr>
      <w:tr w:rsidR="00C86995" w:rsidRPr="00540D60" w14:paraId="6D4487CE" w14:textId="77777777" w:rsidTr="003320CD">
        <w:trPr>
          <w:trHeight w:val="300"/>
        </w:trPr>
        <w:tc>
          <w:tcPr>
            <w:tcW w:w="0" w:type="auto"/>
            <w:tcBorders>
              <w:top w:val="nil"/>
            </w:tcBorders>
            <w:shd w:val="clear" w:color="auto" w:fill="auto"/>
            <w:noWrap/>
            <w:vAlign w:val="center"/>
            <w:hideMark/>
          </w:tcPr>
          <w:p w14:paraId="0506EF08" w14:textId="77777777" w:rsidR="00C86995" w:rsidRPr="00540D60" w:rsidRDefault="00C86995" w:rsidP="0031399D">
            <w:r w:rsidRPr="00540D60">
              <w:t>5</w:t>
            </w:r>
          </w:p>
        </w:tc>
        <w:tc>
          <w:tcPr>
            <w:tcW w:w="0" w:type="auto"/>
            <w:tcBorders>
              <w:top w:val="nil"/>
            </w:tcBorders>
            <w:shd w:val="clear" w:color="auto" w:fill="auto"/>
            <w:noWrap/>
            <w:hideMark/>
          </w:tcPr>
          <w:p w14:paraId="760CC54B" w14:textId="71E00ECA" w:rsidR="00C86995" w:rsidRPr="00540D60" w:rsidRDefault="00C86995" w:rsidP="0031399D">
            <w:r w:rsidRPr="00540D60">
              <w:t>South</w:t>
            </w:r>
          </w:p>
        </w:tc>
        <w:tc>
          <w:tcPr>
            <w:tcW w:w="0" w:type="auto"/>
            <w:tcBorders>
              <w:top w:val="nil"/>
            </w:tcBorders>
            <w:shd w:val="clear" w:color="auto" w:fill="auto"/>
            <w:noWrap/>
            <w:vAlign w:val="center"/>
          </w:tcPr>
          <w:p w14:paraId="62F9C1B5" w14:textId="06795D6F" w:rsidR="00C86995" w:rsidRPr="00540D60" w:rsidRDefault="00C86995" w:rsidP="0031399D">
            <w:pPr>
              <w:rPr>
                <w:rFonts w:eastAsia="Times New Roman"/>
              </w:rPr>
            </w:pPr>
            <w:r w:rsidRPr="00540D60">
              <w:t>36</w:t>
            </w:r>
          </w:p>
        </w:tc>
        <w:tc>
          <w:tcPr>
            <w:tcW w:w="0" w:type="auto"/>
            <w:tcBorders>
              <w:top w:val="nil"/>
            </w:tcBorders>
            <w:shd w:val="clear" w:color="auto" w:fill="auto"/>
            <w:noWrap/>
            <w:vAlign w:val="center"/>
          </w:tcPr>
          <w:p w14:paraId="22893983" w14:textId="79021727" w:rsidR="00C86995" w:rsidRPr="00540D60" w:rsidRDefault="00C86995" w:rsidP="0031399D">
            <w:pPr>
              <w:rPr>
                <w:rFonts w:eastAsia="Times New Roman"/>
              </w:rPr>
            </w:pPr>
            <w:r w:rsidRPr="00540D60">
              <w:t>41</w:t>
            </w:r>
          </w:p>
        </w:tc>
        <w:tc>
          <w:tcPr>
            <w:tcW w:w="0" w:type="auto"/>
            <w:tcBorders>
              <w:top w:val="nil"/>
            </w:tcBorders>
            <w:shd w:val="clear" w:color="auto" w:fill="auto"/>
            <w:noWrap/>
            <w:vAlign w:val="center"/>
          </w:tcPr>
          <w:p w14:paraId="05701AA1" w14:textId="603F3D56" w:rsidR="00C86995" w:rsidRPr="00540D60" w:rsidRDefault="00C86995" w:rsidP="0031399D">
            <w:pPr>
              <w:rPr>
                <w:rFonts w:eastAsia="Times New Roman"/>
              </w:rPr>
            </w:pPr>
            <w:r w:rsidRPr="00540D60">
              <w:t>54</w:t>
            </w:r>
          </w:p>
        </w:tc>
        <w:tc>
          <w:tcPr>
            <w:tcW w:w="0" w:type="auto"/>
            <w:tcBorders>
              <w:top w:val="nil"/>
            </w:tcBorders>
            <w:shd w:val="clear" w:color="auto" w:fill="auto"/>
            <w:noWrap/>
            <w:vAlign w:val="center"/>
          </w:tcPr>
          <w:p w14:paraId="38BA4344" w14:textId="7520E3FB" w:rsidR="00C86995" w:rsidRPr="00540D60" w:rsidRDefault="00C86995" w:rsidP="0031399D">
            <w:pPr>
              <w:rPr>
                <w:rFonts w:eastAsia="Times New Roman"/>
              </w:rPr>
            </w:pPr>
            <w:r w:rsidRPr="00540D60">
              <w:t>72</w:t>
            </w:r>
          </w:p>
        </w:tc>
        <w:tc>
          <w:tcPr>
            <w:tcW w:w="0" w:type="auto"/>
            <w:tcBorders>
              <w:top w:val="nil"/>
            </w:tcBorders>
            <w:shd w:val="clear" w:color="auto" w:fill="auto"/>
            <w:noWrap/>
            <w:vAlign w:val="center"/>
          </w:tcPr>
          <w:p w14:paraId="5CB36B0E" w14:textId="09D708ED" w:rsidR="00C86995" w:rsidRPr="00540D60" w:rsidRDefault="00C86995" w:rsidP="0031399D">
            <w:pPr>
              <w:rPr>
                <w:rFonts w:eastAsia="Times New Roman"/>
              </w:rPr>
            </w:pPr>
            <w:r w:rsidRPr="00540D60">
              <w:t>89</w:t>
            </w:r>
          </w:p>
        </w:tc>
        <w:tc>
          <w:tcPr>
            <w:tcW w:w="0" w:type="auto"/>
            <w:tcBorders>
              <w:top w:val="nil"/>
            </w:tcBorders>
            <w:shd w:val="clear" w:color="auto" w:fill="auto"/>
            <w:noWrap/>
            <w:vAlign w:val="center"/>
          </w:tcPr>
          <w:p w14:paraId="6A1EF2BE" w14:textId="197E1F6D" w:rsidR="00C86995" w:rsidRPr="00540D60" w:rsidRDefault="00C86995" w:rsidP="0031399D">
            <w:pPr>
              <w:rPr>
                <w:rFonts w:eastAsia="Times New Roman"/>
                <w:vertAlign w:val="superscript"/>
              </w:rPr>
            </w:pPr>
            <w:r w:rsidRPr="00540D60">
              <w:t>102</w:t>
            </w:r>
          </w:p>
        </w:tc>
        <w:tc>
          <w:tcPr>
            <w:tcW w:w="0" w:type="auto"/>
            <w:tcBorders>
              <w:top w:val="nil"/>
            </w:tcBorders>
            <w:shd w:val="clear" w:color="auto" w:fill="auto"/>
            <w:noWrap/>
            <w:vAlign w:val="center"/>
          </w:tcPr>
          <w:p w14:paraId="40534A20" w14:textId="16885C56" w:rsidR="00C86995" w:rsidRPr="00540D60" w:rsidRDefault="00C86995" w:rsidP="0031399D">
            <w:pPr>
              <w:rPr>
                <w:rFonts w:eastAsia="Times New Roman"/>
              </w:rPr>
            </w:pPr>
            <w:r w:rsidRPr="00540D60">
              <w:t>74</w:t>
            </w:r>
          </w:p>
        </w:tc>
        <w:tc>
          <w:tcPr>
            <w:tcW w:w="0" w:type="auto"/>
            <w:tcBorders>
              <w:top w:val="nil"/>
            </w:tcBorders>
            <w:shd w:val="clear" w:color="auto" w:fill="auto"/>
            <w:noWrap/>
            <w:vAlign w:val="center"/>
          </w:tcPr>
          <w:p w14:paraId="564F8511" w14:textId="084B0A84" w:rsidR="00C86995" w:rsidRPr="00540D60" w:rsidRDefault="00C86995" w:rsidP="0031399D">
            <w:pPr>
              <w:rPr>
                <w:rFonts w:eastAsia="Times New Roman"/>
              </w:rPr>
            </w:pPr>
            <w:r w:rsidRPr="00540D60">
              <w:t>76</w:t>
            </w:r>
          </w:p>
        </w:tc>
        <w:tc>
          <w:tcPr>
            <w:tcW w:w="0" w:type="auto"/>
            <w:tcBorders>
              <w:top w:val="nil"/>
            </w:tcBorders>
            <w:vAlign w:val="center"/>
          </w:tcPr>
          <w:p w14:paraId="43B0B60A" w14:textId="674490C5" w:rsidR="00C86995" w:rsidRPr="00540D60" w:rsidRDefault="00C86995" w:rsidP="0031399D">
            <w:pPr>
              <w:rPr>
                <w:rFonts w:eastAsia="Times New Roman"/>
                <w:b/>
                <w:bCs/>
              </w:rPr>
            </w:pPr>
            <w:r w:rsidRPr="00540D60">
              <w:t>544</w:t>
            </w:r>
          </w:p>
        </w:tc>
      </w:tr>
      <w:tr w:rsidR="00974919" w:rsidRPr="00540D60" w14:paraId="25C74CA3" w14:textId="77777777" w:rsidTr="003320CD">
        <w:trPr>
          <w:trHeight w:val="300"/>
        </w:trPr>
        <w:tc>
          <w:tcPr>
            <w:tcW w:w="0" w:type="auto"/>
            <w:gridSpan w:val="2"/>
            <w:tcBorders>
              <w:bottom w:val="single" w:sz="4" w:space="0" w:color="auto"/>
            </w:tcBorders>
            <w:shd w:val="clear" w:color="auto" w:fill="auto"/>
            <w:noWrap/>
            <w:vAlign w:val="center"/>
          </w:tcPr>
          <w:p w14:paraId="2B735B24" w14:textId="77777777" w:rsidR="00974919" w:rsidRPr="00540D60" w:rsidRDefault="00974919" w:rsidP="0031399D">
            <w:r w:rsidRPr="00540D60">
              <w:t>Total</w:t>
            </w:r>
          </w:p>
        </w:tc>
        <w:tc>
          <w:tcPr>
            <w:tcW w:w="0" w:type="auto"/>
            <w:tcBorders>
              <w:bottom w:val="single" w:sz="4" w:space="0" w:color="auto"/>
            </w:tcBorders>
            <w:shd w:val="clear" w:color="auto" w:fill="auto"/>
            <w:noWrap/>
            <w:vAlign w:val="bottom"/>
          </w:tcPr>
          <w:p w14:paraId="037C429B" w14:textId="447D4C4B" w:rsidR="00974919" w:rsidRPr="00974919" w:rsidRDefault="00974919" w:rsidP="0031399D">
            <w:pPr>
              <w:rPr>
                <w:rFonts w:eastAsia="Times New Roman"/>
              </w:rPr>
            </w:pPr>
            <w:r w:rsidRPr="00974919">
              <w:rPr>
                <w:color w:val="000000"/>
              </w:rPr>
              <w:t>234</w:t>
            </w:r>
          </w:p>
        </w:tc>
        <w:tc>
          <w:tcPr>
            <w:tcW w:w="0" w:type="auto"/>
            <w:tcBorders>
              <w:bottom w:val="single" w:sz="4" w:space="0" w:color="auto"/>
            </w:tcBorders>
            <w:shd w:val="clear" w:color="auto" w:fill="auto"/>
            <w:noWrap/>
            <w:vAlign w:val="bottom"/>
          </w:tcPr>
          <w:p w14:paraId="5113F592" w14:textId="00EDEDB9" w:rsidR="00974919" w:rsidRPr="00974919" w:rsidRDefault="00974919" w:rsidP="0031399D">
            <w:pPr>
              <w:rPr>
                <w:rFonts w:eastAsia="Times New Roman"/>
              </w:rPr>
            </w:pPr>
            <w:r w:rsidRPr="00974919">
              <w:rPr>
                <w:color w:val="000000"/>
              </w:rPr>
              <w:t>225</w:t>
            </w:r>
          </w:p>
        </w:tc>
        <w:tc>
          <w:tcPr>
            <w:tcW w:w="0" w:type="auto"/>
            <w:tcBorders>
              <w:bottom w:val="single" w:sz="4" w:space="0" w:color="auto"/>
            </w:tcBorders>
            <w:shd w:val="clear" w:color="auto" w:fill="auto"/>
            <w:noWrap/>
            <w:vAlign w:val="bottom"/>
          </w:tcPr>
          <w:p w14:paraId="05C0C3E6" w14:textId="2BD1FCD7" w:rsidR="00974919" w:rsidRPr="00974919" w:rsidRDefault="00974919" w:rsidP="0031399D">
            <w:pPr>
              <w:rPr>
                <w:rFonts w:eastAsia="Times New Roman"/>
              </w:rPr>
            </w:pPr>
            <w:r w:rsidRPr="00974919">
              <w:rPr>
                <w:color w:val="000000"/>
              </w:rPr>
              <w:t>266</w:t>
            </w:r>
          </w:p>
        </w:tc>
        <w:tc>
          <w:tcPr>
            <w:tcW w:w="0" w:type="auto"/>
            <w:tcBorders>
              <w:bottom w:val="single" w:sz="4" w:space="0" w:color="auto"/>
            </w:tcBorders>
            <w:shd w:val="clear" w:color="auto" w:fill="auto"/>
            <w:noWrap/>
            <w:vAlign w:val="bottom"/>
          </w:tcPr>
          <w:p w14:paraId="4F280A92" w14:textId="1A4F6923" w:rsidR="00974919" w:rsidRPr="00974919" w:rsidRDefault="00974919" w:rsidP="0031399D">
            <w:pPr>
              <w:rPr>
                <w:rFonts w:eastAsia="Times New Roman"/>
              </w:rPr>
            </w:pPr>
            <w:r w:rsidRPr="00974919">
              <w:rPr>
                <w:color w:val="000000"/>
              </w:rPr>
              <w:t>254</w:t>
            </w:r>
          </w:p>
        </w:tc>
        <w:tc>
          <w:tcPr>
            <w:tcW w:w="0" w:type="auto"/>
            <w:tcBorders>
              <w:bottom w:val="single" w:sz="4" w:space="0" w:color="auto"/>
            </w:tcBorders>
            <w:shd w:val="clear" w:color="auto" w:fill="auto"/>
            <w:noWrap/>
            <w:vAlign w:val="bottom"/>
          </w:tcPr>
          <w:p w14:paraId="4E2A6FD6" w14:textId="3C494E9E" w:rsidR="00974919" w:rsidRPr="00974919" w:rsidRDefault="00974919" w:rsidP="0031399D">
            <w:pPr>
              <w:rPr>
                <w:rFonts w:eastAsia="Times New Roman"/>
              </w:rPr>
            </w:pPr>
            <w:r w:rsidRPr="00974919">
              <w:rPr>
                <w:color w:val="000000"/>
              </w:rPr>
              <w:t>309</w:t>
            </w:r>
          </w:p>
        </w:tc>
        <w:tc>
          <w:tcPr>
            <w:tcW w:w="0" w:type="auto"/>
            <w:tcBorders>
              <w:bottom w:val="single" w:sz="4" w:space="0" w:color="auto"/>
            </w:tcBorders>
            <w:shd w:val="clear" w:color="auto" w:fill="auto"/>
            <w:noWrap/>
            <w:vAlign w:val="bottom"/>
          </w:tcPr>
          <w:p w14:paraId="4D1134B1" w14:textId="0897C9B3" w:rsidR="00974919" w:rsidRPr="00974919" w:rsidRDefault="00974919" w:rsidP="0031399D">
            <w:pPr>
              <w:rPr>
                <w:rFonts w:eastAsia="Times New Roman"/>
              </w:rPr>
            </w:pPr>
            <w:r w:rsidRPr="00974919">
              <w:rPr>
                <w:color w:val="000000"/>
              </w:rPr>
              <w:t>302</w:t>
            </w:r>
          </w:p>
        </w:tc>
        <w:tc>
          <w:tcPr>
            <w:tcW w:w="0" w:type="auto"/>
            <w:tcBorders>
              <w:bottom w:val="single" w:sz="4" w:space="0" w:color="auto"/>
            </w:tcBorders>
            <w:shd w:val="clear" w:color="auto" w:fill="auto"/>
            <w:noWrap/>
            <w:vAlign w:val="bottom"/>
          </w:tcPr>
          <w:p w14:paraId="281F3CE0" w14:textId="1C02E4C3" w:rsidR="00974919" w:rsidRPr="00974919" w:rsidRDefault="00974919" w:rsidP="0031399D">
            <w:pPr>
              <w:rPr>
                <w:rFonts w:eastAsia="Times New Roman"/>
              </w:rPr>
            </w:pPr>
            <w:r w:rsidRPr="00974919">
              <w:rPr>
                <w:color w:val="000000"/>
              </w:rPr>
              <w:t>271</w:t>
            </w:r>
          </w:p>
        </w:tc>
        <w:tc>
          <w:tcPr>
            <w:tcW w:w="0" w:type="auto"/>
            <w:tcBorders>
              <w:bottom w:val="single" w:sz="4" w:space="0" w:color="auto"/>
            </w:tcBorders>
            <w:shd w:val="clear" w:color="auto" w:fill="auto"/>
            <w:noWrap/>
            <w:vAlign w:val="bottom"/>
          </w:tcPr>
          <w:p w14:paraId="516F174B" w14:textId="70EE9E55" w:rsidR="00974919" w:rsidRPr="00974919" w:rsidRDefault="00974919" w:rsidP="0031399D">
            <w:pPr>
              <w:rPr>
                <w:rFonts w:eastAsia="Times New Roman"/>
              </w:rPr>
            </w:pPr>
            <w:r w:rsidRPr="00974919">
              <w:rPr>
                <w:color w:val="000000"/>
              </w:rPr>
              <w:t>227</w:t>
            </w:r>
          </w:p>
        </w:tc>
        <w:tc>
          <w:tcPr>
            <w:tcW w:w="0" w:type="auto"/>
            <w:tcBorders>
              <w:bottom w:val="single" w:sz="4" w:space="0" w:color="auto"/>
            </w:tcBorders>
            <w:vAlign w:val="bottom"/>
          </w:tcPr>
          <w:p w14:paraId="2DDD81BF" w14:textId="7DF068F1" w:rsidR="00974919" w:rsidRPr="00974919" w:rsidRDefault="00974919" w:rsidP="0031399D">
            <w:r w:rsidRPr="00974919">
              <w:rPr>
                <w:color w:val="000000"/>
              </w:rPr>
              <w:t>2088</w:t>
            </w:r>
          </w:p>
        </w:tc>
      </w:tr>
    </w:tbl>
    <w:p w14:paraId="52DABABB" w14:textId="77777777" w:rsidR="009C5850" w:rsidRDefault="009C5850">
      <w:pPr>
        <w:spacing w:after="200" w:line="276" w:lineRule="auto"/>
        <w:jc w:val="left"/>
      </w:pPr>
      <w:bookmarkStart w:id="12" w:name="_Toc379542260"/>
    </w:p>
    <w:p w14:paraId="2C3A7B5D" w14:textId="3D72B86B" w:rsidR="009C5850" w:rsidRPr="00540D60" w:rsidRDefault="009C5850" w:rsidP="00CC5E25">
      <w:pPr>
        <w:pStyle w:val="Heading2"/>
      </w:pPr>
      <w:r w:rsidRPr="00540D60">
        <w:t xml:space="preserve">Regular vehicles as indicators of network </w:t>
      </w:r>
      <w:r w:rsidR="00CC5E25">
        <w:t>performance</w:t>
      </w:r>
    </w:p>
    <w:p w14:paraId="7EB13D30" w14:textId="72EF0692" w:rsidR="009C5850" w:rsidRDefault="00CC7F2C" w:rsidP="00395E73">
      <w:r>
        <w:t xml:space="preserve">The conjecture here was that daily observation of the arrival times of previously identified sets of known regular drivers for given </w:t>
      </w:r>
      <w:r w:rsidR="008108CF">
        <w:t>site</w:t>
      </w:r>
      <w:r>
        <w:t>s in the network could provide an indication of network performance</w:t>
      </w:r>
      <w:r w:rsidR="00B86C42">
        <w:t>.</w:t>
      </w:r>
      <w:r>
        <w:t xml:space="preserve"> </w:t>
      </w:r>
      <w:r w:rsidR="009C5850" w:rsidRPr="00540D60">
        <w:t xml:space="preserve">The </w:t>
      </w:r>
      <w:r>
        <w:t>calculation and ra</w:t>
      </w:r>
      <w:r w:rsidR="00921387">
        <w:t xml:space="preserve">nking of mean and median standard </w:t>
      </w:r>
      <w:r>
        <w:t xml:space="preserve">score values (section 3) </w:t>
      </w:r>
      <w:r w:rsidRPr="00540D60">
        <w:t>for the morning peak interval (</w:t>
      </w:r>
      <w:r w:rsidR="00000077">
        <w:t>07</w:t>
      </w:r>
      <w:r w:rsidRPr="00540D60">
        <w:t>00-</w:t>
      </w:r>
      <w:r w:rsidR="00000077">
        <w:t>09</w:t>
      </w:r>
      <w:r w:rsidRPr="00540D60">
        <w:t>00) over the period April–July 2013</w:t>
      </w:r>
      <w:r>
        <w:t xml:space="preserve"> indicate</w:t>
      </w:r>
      <w:r w:rsidR="009C5850" w:rsidRPr="00540D60">
        <w:t xml:space="preserve">d </w:t>
      </w:r>
      <w:r w:rsidR="00B86C42">
        <w:t xml:space="preserve">several </w:t>
      </w:r>
      <w:r w:rsidR="008108CF">
        <w:t>site</w:t>
      </w:r>
      <w:r w:rsidR="00B86C42">
        <w:t xml:space="preserve">s </w:t>
      </w:r>
      <w:r w:rsidR="009C5850" w:rsidRPr="00540D60">
        <w:t xml:space="preserve">where </w:t>
      </w:r>
      <w:r>
        <w:t xml:space="preserve">the </w:t>
      </w:r>
      <w:r w:rsidR="009C5850" w:rsidRPr="00540D60">
        <w:t>23</w:t>
      </w:r>
      <w:r w:rsidR="009C5850" w:rsidRPr="00540D60">
        <w:rPr>
          <w:vertAlign w:val="superscript"/>
        </w:rPr>
        <w:t>rd</w:t>
      </w:r>
      <w:r w:rsidR="009C5850" w:rsidRPr="00540D60">
        <w:t xml:space="preserve"> July 2013 </w:t>
      </w:r>
      <w:r w:rsidR="00B86C42">
        <w:t xml:space="preserve">was </w:t>
      </w:r>
      <w:r w:rsidR="009C5850" w:rsidRPr="00540D60">
        <w:t>ranked high</w:t>
      </w:r>
      <w:r w:rsidR="00B86C42">
        <w:t xml:space="preserve">ly both by </w:t>
      </w:r>
      <w:r>
        <w:t xml:space="preserve">mean </w:t>
      </w:r>
      <w:r w:rsidR="00B86C42">
        <w:t xml:space="preserve">and median </w:t>
      </w:r>
      <w:r>
        <w:t>value</w:t>
      </w:r>
      <w:r w:rsidR="00B86C42">
        <w:t>. To illustrate t</w:t>
      </w:r>
      <w:r w:rsidR="009C5850" w:rsidRPr="00540D60">
        <w:t xml:space="preserve">he mean </w:t>
      </w:r>
      <w:r w:rsidR="00921387">
        <w:t xml:space="preserve">standard </w:t>
      </w:r>
      <w:r w:rsidR="00B86C42">
        <w:t>score for each day at one of tho</w:t>
      </w:r>
      <w:r w:rsidR="009C5850" w:rsidRPr="00540D60">
        <w:t>se sites (#11, A354 northbound) is shown (</w:t>
      </w:r>
      <w:r w:rsidR="00753ED7">
        <w:fldChar w:fldCharType="begin"/>
      </w:r>
      <w:r w:rsidR="00753ED7">
        <w:instrText xml:space="preserve"> REF _Ref460841384 \h </w:instrText>
      </w:r>
      <w:r w:rsidR="00753ED7">
        <w:fldChar w:fldCharType="separate"/>
      </w:r>
      <w:r w:rsidR="00753ED7" w:rsidRPr="00540D60">
        <w:t xml:space="preserve">Figure </w:t>
      </w:r>
      <w:r w:rsidR="00753ED7">
        <w:rPr>
          <w:noProof/>
        </w:rPr>
        <w:t>5</w:t>
      </w:r>
      <w:r w:rsidR="00753ED7">
        <w:fldChar w:fldCharType="end"/>
      </w:r>
      <w:r w:rsidR="009C5850" w:rsidRPr="00540D60">
        <w:t>), where the largest value (0.568) occurred on 23</w:t>
      </w:r>
      <w:r w:rsidR="009C5850" w:rsidRPr="00540D60">
        <w:rPr>
          <w:vertAlign w:val="superscript"/>
        </w:rPr>
        <w:t>rd</w:t>
      </w:r>
      <w:r w:rsidR="009C5850" w:rsidRPr="00540D60">
        <w:t xml:space="preserve"> July 2013. </w:t>
      </w:r>
    </w:p>
    <w:p w14:paraId="11BCF4E3" w14:textId="77777777" w:rsidR="00A53F60" w:rsidRPr="00540D60" w:rsidRDefault="00A53F60" w:rsidP="008108CF"/>
    <w:p w14:paraId="7085437C" w14:textId="77777777" w:rsidR="009C5850" w:rsidRPr="00540D60" w:rsidRDefault="009C5850" w:rsidP="009C5850">
      <w:r>
        <w:rPr>
          <w:noProof/>
          <w:lang w:eastAsia="en-GB"/>
        </w:rPr>
        <w:drawing>
          <wp:inline distT="0" distB="0" distL="0" distR="0" wp14:anchorId="404709E7" wp14:editId="1725B42D">
            <wp:extent cx="5732145" cy="2715227"/>
            <wp:effectExtent l="0" t="0" r="2095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37ADF36" w14:textId="77777777" w:rsidR="009C5850" w:rsidRDefault="009C5850" w:rsidP="009C5850">
      <w:pPr>
        <w:pStyle w:val="Caption"/>
      </w:pPr>
      <w:bookmarkStart w:id="13" w:name="_Ref460841384"/>
      <w:r w:rsidRPr="00540D60">
        <w:t xml:space="preserve">Figure </w:t>
      </w:r>
      <w:fldSimple w:instr=" SEQ Figure \* ARABIC ">
        <w:r w:rsidR="00552672">
          <w:rPr>
            <w:noProof/>
          </w:rPr>
          <w:t>5</w:t>
        </w:r>
      </w:fldSimple>
      <w:bookmarkEnd w:id="13"/>
      <w:r>
        <w:rPr>
          <w:noProof/>
        </w:rPr>
        <w:t>.</w:t>
      </w:r>
      <w:r w:rsidRPr="00540D60">
        <w:t xml:space="preserve"> Mean standard score at site #11, northbound </w:t>
      </w:r>
    </w:p>
    <w:p w14:paraId="56DBFDB5" w14:textId="77777777" w:rsidR="00395E73" w:rsidRDefault="00395E73" w:rsidP="00395E73"/>
    <w:p w14:paraId="48C56002" w14:textId="0E578411" w:rsidR="00395E73" w:rsidRDefault="00395E73" w:rsidP="00395E73">
      <w:r w:rsidRPr="00540D60">
        <w:lastRenderedPageBreak/>
        <w:t>The vehicle lateness profile for 23</w:t>
      </w:r>
      <w:r w:rsidRPr="00540D60">
        <w:rPr>
          <w:vertAlign w:val="superscript"/>
        </w:rPr>
        <w:t>rd</w:t>
      </w:r>
      <w:r w:rsidRPr="00540D60">
        <w:t xml:space="preserve"> July 2013 (</w:t>
      </w:r>
      <w:r>
        <w:fldChar w:fldCharType="begin"/>
      </w:r>
      <w:r>
        <w:instrText xml:space="preserve"> REF _Ref460841394 \h </w:instrText>
      </w:r>
      <w:r>
        <w:fldChar w:fldCharType="separate"/>
      </w:r>
      <w:r w:rsidRPr="00F74345">
        <w:t xml:space="preserve">Figure </w:t>
      </w:r>
      <w:r>
        <w:rPr>
          <w:noProof/>
        </w:rPr>
        <w:t>6</w:t>
      </w:r>
      <w:r>
        <w:fldChar w:fldCharType="end"/>
      </w:r>
      <w:r w:rsidRPr="00540D60">
        <w:t xml:space="preserve">) confirmed that 74 of the 111 defined regular vehicles arrived later than usual (by a minute or more), of which 24 vehicles were more than 10 minutes late.  The likely explanation for this was roadworks just upstream of the </w:t>
      </w:r>
      <w:r>
        <w:t>site</w:t>
      </w:r>
      <w:r w:rsidRPr="00540D60">
        <w:t xml:space="preserve">, recorded in a traffic management database at the Dorset traffic control centre. The analyses found a number of other sites/dates where the mean (or median) </w:t>
      </w:r>
      <w:r>
        <w:t xml:space="preserve">standard </w:t>
      </w:r>
      <w:r w:rsidRPr="00540D60">
        <w:t xml:space="preserve">score was noticeably higher than on other days at the same site although in those cases no explanatory evidence was found from </w:t>
      </w:r>
      <w:r>
        <w:t>other</w:t>
      </w:r>
      <w:r w:rsidRPr="00540D60">
        <w:t xml:space="preserve"> traffic </w:t>
      </w:r>
      <w:r>
        <w:t xml:space="preserve">information </w:t>
      </w:r>
      <w:r w:rsidRPr="00540D60">
        <w:t xml:space="preserve">sources. </w:t>
      </w:r>
    </w:p>
    <w:p w14:paraId="005B2C0A" w14:textId="77777777" w:rsidR="00395E73" w:rsidRPr="00395E73" w:rsidRDefault="00395E73" w:rsidP="00395E73"/>
    <w:p w14:paraId="194DBF76" w14:textId="77777777" w:rsidR="009C5850" w:rsidRPr="00540D60" w:rsidRDefault="009C5850" w:rsidP="009C5850">
      <w:r>
        <w:rPr>
          <w:noProof/>
          <w:lang w:eastAsia="en-GB"/>
        </w:rPr>
        <w:drawing>
          <wp:inline distT="0" distB="0" distL="0" distR="0" wp14:anchorId="285A8631" wp14:editId="22E87B22">
            <wp:extent cx="4943475" cy="298132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6B6DCF2" w14:textId="57707ECA" w:rsidR="009C5850" w:rsidRPr="00F74345" w:rsidRDefault="009C5850" w:rsidP="009C5850">
      <w:pPr>
        <w:pStyle w:val="Caption"/>
      </w:pPr>
      <w:bookmarkStart w:id="14" w:name="_Ref460841394"/>
      <w:r w:rsidRPr="00F74345">
        <w:t xml:space="preserve">Figure </w:t>
      </w:r>
      <w:fldSimple w:instr=" SEQ Figure \* ARABIC ">
        <w:r w:rsidR="00552672">
          <w:rPr>
            <w:noProof/>
          </w:rPr>
          <w:t>6</w:t>
        </w:r>
      </w:fldSimple>
      <w:bookmarkEnd w:id="14"/>
      <w:r w:rsidRPr="00F74345">
        <w:t>. Lateness of regular vehicles</w:t>
      </w:r>
      <w:r w:rsidRPr="00A53F60">
        <w:t xml:space="preserve"> </w:t>
      </w:r>
      <w:r w:rsidR="00A53F60" w:rsidRPr="00A53F60">
        <w:t>(N</w:t>
      </w:r>
      <w:r w:rsidR="00A53F60" w:rsidRPr="00A53F60">
        <w:rPr>
          <w:rFonts w:ascii="Symbol" w:hAnsi="Symbol" w:cs="Symbol"/>
        </w:rPr>
        <w:t></w:t>
      </w:r>
      <w:r w:rsidR="00A53F60" w:rsidRPr="00A53F60">
        <w:t xml:space="preserve">30, </w:t>
      </w:r>
      <w:r w:rsidR="00A53F60" w:rsidRPr="00A53F60">
        <w:rPr>
          <w:rFonts w:ascii="Symbol" w:hAnsi="Symbol"/>
        </w:rPr>
        <w:t></w:t>
      </w:r>
      <w:r w:rsidR="00A53F60" w:rsidRPr="00A53F60">
        <w:rPr>
          <w:rFonts w:ascii="Symbol" w:hAnsi="Symbol" w:cs="Symbol"/>
        </w:rPr>
        <w:t></w:t>
      </w:r>
      <w:r w:rsidR="00A53F60" w:rsidRPr="00A53F60">
        <w:t>10)</w:t>
      </w:r>
      <w:r w:rsidR="00A53F60">
        <w:rPr>
          <w:b/>
          <w:bCs/>
          <w:i w:val="0"/>
          <w:iCs w:val="0"/>
        </w:rPr>
        <w:t xml:space="preserve"> </w:t>
      </w:r>
      <w:r w:rsidRPr="00F74345">
        <w:t xml:space="preserve">at site #11, northbound on 23/7/13 </w:t>
      </w:r>
    </w:p>
    <w:p w14:paraId="60561253" w14:textId="190B525A" w:rsidR="00873502" w:rsidRDefault="00873502">
      <w:pPr>
        <w:spacing w:after="200" w:line="276" w:lineRule="auto"/>
        <w:jc w:val="left"/>
        <w:rPr>
          <w:rFonts w:eastAsiaTheme="majorEastAsia"/>
          <w:b/>
          <w:bCs/>
        </w:rPr>
      </w:pPr>
    </w:p>
    <w:p w14:paraId="0A8D8608" w14:textId="1FF7E3D2" w:rsidR="0087053C" w:rsidRPr="00540D60" w:rsidRDefault="0069188D" w:rsidP="0031399D">
      <w:pPr>
        <w:pStyle w:val="Heading2"/>
      </w:pPr>
      <w:r>
        <w:t>Quantifying the c</w:t>
      </w:r>
      <w:r w:rsidR="00D7324E" w:rsidRPr="00540D60">
        <w:t xml:space="preserve">hurn </w:t>
      </w:r>
      <w:r w:rsidR="0035537E" w:rsidRPr="00540D60">
        <w:t xml:space="preserve">of </w:t>
      </w:r>
      <w:r w:rsidR="0087053C" w:rsidRPr="00540D60">
        <w:t>regular vehicles</w:t>
      </w:r>
      <w:bookmarkEnd w:id="12"/>
    </w:p>
    <w:p w14:paraId="61F1D0A2" w14:textId="06277C4D" w:rsidR="006970D1" w:rsidRDefault="00CF51EC" w:rsidP="00624094">
      <w:r>
        <w:t xml:space="preserve">If regular drivers are to be monitored for </w:t>
      </w:r>
      <w:r w:rsidR="00B51756">
        <w:t xml:space="preserve">traffic management purposes, for assessment of </w:t>
      </w:r>
      <w:r>
        <w:t>network performance (section 5.2)</w:t>
      </w:r>
      <w:r w:rsidR="00B51756">
        <w:t>,</w:t>
      </w:r>
      <w:r>
        <w:t xml:space="preserve"> or </w:t>
      </w:r>
      <w:r w:rsidR="00B51756">
        <w:t xml:space="preserve">for </w:t>
      </w:r>
      <w:r>
        <w:t xml:space="preserve">other reasons, it will be </w:t>
      </w:r>
      <w:r w:rsidR="00B51756">
        <w:t xml:space="preserve">important </w:t>
      </w:r>
      <w:r>
        <w:t xml:space="preserve">to </w:t>
      </w:r>
      <w:r w:rsidR="00B51756">
        <w:t>regularly update the sets of drivers that are identified as being regular due to the likelihood of some vehicles/drivers ceasing to be regular and other new regulars entering the system. For this reason, t</w:t>
      </w:r>
      <w:r w:rsidR="0028008E">
        <w:t xml:space="preserve">he churn, or turnover rate, of regular vehicles at </w:t>
      </w:r>
      <w:r w:rsidR="008108CF">
        <w:t>specific site</w:t>
      </w:r>
      <w:r w:rsidR="0028008E">
        <w:t>s and times of day</w:t>
      </w:r>
      <w:r w:rsidR="00A5111D">
        <w:t xml:space="preserve"> </w:t>
      </w:r>
      <w:r w:rsidR="00A5111D" w:rsidRPr="00540D60">
        <w:t xml:space="preserve">is of </w:t>
      </w:r>
      <w:r w:rsidR="00B51756">
        <w:t>interest. To illustrate, s</w:t>
      </w:r>
      <w:r w:rsidR="00A5111D">
        <w:t xml:space="preserve">ets of </w:t>
      </w:r>
      <w:r w:rsidR="00D862EA" w:rsidRPr="00540D60">
        <w:t>regular vehicles w</w:t>
      </w:r>
      <w:r w:rsidR="000C0A61" w:rsidRPr="00540D60">
        <w:t>ere</w:t>
      </w:r>
      <w:r w:rsidR="0035283E" w:rsidRPr="00540D60">
        <w:t xml:space="preserve"> </w:t>
      </w:r>
      <w:r w:rsidR="00683A41">
        <w:t xml:space="preserve">determined </w:t>
      </w:r>
      <w:r w:rsidR="00AE7540">
        <w:t xml:space="preserve">and updated each month </w:t>
      </w:r>
      <w:r w:rsidR="000C0A61" w:rsidRPr="00540D60">
        <w:t xml:space="preserve">for </w:t>
      </w:r>
      <w:r w:rsidR="00D862EA" w:rsidRPr="00540D60">
        <w:t xml:space="preserve">a series of </w:t>
      </w:r>
      <w:r w:rsidR="00DE4219" w:rsidRPr="00540D60">
        <w:t xml:space="preserve">seven </w:t>
      </w:r>
      <w:r w:rsidR="00D862EA" w:rsidRPr="00540D60">
        <w:t>rolling four-month periods</w:t>
      </w:r>
      <w:r w:rsidR="003A220A">
        <w:t>, covering</w:t>
      </w:r>
      <w:r w:rsidR="000C0A61" w:rsidRPr="00540D60">
        <w:t xml:space="preserve"> the morning peak (</w:t>
      </w:r>
      <w:r w:rsidR="00000077">
        <w:t>07</w:t>
      </w:r>
      <w:r w:rsidR="000C0A61" w:rsidRPr="00540D60">
        <w:t>00-</w:t>
      </w:r>
      <w:r w:rsidR="00000077">
        <w:t>09</w:t>
      </w:r>
      <w:r w:rsidR="000C0A61" w:rsidRPr="00540D60">
        <w:t>00) at</w:t>
      </w:r>
      <w:r w:rsidR="0035283E" w:rsidRPr="00540D60">
        <w:t xml:space="preserve"> </w:t>
      </w:r>
      <w:r w:rsidR="00B51756">
        <w:t xml:space="preserve">the </w:t>
      </w:r>
      <w:r w:rsidR="0035283E" w:rsidRPr="00540D60">
        <w:t xml:space="preserve">two selected </w:t>
      </w:r>
      <w:r w:rsidR="00B51756">
        <w:t xml:space="preserve">busiest </w:t>
      </w:r>
      <w:r w:rsidR="0035283E" w:rsidRPr="00540D60">
        <w:t>sites (#3 and #5) a</w:t>
      </w:r>
      <w:r w:rsidR="003A220A">
        <w:t>cross</w:t>
      </w:r>
      <w:r w:rsidR="0035283E" w:rsidRPr="00540D60">
        <w:t xml:space="preserve"> both directions of travel (</w:t>
      </w:r>
      <w:r w:rsidR="0035283E" w:rsidRPr="00540D60">
        <w:fldChar w:fldCharType="begin"/>
      </w:r>
      <w:r w:rsidR="0035283E" w:rsidRPr="00540D60">
        <w:instrText xml:space="preserve"> REF _Ref382913343 \h  \* MERGEFORMAT </w:instrText>
      </w:r>
      <w:r w:rsidR="0035283E" w:rsidRPr="00540D60">
        <w:fldChar w:fldCharType="separate"/>
      </w:r>
      <w:r w:rsidR="00552672" w:rsidRPr="00552672">
        <w:t xml:space="preserve">Table </w:t>
      </w:r>
      <w:r w:rsidR="00552672" w:rsidRPr="00552672">
        <w:rPr>
          <w:noProof/>
        </w:rPr>
        <w:t>5</w:t>
      </w:r>
      <w:r w:rsidR="0035283E" w:rsidRPr="00540D60">
        <w:fldChar w:fldCharType="end"/>
      </w:r>
      <w:r w:rsidR="0035283E" w:rsidRPr="00540D60">
        <w:t xml:space="preserve">). </w:t>
      </w:r>
      <w:r w:rsidR="00C13075" w:rsidRPr="00540D60">
        <w:t>R</w:t>
      </w:r>
      <w:r w:rsidR="00213AFA" w:rsidRPr="00540D60">
        <w:t xml:space="preserve">esults </w:t>
      </w:r>
      <w:r w:rsidR="00465B90" w:rsidRPr="00540D60">
        <w:t xml:space="preserve">suggested </w:t>
      </w:r>
      <w:r w:rsidR="006B0C7A" w:rsidRPr="00540D60">
        <w:t xml:space="preserve">a trend </w:t>
      </w:r>
      <w:r w:rsidR="003A220A">
        <w:t>in the</w:t>
      </w:r>
      <w:r w:rsidR="006B0C7A" w:rsidRPr="00540D60">
        <w:t xml:space="preserve"> </w:t>
      </w:r>
      <w:r w:rsidR="00EB3589" w:rsidRPr="00540D60">
        <w:t xml:space="preserve">declining numbers of regular vehicles </w:t>
      </w:r>
      <w:r w:rsidR="003A220A">
        <w:t>over time</w:t>
      </w:r>
      <w:r w:rsidR="000C0A61" w:rsidRPr="00540D60">
        <w:t xml:space="preserve"> </w:t>
      </w:r>
      <w:r w:rsidR="003A220A">
        <w:t xml:space="preserve">also </w:t>
      </w:r>
      <w:r w:rsidR="000C0A61" w:rsidRPr="00540D60">
        <w:t>reflect</w:t>
      </w:r>
      <w:r w:rsidR="003A220A">
        <w:t>ed</w:t>
      </w:r>
      <w:r w:rsidR="000C0A61" w:rsidRPr="00540D60">
        <w:t xml:space="preserve"> </w:t>
      </w:r>
      <w:r w:rsidR="003A220A">
        <w:t xml:space="preserve">by </w:t>
      </w:r>
      <w:r w:rsidR="000C0A61" w:rsidRPr="00540D60">
        <w:t>the seasonal decline in traffic flow (</w:t>
      </w:r>
      <w:r w:rsidR="000C0A61" w:rsidRPr="00540D60">
        <w:fldChar w:fldCharType="begin"/>
      </w:r>
      <w:r w:rsidR="000C0A61" w:rsidRPr="00540D60">
        <w:instrText xml:space="preserve"> REF _Ref402252382 \h </w:instrText>
      </w:r>
      <w:r w:rsidR="000C0A61" w:rsidRPr="00540D60">
        <w:fldChar w:fldCharType="separate"/>
      </w:r>
      <w:r w:rsidR="00552672" w:rsidRPr="00540D60">
        <w:t xml:space="preserve">Figure </w:t>
      </w:r>
      <w:r w:rsidR="00552672" w:rsidRPr="00540D60">
        <w:rPr>
          <w:noProof/>
        </w:rPr>
        <w:t>2</w:t>
      </w:r>
      <w:r w:rsidR="000C0A61" w:rsidRPr="00540D60">
        <w:fldChar w:fldCharType="end"/>
      </w:r>
      <w:r w:rsidR="000C0A61" w:rsidRPr="00540D60">
        <w:t>) and</w:t>
      </w:r>
      <w:r w:rsidR="003802FA" w:rsidRPr="00540D60">
        <w:t xml:space="preserve"> </w:t>
      </w:r>
      <w:r w:rsidR="000C0A61" w:rsidRPr="00540D60">
        <w:t>the closure of the park-and-ride facility</w:t>
      </w:r>
      <w:r w:rsidR="004A78E4" w:rsidRPr="00540D60">
        <w:t>,</w:t>
      </w:r>
      <w:r w:rsidR="000C0A61" w:rsidRPr="00540D60">
        <w:t xml:space="preserve"> close to site #5</w:t>
      </w:r>
      <w:r w:rsidR="00BA380B" w:rsidRPr="00540D60">
        <w:t xml:space="preserve">, </w:t>
      </w:r>
      <w:r w:rsidR="004A78E4" w:rsidRPr="00540D60">
        <w:t>over the winter period (from 1 October onwards)</w:t>
      </w:r>
      <w:r w:rsidR="000C0A61" w:rsidRPr="00540D60">
        <w:t xml:space="preserve">. </w:t>
      </w:r>
      <w:r w:rsidR="006B0C7A" w:rsidRPr="00540D60">
        <w:t xml:space="preserve"> </w:t>
      </w:r>
      <w:r w:rsidR="005A5E72" w:rsidRPr="00540D60">
        <w:t xml:space="preserve">While the numbers of regular vehicles identified </w:t>
      </w:r>
      <w:r w:rsidR="003A220A">
        <w:t>over</w:t>
      </w:r>
      <w:r w:rsidR="005A5E72" w:rsidRPr="00540D60">
        <w:t xml:space="preserve"> a 4-month period ranged between 264 and 454</w:t>
      </w:r>
      <w:r w:rsidR="006B0C7A" w:rsidRPr="00540D60">
        <w:t xml:space="preserve"> across the four sites, the number of different vehicles identified as regular </w:t>
      </w:r>
      <w:r w:rsidR="00DE4219" w:rsidRPr="00540D60">
        <w:t>at</w:t>
      </w:r>
      <w:r w:rsidR="003A220A">
        <w:t xml:space="preserve"> each</w:t>
      </w:r>
      <w:r w:rsidR="00DE4219" w:rsidRPr="00540D60">
        <w:t xml:space="preserve"> site </w:t>
      </w:r>
      <w:r w:rsidR="006B0C7A" w:rsidRPr="00540D60">
        <w:t xml:space="preserve">in one or more of the periods ranged between 727 and 1285 (labelled ‘Distinct vehicles’ in </w:t>
      </w:r>
      <w:r w:rsidR="006B0C7A" w:rsidRPr="00540D60">
        <w:fldChar w:fldCharType="begin"/>
      </w:r>
      <w:r w:rsidR="006B0C7A" w:rsidRPr="00540D60">
        <w:instrText xml:space="preserve"> REF _Ref382913343 \h  \* MERGEFORMAT </w:instrText>
      </w:r>
      <w:r w:rsidR="006B0C7A" w:rsidRPr="00540D60">
        <w:fldChar w:fldCharType="separate"/>
      </w:r>
      <w:r w:rsidR="00552672" w:rsidRPr="00552672">
        <w:t xml:space="preserve">Table </w:t>
      </w:r>
      <w:r w:rsidR="00552672" w:rsidRPr="00552672">
        <w:rPr>
          <w:noProof/>
        </w:rPr>
        <w:t>5</w:t>
      </w:r>
      <w:r w:rsidR="006B0C7A" w:rsidRPr="00540D60">
        <w:fldChar w:fldCharType="end"/>
      </w:r>
      <w:r w:rsidR="006B0C7A" w:rsidRPr="00540D60">
        <w:t xml:space="preserve">). </w:t>
      </w:r>
    </w:p>
    <w:p w14:paraId="4E723FA4" w14:textId="77777777" w:rsidR="00395E73" w:rsidRDefault="00395E73" w:rsidP="00624094"/>
    <w:p w14:paraId="10004AA7" w14:textId="77777777" w:rsidR="00395E73" w:rsidRDefault="00395E73" w:rsidP="00624094"/>
    <w:p w14:paraId="763C947F" w14:textId="77777777" w:rsidR="00395E73" w:rsidRDefault="00395E73" w:rsidP="00624094"/>
    <w:p w14:paraId="0D19D64F" w14:textId="77777777" w:rsidR="00395E73" w:rsidRDefault="00395E73" w:rsidP="00624094"/>
    <w:p w14:paraId="333F4614" w14:textId="77777777" w:rsidR="00395E73" w:rsidRDefault="00395E73" w:rsidP="00624094"/>
    <w:p w14:paraId="1D703BA5" w14:textId="77777777" w:rsidR="00395E73" w:rsidRDefault="00395E73" w:rsidP="00624094"/>
    <w:p w14:paraId="47F3780A" w14:textId="77777777" w:rsidR="00374510" w:rsidRDefault="00374510" w:rsidP="0031399D"/>
    <w:p w14:paraId="62DFED96" w14:textId="0D3AB818" w:rsidR="00C51228" w:rsidRPr="00F74345" w:rsidRDefault="00C51228" w:rsidP="00F74345">
      <w:pPr>
        <w:pStyle w:val="Caption"/>
        <w:rPr>
          <w:b/>
          <w:bCs/>
          <w:i w:val="0"/>
          <w:iCs w:val="0"/>
        </w:rPr>
      </w:pPr>
      <w:bookmarkStart w:id="15" w:name="_Ref382913343"/>
      <w:r w:rsidRPr="00F74345">
        <w:rPr>
          <w:b/>
          <w:bCs/>
          <w:i w:val="0"/>
          <w:iCs w:val="0"/>
        </w:rPr>
        <w:lastRenderedPageBreak/>
        <w:t xml:space="preserve">Table </w:t>
      </w:r>
      <w:r w:rsidR="00CC33A4" w:rsidRPr="00F74345">
        <w:rPr>
          <w:b/>
          <w:bCs/>
          <w:i w:val="0"/>
          <w:iCs w:val="0"/>
        </w:rPr>
        <w:fldChar w:fldCharType="begin"/>
      </w:r>
      <w:r w:rsidR="00CC33A4" w:rsidRPr="00F74345">
        <w:rPr>
          <w:b/>
          <w:bCs/>
          <w:i w:val="0"/>
          <w:iCs w:val="0"/>
        </w:rPr>
        <w:instrText xml:space="preserve"> SEQ Table \* ARABIC </w:instrText>
      </w:r>
      <w:r w:rsidR="00CC33A4" w:rsidRPr="00F74345">
        <w:rPr>
          <w:b/>
          <w:bCs/>
          <w:i w:val="0"/>
          <w:iCs w:val="0"/>
        </w:rPr>
        <w:fldChar w:fldCharType="separate"/>
      </w:r>
      <w:r w:rsidR="00466DAC">
        <w:rPr>
          <w:b/>
          <w:bCs/>
          <w:i w:val="0"/>
          <w:iCs w:val="0"/>
          <w:noProof/>
        </w:rPr>
        <w:t>5</w:t>
      </w:r>
      <w:r w:rsidR="00CC33A4" w:rsidRPr="00F74345">
        <w:rPr>
          <w:b/>
          <w:bCs/>
          <w:i w:val="0"/>
          <w:iCs w:val="0"/>
          <w:noProof/>
        </w:rPr>
        <w:fldChar w:fldCharType="end"/>
      </w:r>
      <w:bookmarkEnd w:id="15"/>
      <w:r w:rsidR="00F74345" w:rsidRPr="00F74345">
        <w:rPr>
          <w:b/>
          <w:bCs/>
          <w:i w:val="0"/>
          <w:iCs w:val="0"/>
          <w:noProof/>
        </w:rPr>
        <w:t xml:space="preserve">. </w:t>
      </w:r>
      <w:r w:rsidRPr="00F74345">
        <w:rPr>
          <w:b/>
          <w:bCs/>
          <w:i w:val="0"/>
          <w:iCs w:val="0"/>
        </w:rPr>
        <w:t xml:space="preserve"> </w:t>
      </w:r>
      <w:r w:rsidR="001A1926" w:rsidRPr="00F74345">
        <w:rPr>
          <w:b/>
          <w:bCs/>
          <w:i w:val="0"/>
          <w:iCs w:val="0"/>
        </w:rPr>
        <w:t xml:space="preserve">Number of regular vehicles </w:t>
      </w:r>
      <w:r w:rsidR="00A53F60">
        <w:rPr>
          <w:b/>
          <w:bCs/>
          <w:i w:val="0"/>
          <w:iCs w:val="0"/>
        </w:rPr>
        <w:t>(</w:t>
      </w:r>
      <w:r w:rsidR="00A53F60" w:rsidRPr="00F47329">
        <w:rPr>
          <w:b/>
          <w:bCs/>
          <w:i w:val="0"/>
          <w:iCs w:val="0"/>
        </w:rPr>
        <w:t>N</w:t>
      </w:r>
      <w:r w:rsidR="00A53F60" w:rsidRPr="00F47329">
        <w:rPr>
          <w:rFonts w:ascii="Symbol" w:hAnsi="Symbol" w:cs="Symbol"/>
          <w:b/>
          <w:bCs/>
          <w:i w:val="0"/>
          <w:iCs w:val="0"/>
        </w:rPr>
        <w:t></w:t>
      </w:r>
      <w:r w:rsidR="00A53F60" w:rsidRPr="00F47329">
        <w:rPr>
          <w:b/>
          <w:bCs/>
          <w:i w:val="0"/>
          <w:iCs w:val="0"/>
        </w:rPr>
        <w:t xml:space="preserve">30, </w:t>
      </w:r>
      <w:r w:rsidR="00A53F60" w:rsidRPr="00F47329">
        <w:rPr>
          <w:rFonts w:ascii="Symbol" w:hAnsi="Symbol"/>
          <w:b/>
          <w:bCs/>
          <w:i w:val="0"/>
          <w:iCs w:val="0"/>
        </w:rPr>
        <w:t></w:t>
      </w:r>
      <w:r w:rsidR="00A53F60" w:rsidRPr="00F47329">
        <w:rPr>
          <w:rFonts w:ascii="Symbol" w:hAnsi="Symbol" w:cs="Symbol"/>
          <w:b/>
          <w:bCs/>
          <w:i w:val="0"/>
          <w:iCs w:val="0"/>
        </w:rPr>
        <w:t></w:t>
      </w:r>
      <w:r w:rsidR="00A53F60" w:rsidRPr="00F47329">
        <w:rPr>
          <w:b/>
          <w:bCs/>
          <w:i w:val="0"/>
          <w:iCs w:val="0"/>
        </w:rPr>
        <w:t>10</w:t>
      </w:r>
      <w:r w:rsidR="00A53F60">
        <w:rPr>
          <w:b/>
          <w:bCs/>
          <w:i w:val="0"/>
          <w:iCs w:val="0"/>
        </w:rPr>
        <w:t xml:space="preserve">) </w:t>
      </w:r>
      <w:r w:rsidR="001A1926" w:rsidRPr="00F74345">
        <w:rPr>
          <w:b/>
          <w:bCs/>
          <w:i w:val="0"/>
          <w:iCs w:val="0"/>
        </w:rPr>
        <w:t>at s</w:t>
      </w:r>
      <w:r w:rsidR="00D862EA" w:rsidRPr="00F74345">
        <w:rPr>
          <w:b/>
          <w:bCs/>
          <w:i w:val="0"/>
          <w:iCs w:val="0"/>
        </w:rPr>
        <w:t>elected sites over time</w:t>
      </w:r>
    </w:p>
    <w:tbl>
      <w:tblPr>
        <w:tblW w:w="0" w:type="auto"/>
        <w:tblInd w:w="93" w:type="dxa"/>
        <w:tblLayout w:type="fixed"/>
        <w:tblLook w:val="04A0" w:firstRow="1" w:lastRow="0" w:firstColumn="1" w:lastColumn="0" w:noHBand="0" w:noVBand="1"/>
      </w:tblPr>
      <w:tblGrid>
        <w:gridCol w:w="1291"/>
        <w:gridCol w:w="951"/>
        <w:gridCol w:w="952"/>
        <w:gridCol w:w="932"/>
        <w:gridCol w:w="20"/>
        <w:gridCol w:w="951"/>
        <w:gridCol w:w="952"/>
        <w:gridCol w:w="912"/>
        <w:gridCol w:w="40"/>
        <w:gridCol w:w="952"/>
        <w:gridCol w:w="1197"/>
      </w:tblGrid>
      <w:tr w:rsidR="003320CD" w:rsidRPr="003320CD" w14:paraId="7CFD5484" w14:textId="008CB923" w:rsidTr="00930BC6">
        <w:trPr>
          <w:trHeight w:val="315"/>
        </w:trPr>
        <w:tc>
          <w:tcPr>
            <w:tcW w:w="1291" w:type="dxa"/>
            <w:vMerge w:val="restart"/>
            <w:tcBorders>
              <w:top w:val="single" w:sz="4" w:space="0" w:color="auto"/>
            </w:tcBorders>
            <w:shd w:val="clear" w:color="auto" w:fill="auto"/>
            <w:noWrap/>
            <w:vAlign w:val="center"/>
            <w:hideMark/>
          </w:tcPr>
          <w:p w14:paraId="240D691A" w14:textId="6C502730" w:rsidR="003320CD" w:rsidRPr="003320CD" w:rsidRDefault="003320CD" w:rsidP="003320CD">
            <w:pPr>
              <w:rPr>
                <w:b/>
                <w:bCs/>
              </w:rPr>
            </w:pPr>
            <w:r w:rsidRPr="003320CD">
              <w:rPr>
                <w:b/>
                <w:bCs/>
              </w:rPr>
              <w:t>Site# Direction</w:t>
            </w:r>
          </w:p>
        </w:tc>
        <w:tc>
          <w:tcPr>
            <w:tcW w:w="6662" w:type="dxa"/>
            <w:gridSpan w:val="9"/>
            <w:tcBorders>
              <w:top w:val="single" w:sz="4" w:space="0" w:color="auto"/>
            </w:tcBorders>
            <w:shd w:val="clear" w:color="auto" w:fill="auto"/>
            <w:noWrap/>
            <w:vAlign w:val="center"/>
            <w:hideMark/>
          </w:tcPr>
          <w:p w14:paraId="3185C7F6" w14:textId="77777777" w:rsidR="003320CD" w:rsidRPr="003320CD" w:rsidRDefault="003320CD" w:rsidP="003320CD">
            <w:pPr>
              <w:jc w:val="center"/>
              <w:rPr>
                <w:b/>
                <w:bCs/>
              </w:rPr>
            </w:pPr>
            <w:r w:rsidRPr="003320CD">
              <w:rPr>
                <w:b/>
                <w:bCs/>
              </w:rPr>
              <w:t>Period (from April 2013 to January 2014)</w:t>
            </w:r>
          </w:p>
        </w:tc>
        <w:tc>
          <w:tcPr>
            <w:tcW w:w="1197" w:type="dxa"/>
            <w:vMerge w:val="restart"/>
            <w:tcBorders>
              <w:top w:val="single" w:sz="4" w:space="0" w:color="auto"/>
            </w:tcBorders>
          </w:tcPr>
          <w:p w14:paraId="7B192358" w14:textId="77777777" w:rsidR="003320CD" w:rsidRPr="003320CD" w:rsidRDefault="003320CD" w:rsidP="0031399D">
            <w:pPr>
              <w:rPr>
                <w:b/>
                <w:bCs/>
              </w:rPr>
            </w:pPr>
          </w:p>
          <w:p w14:paraId="231D6423" w14:textId="77777777" w:rsidR="003320CD" w:rsidRPr="003320CD" w:rsidRDefault="003320CD" w:rsidP="0031399D">
            <w:pPr>
              <w:rPr>
                <w:b/>
                <w:bCs/>
              </w:rPr>
            </w:pPr>
            <w:r w:rsidRPr="003320CD">
              <w:rPr>
                <w:b/>
                <w:bCs/>
              </w:rPr>
              <w:t>Distinct</w:t>
            </w:r>
          </w:p>
          <w:p w14:paraId="31A72C36" w14:textId="0662ECF6" w:rsidR="003320CD" w:rsidRPr="003320CD" w:rsidRDefault="003320CD" w:rsidP="0031399D">
            <w:pPr>
              <w:rPr>
                <w:b/>
                <w:bCs/>
              </w:rPr>
            </w:pPr>
            <w:r w:rsidRPr="003320CD">
              <w:rPr>
                <w:b/>
                <w:bCs/>
              </w:rPr>
              <w:t>vehicles</w:t>
            </w:r>
          </w:p>
        </w:tc>
      </w:tr>
      <w:tr w:rsidR="003320CD" w:rsidRPr="003320CD" w14:paraId="3027926F" w14:textId="77777777" w:rsidTr="00930BC6">
        <w:trPr>
          <w:trHeight w:val="315"/>
        </w:trPr>
        <w:tc>
          <w:tcPr>
            <w:tcW w:w="1291" w:type="dxa"/>
            <w:vMerge/>
            <w:shd w:val="clear" w:color="auto" w:fill="auto"/>
            <w:noWrap/>
            <w:vAlign w:val="center"/>
          </w:tcPr>
          <w:p w14:paraId="17D10B47" w14:textId="77777777" w:rsidR="003320CD" w:rsidRPr="00540D60" w:rsidRDefault="003320CD" w:rsidP="0031399D"/>
        </w:tc>
        <w:tc>
          <w:tcPr>
            <w:tcW w:w="2835" w:type="dxa"/>
            <w:gridSpan w:val="3"/>
            <w:shd w:val="clear" w:color="auto" w:fill="auto"/>
            <w:noWrap/>
            <w:vAlign w:val="center"/>
          </w:tcPr>
          <w:p w14:paraId="195BF244" w14:textId="68BDFDBF" w:rsidR="003320CD" w:rsidRPr="003320CD" w:rsidRDefault="003320CD" w:rsidP="00930BC6">
            <w:pPr>
              <w:jc w:val="left"/>
              <w:rPr>
                <w:b/>
                <w:bCs/>
              </w:rPr>
            </w:pPr>
            <w:r w:rsidRPr="003320CD">
              <w:rPr>
                <w:b/>
                <w:bCs/>
              </w:rPr>
              <w:t>P&amp;R open</w:t>
            </w:r>
          </w:p>
        </w:tc>
        <w:tc>
          <w:tcPr>
            <w:tcW w:w="2835" w:type="dxa"/>
            <w:gridSpan w:val="4"/>
            <w:shd w:val="clear" w:color="auto" w:fill="auto"/>
            <w:vAlign w:val="center"/>
          </w:tcPr>
          <w:p w14:paraId="22F2B051" w14:textId="77777777" w:rsidR="003320CD" w:rsidRPr="003320CD" w:rsidRDefault="003320CD" w:rsidP="00930BC6">
            <w:pPr>
              <w:jc w:val="left"/>
              <w:rPr>
                <w:b/>
                <w:bCs/>
              </w:rPr>
            </w:pPr>
            <w:r w:rsidRPr="003320CD">
              <w:rPr>
                <w:b/>
                <w:bCs/>
              </w:rPr>
              <w:t xml:space="preserve">P&amp;R open for </w:t>
            </w:r>
          </w:p>
          <w:p w14:paraId="5FDCED3C" w14:textId="5362E88B" w:rsidR="003320CD" w:rsidRPr="00540D60" w:rsidRDefault="003320CD" w:rsidP="00930BC6">
            <w:pPr>
              <w:jc w:val="left"/>
            </w:pPr>
            <w:r w:rsidRPr="003320CD">
              <w:rPr>
                <w:b/>
                <w:bCs/>
              </w:rPr>
              <w:t>part of period</w:t>
            </w:r>
          </w:p>
        </w:tc>
        <w:tc>
          <w:tcPr>
            <w:tcW w:w="992" w:type="dxa"/>
            <w:gridSpan w:val="2"/>
            <w:shd w:val="clear" w:color="auto" w:fill="auto"/>
            <w:vAlign w:val="center"/>
          </w:tcPr>
          <w:p w14:paraId="49AA6674" w14:textId="5BBC7FBF" w:rsidR="003320CD" w:rsidRPr="003320CD" w:rsidRDefault="003320CD" w:rsidP="00930BC6">
            <w:pPr>
              <w:rPr>
                <w:b/>
                <w:bCs/>
              </w:rPr>
            </w:pPr>
            <w:r w:rsidRPr="003320CD">
              <w:rPr>
                <w:b/>
                <w:bCs/>
              </w:rPr>
              <w:t>P&amp;R closed</w:t>
            </w:r>
          </w:p>
        </w:tc>
        <w:tc>
          <w:tcPr>
            <w:tcW w:w="1197" w:type="dxa"/>
            <w:vMerge/>
          </w:tcPr>
          <w:p w14:paraId="29294ACE" w14:textId="77777777" w:rsidR="003320CD" w:rsidRPr="003320CD" w:rsidRDefault="003320CD" w:rsidP="0031399D">
            <w:pPr>
              <w:rPr>
                <w:b/>
                <w:bCs/>
              </w:rPr>
            </w:pPr>
          </w:p>
        </w:tc>
      </w:tr>
      <w:tr w:rsidR="00930BC6" w:rsidRPr="003320CD" w14:paraId="2A5C19A3" w14:textId="7557EBCE" w:rsidTr="00930BC6">
        <w:trPr>
          <w:trHeight w:val="315"/>
        </w:trPr>
        <w:tc>
          <w:tcPr>
            <w:tcW w:w="1291" w:type="dxa"/>
            <w:vMerge/>
            <w:tcBorders>
              <w:bottom w:val="single" w:sz="4" w:space="0" w:color="auto"/>
            </w:tcBorders>
            <w:vAlign w:val="center"/>
            <w:hideMark/>
          </w:tcPr>
          <w:p w14:paraId="29A1EBC3" w14:textId="77777777" w:rsidR="003320CD" w:rsidRPr="00540D60" w:rsidRDefault="003320CD" w:rsidP="0031399D"/>
        </w:tc>
        <w:tc>
          <w:tcPr>
            <w:tcW w:w="951" w:type="dxa"/>
            <w:tcBorders>
              <w:bottom w:val="single" w:sz="4" w:space="0" w:color="auto"/>
            </w:tcBorders>
            <w:shd w:val="clear" w:color="auto" w:fill="auto"/>
            <w:noWrap/>
            <w:vAlign w:val="center"/>
            <w:hideMark/>
          </w:tcPr>
          <w:p w14:paraId="108B3D37" w14:textId="77777777" w:rsidR="003320CD" w:rsidRDefault="003320CD" w:rsidP="0031399D">
            <w:r w:rsidRPr="00540D60">
              <w:t>Apr-</w:t>
            </w:r>
          </w:p>
          <w:p w14:paraId="43DE67B7" w14:textId="48B81A62" w:rsidR="003320CD" w:rsidRPr="00540D60" w:rsidRDefault="003320CD" w:rsidP="0031399D">
            <w:r w:rsidRPr="00540D60">
              <w:t>Jul</w:t>
            </w:r>
          </w:p>
        </w:tc>
        <w:tc>
          <w:tcPr>
            <w:tcW w:w="952" w:type="dxa"/>
            <w:tcBorders>
              <w:bottom w:val="single" w:sz="4" w:space="0" w:color="auto"/>
            </w:tcBorders>
            <w:shd w:val="clear" w:color="auto" w:fill="auto"/>
            <w:noWrap/>
            <w:vAlign w:val="center"/>
            <w:hideMark/>
          </w:tcPr>
          <w:p w14:paraId="463DA315" w14:textId="77777777" w:rsidR="003320CD" w:rsidRPr="00540D60" w:rsidRDefault="003320CD" w:rsidP="0031399D">
            <w:r w:rsidRPr="00540D60">
              <w:t>May-Aug</w:t>
            </w:r>
          </w:p>
        </w:tc>
        <w:tc>
          <w:tcPr>
            <w:tcW w:w="952" w:type="dxa"/>
            <w:gridSpan w:val="2"/>
            <w:tcBorders>
              <w:bottom w:val="single" w:sz="4" w:space="0" w:color="auto"/>
            </w:tcBorders>
            <w:shd w:val="clear" w:color="auto" w:fill="auto"/>
            <w:noWrap/>
            <w:vAlign w:val="center"/>
            <w:hideMark/>
          </w:tcPr>
          <w:p w14:paraId="45A64108" w14:textId="77777777" w:rsidR="003320CD" w:rsidRPr="00540D60" w:rsidRDefault="003320CD" w:rsidP="0031399D">
            <w:r w:rsidRPr="00540D60">
              <w:t>Jun-Sep</w:t>
            </w:r>
          </w:p>
        </w:tc>
        <w:tc>
          <w:tcPr>
            <w:tcW w:w="951" w:type="dxa"/>
            <w:tcBorders>
              <w:bottom w:val="single" w:sz="4" w:space="0" w:color="auto"/>
            </w:tcBorders>
            <w:shd w:val="clear" w:color="auto" w:fill="auto"/>
            <w:noWrap/>
            <w:vAlign w:val="center"/>
            <w:hideMark/>
          </w:tcPr>
          <w:p w14:paraId="4B5CFC49" w14:textId="77777777" w:rsidR="00930BC6" w:rsidRDefault="003320CD" w:rsidP="0031399D">
            <w:r w:rsidRPr="00540D60">
              <w:t>Jul-</w:t>
            </w:r>
          </w:p>
          <w:p w14:paraId="1619B909" w14:textId="49475768" w:rsidR="003320CD" w:rsidRPr="00540D60" w:rsidRDefault="003320CD" w:rsidP="0031399D">
            <w:r w:rsidRPr="00540D60">
              <w:t>Oct</w:t>
            </w:r>
          </w:p>
        </w:tc>
        <w:tc>
          <w:tcPr>
            <w:tcW w:w="952" w:type="dxa"/>
            <w:tcBorders>
              <w:bottom w:val="single" w:sz="4" w:space="0" w:color="auto"/>
            </w:tcBorders>
            <w:shd w:val="clear" w:color="auto" w:fill="auto"/>
            <w:noWrap/>
            <w:vAlign w:val="center"/>
            <w:hideMark/>
          </w:tcPr>
          <w:p w14:paraId="73DC3BAC" w14:textId="77777777" w:rsidR="003320CD" w:rsidRPr="00540D60" w:rsidRDefault="003320CD" w:rsidP="0031399D">
            <w:r w:rsidRPr="00540D60">
              <w:t>Aug-Nov</w:t>
            </w:r>
          </w:p>
        </w:tc>
        <w:tc>
          <w:tcPr>
            <w:tcW w:w="952" w:type="dxa"/>
            <w:gridSpan w:val="2"/>
            <w:tcBorders>
              <w:bottom w:val="single" w:sz="4" w:space="0" w:color="auto"/>
            </w:tcBorders>
            <w:shd w:val="clear" w:color="auto" w:fill="auto"/>
            <w:noWrap/>
            <w:vAlign w:val="center"/>
            <w:hideMark/>
          </w:tcPr>
          <w:p w14:paraId="62EA3888" w14:textId="77777777" w:rsidR="003320CD" w:rsidRPr="00540D60" w:rsidRDefault="003320CD" w:rsidP="0031399D">
            <w:r w:rsidRPr="00540D60">
              <w:t>Sep-Dec</w:t>
            </w:r>
          </w:p>
        </w:tc>
        <w:tc>
          <w:tcPr>
            <w:tcW w:w="952" w:type="dxa"/>
            <w:tcBorders>
              <w:bottom w:val="single" w:sz="4" w:space="0" w:color="auto"/>
            </w:tcBorders>
            <w:shd w:val="clear" w:color="auto" w:fill="auto"/>
            <w:noWrap/>
            <w:vAlign w:val="center"/>
            <w:hideMark/>
          </w:tcPr>
          <w:p w14:paraId="50F11748" w14:textId="77777777" w:rsidR="00930BC6" w:rsidRDefault="003320CD" w:rsidP="0031399D">
            <w:r w:rsidRPr="00540D60">
              <w:t>Oct-</w:t>
            </w:r>
          </w:p>
          <w:p w14:paraId="4E87ADC5" w14:textId="4C171194" w:rsidR="003320CD" w:rsidRPr="00540D60" w:rsidRDefault="003320CD" w:rsidP="0031399D">
            <w:r w:rsidRPr="00540D60">
              <w:t>Jan</w:t>
            </w:r>
          </w:p>
        </w:tc>
        <w:tc>
          <w:tcPr>
            <w:tcW w:w="1197" w:type="dxa"/>
            <w:vMerge/>
            <w:tcBorders>
              <w:bottom w:val="single" w:sz="4" w:space="0" w:color="auto"/>
            </w:tcBorders>
          </w:tcPr>
          <w:p w14:paraId="48FE4186" w14:textId="77777777" w:rsidR="003320CD" w:rsidRPr="003320CD" w:rsidRDefault="003320CD" w:rsidP="0031399D">
            <w:pPr>
              <w:rPr>
                <w:b/>
                <w:bCs/>
              </w:rPr>
            </w:pPr>
          </w:p>
        </w:tc>
      </w:tr>
      <w:tr w:rsidR="003320CD" w:rsidRPr="00540D60" w14:paraId="5B70CAEB" w14:textId="5D248154" w:rsidTr="00930BC6">
        <w:trPr>
          <w:trHeight w:val="315"/>
        </w:trPr>
        <w:tc>
          <w:tcPr>
            <w:tcW w:w="1291" w:type="dxa"/>
            <w:tcBorders>
              <w:top w:val="single" w:sz="4" w:space="0" w:color="auto"/>
            </w:tcBorders>
            <w:shd w:val="clear" w:color="auto" w:fill="auto"/>
            <w:noWrap/>
            <w:vAlign w:val="center"/>
            <w:hideMark/>
          </w:tcPr>
          <w:p w14:paraId="630BAEC1" w14:textId="2482E9A7" w:rsidR="003320CD" w:rsidRPr="00540D60" w:rsidRDefault="003320CD" w:rsidP="003320CD">
            <w:r w:rsidRPr="00540D60">
              <w:t>3</w:t>
            </w:r>
            <w:r>
              <w:t xml:space="preserve"> </w:t>
            </w:r>
            <w:r w:rsidRPr="00540D60">
              <w:t>North</w:t>
            </w:r>
          </w:p>
        </w:tc>
        <w:tc>
          <w:tcPr>
            <w:tcW w:w="951" w:type="dxa"/>
            <w:tcBorders>
              <w:top w:val="single" w:sz="4" w:space="0" w:color="auto"/>
            </w:tcBorders>
            <w:shd w:val="clear" w:color="auto" w:fill="auto"/>
            <w:noWrap/>
            <w:vAlign w:val="center"/>
            <w:hideMark/>
          </w:tcPr>
          <w:p w14:paraId="523C0F35" w14:textId="160C7A8A" w:rsidR="003320CD" w:rsidRPr="00540D60" w:rsidRDefault="003320CD" w:rsidP="0031399D">
            <w:pPr>
              <w:rPr>
                <w:rFonts w:ascii="Times New Roman" w:eastAsia="Times New Roman" w:hAnsi="Times New Roman" w:cs="Times New Roman"/>
                <w:highlight w:val="green"/>
              </w:rPr>
            </w:pPr>
            <w:r w:rsidRPr="00540D60">
              <w:t>358</w:t>
            </w:r>
          </w:p>
        </w:tc>
        <w:tc>
          <w:tcPr>
            <w:tcW w:w="952" w:type="dxa"/>
            <w:tcBorders>
              <w:top w:val="single" w:sz="4" w:space="0" w:color="auto"/>
            </w:tcBorders>
            <w:shd w:val="clear" w:color="auto" w:fill="auto"/>
            <w:noWrap/>
            <w:vAlign w:val="center"/>
            <w:hideMark/>
          </w:tcPr>
          <w:p w14:paraId="65205013" w14:textId="76C496A0" w:rsidR="003320CD" w:rsidRPr="00540D60" w:rsidRDefault="003320CD" w:rsidP="0031399D">
            <w:pPr>
              <w:rPr>
                <w:rFonts w:ascii="Times New Roman" w:eastAsia="Times New Roman" w:hAnsi="Times New Roman" w:cs="Times New Roman"/>
                <w:highlight w:val="green"/>
              </w:rPr>
            </w:pPr>
            <w:r w:rsidRPr="00540D60">
              <w:t>336</w:t>
            </w:r>
          </w:p>
        </w:tc>
        <w:tc>
          <w:tcPr>
            <w:tcW w:w="952" w:type="dxa"/>
            <w:gridSpan w:val="2"/>
            <w:tcBorders>
              <w:top w:val="single" w:sz="4" w:space="0" w:color="auto"/>
            </w:tcBorders>
            <w:shd w:val="clear" w:color="auto" w:fill="auto"/>
            <w:noWrap/>
            <w:vAlign w:val="center"/>
            <w:hideMark/>
          </w:tcPr>
          <w:p w14:paraId="23ACD15B" w14:textId="403511DA" w:rsidR="003320CD" w:rsidRPr="00540D60" w:rsidRDefault="003320CD" w:rsidP="0031399D">
            <w:pPr>
              <w:rPr>
                <w:rFonts w:ascii="Times New Roman" w:eastAsia="Times New Roman" w:hAnsi="Times New Roman" w:cs="Times New Roman"/>
                <w:highlight w:val="green"/>
              </w:rPr>
            </w:pPr>
            <w:r w:rsidRPr="00540D60">
              <w:t>319</w:t>
            </w:r>
          </w:p>
        </w:tc>
        <w:tc>
          <w:tcPr>
            <w:tcW w:w="951" w:type="dxa"/>
            <w:tcBorders>
              <w:top w:val="single" w:sz="4" w:space="0" w:color="auto"/>
            </w:tcBorders>
            <w:shd w:val="clear" w:color="auto" w:fill="auto"/>
            <w:noWrap/>
            <w:vAlign w:val="center"/>
            <w:hideMark/>
          </w:tcPr>
          <w:p w14:paraId="37E84B7A" w14:textId="014AE36E" w:rsidR="003320CD" w:rsidRPr="00540D60" w:rsidRDefault="003320CD" w:rsidP="0031399D">
            <w:pPr>
              <w:rPr>
                <w:rFonts w:ascii="Times New Roman" w:eastAsia="Times New Roman" w:hAnsi="Times New Roman" w:cs="Times New Roman"/>
                <w:highlight w:val="yellow"/>
              </w:rPr>
            </w:pPr>
            <w:r w:rsidRPr="00540D60">
              <w:t>316</w:t>
            </w:r>
          </w:p>
        </w:tc>
        <w:tc>
          <w:tcPr>
            <w:tcW w:w="952" w:type="dxa"/>
            <w:tcBorders>
              <w:top w:val="single" w:sz="4" w:space="0" w:color="auto"/>
            </w:tcBorders>
            <w:shd w:val="clear" w:color="auto" w:fill="auto"/>
            <w:noWrap/>
            <w:vAlign w:val="center"/>
            <w:hideMark/>
          </w:tcPr>
          <w:p w14:paraId="65A462BB" w14:textId="7431A710" w:rsidR="003320CD" w:rsidRPr="00540D60" w:rsidRDefault="003320CD" w:rsidP="0031399D">
            <w:pPr>
              <w:rPr>
                <w:rFonts w:ascii="Times New Roman" w:eastAsia="Times New Roman" w:hAnsi="Times New Roman" w:cs="Times New Roman"/>
                <w:highlight w:val="yellow"/>
              </w:rPr>
            </w:pPr>
            <w:r w:rsidRPr="00540D60">
              <w:t>276</w:t>
            </w:r>
          </w:p>
        </w:tc>
        <w:tc>
          <w:tcPr>
            <w:tcW w:w="952" w:type="dxa"/>
            <w:gridSpan w:val="2"/>
            <w:tcBorders>
              <w:top w:val="single" w:sz="4" w:space="0" w:color="auto"/>
            </w:tcBorders>
            <w:shd w:val="clear" w:color="auto" w:fill="auto"/>
            <w:noWrap/>
            <w:vAlign w:val="center"/>
            <w:hideMark/>
          </w:tcPr>
          <w:p w14:paraId="6E6C90D9" w14:textId="364B59ED" w:rsidR="003320CD" w:rsidRPr="00540D60" w:rsidRDefault="003320CD" w:rsidP="0031399D">
            <w:pPr>
              <w:rPr>
                <w:rFonts w:ascii="Times New Roman" w:eastAsia="Times New Roman" w:hAnsi="Times New Roman" w:cs="Times New Roman"/>
                <w:highlight w:val="yellow"/>
              </w:rPr>
            </w:pPr>
            <w:r w:rsidRPr="00540D60">
              <w:t>242</w:t>
            </w:r>
          </w:p>
        </w:tc>
        <w:tc>
          <w:tcPr>
            <w:tcW w:w="952" w:type="dxa"/>
            <w:tcBorders>
              <w:top w:val="single" w:sz="4" w:space="0" w:color="auto"/>
            </w:tcBorders>
            <w:shd w:val="clear" w:color="auto" w:fill="auto"/>
            <w:noWrap/>
            <w:vAlign w:val="center"/>
            <w:hideMark/>
          </w:tcPr>
          <w:p w14:paraId="55FDCAC5" w14:textId="5334C9EF" w:rsidR="003320CD" w:rsidRPr="00540D60" w:rsidRDefault="003320CD" w:rsidP="0031399D">
            <w:pPr>
              <w:rPr>
                <w:rFonts w:ascii="Times New Roman" w:eastAsia="Times New Roman" w:hAnsi="Times New Roman" w:cs="Times New Roman"/>
                <w:highlight w:val="red"/>
              </w:rPr>
            </w:pPr>
            <w:r w:rsidRPr="00540D60">
              <w:t>222</w:t>
            </w:r>
          </w:p>
        </w:tc>
        <w:tc>
          <w:tcPr>
            <w:tcW w:w="1197" w:type="dxa"/>
            <w:tcBorders>
              <w:top w:val="single" w:sz="4" w:space="0" w:color="auto"/>
            </w:tcBorders>
            <w:vAlign w:val="center"/>
          </w:tcPr>
          <w:p w14:paraId="5C825093" w14:textId="69DE2D45" w:rsidR="003320CD" w:rsidRPr="00540D60" w:rsidRDefault="003320CD" w:rsidP="0031399D">
            <w:r w:rsidRPr="00540D60">
              <w:t>861</w:t>
            </w:r>
          </w:p>
        </w:tc>
      </w:tr>
      <w:tr w:rsidR="003320CD" w:rsidRPr="00540D60" w14:paraId="2053C71E" w14:textId="0E5A082C" w:rsidTr="00930BC6">
        <w:trPr>
          <w:trHeight w:val="315"/>
        </w:trPr>
        <w:tc>
          <w:tcPr>
            <w:tcW w:w="1291" w:type="dxa"/>
            <w:tcBorders>
              <w:top w:val="nil"/>
            </w:tcBorders>
            <w:shd w:val="clear" w:color="auto" w:fill="auto"/>
            <w:noWrap/>
            <w:vAlign w:val="center"/>
            <w:hideMark/>
          </w:tcPr>
          <w:p w14:paraId="66D2987E" w14:textId="39DA787C" w:rsidR="003320CD" w:rsidRPr="00540D60" w:rsidRDefault="003320CD" w:rsidP="003320CD">
            <w:r w:rsidRPr="00540D60">
              <w:t>5</w:t>
            </w:r>
            <w:r>
              <w:t xml:space="preserve"> </w:t>
            </w:r>
            <w:r w:rsidRPr="00540D60">
              <w:t>North</w:t>
            </w:r>
          </w:p>
        </w:tc>
        <w:tc>
          <w:tcPr>
            <w:tcW w:w="951" w:type="dxa"/>
            <w:tcBorders>
              <w:top w:val="nil"/>
            </w:tcBorders>
            <w:shd w:val="clear" w:color="auto" w:fill="auto"/>
            <w:noWrap/>
            <w:vAlign w:val="center"/>
            <w:hideMark/>
          </w:tcPr>
          <w:p w14:paraId="3830FC28" w14:textId="1D7AE5BD" w:rsidR="003320CD" w:rsidRPr="00540D60" w:rsidRDefault="003320CD" w:rsidP="0031399D">
            <w:pPr>
              <w:rPr>
                <w:rFonts w:ascii="Times New Roman" w:eastAsia="Times New Roman" w:hAnsi="Times New Roman" w:cs="Times New Roman"/>
                <w:highlight w:val="green"/>
              </w:rPr>
            </w:pPr>
            <w:r w:rsidRPr="00540D60">
              <w:t>449</w:t>
            </w:r>
          </w:p>
        </w:tc>
        <w:tc>
          <w:tcPr>
            <w:tcW w:w="952" w:type="dxa"/>
            <w:tcBorders>
              <w:top w:val="nil"/>
            </w:tcBorders>
            <w:shd w:val="clear" w:color="auto" w:fill="auto"/>
            <w:noWrap/>
            <w:vAlign w:val="center"/>
            <w:hideMark/>
          </w:tcPr>
          <w:p w14:paraId="4A4650F7" w14:textId="4E9986C9" w:rsidR="003320CD" w:rsidRPr="00540D60" w:rsidRDefault="003320CD" w:rsidP="0031399D">
            <w:pPr>
              <w:rPr>
                <w:rFonts w:ascii="Times New Roman" w:eastAsia="Times New Roman" w:hAnsi="Times New Roman" w:cs="Times New Roman"/>
                <w:highlight w:val="green"/>
              </w:rPr>
            </w:pPr>
            <w:r w:rsidRPr="00540D60">
              <w:t>414</w:t>
            </w:r>
          </w:p>
        </w:tc>
        <w:tc>
          <w:tcPr>
            <w:tcW w:w="952" w:type="dxa"/>
            <w:gridSpan w:val="2"/>
            <w:tcBorders>
              <w:top w:val="nil"/>
            </w:tcBorders>
            <w:shd w:val="clear" w:color="auto" w:fill="auto"/>
            <w:noWrap/>
            <w:vAlign w:val="center"/>
            <w:hideMark/>
          </w:tcPr>
          <w:p w14:paraId="069CE3AF" w14:textId="667350AA" w:rsidR="003320CD" w:rsidRPr="00540D60" w:rsidRDefault="003320CD" w:rsidP="0031399D">
            <w:pPr>
              <w:rPr>
                <w:rFonts w:ascii="Times New Roman" w:eastAsia="Times New Roman" w:hAnsi="Times New Roman" w:cs="Times New Roman"/>
                <w:highlight w:val="green"/>
              </w:rPr>
            </w:pPr>
            <w:r w:rsidRPr="00540D60">
              <w:t>406</w:t>
            </w:r>
          </w:p>
        </w:tc>
        <w:tc>
          <w:tcPr>
            <w:tcW w:w="951" w:type="dxa"/>
            <w:tcBorders>
              <w:top w:val="nil"/>
            </w:tcBorders>
            <w:shd w:val="clear" w:color="auto" w:fill="auto"/>
            <w:noWrap/>
            <w:vAlign w:val="center"/>
            <w:hideMark/>
          </w:tcPr>
          <w:p w14:paraId="4BD75CC8" w14:textId="6EC18ACC" w:rsidR="003320CD" w:rsidRPr="00540D60" w:rsidRDefault="003320CD" w:rsidP="0031399D">
            <w:pPr>
              <w:rPr>
                <w:rFonts w:ascii="Times New Roman" w:eastAsia="Times New Roman" w:hAnsi="Times New Roman" w:cs="Times New Roman"/>
                <w:highlight w:val="yellow"/>
              </w:rPr>
            </w:pPr>
            <w:r w:rsidRPr="00540D60">
              <w:t>413</w:t>
            </w:r>
          </w:p>
        </w:tc>
        <w:tc>
          <w:tcPr>
            <w:tcW w:w="952" w:type="dxa"/>
            <w:tcBorders>
              <w:top w:val="nil"/>
            </w:tcBorders>
            <w:shd w:val="clear" w:color="auto" w:fill="auto"/>
            <w:noWrap/>
            <w:vAlign w:val="center"/>
            <w:hideMark/>
          </w:tcPr>
          <w:p w14:paraId="200F44F1" w14:textId="3FD4F9CB" w:rsidR="003320CD" w:rsidRPr="00540D60" w:rsidRDefault="003320CD" w:rsidP="0031399D">
            <w:pPr>
              <w:rPr>
                <w:rFonts w:ascii="Times New Roman" w:eastAsia="Times New Roman" w:hAnsi="Times New Roman" w:cs="Times New Roman"/>
                <w:highlight w:val="yellow"/>
              </w:rPr>
            </w:pPr>
            <w:r w:rsidRPr="00540D60">
              <w:t>416</w:t>
            </w:r>
          </w:p>
        </w:tc>
        <w:tc>
          <w:tcPr>
            <w:tcW w:w="952" w:type="dxa"/>
            <w:gridSpan w:val="2"/>
            <w:tcBorders>
              <w:top w:val="nil"/>
            </w:tcBorders>
            <w:shd w:val="clear" w:color="auto" w:fill="auto"/>
            <w:noWrap/>
            <w:vAlign w:val="center"/>
            <w:hideMark/>
          </w:tcPr>
          <w:p w14:paraId="04D494B1" w14:textId="06FAC01C" w:rsidR="003320CD" w:rsidRPr="00540D60" w:rsidRDefault="003320CD" w:rsidP="0031399D">
            <w:pPr>
              <w:rPr>
                <w:rFonts w:ascii="Times New Roman" w:eastAsia="Times New Roman" w:hAnsi="Times New Roman" w:cs="Times New Roman"/>
                <w:highlight w:val="yellow"/>
              </w:rPr>
            </w:pPr>
            <w:r w:rsidRPr="00540D60">
              <w:t>418</w:t>
            </w:r>
          </w:p>
        </w:tc>
        <w:tc>
          <w:tcPr>
            <w:tcW w:w="952" w:type="dxa"/>
            <w:tcBorders>
              <w:top w:val="nil"/>
            </w:tcBorders>
            <w:shd w:val="clear" w:color="auto" w:fill="auto"/>
            <w:noWrap/>
            <w:vAlign w:val="center"/>
            <w:hideMark/>
          </w:tcPr>
          <w:p w14:paraId="6A58F42F" w14:textId="4A9A5D7D" w:rsidR="003320CD" w:rsidRPr="00540D60" w:rsidRDefault="003320CD" w:rsidP="0031399D">
            <w:pPr>
              <w:rPr>
                <w:rFonts w:ascii="Times New Roman" w:eastAsia="Times New Roman" w:hAnsi="Times New Roman" w:cs="Times New Roman"/>
                <w:highlight w:val="red"/>
              </w:rPr>
            </w:pPr>
            <w:r w:rsidRPr="00540D60">
              <w:t>454</w:t>
            </w:r>
          </w:p>
        </w:tc>
        <w:tc>
          <w:tcPr>
            <w:tcW w:w="1197" w:type="dxa"/>
            <w:tcBorders>
              <w:top w:val="nil"/>
            </w:tcBorders>
            <w:vAlign w:val="center"/>
          </w:tcPr>
          <w:p w14:paraId="2EF8419F" w14:textId="0B7BA9AE" w:rsidR="003320CD" w:rsidRPr="00540D60" w:rsidRDefault="003320CD" w:rsidP="0031399D">
            <w:r w:rsidRPr="00540D60">
              <w:t>727</w:t>
            </w:r>
          </w:p>
        </w:tc>
      </w:tr>
      <w:tr w:rsidR="003320CD" w:rsidRPr="00540D60" w14:paraId="1014CEA1" w14:textId="04FA4F1A" w:rsidTr="00930BC6">
        <w:trPr>
          <w:trHeight w:val="315"/>
        </w:trPr>
        <w:tc>
          <w:tcPr>
            <w:tcW w:w="1291" w:type="dxa"/>
            <w:tcBorders>
              <w:top w:val="nil"/>
            </w:tcBorders>
            <w:shd w:val="clear" w:color="auto" w:fill="auto"/>
            <w:noWrap/>
            <w:vAlign w:val="center"/>
            <w:hideMark/>
          </w:tcPr>
          <w:p w14:paraId="350DBFCE" w14:textId="5D0B7B49" w:rsidR="003320CD" w:rsidRPr="00540D60" w:rsidRDefault="003320CD" w:rsidP="003320CD">
            <w:r w:rsidRPr="00540D60">
              <w:t>3</w:t>
            </w:r>
            <w:r>
              <w:t xml:space="preserve"> </w:t>
            </w:r>
            <w:r w:rsidRPr="00540D60">
              <w:t>South</w:t>
            </w:r>
          </w:p>
        </w:tc>
        <w:tc>
          <w:tcPr>
            <w:tcW w:w="951" w:type="dxa"/>
            <w:tcBorders>
              <w:top w:val="nil"/>
            </w:tcBorders>
            <w:shd w:val="clear" w:color="auto" w:fill="auto"/>
            <w:noWrap/>
            <w:vAlign w:val="center"/>
            <w:hideMark/>
          </w:tcPr>
          <w:p w14:paraId="6B840019" w14:textId="4213A3DD" w:rsidR="003320CD" w:rsidRPr="00540D60" w:rsidRDefault="003320CD" w:rsidP="0031399D">
            <w:pPr>
              <w:rPr>
                <w:rFonts w:ascii="Times New Roman" w:eastAsia="Times New Roman" w:hAnsi="Times New Roman" w:cs="Times New Roman"/>
                <w:highlight w:val="green"/>
              </w:rPr>
            </w:pPr>
            <w:r w:rsidRPr="00540D60">
              <w:t>307</w:t>
            </w:r>
          </w:p>
        </w:tc>
        <w:tc>
          <w:tcPr>
            <w:tcW w:w="952" w:type="dxa"/>
            <w:tcBorders>
              <w:top w:val="nil"/>
            </w:tcBorders>
            <w:shd w:val="clear" w:color="auto" w:fill="auto"/>
            <w:noWrap/>
            <w:vAlign w:val="center"/>
            <w:hideMark/>
          </w:tcPr>
          <w:p w14:paraId="4204BD1D" w14:textId="4C5684C9" w:rsidR="003320CD" w:rsidRPr="00540D60" w:rsidRDefault="003320CD" w:rsidP="0031399D">
            <w:pPr>
              <w:rPr>
                <w:rFonts w:ascii="Times New Roman" w:eastAsia="Times New Roman" w:hAnsi="Times New Roman" w:cs="Times New Roman"/>
                <w:highlight w:val="green"/>
              </w:rPr>
            </w:pPr>
            <w:r w:rsidRPr="00540D60">
              <w:t>284</w:t>
            </w:r>
          </w:p>
        </w:tc>
        <w:tc>
          <w:tcPr>
            <w:tcW w:w="952" w:type="dxa"/>
            <w:gridSpan w:val="2"/>
            <w:tcBorders>
              <w:top w:val="nil"/>
            </w:tcBorders>
            <w:shd w:val="clear" w:color="auto" w:fill="auto"/>
            <w:noWrap/>
            <w:vAlign w:val="center"/>
            <w:hideMark/>
          </w:tcPr>
          <w:p w14:paraId="4AD7C8F1" w14:textId="28710946" w:rsidR="003320CD" w:rsidRPr="00540D60" w:rsidRDefault="003320CD" w:rsidP="0031399D">
            <w:pPr>
              <w:rPr>
                <w:rFonts w:ascii="Times New Roman" w:eastAsia="Times New Roman" w:hAnsi="Times New Roman" w:cs="Times New Roman"/>
                <w:highlight w:val="green"/>
              </w:rPr>
            </w:pPr>
            <w:r w:rsidRPr="00540D60">
              <w:t>271</w:t>
            </w:r>
          </w:p>
        </w:tc>
        <w:tc>
          <w:tcPr>
            <w:tcW w:w="951" w:type="dxa"/>
            <w:tcBorders>
              <w:top w:val="nil"/>
            </w:tcBorders>
            <w:shd w:val="clear" w:color="auto" w:fill="auto"/>
            <w:noWrap/>
            <w:vAlign w:val="center"/>
            <w:hideMark/>
          </w:tcPr>
          <w:p w14:paraId="5344A35C" w14:textId="51CA584D" w:rsidR="003320CD" w:rsidRPr="00540D60" w:rsidRDefault="003320CD" w:rsidP="0031399D">
            <w:pPr>
              <w:rPr>
                <w:rFonts w:ascii="Times New Roman" w:eastAsia="Times New Roman" w:hAnsi="Times New Roman" w:cs="Times New Roman"/>
                <w:highlight w:val="yellow"/>
              </w:rPr>
            </w:pPr>
            <w:r w:rsidRPr="00540D60">
              <w:t>299</w:t>
            </w:r>
          </w:p>
        </w:tc>
        <w:tc>
          <w:tcPr>
            <w:tcW w:w="952" w:type="dxa"/>
            <w:tcBorders>
              <w:top w:val="nil"/>
            </w:tcBorders>
            <w:shd w:val="clear" w:color="auto" w:fill="auto"/>
            <w:noWrap/>
            <w:vAlign w:val="center"/>
            <w:hideMark/>
          </w:tcPr>
          <w:p w14:paraId="0B3BEA26" w14:textId="579C0930" w:rsidR="003320CD" w:rsidRPr="00540D60" w:rsidRDefault="003320CD" w:rsidP="0031399D">
            <w:pPr>
              <w:rPr>
                <w:rFonts w:ascii="Times New Roman" w:eastAsia="Times New Roman" w:hAnsi="Times New Roman" w:cs="Times New Roman"/>
                <w:highlight w:val="yellow"/>
              </w:rPr>
            </w:pPr>
            <w:r w:rsidRPr="00540D60">
              <w:t>277</w:t>
            </w:r>
          </w:p>
        </w:tc>
        <w:tc>
          <w:tcPr>
            <w:tcW w:w="952" w:type="dxa"/>
            <w:gridSpan w:val="2"/>
            <w:tcBorders>
              <w:top w:val="nil"/>
            </w:tcBorders>
            <w:shd w:val="clear" w:color="auto" w:fill="auto"/>
            <w:noWrap/>
            <w:vAlign w:val="center"/>
            <w:hideMark/>
          </w:tcPr>
          <w:p w14:paraId="14927299" w14:textId="1D746D9D" w:rsidR="003320CD" w:rsidRPr="00540D60" w:rsidRDefault="003320CD" w:rsidP="0031399D">
            <w:pPr>
              <w:rPr>
                <w:rFonts w:ascii="Times New Roman" w:eastAsia="Times New Roman" w:hAnsi="Times New Roman" w:cs="Times New Roman"/>
                <w:highlight w:val="yellow"/>
              </w:rPr>
            </w:pPr>
            <w:r w:rsidRPr="00540D60">
              <w:t>292</w:t>
            </w:r>
          </w:p>
        </w:tc>
        <w:tc>
          <w:tcPr>
            <w:tcW w:w="952" w:type="dxa"/>
            <w:tcBorders>
              <w:top w:val="nil"/>
            </w:tcBorders>
            <w:shd w:val="clear" w:color="auto" w:fill="auto"/>
            <w:noWrap/>
            <w:vAlign w:val="center"/>
            <w:hideMark/>
          </w:tcPr>
          <w:p w14:paraId="5143134D" w14:textId="44208836" w:rsidR="003320CD" w:rsidRPr="00540D60" w:rsidRDefault="003320CD" w:rsidP="0031399D">
            <w:pPr>
              <w:rPr>
                <w:rFonts w:ascii="Times New Roman" w:eastAsia="Times New Roman" w:hAnsi="Times New Roman" w:cs="Times New Roman"/>
                <w:highlight w:val="red"/>
              </w:rPr>
            </w:pPr>
            <w:r w:rsidRPr="00540D60">
              <w:t>264</w:t>
            </w:r>
          </w:p>
        </w:tc>
        <w:tc>
          <w:tcPr>
            <w:tcW w:w="1197" w:type="dxa"/>
            <w:tcBorders>
              <w:top w:val="nil"/>
            </w:tcBorders>
            <w:vAlign w:val="center"/>
          </w:tcPr>
          <w:p w14:paraId="11B93FDC" w14:textId="2229241F" w:rsidR="003320CD" w:rsidRPr="00540D60" w:rsidRDefault="003320CD" w:rsidP="0031399D">
            <w:r w:rsidRPr="00540D60">
              <w:t>1285</w:t>
            </w:r>
          </w:p>
        </w:tc>
      </w:tr>
      <w:tr w:rsidR="003320CD" w:rsidRPr="00540D60" w14:paraId="428DC86D" w14:textId="0AD3A33B" w:rsidTr="00930BC6">
        <w:trPr>
          <w:trHeight w:val="315"/>
        </w:trPr>
        <w:tc>
          <w:tcPr>
            <w:tcW w:w="1291" w:type="dxa"/>
            <w:tcBorders>
              <w:top w:val="nil"/>
            </w:tcBorders>
            <w:shd w:val="clear" w:color="auto" w:fill="auto"/>
            <w:noWrap/>
            <w:vAlign w:val="center"/>
            <w:hideMark/>
          </w:tcPr>
          <w:p w14:paraId="1BFFE989" w14:textId="48CCA1BD" w:rsidR="003320CD" w:rsidRPr="00540D60" w:rsidRDefault="003320CD" w:rsidP="003320CD">
            <w:r w:rsidRPr="00540D60">
              <w:t>5</w:t>
            </w:r>
            <w:r>
              <w:t xml:space="preserve"> </w:t>
            </w:r>
            <w:r w:rsidRPr="00540D60">
              <w:t>South</w:t>
            </w:r>
          </w:p>
        </w:tc>
        <w:tc>
          <w:tcPr>
            <w:tcW w:w="951" w:type="dxa"/>
            <w:tcBorders>
              <w:top w:val="nil"/>
            </w:tcBorders>
            <w:shd w:val="clear" w:color="auto" w:fill="auto"/>
            <w:noWrap/>
            <w:vAlign w:val="center"/>
            <w:hideMark/>
          </w:tcPr>
          <w:p w14:paraId="43AEF59A" w14:textId="2D6E1E13" w:rsidR="003320CD" w:rsidRPr="00540D60" w:rsidRDefault="003320CD" w:rsidP="0031399D">
            <w:pPr>
              <w:rPr>
                <w:rFonts w:ascii="Times New Roman" w:eastAsia="Times New Roman" w:hAnsi="Times New Roman" w:cs="Times New Roman"/>
                <w:highlight w:val="green"/>
              </w:rPr>
            </w:pPr>
            <w:r w:rsidRPr="00540D60">
              <w:t>367</w:t>
            </w:r>
          </w:p>
        </w:tc>
        <w:tc>
          <w:tcPr>
            <w:tcW w:w="952" w:type="dxa"/>
            <w:tcBorders>
              <w:top w:val="nil"/>
            </w:tcBorders>
            <w:shd w:val="clear" w:color="auto" w:fill="auto"/>
            <w:noWrap/>
            <w:vAlign w:val="center"/>
            <w:hideMark/>
          </w:tcPr>
          <w:p w14:paraId="2A10DDB4" w14:textId="1E5A5D65" w:rsidR="003320CD" w:rsidRPr="00540D60" w:rsidRDefault="003320CD" w:rsidP="0031399D">
            <w:pPr>
              <w:rPr>
                <w:rFonts w:ascii="Times New Roman" w:eastAsia="Times New Roman" w:hAnsi="Times New Roman" w:cs="Times New Roman"/>
                <w:highlight w:val="green"/>
              </w:rPr>
            </w:pPr>
            <w:r w:rsidRPr="00540D60">
              <w:t>331</w:t>
            </w:r>
          </w:p>
        </w:tc>
        <w:tc>
          <w:tcPr>
            <w:tcW w:w="952" w:type="dxa"/>
            <w:gridSpan w:val="2"/>
            <w:tcBorders>
              <w:top w:val="nil"/>
            </w:tcBorders>
            <w:shd w:val="clear" w:color="auto" w:fill="auto"/>
            <w:noWrap/>
            <w:vAlign w:val="center"/>
            <w:hideMark/>
          </w:tcPr>
          <w:p w14:paraId="6416042D" w14:textId="07EE5F80" w:rsidR="003320CD" w:rsidRPr="00540D60" w:rsidRDefault="003320CD" w:rsidP="0031399D">
            <w:pPr>
              <w:rPr>
                <w:rFonts w:ascii="Times New Roman" w:eastAsia="Times New Roman" w:hAnsi="Times New Roman" w:cs="Times New Roman"/>
                <w:highlight w:val="green"/>
              </w:rPr>
            </w:pPr>
            <w:r w:rsidRPr="00540D60">
              <w:t>334</w:t>
            </w:r>
          </w:p>
        </w:tc>
        <w:tc>
          <w:tcPr>
            <w:tcW w:w="951" w:type="dxa"/>
            <w:tcBorders>
              <w:top w:val="nil"/>
            </w:tcBorders>
            <w:shd w:val="clear" w:color="auto" w:fill="auto"/>
            <w:noWrap/>
            <w:vAlign w:val="center"/>
            <w:hideMark/>
          </w:tcPr>
          <w:p w14:paraId="3BAB1E9F" w14:textId="4719EC45" w:rsidR="003320CD" w:rsidRPr="00540D60" w:rsidRDefault="003320CD" w:rsidP="0031399D">
            <w:pPr>
              <w:rPr>
                <w:rFonts w:ascii="Times New Roman" w:eastAsia="Times New Roman" w:hAnsi="Times New Roman" w:cs="Times New Roman"/>
                <w:highlight w:val="yellow"/>
              </w:rPr>
            </w:pPr>
            <w:r w:rsidRPr="00540D60">
              <w:t>354</w:t>
            </w:r>
          </w:p>
        </w:tc>
        <w:tc>
          <w:tcPr>
            <w:tcW w:w="952" w:type="dxa"/>
            <w:tcBorders>
              <w:top w:val="nil"/>
            </w:tcBorders>
            <w:shd w:val="clear" w:color="auto" w:fill="auto"/>
            <w:noWrap/>
            <w:vAlign w:val="center"/>
            <w:hideMark/>
          </w:tcPr>
          <w:p w14:paraId="2EC27F4C" w14:textId="6EDC4BBE" w:rsidR="003320CD" w:rsidRPr="00540D60" w:rsidRDefault="003320CD" w:rsidP="0031399D">
            <w:pPr>
              <w:rPr>
                <w:rFonts w:ascii="Times New Roman" w:eastAsia="Times New Roman" w:hAnsi="Times New Roman" w:cs="Times New Roman"/>
                <w:highlight w:val="yellow"/>
              </w:rPr>
            </w:pPr>
            <w:r w:rsidRPr="00540D60">
              <w:t>333</w:t>
            </w:r>
          </w:p>
        </w:tc>
        <w:tc>
          <w:tcPr>
            <w:tcW w:w="952" w:type="dxa"/>
            <w:gridSpan w:val="2"/>
            <w:tcBorders>
              <w:top w:val="nil"/>
            </w:tcBorders>
            <w:shd w:val="clear" w:color="auto" w:fill="auto"/>
            <w:noWrap/>
            <w:vAlign w:val="center"/>
            <w:hideMark/>
          </w:tcPr>
          <w:p w14:paraId="769A4FA9" w14:textId="437B25F0" w:rsidR="003320CD" w:rsidRPr="00540D60" w:rsidRDefault="003320CD" w:rsidP="0031399D">
            <w:pPr>
              <w:rPr>
                <w:rFonts w:ascii="Times New Roman" w:eastAsia="Times New Roman" w:hAnsi="Times New Roman" w:cs="Times New Roman"/>
                <w:highlight w:val="yellow"/>
              </w:rPr>
            </w:pPr>
            <w:r w:rsidRPr="00540D60">
              <w:t>305</w:t>
            </w:r>
          </w:p>
        </w:tc>
        <w:tc>
          <w:tcPr>
            <w:tcW w:w="952" w:type="dxa"/>
            <w:tcBorders>
              <w:top w:val="nil"/>
            </w:tcBorders>
            <w:shd w:val="clear" w:color="auto" w:fill="auto"/>
            <w:noWrap/>
            <w:vAlign w:val="center"/>
            <w:hideMark/>
          </w:tcPr>
          <w:p w14:paraId="18EF0A6C" w14:textId="3E299D30" w:rsidR="003320CD" w:rsidRPr="00540D60" w:rsidRDefault="003320CD" w:rsidP="0031399D">
            <w:pPr>
              <w:rPr>
                <w:rFonts w:ascii="Times New Roman" w:eastAsia="Times New Roman" w:hAnsi="Times New Roman" w:cs="Times New Roman"/>
                <w:highlight w:val="red"/>
              </w:rPr>
            </w:pPr>
            <w:r w:rsidRPr="00540D60">
              <w:t>288</w:t>
            </w:r>
          </w:p>
        </w:tc>
        <w:tc>
          <w:tcPr>
            <w:tcW w:w="1197" w:type="dxa"/>
            <w:tcBorders>
              <w:top w:val="nil"/>
            </w:tcBorders>
            <w:vAlign w:val="center"/>
          </w:tcPr>
          <w:p w14:paraId="7429CCC5" w14:textId="1F5B7DAC" w:rsidR="003320CD" w:rsidRPr="00540D60" w:rsidRDefault="003320CD" w:rsidP="0031399D">
            <w:r w:rsidRPr="00540D60">
              <w:t>864</w:t>
            </w:r>
          </w:p>
        </w:tc>
      </w:tr>
      <w:tr w:rsidR="003320CD" w:rsidRPr="00540D60" w14:paraId="74291298" w14:textId="77777777" w:rsidTr="00930BC6">
        <w:trPr>
          <w:trHeight w:val="315"/>
        </w:trPr>
        <w:tc>
          <w:tcPr>
            <w:tcW w:w="1291" w:type="dxa"/>
            <w:tcBorders>
              <w:bottom w:val="single" w:sz="4" w:space="0" w:color="auto"/>
            </w:tcBorders>
            <w:shd w:val="clear" w:color="auto" w:fill="auto"/>
            <w:noWrap/>
            <w:vAlign w:val="center"/>
          </w:tcPr>
          <w:p w14:paraId="57F3C1DC" w14:textId="59E0DFB3" w:rsidR="003320CD" w:rsidRPr="00540D60" w:rsidRDefault="003320CD" w:rsidP="003320CD">
            <w:r>
              <w:t>Total</w:t>
            </w:r>
          </w:p>
        </w:tc>
        <w:tc>
          <w:tcPr>
            <w:tcW w:w="951" w:type="dxa"/>
            <w:tcBorders>
              <w:bottom w:val="single" w:sz="4" w:space="0" w:color="auto"/>
            </w:tcBorders>
            <w:shd w:val="clear" w:color="auto" w:fill="auto"/>
            <w:noWrap/>
            <w:vAlign w:val="center"/>
          </w:tcPr>
          <w:p w14:paraId="3D60F7D4" w14:textId="668B575B" w:rsidR="003320CD" w:rsidRPr="00540D60" w:rsidRDefault="003320CD" w:rsidP="0031399D">
            <w:r w:rsidRPr="00540D60">
              <w:t>1481</w:t>
            </w:r>
          </w:p>
        </w:tc>
        <w:tc>
          <w:tcPr>
            <w:tcW w:w="952" w:type="dxa"/>
            <w:tcBorders>
              <w:bottom w:val="single" w:sz="4" w:space="0" w:color="auto"/>
            </w:tcBorders>
            <w:shd w:val="clear" w:color="auto" w:fill="auto"/>
            <w:noWrap/>
            <w:vAlign w:val="center"/>
          </w:tcPr>
          <w:p w14:paraId="4C1050DD" w14:textId="0AA329E2" w:rsidR="003320CD" w:rsidRPr="00540D60" w:rsidRDefault="003320CD" w:rsidP="0031399D">
            <w:r w:rsidRPr="00540D60">
              <w:t>1365</w:t>
            </w:r>
          </w:p>
        </w:tc>
        <w:tc>
          <w:tcPr>
            <w:tcW w:w="952" w:type="dxa"/>
            <w:gridSpan w:val="2"/>
            <w:tcBorders>
              <w:bottom w:val="single" w:sz="4" w:space="0" w:color="auto"/>
            </w:tcBorders>
            <w:shd w:val="clear" w:color="auto" w:fill="auto"/>
            <w:noWrap/>
            <w:vAlign w:val="center"/>
          </w:tcPr>
          <w:p w14:paraId="28FB07C0" w14:textId="308A8531" w:rsidR="003320CD" w:rsidRPr="00540D60" w:rsidRDefault="003320CD" w:rsidP="0031399D">
            <w:r w:rsidRPr="00540D60">
              <w:t>1330</w:t>
            </w:r>
          </w:p>
        </w:tc>
        <w:tc>
          <w:tcPr>
            <w:tcW w:w="951" w:type="dxa"/>
            <w:tcBorders>
              <w:bottom w:val="single" w:sz="4" w:space="0" w:color="auto"/>
            </w:tcBorders>
            <w:shd w:val="clear" w:color="auto" w:fill="auto"/>
            <w:noWrap/>
            <w:vAlign w:val="center"/>
          </w:tcPr>
          <w:p w14:paraId="416525F2" w14:textId="4D246438" w:rsidR="003320CD" w:rsidRPr="00540D60" w:rsidRDefault="003320CD" w:rsidP="0031399D">
            <w:r w:rsidRPr="00540D60">
              <w:t>1382</w:t>
            </w:r>
          </w:p>
        </w:tc>
        <w:tc>
          <w:tcPr>
            <w:tcW w:w="952" w:type="dxa"/>
            <w:tcBorders>
              <w:bottom w:val="single" w:sz="4" w:space="0" w:color="auto"/>
            </w:tcBorders>
            <w:shd w:val="clear" w:color="auto" w:fill="auto"/>
            <w:noWrap/>
            <w:vAlign w:val="center"/>
          </w:tcPr>
          <w:p w14:paraId="606D7C8B" w14:textId="082593C3" w:rsidR="003320CD" w:rsidRPr="00540D60" w:rsidRDefault="003320CD" w:rsidP="0031399D">
            <w:r w:rsidRPr="00540D60">
              <w:t>1302</w:t>
            </w:r>
          </w:p>
        </w:tc>
        <w:tc>
          <w:tcPr>
            <w:tcW w:w="952" w:type="dxa"/>
            <w:gridSpan w:val="2"/>
            <w:tcBorders>
              <w:bottom w:val="single" w:sz="4" w:space="0" w:color="auto"/>
            </w:tcBorders>
            <w:shd w:val="clear" w:color="auto" w:fill="auto"/>
            <w:noWrap/>
            <w:vAlign w:val="center"/>
          </w:tcPr>
          <w:p w14:paraId="634FD336" w14:textId="24A24408" w:rsidR="003320CD" w:rsidRPr="00540D60" w:rsidRDefault="003320CD" w:rsidP="0031399D">
            <w:r w:rsidRPr="00540D60">
              <w:t>1257</w:t>
            </w:r>
          </w:p>
        </w:tc>
        <w:tc>
          <w:tcPr>
            <w:tcW w:w="952" w:type="dxa"/>
            <w:tcBorders>
              <w:bottom w:val="single" w:sz="4" w:space="0" w:color="auto"/>
            </w:tcBorders>
            <w:shd w:val="clear" w:color="auto" w:fill="auto"/>
            <w:noWrap/>
            <w:vAlign w:val="center"/>
          </w:tcPr>
          <w:p w14:paraId="08669BFB" w14:textId="0018B67C" w:rsidR="003320CD" w:rsidRPr="00540D60" w:rsidRDefault="003320CD" w:rsidP="0031399D">
            <w:r w:rsidRPr="00540D60">
              <w:t>1228</w:t>
            </w:r>
          </w:p>
        </w:tc>
        <w:tc>
          <w:tcPr>
            <w:tcW w:w="1197" w:type="dxa"/>
            <w:tcBorders>
              <w:bottom w:val="single" w:sz="4" w:space="0" w:color="auto"/>
            </w:tcBorders>
            <w:vAlign w:val="center"/>
          </w:tcPr>
          <w:p w14:paraId="637AAC18" w14:textId="4F1D62C7" w:rsidR="003320CD" w:rsidRPr="00540D60" w:rsidRDefault="003320CD" w:rsidP="0031399D">
            <w:r w:rsidRPr="00540D60">
              <w:t>3737</w:t>
            </w:r>
          </w:p>
        </w:tc>
      </w:tr>
    </w:tbl>
    <w:p w14:paraId="1E29DD4C" w14:textId="73B1A2B8" w:rsidR="00B529CB" w:rsidRDefault="00E14C05" w:rsidP="00A53F60">
      <w:pPr>
        <w:pStyle w:val="Caption"/>
      </w:pPr>
      <w:bookmarkStart w:id="16" w:name="_Ref382913564"/>
      <w:r w:rsidRPr="00540D60">
        <w:t>Note: Park-and-ride site closed from 1</w:t>
      </w:r>
      <w:r w:rsidRPr="00540D60">
        <w:rPr>
          <w:vertAlign w:val="superscript"/>
        </w:rPr>
        <w:t>st</w:t>
      </w:r>
      <w:r w:rsidRPr="00540D60">
        <w:t xml:space="preserve"> October</w:t>
      </w:r>
    </w:p>
    <w:p w14:paraId="34E35517" w14:textId="77777777" w:rsidR="00F132E3" w:rsidRDefault="00F132E3" w:rsidP="00F132E3"/>
    <w:bookmarkEnd w:id="16"/>
    <w:p w14:paraId="001B4252" w14:textId="6BCAA46E" w:rsidR="006970D1" w:rsidRDefault="00F44880" w:rsidP="008004C3">
      <w:r>
        <w:t>T</w:t>
      </w:r>
      <w:r w:rsidR="00624094" w:rsidRPr="00540D60">
        <w:t xml:space="preserve">he distinct vehicles </w:t>
      </w:r>
      <w:r w:rsidR="00624094">
        <w:t xml:space="preserve">identified in </w:t>
      </w:r>
      <w:r w:rsidR="00624094" w:rsidRPr="00B41728">
        <w:fldChar w:fldCharType="begin"/>
      </w:r>
      <w:r w:rsidR="00624094" w:rsidRPr="00B41728">
        <w:instrText xml:space="preserve"> REF _Ref382913343 \h  \* MERGEFORMAT </w:instrText>
      </w:r>
      <w:r w:rsidR="00624094" w:rsidRPr="00B41728">
        <w:fldChar w:fldCharType="separate"/>
      </w:r>
      <w:r w:rsidR="00624094" w:rsidRPr="00B41728">
        <w:t xml:space="preserve">Table </w:t>
      </w:r>
      <w:r w:rsidR="00624094" w:rsidRPr="00B41728">
        <w:rPr>
          <w:noProof/>
        </w:rPr>
        <w:t>5</w:t>
      </w:r>
      <w:r w:rsidR="00624094" w:rsidRPr="00B41728">
        <w:fldChar w:fldCharType="end"/>
      </w:r>
      <w:r w:rsidR="00624094" w:rsidRPr="00B41728">
        <w:t xml:space="preserve"> </w:t>
      </w:r>
      <w:r w:rsidR="00624094" w:rsidRPr="00540D60">
        <w:t xml:space="preserve">were analysed </w:t>
      </w:r>
      <w:r>
        <w:t xml:space="preserve">further to </w:t>
      </w:r>
      <w:r w:rsidRPr="00540D60">
        <w:t>assess the extent of regularity over the whole period</w:t>
      </w:r>
      <w:r>
        <w:t>. This was done by determining</w:t>
      </w:r>
      <w:r w:rsidR="00624094" w:rsidRPr="00540D60">
        <w:t xml:space="preserve"> in how many of the seven rolling 4-month periods they were identified as being regular. The results suggested that only around 10% of these vehicles had been defined as regular for all seven periods, while around 25-30% were only defined as regular in one of the seven periods (</w:t>
      </w:r>
      <w:r w:rsidR="00624094" w:rsidRPr="00540D60">
        <w:fldChar w:fldCharType="begin"/>
      </w:r>
      <w:r w:rsidR="00624094" w:rsidRPr="00540D60">
        <w:instrText xml:space="preserve"> REF _Ref443573799 \h </w:instrText>
      </w:r>
      <w:r w:rsidR="00624094" w:rsidRPr="00540D60">
        <w:fldChar w:fldCharType="separate"/>
      </w:r>
      <w:r w:rsidR="00624094" w:rsidRPr="00540D60">
        <w:t xml:space="preserve">Figure </w:t>
      </w:r>
      <w:r w:rsidR="00624094">
        <w:rPr>
          <w:noProof/>
        </w:rPr>
        <w:t>7</w:t>
      </w:r>
      <w:r w:rsidR="00624094" w:rsidRPr="00540D60">
        <w:fldChar w:fldCharType="end"/>
      </w:r>
      <w:r w:rsidR="00624094" w:rsidRPr="00540D60">
        <w:t>).</w:t>
      </w:r>
    </w:p>
    <w:p w14:paraId="33D84BD9" w14:textId="77777777" w:rsidR="00624094" w:rsidRPr="00540D60" w:rsidRDefault="00624094" w:rsidP="0031399D"/>
    <w:p w14:paraId="101D3885" w14:textId="2761C716" w:rsidR="00DE4219" w:rsidRPr="00540D60" w:rsidRDefault="00C11A50" w:rsidP="0031399D">
      <w:r>
        <w:rPr>
          <w:noProof/>
          <w:lang w:eastAsia="en-GB"/>
        </w:rPr>
        <w:drawing>
          <wp:inline distT="0" distB="0" distL="0" distR="0" wp14:anchorId="6D1F4BE4" wp14:editId="4D5BA407">
            <wp:extent cx="5257800" cy="31908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606BF0F" w14:textId="77777777" w:rsidR="00753ED7" w:rsidRDefault="00753ED7" w:rsidP="00F74345">
      <w:pPr>
        <w:pStyle w:val="Caption"/>
      </w:pPr>
      <w:bookmarkStart w:id="17" w:name="_Ref443573799"/>
    </w:p>
    <w:p w14:paraId="0196F05C" w14:textId="0845E5CA" w:rsidR="00D05F27" w:rsidRPr="00540D60" w:rsidRDefault="00D05F27" w:rsidP="00F74345">
      <w:pPr>
        <w:pStyle w:val="Caption"/>
      </w:pPr>
      <w:r w:rsidRPr="00540D60">
        <w:t xml:space="preserve">Figure </w:t>
      </w:r>
      <w:fldSimple w:instr=" SEQ Figure \* ARABIC ">
        <w:r w:rsidR="00552672">
          <w:rPr>
            <w:noProof/>
          </w:rPr>
          <w:t>7</w:t>
        </w:r>
      </w:fldSimple>
      <w:bookmarkEnd w:id="17"/>
      <w:r w:rsidR="00F74345">
        <w:rPr>
          <w:noProof/>
        </w:rPr>
        <w:t>.</w:t>
      </w:r>
      <w:r w:rsidRPr="00540D60">
        <w:t xml:space="preserve"> Regularity duration</w:t>
      </w:r>
    </w:p>
    <w:p w14:paraId="0E0F720C" w14:textId="77777777" w:rsidR="00D05F27" w:rsidRPr="00540D60" w:rsidRDefault="00D05F27" w:rsidP="0031399D"/>
    <w:p w14:paraId="73F3CAAD" w14:textId="76C41E37" w:rsidR="009C30B7" w:rsidRDefault="00B51756" w:rsidP="00B41728">
      <w:r>
        <w:t>An alternative representation of churn is</w:t>
      </w:r>
      <w:r w:rsidR="00023B46">
        <w:t xml:space="preserve"> the rate of decay </w:t>
      </w:r>
      <w:r w:rsidR="00555208" w:rsidRPr="00540D60">
        <w:t xml:space="preserve">at which a defined </w:t>
      </w:r>
      <w:r w:rsidR="002F1E17" w:rsidRPr="00540D60">
        <w:t>pool</w:t>
      </w:r>
      <w:r w:rsidR="00555208" w:rsidRPr="00540D60">
        <w:t xml:space="preserve"> of regular vehicles ceases to be regular over time. </w:t>
      </w:r>
      <w:r w:rsidR="00B41728">
        <w:t xml:space="preserve">This corresponds to the rate at which regular vehicles would be lost from the system if the pool was not updated at regular intervals. </w:t>
      </w:r>
      <w:r w:rsidR="00555208" w:rsidRPr="00540D60">
        <w:t xml:space="preserve">This was illustrated by considering the </w:t>
      </w:r>
      <w:r w:rsidR="00D05F27" w:rsidRPr="00540D60">
        <w:t>v</w:t>
      </w:r>
      <w:r w:rsidR="00555208" w:rsidRPr="00540D60">
        <w:t xml:space="preserve">ehicles that were defined as regular </w:t>
      </w:r>
      <w:r w:rsidR="00D05F27" w:rsidRPr="00540D60">
        <w:t>i</w:t>
      </w:r>
      <w:r w:rsidR="00555208" w:rsidRPr="00540D60">
        <w:t xml:space="preserve">n </w:t>
      </w:r>
      <w:r w:rsidR="00AD2B92" w:rsidRPr="00540D60">
        <w:t xml:space="preserve">the first 4-month </w:t>
      </w:r>
      <w:r w:rsidR="00555208" w:rsidRPr="00540D60">
        <w:t>period</w:t>
      </w:r>
      <w:r w:rsidR="00AD2B92" w:rsidRPr="00540D60">
        <w:t xml:space="preserve"> (April-July, 2013) </w:t>
      </w:r>
      <w:r w:rsidR="00555208" w:rsidRPr="00540D60">
        <w:t xml:space="preserve">and </w:t>
      </w:r>
      <w:r w:rsidR="00AD2B92" w:rsidRPr="00540D60">
        <w:t>de</w:t>
      </w:r>
      <w:r w:rsidR="00135433" w:rsidRPr="00540D60">
        <w:t>termining the proportion</w:t>
      </w:r>
      <w:r w:rsidR="00AD2B92" w:rsidRPr="00540D60">
        <w:t xml:space="preserve"> that </w:t>
      </w:r>
      <w:r w:rsidR="00555208" w:rsidRPr="00540D60">
        <w:t xml:space="preserve">continued to be defined as regular in </w:t>
      </w:r>
      <w:r>
        <w:t xml:space="preserve">the </w:t>
      </w:r>
      <w:r w:rsidR="00555208" w:rsidRPr="00540D60">
        <w:t xml:space="preserve">subsequent </w:t>
      </w:r>
      <w:r>
        <w:t xml:space="preserve">rolling 4-month </w:t>
      </w:r>
      <w:r w:rsidR="00555208" w:rsidRPr="00540D60">
        <w:t>periods</w:t>
      </w:r>
      <w:r w:rsidR="00A31386" w:rsidRPr="00540D60">
        <w:t xml:space="preserve"> (</w:t>
      </w:r>
      <w:r w:rsidR="007B4C6A" w:rsidRPr="00540D60">
        <w:fldChar w:fldCharType="begin"/>
      </w:r>
      <w:r w:rsidR="007B4C6A" w:rsidRPr="00540D60">
        <w:instrText xml:space="preserve"> REF _Ref413748679 \h </w:instrText>
      </w:r>
      <w:r w:rsidR="007B4C6A" w:rsidRPr="00540D60">
        <w:fldChar w:fldCharType="separate"/>
      </w:r>
      <w:r w:rsidR="00552672" w:rsidRPr="00540D60">
        <w:t xml:space="preserve">Figure </w:t>
      </w:r>
      <w:r w:rsidR="00552672">
        <w:rPr>
          <w:noProof/>
        </w:rPr>
        <w:t>8</w:t>
      </w:r>
      <w:r w:rsidR="007B4C6A" w:rsidRPr="00540D60">
        <w:fldChar w:fldCharType="end"/>
      </w:r>
      <w:r w:rsidR="00A31386" w:rsidRPr="00540D60">
        <w:t>)</w:t>
      </w:r>
      <w:r w:rsidR="00555208" w:rsidRPr="00540D60">
        <w:t xml:space="preserve">. </w:t>
      </w:r>
      <w:r w:rsidR="002F1E17" w:rsidRPr="00540D60">
        <w:t xml:space="preserve">This </w:t>
      </w:r>
      <w:r w:rsidR="00AD2B92" w:rsidRPr="00540D60">
        <w:t>show</w:t>
      </w:r>
      <w:r w:rsidR="00CA000E">
        <w:t>ed</w:t>
      </w:r>
      <w:r w:rsidR="00AD2B92" w:rsidRPr="00540D60">
        <w:t xml:space="preserve"> </w:t>
      </w:r>
      <w:r w:rsidR="002F1E17" w:rsidRPr="00540D60">
        <w:t xml:space="preserve">an immediate reduction in the pool size, from the first to second period, at all </w:t>
      </w:r>
      <w:r>
        <w:t>sites</w:t>
      </w:r>
      <w:r w:rsidR="00AD2B92" w:rsidRPr="00540D60">
        <w:t>,</w:t>
      </w:r>
      <w:r w:rsidR="002F1E17" w:rsidRPr="00540D60">
        <w:t xml:space="preserve"> of</w:t>
      </w:r>
      <w:r w:rsidR="00E517B7" w:rsidRPr="00540D60">
        <w:t xml:space="preserve"> </w:t>
      </w:r>
      <w:r w:rsidR="002F1E17" w:rsidRPr="00540D60">
        <w:t>between 26</w:t>
      </w:r>
      <w:r w:rsidR="00553916" w:rsidRPr="00540D60">
        <w:t>%</w:t>
      </w:r>
      <w:r w:rsidR="00E517B7" w:rsidRPr="00540D60">
        <w:t xml:space="preserve"> </w:t>
      </w:r>
      <w:r w:rsidR="002F1E17" w:rsidRPr="00540D60">
        <w:t>and 31</w:t>
      </w:r>
      <w:r w:rsidR="00553916" w:rsidRPr="00540D60">
        <w:t>%</w:t>
      </w:r>
      <w:r w:rsidR="00CA000E">
        <w:t>,</w:t>
      </w:r>
      <w:r w:rsidR="009C30B7" w:rsidRPr="00540D60">
        <w:t xml:space="preserve"> </w:t>
      </w:r>
      <w:r w:rsidR="00AD2B92" w:rsidRPr="00540D60">
        <w:t xml:space="preserve">and a steady decline thereafter, </w:t>
      </w:r>
      <w:r w:rsidR="00CE3FDB" w:rsidRPr="00540D60">
        <w:t xml:space="preserve">with a half-life of around three months (i.e. </w:t>
      </w:r>
      <w:r w:rsidR="005C4E00">
        <w:t xml:space="preserve">the </w:t>
      </w:r>
      <w:r w:rsidR="00CE3FDB" w:rsidRPr="00540D60">
        <w:t xml:space="preserve">pool halves in size every three months). </w:t>
      </w:r>
      <w:r w:rsidR="00135433" w:rsidRPr="00540D60">
        <w:t>S</w:t>
      </w:r>
      <w:r w:rsidR="00874AAD" w:rsidRPr="00540D60">
        <w:t xml:space="preserve">imilar decay rates were also observed </w:t>
      </w:r>
      <w:r w:rsidR="00135433" w:rsidRPr="00540D60">
        <w:t>when</w:t>
      </w:r>
      <w:r w:rsidR="00874AAD" w:rsidRPr="00540D60">
        <w:t xml:space="preserve"> the May-August, </w:t>
      </w:r>
      <w:r w:rsidR="00135433" w:rsidRPr="00540D60">
        <w:t>2013</w:t>
      </w:r>
      <w:r w:rsidR="008047C1" w:rsidRPr="00540D60">
        <w:t>,</w:t>
      </w:r>
      <w:r w:rsidR="00135433" w:rsidRPr="00540D60">
        <w:t xml:space="preserve"> </w:t>
      </w:r>
      <w:r w:rsidR="00135433" w:rsidRPr="00540D60">
        <w:lastRenderedPageBreak/>
        <w:t xml:space="preserve">period </w:t>
      </w:r>
      <w:r w:rsidR="00A446A8">
        <w:t xml:space="preserve">was taken as </w:t>
      </w:r>
      <w:r w:rsidR="00135433" w:rsidRPr="00540D60">
        <w:t>the initial pool</w:t>
      </w:r>
      <w:r w:rsidR="00874AAD" w:rsidRPr="00540D60">
        <w:t xml:space="preserve">. </w:t>
      </w:r>
      <w:r w:rsidR="00B41728">
        <w:t xml:space="preserve">This would suggest that any system making use of pools of identified regular vehicles would need to be updated at least quarterly. </w:t>
      </w:r>
    </w:p>
    <w:p w14:paraId="429D9433" w14:textId="77777777" w:rsidR="00C11A50" w:rsidRPr="00540D60" w:rsidRDefault="00C11A50" w:rsidP="0031399D"/>
    <w:p w14:paraId="65DC52B3" w14:textId="1EC5A0F5" w:rsidR="00F132E3" w:rsidRPr="00540D60" w:rsidRDefault="00F132E3" w:rsidP="0031399D">
      <w:r>
        <w:rPr>
          <w:noProof/>
          <w:lang w:eastAsia="en-GB"/>
        </w:rPr>
        <w:drawing>
          <wp:inline distT="0" distB="0" distL="0" distR="0" wp14:anchorId="1EBCACB9" wp14:editId="19378908">
            <wp:extent cx="5257800" cy="317182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C5EC0CB" w14:textId="4F8FABAD" w:rsidR="00555208" w:rsidRPr="00540D60" w:rsidRDefault="00555208" w:rsidP="00F74345">
      <w:pPr>
        <w:pStyle w:val="Caption"/>
      </w:pPr>
      <w:bookmarkStart w:id="18" w:name="_Ref413748679"/>
      <w:r w:rsidRPr="00540D60">
        <w:t xml:space="preserve">Figure </w:t>
      </w:r>
      <w:fldSimple w:instr=" SEQ Figure \* ARABIC ">
        <w:r w:rsidR="00552672">
          <w:rPr>
            <w:noProof/>
          </w:rPr>
          <w:t>8</w:t>
        </w:r>
      </w:fldSimple>
      <w:bookmarkEnd w:id="18"/>
      <w:r w:rsidR="00F74345">
        <w:rPr>
          <w:noProof/>
        </w:rPr>
        <w:t>.</w:t>
      </w:r>
      <w:r w:rsidR="0008594E" w:rsidRPr="00540D60">
        <w:t xml:space="preserve"> Decay rate of r</w:t>
      </w:r>
      <w:r w:rsidRPr="00540D60">
        <w:t>egular vehicles</w:t>
      </w:r>
      <w:r w:rsidR="00A53F60">
        <w:t xml:space="preserve"> </w:t>
      </w:r>
      <w:r w:rsidR="00A53F60" w:rsidRPr="00A53F60">
        <w:t>(N</w:t>
      </w:r>
      <w:r w:rsidR="00A53F60" w:rsidRPr="00A53F60">
        <w:rPr>
          <w:rFonts w:ascii="Symbol" w:hAnsi="Symbol" w:cs="Symbol"/>
        </w:rPr>
        <w:t></w:t>
      </w:r>
      <w:r w:rsidR="00A53F60" w:rsidRPr="00A53F60">
        <w:t xml:space="preserve">30, </w:t>
      </w:r>
      <w:r w:rsidR="00A53F60" w:rsidRPr="00A53F60">
        <w:rPr>
          <w:rFonts w:ascii="Symbol" w:hAnsi="Symbol"/>
        </w:rPr>
        <w:t></w:t>
      </w:r>
      <w:r w:rsidR="00A53F60" w:rsidRPr="00A53F60">
        <w:rPr>
          <w:rFonts w:ascii="Symbol" w:hAnsi="Symbol" w:cs="Symbol"/>
        </w:rPr>
        <w:t></w:t>
      </w:r>
      <w:r w:rsidR="00A53F60" w:rsidRPr="00A53F60">
        <w:t>10)</w:t>
      </w:r>
      <w:r w:rsidR="0008594E" w:rsidRPr="00540D60">
        <w:t xml:space="preserve"> </w:t>
      </w:r>
    </w:p>
    <w:p w14:paraId="6A4BC160" w14:textId="13F311AB" w:rsidR="00C56A6C" w:rsidRPr="00540D60" w:rsidRDefault="00C56A6C" w:rsidP="0031399D">
      <w:pPr>
        <w:pStyle w:val="Heading1"/>
      </w:pPr>
      <w:r w:rsidRPr="00540D60">
        <w:t>C</w:t>
      </w:r>
      <w:r w:rsidR="0031399D">
        <w:t>onclusions</w:t>
      </w:r>
      <w:r w:rsidR="00FF7E02">
        <w:t xml:space="preserve"> and further research </w:t>
      </w:r>
    </w:p>
    <w:p w14:paraId="67711999" w14:textId="26E70D19" w:rsidR="00B3247B" w:rsidRPr="00540D60" w:rsidRDefault="005C4E00" w:rsidP="00A0521A">
      <w:pPr>
        <w:rPr>
          <w:noProof/>
        </w:rPr>
      </w:pPr>
      <w:r>
        <w:t>This research</w:t>
      </w:r>
      <w:r w:rsidR="00E14C05" w:rsidRPr="00540D60">
        <w:t xml:space="preserve"> ha</w:t>
      </w:r>
      <w:r w:rsidR="00127F54" w:rsidRPr="00540D60">
        <w:t>s</w:t>
      </w:r>
      <w:r w:rsidR="00E14C05" w:rsidRPr="00540D60">
        <w:t xml:space="preserve"> demonstrated</w:t>
      </w:r>
      <w:r w:rsidR="00AD15EA" w:rsidRPr="00540D60">
        <w:t xml:space="preserve"> </w:t>
      </w:r>
      <w:r w:rsidR="000F3023">
        <w:t>how</w:t>
      </w:r>
      <w:r w:rsidR="00127F54" w:rsidRPr="00540D60">
        <w:t xml:space="preserve"> </w:t>
      </w:r>
      <w:r w:rsidR="00E14C05" w:rsidRPr="00540D60">
        <w:t xml:space="preserve">ubiquitous </w:t>
      </w:r>
      <w:r w:rsidR="00AD15EA" w:rsidRPr="00540D60">
        <w:t xml:space="preserve">ANPR data </w:t>
      </w:r>
      <w:r w:rsidR="000F3023">
        <w:t>may</w:t>
      </w:r>
      <w:r w:rsidR="005D39AE">
        <w:t xml:space="preserve"> be utilised </w:t>
      </w:r>
      <w:r w:rsidR="00B57467" w:rsidRPr="00540D60">
        <w:t xml:space="preserve">for </w:t>
      </w:r>
      <w:r w:rsidR="000F3023">
        <w:t xml:space="preserve">identification of </w:t>
      </w:r>
      <w:r w:rsidR="00895A6F" w:rsidRPr="00540D60">
        <w:t>regular</w:t>
      </w:r>
      <w:r w:rsidR="000F3023">
        <w:t xml:space="preserve"> vehicles within the traffic stream, with potential applications in traffic </w:t>
      </w:r>
      <w:r w:rsidR="001709D9">
        <w:t xml:space="preserve">planning and </w:t>
      </w:r>
      <w:r w:rsidR="000F3023">
        <w:t>management, traffic information provision, or for more general stud</w:t>
      </w:r>
      <w:r w:rsidR="008B2C0B">
        <w:t>y of returning traffic</w:t>
      </w:r>
      <w:r w:rsidR="000F3023">
        <w:t xml:space="preserve">. </w:t>
      </w:r>
      <w:r w:rsidR="00C0580A">
        <w:t xml:space="preserve">The </w:t>
      </w:r>
      <w:r w:rsidR="000F3023">
        <w:t xml:space="preserve">research </w:t>
      </w:r>
      <w:r w:rsidR="00C0580A">
        <w:t xml:space="preserve">presented here </w:t>
      </w:r>
      <w:r w:rsidR="000F3023">
        <w:t>focused on regularity at specific points within the network and for time intervals of particular interest</w:t>
      </w:r>
      <w:r w:rsidR="00C0580A">
        <w:t xml:space="preserve">, where, for example, approximately one-fifth of vehicles were defined to be regular during the morning peak according </w:t>
      </w:r>
      <w:r w:rsidR="00A810AC" w:rsidRPr="00540D60">
        <w:t xml:space="preserve">to the </w:t>
      </w:r>
      <w:r w:rsidR="00B57467" w:rsidRPr="00540D60">
        <w:t xml:space="preserve">definition </w:t>
      </w:r>
      <w:r w:rsidR="00A810AC" w:rsidRPr="00540D60">
        <w:t>used (</w:t>
      </w:r>
      <w:r w:rsidR="00C0580A" w:rsidRPr="00540D60">
        <w:t>N</w:t>
      </w:r>
      <w:r w:rsidR="00C0580A" w:rsidRPr="00540D60">
        <w:rPr>
          <w:rFonts w:ascii="Symbol" w:hAnsi="Symbol" w:cs="Symbol"/>
        </w:rPr>
        <w:t></w:t>
      </w:r>
      <w:r w:rsidR="00C0580A" w:rsidRPr="00540D60">
        <w:t>30</w:t>
      </w:r>
      <w:r w:rsidR="00C0580A">
        <w:t xml:space="preserve">, </w:t>
      </w:r>
      <w:r w:rsidR="00C0580A" w:rsidRPr="00540D60">
        <w:rPr>
          <w:rFonts w:ascii="Symbol" w:hAnsi="Symbol"/>
        </w:rPr>
        <w:t></w:t>
      </w:r>
      <w:r w:rsidR="00C0580A" w:rsidRPr="00540D60">
        <w:rPr>
          <w:rFonts w:ascii="Symbol" w:hAnsi="Symbol"/>
        </w:rPr>
        <w:t></w:t>
      </w:r>
      <w:r w:rsidR="00C0580A" w:rsidRPr="00540D60">
        <w:rPr>
          <w:rFonts w:ascii="Symbol" w:hAnsi="Symbol" w:cs="Symbol"/>
        </w:rPr>
        <w:t></w:t>
      </w:r>
      <w:r w:rsidR="00C0580A" w:rsidRPr="00540D60">
        <w:rPr>
          <w:rFonts w:ascii="Symbol" w:hAnsi="Symbol" w:cs="Symbol"/>
        </w:rPr>
        <w:t></w:t>
      </w:r>
      <w:r w:rsidR="00C0580A" w:rsidRPr="00540D60">
        <w:t>10</w:t>
      </w:r>
      <w:r w:rsidR="00C0580A">
        <w:t>), while very few vehicles were defined to be regular in the afternoon</w:t>
      </w:r>
      <w:r w:rsidR="00A0521A">
        <w:t xml:space="preserve"> peak</w:t>
      </w:r>
      <w:r w:rsidR="00C0580A">
        <w:t xml:space="preserve">, reaffirming other studies that have indicated </w:t>
      </w:r>
      <w:r w:rsidR="0030572A" w:rsidRPr="00540D60">
        <w:t xml:space="preserve">greater variation in travel </w:t>
      </w:r>
      <w:r w:rsidR="00C0580A">
        <w:t>behaviour a</w:t>
      </w:r>
      <w:r w:rsidR="0030572A" w:rsidRPr="00540D60">
        <w:t>s part of the commute home</w:t>
      </w:r>
      <w:r w:rsidR="00B3247B" w:rsidRPr="00540D60">
        <w:t>.</w:t>
      </w:r>
    </w:p>
    <w:p w14:paraId="5E64D322" w14:textId="77777777" w:rsidR="001D6FB2" w:rsidRDefault="001D6FB2" w:rsidP="0031399D"/>
    <w:p w14:paraId="715BE971" w14:textId="3E3E10C6" w:rsidR="0053659F" w:rsidRPr="00540D60" w:rsidRDefault="0053659F" w:rsidP="0036783F">
      <w:pPr>
        <w:rPr>
          <w:noProof/>
        </w:rPr>
      </w:pPr>
      <w:r w:rsidRPr="00540D60">
        <w:t>An investigation of</w:t>
      </w:r>
      <w:r w:rsidR="00B3247B" w:rsidRPr="00540D60">
        <w:t xml:space="preserve"> </w:t>
      </w:r>
      <w:r w:rsidRPr="00540D60">
        <w:t xml:space="preserve">the extent to which </w:t>
      </w:r>
      <w:r w:rsidR="00F43DCD">
        <w:t xml:space="preserve">a </w:t>
      </w:r>
      <w:r w:rsidRPr="00540D60">
        <w:t xml:space="preserve">pool of </w:t>
      </w:r>
      <w:r w:rsidR="00F43DCD">
        <w:t xml:space="preserve">identified </w:t>
      </w:r>
      <w:r w:rsidRPr="00540D60">
        <w:t>regular vehicles change</w:t>
      </w:r>
      <w:r w:rsidR="00A810AC" w:rsidRPr="00540D60">
        <w:t>d</w:t>
      </w:r>
      <w:r w:rsidRPr="00540D60">
        <w:t xml:space="preserve"> over time suggested </w:t>
      </w:r>
      <w:r w:rsidR="00A810AC" w:rsidRPr="00540D60">
        <w:t>not only a seasonal decline in numbers, reflecting seasonal decline in overall flows, but also a c</w:t>
      </w:r>
      <w:r w:rsidR="000331BC" w:rsidRPr="00540D60">
        <w:t xml:space="preserve">onsiderable amount of </w:t>
      </w:r>
      <w:r w:rsidR="00A810AC" w:rsidRPr="00540D60">
        <w:t>churn, wit</w:t>
      </w:r>
      <w:r w:rsidRPr="00540D60">
        <w:t>h only</w:t>
      </w:r>
      <w:r w:rsidR="00B3247B" w:rsidRPr="00540D60">
        <w:t xml:space="preserve"> 10%</w:t>
      </w:r>
      <w:r w:rsidRPr="00540D60">
        <w:t xml:space="preserve"> </w:t>
      </w:r>
      <w:r w:rsidR="00A810AC" w:rsidRPr="00540D60">
        <w:t xml:space="preserve">of vehicles </w:t>
      </w:r>
      <w:r w:rsidRPr="00540D60">
        <w:t xml:space="preserve">being </w:t>
      </w:r>
      <w:r w:rsidR="00F43DCD">
        <w:t xml:space="preserve">consistently regular over the period and </w:t>
      </w:r>
      <w:r w:rsidRPr="00540D60">
        <w:t>with</w:t>
      </w:r>
      <w:r w:rsidR="00B3247B" w:rsidRPr="00540D60">
        <w:t xml:space="preserve"> 25-30% </w:t>
      </w:r>
      <w:r w:rsidR="00A810AC" w:rsidRPr="00540D60">
        <w:t xml:space="preserve">only defined as </w:t>
      </w:r>
      <w:r w:rsidR="00B3247B" w:rsidRPr="00540D60">
        <w:t xml:space="preserve">regular </w:t>
      </w:r>
      <w:r w:rsidR="00F43DCD">
        <w:t xml:space="preserve">once. </w:t>
      </w:r>
      <w:r w:rsidRPr="00540D60">
        <w:t xml:space="preserve">The findings suggest that </w:t>
      </w:r>
      <w:r w:rsidR="00A810AC" w:rsidRPr="00540D60">
        <w:t xml:space="preserve">any </w:t>
      </w:r>
      <w:r w:rsidR="000331BC" w:rsidRPr="00540D60">
        <w:t xml:space="preserve">database of </w:t>
      </w:r>
      <w:r w:rsidRPr="00540D60">
        <w:t>regular drivers, derived from ANPR data</w:t>
      </w:r>
      <w:r w:rsidR="00A810AC" w:rsidRPr="00540D60">
        <w:t xml:space="preserve"> and using a similar definition of regularity</w:t>
      </w:r>
      <w:r w:rsidR="008815ED" w:rsidRPr="00540D60">
        <w:t xml:space="preserve">, </w:t>
      </w:r>
      <w:r w:rsidRPr="00540D60">
        <w:t>would need to be updated</w:t>
      </w:r>
      <w:r w:rsidR="00B643F9" w:rsidRPr="00540D60">
        <w:t xml:space="preserve"> at least quarterly</w:t>
      </w:r>
      <w:r w:rsidR="00B675D6" w:rsidRPr="00540D60">
        <w:t xml:space="preserve"> to ensure that new regular vehicles are included and that old ones are</w:t>
      </w:r>
      <w:r w:rsidR="009D101F" w:rsidRPr="00540D60">
        <w:t xml:space="preserve"> </w:t>
      </w:r>
      <w:r w:rsidR="00B675D6" w:rsidRPr="00540D60">
        <w:t>discarded</w:t>
      </w:r>
      <w:r w:rsidR="003F0B29">
        <w:t xml:space="preserve"> in a timely fashion</w:t>
      </w:r>
      <w:r w:rsidR="00B675D6" w:rsidRPr="00540D60">
        <w:t xml:space="preserve">. </w:t>
      </w:r>
    </w:p>
    <w:p w14:paraId="5D049DD6" w14:textId="77777777" w:rsidR="001D6FB2" w:rsidRDefault="001D6FB2" w:rsidP="0031399D"/>
    <w:p w14:paraId="1527F675" w14:textId="2BA73A5C" w:rsidR="001D6FB2" w:rsidRDefault="008007F7" w:rsidP="00F75AC8">
      <w:r>
        <w:t>T</w:t>
      </w:r>
      <w:r w:rsidR="00D1518E" w:rsidRPr="00540D60">
        <w:t xml:space="preserve">he </w:t>
      </w:r>
      <w:r w:rsidR="00ED2095">
        <w:t>mean (or median, if preferred)</w:t>
      </w:r>
      <w:r w:rsidR="00D1518E" w:rsidRPr="00540D60">
        <w:t xml:space="preserve"> standard score</w:t>
      </w:r>
      <w:r w:rsidR="00013346" w:rsidRPr="00540D60">
        <w:t xml:space="preserve"> statistic</w:t>
      </w:r>
      <w:r w:rsidR="00ED2095">
        <w:t xml:space="preserve"> </w:t>
      </w:r>
      <w:r>
        <w:t xml:space="preserve">provides a summary of how late (or early) </w:t>
      </w:r>
      <w:r w:rsidR="00A0521A">
        <w:t>an identified pool of r</w:t>
      </w:r>
      <w:r>
        <w:t xml:space="preserve">egular drivers </w:t>
      </w:r>
      <w:r w:rsidR="00ED2095">
        <w:t xml:space="preserve">is at a site, </w:t>
      </w:r>
      <w:r>
        <w:t xml:space="preserve">compared to average arrival times, </w:t>
      </w:r>
      <w:r w:rsidR="00ED2095">
        <w:t xml:space="preserve">and </w:t>
      </w:r>
      <w:r w:rsidR="00132A61">
        <w:t xml:space="preserve">can </w:t>
      </w:r>
      <w:r>
        <w:t xml:space="preserve">be used as an indicator of </w:t>
      </w:r>
      <w:r w:rsidR="00A0521A">
        <w:t xml:space="preserve">daily </w:t>
      </w:r>
      <w:r>
        <w:t>network performance</w:t>
      </w:r>
      <w:r w:rsidR="00ED2095">
        <w:t xml:space="preserve">. This </w:t>
      </w:r>
      <w:r w:rsidR="006400FF">
        <w:t>may be use</w:t>
      </w:r>
      <w:r w:rsidR="00ED2095">
        <w:t xml:space="preserve">d </w:t>
      </w:r>
      <w:r w:rsidR="006400FF">
        <w:t xml:space="preserve">for traffic </w:t>
      </w:r>
      <w:r w:rsidR="00A0521A">
        <w:t xml:space="preserve">planning </w:t>
      </w:r>
      <w:r w:rsidR="006400FF">
        <w:t>purposes</w:t>
      </w:r>
      <w:r w:rsidR="00ED2095">
        <w:t xml:space="preserve"> or,</w:t>
      </w:r>
      <w:r w:rsidR="006400FF">
        <w:t xml:space="preserve"> more dynamically,</w:t>
      </w:r>
      <w:r w:rsidR="00132A61">
        <w:t xml:space="preserve"> as an indicator of network incidents; however, its practical usefulness </w:t>
      </w:r>
      <w:r w:rsidR="008B2C0B">
        <w:t xml:space="preserve">for the latter </w:t>
      </w:r>
      <w:r w:rsidR="00132A61">
        <w:t>may be limited due to</w:t>
      </w:r>
      <w:r w:rsidR="001709D9">
        <w:t xml:space="preserve"> </w:t>
      </w:r>
      <w:r w:rsidR="00132A61">
        <w:t xml:space="preserve">latency </w:t>
      </w:r>
      <w:r w:rsidR="00F75AC8">
        <w:t xml:space="preserve">(delay between a specific </w:t>
      </w:r>
      <w:r w:rsidR="00F75AC8">
        <w:lastRenderedPageBreak/>
        <w:t xml:space="preserve">incident occurring and </w:t>
      </w:r>
      <w:r w:rsidR="00132A61">
        <w:t>vehicles arriving at a location</w:t>
      </w:r>
      <w:r w:rsidR="00F75AC8">
        <w:t xml:space="preserve">) </w:t>
      </w:r>
      <w:r w:rsidR="00132A61">
        <w:t xml:space="preserve">and </w:t>
      </w:r>
      <w:r w:rsidR="00A0521A">
        <w:t xml:space="preserve">as </w:t>
      </w:r>
      <w:r w:rsidR="00132A61">
        <w:t xml:space="preserve">it provides no </w:t>
      </w:r>
      <w:r w:rsidR="00A0521A">
        <w:t xml:space="preserve">explanatory </w:t>
      </w:r>
      <w:r w:rsidR="00132A61">
        <w:t xml:space="preserve">information about the cause or location of any incident. </w:t>
      </w:r>
    </w:p>
    <w:p w14:paraId="49769A10" w14:textId="77777777" w:rsidR="00F75AC8" w:rsidRDefault="00F75AC8" w:rsidP="00F75AC8"/>
    <w:p w14:paraId="059AFE8F" w14:textId="16D7ED04" w:rsidR="00127F54" w:rsidRPr="00540D60" w:rsidRDefault="009D101F" w:rsidP="00840E15">
      <w:r w:rsidRPr="00540D60">
        <w:t xml:space="preserve">ANPR data from an area network provides a rich data source with many possibilities for further exploration, such as more in-depth analyses of </w:t>
      </w:r>
      <w:r w:rsidR="00986B90">
        <w:t xml:space="preserve">individual </w:t>
      </w:r>
      <w:r w:rsidRPr="00540D60">
        <w:t xml:space="preserve">vehicle movements between </w:t>
      </w:r>
      <w:r w:rsidR="008108CF">
        <w:t>site</w:t>
      </w:r>
      <w:r w:rsidRPr="00540D60">
        <w:t xml:space="preserve">s </w:t>
      </w:r>
      <w:r w:rsidR="00F43DCD">
        <w:t xml:space="preserve">and at different times of day </w:t>
      </w:r>
      <w:r w:rsidR="00986B90">
        <w:t xml:space="preserve">over a series of days to provide </w:t>
      </w:r>
      <w:r w:rsidR="00F43DCD">
        <w:t xml:space="preserve">mode detailed </w:t>
      </w:r>
      <w:r w:rsidR="00986B90">
        <w:t>insights into intrapersonal behaviour.</w:t>
      </w:r>
      <w:r w:rsidR="00624094">
        <w:t xml:space="preserve"> Such analysis may also reveal </w:t>
      </w:r>
      <w:r w:rsidRPr="00540D60">
        <w:t xml:space="preserve">reasons for </w:t>
      </w:r>
      <w:r w:rsidR="00840E15">
        <w:t xml:space="preserve">the </w:t>
      </w:r>
      <w:r w:rsidRPr="00540D60">
        <w:t xml:space="preserve">observed churn </w:t>
      </w:r>
      <w:r w:rsidR="00840E15">
        <w:t xml:space="preserve">rates </w:t>
      </w:r>
      <w:r w:rsidRPr="00540D60">
        <w:t>of regular</w:t>
      </w:r>
      <w:r w:rsidR="00840E15">
        <w:t>ly returning</w:t>
      </w:r>
      <w:r w:rsidRPr="00540D60">
        <w:t xml:space="preserve"> vehicles</w:t>
      </w:r>
      <w:r w:rsidR="00624094">
        <w:t xml:space="preserve"> </w:t>
      </w:r>
      <w:r w:rsidR="00840E15">
        <w:t xml:space="preserve">at key points in the network, </w:t>
      </w:r>
      <w:r w:rsidR="00624094">
        <w:t>such as v</w:t>
      </w:r>
      <w:r w:rsidR="00706EF1" w:rsidRPr="00540D60">
        <w:t>ehicles</w:t>
      </w:r>
      <w:r w:rsidRPr="00540D60">
        <w:t xml:space="preserve"> </w:t>
      </w:r>
      <w:r w:rsidR="001867DF" w:rsidRPr="00540D60">
        <w:t>disappear</w:t>
      </w:r>
      <w:r w:rsidR="00706EF1" w:rsidRPr="00540D60">
        <w:t xml:space="preserve">ing </w:t>
      </w:r>
      <w:r w:rsidR="001867DF" w:rsidRPr="00540D60">
        <w:t>from the area entirely</w:t>
      </w:r>
      <w:r w:rsidRPr="00540D60">
        <w:t xml:space="preserve">, or using different routes, or travelling </w:t>
      </w:r>
      <w:r w:rsidR="00706EF1" w:rsidRPr="00540D60">
        <w:t>at different time</w:t>
      </w:r>
      <w:r w:rsidRPr="00540D60">
        <w:t>s</w:t>
      </w:r>
      <w:r w:rsidR="00706EF1" w:rsidRPr="00540D60">
        <w:t xml:space="preserve"> of day</w:t>
      </w:r>
      <w:r w:rsidR="00C236D5" w:rsidRPr="00540D60">
        <w:t>.</w:t>
      </w:r>
      <w:r w:rsidR="00706EF1" w:rsidRPr="00540D60">
        <w:t xml:space="preserve"> </w:t>
      </w:r>
      <w:r w:rsidR="0088088D" w:rsidRPr="00540D60">
        <w:t xml:space="preserve">Linking to other vehicle data sets, such as from the </w:t>
      </w:r>
      <w:r w:rsidR="00624094">
        <w:t xml:space="preserve">UK’s </w:t>
      </w:r>
      <w:r w:rsidR="0088088D" w:rsidRPr="00540D60">
        <w:t xml:space="preserve">Driver </w:t>
      </w:r>
      <w:r w:rsidR="00624094">
        <w:t xml:space="preserve">and </w:t>
      </w:r>
      <w:r w:rsidR="0088088D" w:rsidRPr="00540D60">
        <w:t>Vehicle Licensing A</w:t>
      </w:r>
      <w:r w:rsidR="00624094">
        <w:t xml:space="preserve">gency </w:t>
      </w:r>
      <w:r w:rsidR="0088088D" w:rsidRPr="00540D60">
        <w:t xml:space="preserve">(DVLA), could provide further </w:t>
      </w:r>
      <w:r w:rsidR="00840E15">
        <w:t xml:space="preserve">explanatory </w:t>
      </w:r>
      <w:r w:rsidR="0088088D" w:rsidRPr="00540D60">
        <w:t xml:space="preserve">information, such as whether </w:t>
      </w:r>
      <w:r w:rsidR="00624094">
        <w:t xml:space="preserve">a </w:t>
      </w:r>
      <w:r w:rsidR="0088088D" w:rsidRPr="00540D60">
        <w:t xml:space="preserve">vehicle </w:t>
      </w:r>
      <w:r w:rsidR="00624094">
        <w:t xml:space="preserve">has been </w:t>
      </w:r>
      <w:r w:rsidR="00840E15">
        <w:t xml:space="preserve">transferred to another person or taken off the road. </w:t>
      </w:r>
      <w:r w:rsidR="0088088D" w:rsidRPr="00540D60">
        <w:t xml:space="preserve"> </w:t>
      </w:r>
    </w:p>
    <w:p w14:paraId="77467A74" w14:textId="2179E097" w:rsidR="001F725B" w:rsidRPr="002F6F38" w:rsidRDefault="00840E15" w:rsidP="002F6F38">
      <w:pPr>
        <w:spacing w:before="600" w:after="240"/>
        <w:rPr>
          <w:b/>
          <w:bCs/>
          <w:sz w:val="28"/>
          <w:szCs w:val="28"/>
        </w:rPr>
      </w:pPr>
      <w:bookmarkStart w:id="19" w:name="_Toc15982752"/>
      <w:r>
        <w:rPr>
          <w:b/>
          <w:bCs/>
          <w:sz w:val="28"/>
          <w:szCs w:val="28"/>
        </w:rPr>
        <w:t>R</w:t>
      </w:r>
      <w:r w:rsidR="002F6F38" w:rsidRPr="002F6F38">
        <w:rPr>
          <w:b/>
          <w:bCs/>
          <w:sz w:val="28"/>
          <w:szCs w:val="28"/>
        </w:rPr>
        <w:t>eferences</w:t>
      </w:r>
      <w:bookmarkEnd w:id="19"/>
    </w:p>
    <w:p w14:paraId="67EDA920" w14:textId="5085E489" w:rsidR="00DC2226" w:rsidRPr="00540D60" w:rsidRDefault="00430C51" w:rsidP="0031399D">
      <w:r w:rsidRPr="00540D60">
        <w:t xml:space="preserve">Attard, M. and Ison, S. </w:t>
      </w:r>
      <w:r w:rsidR="00CF589A" w:rsidRPr="00540D60">
        <w:t>G. (</w:t>
      </w:r>
      <w:r w:rsidR="00DC2226" w:rsidRPr="00540D60">
        <w:t>2010</w:t>
      </w:r>
      <w:r w:rsidR="00CF589A" w:rsidRPr="00540D60">
        <w:t>)</w:t>
      </w:r>
      <w:r w:rsidR="00DC2226" w:rsidRPr="00540D60">
        <w:t xml:space="preserve">. The implementation of road user charging and the lessons learnt: the case of Valletta, Malta. </w:t>
      </w:r>
      <w:r w:rsidR="00DC2226" w:rsidRPr="00540D60">
        <w:rPr>
          <w:i/>
          <w:iCs/>
        </w:rPr>
        <w:t>Journal of Transport Geography</w:t>
      </w:r>
      <w:r w:rsidR="00DC2226" w:rsidRPr="00540D60">
        <w:t xml:space="preserve">, </w:t>
      </w:r>
      <w:r w:rsidR="00CF589A" w:rsidRPr="00540D60">
        <w:t>18(1)</w:t>
      </w:r>
      <w:r w:rsidR="00DC2226" w:rsidRPr="00540D60">
        <w:t>, 14-22.</w:t>
      </w:r>
      <w:r w:rsidR="003A22B8" w:rsidRPr="00540D60">
        <w:t xml:space="preserve"> </w:t>
      </w:r>
      <w:hyperlink r:id="rId14" w:history="1">
        <w:r w:rsidR="003A22B8" w:rsidRPr="00540D60">
          <w:rPr>
            <w:rStyle w:val="Hyperlink"/>
          </w:rPr>
          <w:t>http://dx.doi.org/10.1016/j.jtrangeo.2009.05.009</w:t>
        </w:r>
      </w:hyperlink>
      <w:r w:rsidR="003A22B8" w:rsidRPr="00540D60">
        <w:rPr>
          <w:color w:val="2E2E2E"/>
        </w:rPr>
        <w:t xml:space="preserve">  </w:t>
      </w:r>
    </w:p>
    <w:p w14:paraId="3FA65618" w14:textId="77777777" w:rsidR="002F6F38" w:rsidRDefault="002F6F38" w:rsidP="0031399D"/>
    <w:p w14:paraId="76E58CFE" w14:textId="77777777" w:rsidR="00097FC3" w:rsidRDefault="005311C2" w:rsidP="0031399D">
      <w:r w:rsidRPr="00CC3067">
        <w:rPr>
          <w:lang w:val="de-DE"/>
        </w:rPr>
        <w:t>Beige, S. a</w:t>
      </w:r>
      <w:r w:rsidR="00FC42E3" w:rsidRPr="00CC3067">
        <w:rPr>
          <w:lang w:val="de-DE"/>
        </w:rPr>
        <w:t>nd Axhausen, K.</w:t>
      </w:r>
      <w:r w:rsidR="00430C51" w:rsidRPr="00CC3067">
        <w:rPr>
          <w:lang w:val="de-DE"/>
        </w:rPr>
        <w:t xml:space="preserve"> </w:t>
      </w:r>
      <w:r w:rsidR="00FC42E3" w:rsidRPr="00CC3067">
        <w:rPr>
          <w:lang w:val="de-DE"/>
        </w:rPr>
        <w:t>W. (2012)</w:t>
      </w:r>
      <w:r w:rsidR="007C56A2" w:rsidRPr="00CC3067">
        <w:rPr>
          <w:lang w:val="de-DE"/>
        </w:rPr>
        <w:t xml:space="preserve">. </w:t>
      </w:r>
      <w:r w:rsidR="00FC42E3" w:rsidRPr="00540D60">
        <w:t>Interdepe</w:t>
      </w:r>
      <w:r w:rsidR="0064566E" w:rsidRPr="00540D60">
        <w:t xml:space="preserve">ndencies between turning points </w:t>
      </w:r>
      <w:r w:rsidR="00FC42E3" w:rsidRPr="00540D60">
        <w:t>in life a</w:t>
      </w:r>
      <w:r w:rsidR="00A11FA2" w:rsidRPr="00540D60">
        <w:t>nd long-term mobility decisions.</w:t>
      </w:r>
      <w:r w:rsidR="00FC42E3" w:rsidRPr="00540D60">
        <w:t xml:space="preserve"> </w:t>
      </w:r>
      <w:r w:rsidR="00FC42E3" w:rsidRPr="00540D60">
        <w:rPr>
          <w:i/>
          <w:iCs/>
        </w:rPr>
        <w:t>Transportation</w:t>
      </w:r>
      <w:r w:rsidR="00FC42E3" w:rsidRPr="00540D60">
        <w:t>, 39(4), 857-872</w:t>
      </w:r>
      <w:r w:rsidR="00CF589A" w:rsidRPr="00540D60">
        <w:t>.</w:t>
      </w:r>
    </w:p>
    <w:p w14:paraId="314198A9" w14:textId="539AE46B" w:rsidR="00FC42E3" w:rsidRPr="00540D60" w:rsidRDefault="0013224B" w:rsidP="0031399D">
      <w:hyperlink r:id="rId15" w:history="1">
        <w:r w:rsidR="003A22B8" w:rsidRPr="00540D60">
          <w:rPr>
            <w:rStyle w:val="Hyperlink"/>
          </w:rPr>
          <w:t>http://dx.doi.org/10.1007/s11116-012-9404-y</w:t>
        </w:r>
      </w:hyperlink>
      <w:r w:rsidR="003A22B8" w:rsidRPr="00540D60">
        <w:t xml:space="preserve"> </w:t>
      </w:r>
    </w:p>
    <w:p w14:paraId="6B41BC52" w14:textId="77777777" w:rsidR="002F6F38" w:rsidRDefault="002F6F38" w:rsidP="0031399D"/>
    <w:p w14:paraId="23491182" w14:textId="7636F29E" w:rsidR="007F68D6" w:rsidRDefault="00CF589A" w:rsidP="0031399D">
      <w:pPr>
        <w:pStyle w:val="NormalWeb"/>
        <w:rPr>
          <w:noProof/>
        </w:rPr>
      </w:pPr>
      <w:r w:rsidRPr="00540D60">
        <w:rPr>
          <w:noProof/>
        </w:rPr>
        <w:t>Bertini, R. L., Lasky, M. and</w:t>
      </w:r>
      <w:r w:rsidR="007F68D6" w:rsidRPr="00540D60">
        <w:rPr>
          <w:noProof/>
        </w:rPr>
        <w:t xml:space="preserve"> Monsere, C. M. (2005). Validating predicted rural corridor travel times from an automated license plate recognition system: Oregon’s frontier project. </w:t>
      </w:r>
      <w:r w:rsidR="007F68D6" w:rsidRPr="00540D60">
        <w:rPr>
          <w:i/>
          <w:iCs/>
          <w:noProof/>
        </w:rPr>
        <w:t xml:space="preserve">Proceedings 2005 IEEE Intelligent Transportation Systems, </w:t>
      </w:r>
      <w:r w:rsidR="007F68D6" w:rsidRPr="00540D60">
        <w:rPr>
          <w:noProof/>
        </w:rPr>
        <w:t xml:space="preserve"> 706–711. </w:t>
      </w:r>
      <w:hyperlink r:id="rId16" w:history="1">
        <w:r w:rsidR="00430C51" w:rsidRPr="00540D60">
          <w:rPr>
            <w:rStyle w:val="Hyperlink"/>
            <w:rFonts w:asciiTheme="majorBidi" w:hAnsiTheme="majorBidi" w:cstheme="majorBidi"/>
            <w:noProof/>
            <w:sz w:val="20"/>
            <w:szCs w:val="20"/>
          </w:rPr>
          <w:t>http://dx.doi.org/10.1109/ITSC.2005.1520134</w:t>
        </w:r>
      </w:hyperlink>
      <w:r w:rsidR="00430C51" w:rsidRPr="00540D60">
        <w:rPr>
          <w:noProof/>
        </w:rPr>
        <w:t xml:space="preserve">  </w:t>
      </w:r>
    </w:p>
    <w:p w14:paraId="5FFF2CCB" w14:textId="77777777" w:rsidR="00730AD8" w:rsidRDefault="00730AD8" w:rsidP="0031399D">
      <w:pPr>
        <w:pStyle w:val="NormalWeb"/>
        <w:rPr>
          <w:noProof/>
        </w:rPr>
      </w:pPr>
    </w:p>
    <w:p w14:paraId="21A76250" w14:textId="1B1BFC3D" w:rsidR="00C024D5" w:rsidRPr="00C024D5" w:rsidRDefault="00C024D5" w:rsidP="0031399D">
      <w:r w:rsidRPr="00C024D5">
        <w:t>B</w:t>
      </w:r>
      <w:r>
        <w:t xml:space="preserve">udhiraja, H. (2005). Network knowledge – its impact on driver response to guidance systems. </w:t>
      </w:r>
      <w:r w:rsidRPr="00C024D5">
        <w:rPr>
          <w:i/>
          <w:iCs/>
        </w:rPr>
        <w:t>Traffic Engineering and Control</w:t>
      </w:r>
      <w:r>
        <w:t>, 46(5), 193-196.</w:t>
      </w:r>
    </w:p>
    <w:p w14:paraId="32A1B110" w14:textId="77777777" w:rsidR="002F6F38" w:rsidRDefault="002F6F38" w:rsidP="0031399D"/>
    <w:p w14:paraId="48123C3E" w14:textId="2D736D75" w:rsidR="004A1521" w:rsidRPr="00540D60" w:rsidRDefault="00F8039F" w:rsidP="0031399D">
      <w:r w:rsidRPr="00540D60">
        <w:t>Cheng, T., Tanaksaranond, G.,</w:t>
      </w:r>
      <w:r w:rsidR="00CF589A" w:rsidRPr="00540D60">
        <w:t xml:space="preserve"> Brunsdon, C. and Haworth, J. (</w:t>
      </w:r>
      <w:r w:rsidRPr="00540D60">
        <w:t>2013</w:t>
      </w:r>
      <w:r w:rsidR="00CF589A" w:rsidRPr="00540D60">
        <w:t>)</w:t>
      </w:r>
      <w:r w:rsidR="00430C51" w:rsidRPr="00540D60">
        <w:t>.</w:t>
      </w:r>
      <w:r w:rsidRPr="00540D60">
        <w:t xml:space="preserve"> Exploratory visualisation of congestion evolutions on urban transport networks. </w:t>
      </w:r>
      <w:r w:rsidRPr="00540D60">
        <w:rPr>
          <w:i/>
          <w:iCs/>
        </w:rPr>
        <w:t>Transportation Research Part</w:t>
      </w:r>
      <w:r w:rsidR="00CF589A" w:rsidRPr="00540D60">
        <w:rPr>
          <w:i/>
          <w:iCs/>
        </w:rPr>
        <w:t xml:space="preserve"> C: Emerging Technologies</w:t>
      </w:r>
      <w:r w:rsidR="00CF589A" w:rsidRPr="00540D60">
        <w:t xml:space="preserve">, </w:t>
      </w:r>
      <w:r w:rsidRPr="00540D60">
        <w:t>36, 296-306.</w:t>
      </w:r>
      <w:r w:rsidR="003A22B8" w:rsidRPr="00540D60">
        <w:t xml:space="preserve"> </w:t>
      </w:r>
      <w:hyperlink r:id="rId17" w:history="1">
        <w:r w:rsidR="003A22B8" w:rsidRPr="00540D60">
          <w:rPr>
            <w:rStyle w:val="Hyperlink"/>
          </w:rPr>
          <w:t>http://dx.doi.org/10.1016/j.trc.2013.09.001</w:t>
        </w:r>
      </w:hyperlink>
      <w:r w:rsidR="003A22B8" w:rsidRPr="00540D60">
        <w:t xml:space="preserve"> </w:t>
      </w:r>
    </w:p>
    <w:p w14:paraId="0012761A" w14:textId="77777777" w:rsidR="002F6F38" w:rsidRDefault="002F6F38" w:rsidP="0031399D"/>
    <w:p w14:paraId="7E9DEDBD" w14:textId="1DD210E2" w:rsidR="004A1521" w:rsidRPr="00540D60" w:rsidRDefault="004A1521" w:rsidP="0031399D">
      <w:pPr>
        <w:rPr>
          <w:noProof/>
        </w:rPr>
      </w:pPr>
      <w:r w:rsidRPr="00540D60">
        <w:t>C</w:t>
      </w:r>
      <w:r w:rsidRPr="00540D60">
        <w:rPr>
          <w:noProof/>
        </w:rPr>
        <w:t>herrett T. J.</w:t>
      </w:r>
      <w:r w:rsidR="00CF589A" w:rsidRPr="00540D60">
        <w:rPr>
          <w:noProof/>
        </w:rPr>
        <w:t xml:space="preserve"> and </w:t>
      </w:r>
      <w:r w:rsidR="00DF3ABA" w:rsidRPr="00540D60">
        <w:rPr>
          <w:noProof/>
        </w:rPr>
        <w:t>McDonald M. (2002). Traffic c</w:t>
      </w:r>
      <w:r w:rsidRPr="00540D60">
        <w:rPr>
          <w:noProof/>
        </w:rPr>
        <w:t xml:space="preserve">omposition during the </w:t>
      </w:r>
      <w:r w:rsidR="00DF3ABA" w:rsidRPr="00540D60">
        <w:rPr>
          <w:noProof/>
        </w:rPr>
        <w:t>m</w:t>
      </w:r>
      <w:r w:rsidRPr="00540D60">
        <w:rPr>
          <w:noProof/>
        </w:rPr>
        <w:t xml:space="preserve">orning </w:t>
      </w:r>
      <w:r w:rsidR="00DF3ABA" w:rsidRPr="00540D60">
        <w:rPr>
          <w:noProof/>
        </w:rPr>
        <w:t>p</w:t>
      </w:r>
      <w:r w:rsidRPr="00540D60">
        <w:rPr>
          <w:noProof/>
        </w:rPr>
        <w:t xml:space="preserve">eak </w:t>
      </w:r>
      <w:r w:rsidR="00DF3ABA" w:rsidRPr="00540D60">
        <w:rPr>
          <w:noProof/>
        </w:rPr>
        <w:t>p</w:t>
      </w:r>
      <w:r w:rsidRPr="00540D60">
        <w:rPr>
          <w:noProof/>
        </w:rPr>
        <w:t>eriod</w:t>
      </w:r>
      <w:r w:rsidR="00DF3ABA" w:rsidRPr="00540D60">
        <w:rPr>
          <w:noProof/>
        </w:rPr>
        <w:t xml:space="preserve"> - implications for u</w:t>
      </w:r>
      <w:r w:rsidRPr="00540D60">
        <w:rPr>
          <w:noProof/>
        </w:rPr>
        <w:t>rb</w:t>
      </w:r>
      <w:r w:rsidR="00CF589A" w:rsidRPr="00540D60">
        <w:rPr>
          <w:noProof/>
        </w:rPr>
        <w:t xml:space="preserve">an </w:t>
      </w:r>
      <w:r w:rsidR="00DF3ABA" w:rsidRPr="00540D60">
        <w:rPr>
          <w:noProof/>
        </w:rPr>
        <w:t>t</w:t>
      </w:r>
      <w:r w:rsidR="00CF589A" w:rsidRPr="00540D60">
        <w:rPr>
          <w:noProof/>
        </w:rPr>
        <w:t xml:space="preserve">raffic </w:t>
      </w:r>
      <w:r w:rsidR="00DF3ABA" w:rsidRPr="00540D60">
        <w:rPr>
          <w:noProof/>
        </w:rPr>
        <w:t>management s</w:t>
      </w:r>
      <w:r w:rsidR="00CF589A" w:rsidRPr="00540D60">
        <w:rPr>
          <w:noProof/>
        </w:rPr>
        <w:t>ystems.</w:t>
      </w:r>
      <w:r w:rsidRPr="00540D60">
        <w:rPr>
          <w:noProof/>
        </w:rPr>
        <w:t xml:space="preserve"> </w:t>
      </w:r>
      <w:r w:rsidRPr="00540D60">
        <w:rPr>
          <w:i/>
          <w:iCs/>
          <w:noProof/>
        </w:rPr>
        <w:t>European Journal of Transportation and Infrastructure Research</w:t>
      </w:r>
      <w:r w:rsidRPr="00540D60">
        <w:rPr>
          <w:noProof/>
        </w:rPr>
        <w:t>, 2</w:t>
      </w:r>
      <w:r w:rsidR="00CF589A" w:rsidRPr="00540D60">
        <w:rPr>
          <w:noProof/>
        </w:rPr>
        <w:t>(1</w:t>
      </w:r>
      <w:r w:rsidRPr="00540D60">
        <w:rPr>
          <w:noProof/>
        </w:rPr>
        <w:t>), 41-55</w:t>
      </w:r>
      <w:r w:rsidR="00CF589A" w:rsidRPr="00540D60">
        <w:rPr>
          <w:noProof/>
        </w:rPr>
        <w:t>.</w:t>
      </w:r>
      <w:r w:rsidR="003A22B8" w:rsidRPr="00540D60">
        <w:rPr>
          <w:noProof/>
        </w:rPr>
        <w:t xml:space="preserve"> </w:t>
      </w:r>
    </w:p>
    <w:p w14:paraId="210AC5E9" w14:textId="77777777" w:rsidR="002F6F38" w:rsidRDefault="002F6F38" w:rsidP="0031399D"/>
    <w:p w14:paraId="67A21449" w14:textId="73B1E3A9" w:rsidR="007F68D6" w:rsidRPr="00540D60" w:rsidRDefault="007F68D6" w:rsidP="0031399D">
      <w:r w:rsidRPr="00540D60">
        <w:t>De</w:t>
      </w:r>
      <w:r w:rsidR="00CF589A" w:rsidRPr="00540D60">
        <w:t>l Mistro, R. and Behrens, R. (</w:t>
      </w:r>
      <w:r w:rsidRPr="00540D60">
        <w:t>2008</w:t>
      </w:r>
      <w:r w:rsidR="00CF589A" w:rsidRPr="00540D60">
        <w:t xml:space="preserve">). </w:t>
      </w:r>
      <w:r w:rsidRPr="00540D60">
        <w:t>How variable is the variability in traffic? How can TDM succeed? 27th Southern African Transport Conference: Partnership for Research and Progress in Transportation, Pretoria.</w:t>
      </w:r>
    </w:p>
    <w:p w14:paraId="4FF129A2" w14:textId="77777777" w:rsidR="007F68D6" w:rsidRPr="00540D60" w:rsidRDefault="007F68D6" w:rsidP="0031399D">
      <w:pPr>
        <w:pStyle w:val="NormalWeb"/>
        <w:rPr>
          <w:noProof/>
        </w:rPr>
      </w:pPr>
    </w:p>
    <w:p w14:paraId="1C771389" w14:textId="43E491B6" w:rsidR="007F68D6" w:rsidRPr="00540D60" w:rsidRDefault="007F68D6" w:rsidP="00395E73">
      <w:pPr>
        <w:pStyle w:val="NormalWeb"/>
      </w:pPr>
      <w:r w:rsidRPr="00540D60">
        <w:rPr>
          <w:noProof/>
        </w:rPr>
        <w:t xml:space="preserve">Department for Environment Food and Rural Affairs (2013). 2013 Government GHG Conversion Factors for Company Reporting : Methodology Paper for Emission Factors. </w:t>
      </w:r>
      <w:hyperlink r:id="rId18" w:history="1">
        <w:r w:rsidR="00430C51" w:rsidRPr="00540D60">
          <w:rPr>
            <w:rStyle w:val="Hyperlink"/>
            <w:rFonts w:asciiTheme="majorBidi" w:hAnsiTheme="majorBidi" w:cstheme="majorBidi"/>
            <w:noProof/>
            <w:sz w:val="20"/>
            <w:szCs w:val="20"/>
          </w:rPr>
          <w:t>https://www.gov.uk/government/uploads/system/uploads/attachment_data/file/224437/pb13988-emission-factor-methodology-130719.pdf</w:t>
        </w:r>
      </w:hyperlink>
      <w:r w:rsidR="00074D92">
        <w:rPr>
          <w:noProof/>
        </w:rPr>
        <w:t xml:space="preserve">, </w:t>
      </w:r>
      <w:r w:rsidR="00074D92">
        <w:t>l</w:t>
      </w:r>
      <w:r w:rsidR="00430C51" w:rsidRPr="00540D60">
        <w:t>ast accessed</w:t>
      </w:r>
      <w:r w:rsidR="00415057" w:rsidRPr="00540D60">
        <w:t xml:space="preserve"> </w:t>
      </w:r>
      <w:r w:rsidR="00395E73">
        <w:t xml:space="preserve">5 September </w:t>
      </w:r>
      <w:r w:rsidR="00074D92">
        <w:t>2016</w:t>
      </w:r>
      <w:r w:rsidR="00430C51" w:rsidRPr="00540D60">
        <w:t>.</w:t>
      </w:r>
    </w:p>
    <w:p w14:paraId="1F351E5A" w14:textId="77777777" w:rsidR="007F68D6" w:rsidRPr="00540D60" w:rsidRDefault="007F68D6" w:rsidP="0031399D"/>
    <w:p w14:paraId="775A5851" w14:textId="390ABBD3" w:rsidR="001A4851" w:rsidRPr="00540D60" w:rsidRDefault="001A4851" w:rsidP="00395E73">
      <w:pPr>
        <w:rPr>
          <w:lang w:eastAsia="en-US"/>
        </w:rPr>
      </w:pPr>
      <w:r>
        <w:rPr>
          <w:lang w:eastAsia="en-US"/>
        </w:rPr>
        <w:lastRenderedPageBreak/>
        <w:t xml:space="preserve">Department for Transport (2015). </w:t>
      </w:r>
      <w:r w:rsidRPr="00540D60">
        <w:rPr>
          <w:lang w:eastAsia="en-US"/>
        </w:rPr>
        <w:t>National Travel S</w:t>
      </w:r>
      <w:r>
        <w:rPr>
          <w:lang w:eastAsia="en-US"/>
        </w:rPr>
        <w:t>urvey: England 2014</w:t>
      </w:r>
      <w:r w:rsidRPr="00540D60">
        <w:rPr>
          <w:lang w:eastAsia="en-US"/>
        </w:rPr>
        <w:t xml:space="preserve">. Available at: </w:t>
      </w:r>
      <w:hyperlink r:id="rId19" w:history="1">
        <w:r w:rsidRPr="007046D0">
          <w:rPr>
            <w:rStyle w:val="Hyperlink"/>
            <w:lang w:eastAsia="en-US"/>
          </w:rPr>
          <w:t>https://www.gov.uk/government/uploads/system/uploads/attachment_data/file/457752/nts2014-01.pdf</w:t>
        </w:r>
      </w:hyperlink>
      <w:r w:rsidR="00074D92">
        <w:rPr>
          <w:lang w:eastAsia="en-US"/>
        </w:rPr>
        <w:t>, l</w:t>
      </w:r>
      <w:r w:rsidR="00D36847">
        <w:rPr>
          <w:lang w:eastAsia="en-US"/>
        </w:rPr>
        <w:t xml:space="preserve">ast accessed </w:t>
      </w:r>
      <w:r w:rsidR="00395E73">
        <w:t>5 September</w:t>
      </w:r>
      <w:r w:rsidR="00395E73">
        <w:rPr>
          <w:lang w:eastAsia="en-US"/>
        </w:rPr>
        <w:t xml:space="preserve"> </w:t>
      </w:r>
      <w:r>
        <w:rPr>
          <w:lang w:eastAsia="en-US"/>
        </w:rPr>
        <w:t>2016</w:t>
      </w:r>
      <w:r w:rsidRPr="00540D60">
        <w:rPr>
          <w:lang w:eastAsia="en-US"/>
        </w:rPr>
        <w:t>.</w:t>
      </w:r>
    </w:p>
    <w:p w14:paraId="35573378" w14:textId="77777777" w:rsidR="002F6F38" w:rsidRDefault="002F6F38" w:rsidP="0031399D">
      <w:pPr>
        <w:rPr>
          <w:noProof/>
        </w:rPr>
      </w:pPr>
    </w:p>
    <w:p w14:paraId="325958C1" w14:textId="50697499" w:rsidR="009813E9" w:rsidRPr="00540D60" w:rsidRDefault="009813E9" w:rsidP="0031399D">
      <w:pPr>
        <w:rPr>
          <w:noProof/>
        </w:rPr>
      </w:pPr>
      <w:r w:rsidRPr="00540D60">
        <w:rPr>
          <w:noProof/>
        </w:rPr>
        <w:t>Downs, A</w:t>
      </w:r>
      <w:r w:rsidR="00057B64" w:rsidRPr="00540D60">
        <w:rPr>
          <w:noProof/>
        </w:rPr>
        <w:t>.</w:t>
      </w:r>
      <w:r w:rsidRPr="00540D60">
        <w:rPr>
          <w:noProof/>
        </w:rPr>
        <w:t xml:space="preserve"> (2004)</w:t>
      </w:r>
      <w:r w:rsidR="00057B64" w:rsidRPr="00540D60">
        <w:rPr>
          <w:noProof/>
        </w:rPr>
        <w:t>.</w:t>
      </w:r>
      <w:r w:rsidRPr="00540D60">
        <w:rPr>
          <w:noProof/>
        </w:rPr>
        <w:t xml:space="preserve"> Still stuck in traffic: coping with peak-hour traffic congestion. Washington D.</w:t>
      </w:r>
      <w:r w:rsidR="00725024">
        <w:rPr>
          <w:noProof/>
        </w:rPr>
        <w:t>C.: Brookings Institution Press,</w:t>
      </w:r>
      <w:r w:rsidRPr="00540D60">
        <w:rPr>
          <w:noProof/>
        </w:rPr>
        <w:t xml:space="preserve"> p455</w:t>
      </w:r>
      <w:r w:rsidR="00725024">
        <w:rPr>
          <w:noProof/>
        </w:rPr>
        <w:t>.</w:t>
      </w:r>
    </w:p>
    <w:p w14:paraId="6D5E426E" w14:textId="77777777" w:rsidR="002F6F38" w:rsidRDefault="002F6F38" w:rsidP="0031399D">
      <w:pPr>
        <w:rPr>
          <w:noProof/>
        </w:rPr>
      </w:pPr>
    </w:p>
    <w:p w14:paraId="4C88DA24" w14:textId="7C973C0A" w:rsidR="00A92997" w:rsidRPr="00540D60" w:rsidRDefault="00A92997" w:rsidP="0031399D">
      <w:pPr>
        <w:rPr>
          <w:noProof/>
        </w:rPr>
      </w:pPr>
      <w:r w:rsidRPr="00540D60">
        <w:rPr>
          <w:noProof/>
        </w:rPr>
        <w:t>Du,</w:t>
      </w:r>
      <w:r w:rsidR="000A5B46" w:rsidRPr="00540D60">
        <w:rPr>
          <w:noProof/>
        </w:rPr>
        <w:t xml:space="preserve"> </w:t>
      </w:r>
      <w:r w:rsidRPr="00540D60">
        <w:rPr>
          <w:noProof/>
        </w:rPr>
        <w:t>S., Ibrahim, M., Shehata, M. an</w:t>
      </w:r>
      <w:r w:rsidR="001149BA" w:rsidRPr="00540D60">
        <w:rPr>
          <w:noProof/>
        </w:rPr>
        <w:t>d Badawy, W. (2013). Automatic license plate r</w:t>
      </w:r>
      <w:r w:rsidRPr="00540D60">
        <w:rPr>
          <w:noProof/>
        </w:rPr>
        <w:t>ecognition (ALPR):</w:t>
      </w:r>
      <w:r w:rsidR="001149BA" w:rsidRPr="00540D60">
        <w:rPr>
          <w:noProof/>
        </w:rPr>
        <w:t xml:space="preserve"> a state-of-the-art re</w:t>
      </w:r>
      <w:r w:rsidRPr="00540D60">
        <w:rPr>
          <w:noProof/>
        </w:rPr>
        <w:t xml:space="preserve">view, </w:t>
      </w:r>
      <w:r w:rsidRPr="00540D60">
        <w:rPr>
          <w:i/>
          <w:iCs/>
          <w:noProof/>
        </w:rPr>
        <w:t>IEEE Transactions on Circuits and Systems for Video Technology,</w:t>
      </w:r>
      <w:r w:rsidRPr="00540D60">
        <w:rPr>
          <w:noProof/>
        </w:rPr>
        <w:t xml:space="preserve"> 23(2), 311-325.</w:t>
      </w:r>
      <w:r w:rsidR="001149BA" w:rsidRPr="00540D60">
        <w:rPr>
          <w:noProof/>
        </w:rPr>
        <w:t xml:space="preserve"> </w:t>
      </w:r>
      <w:hyperlink r:id="rId20" w:history="1">
        <w:r w:rsidR="001149BA" w:rsidRPr="00540D60">
          <w:rPr>
            <w:rStyle w:val="Hyperlink"/>
            <w:noProof/>
          </w:rPr>
          <w:t>http://dx.doi.org/10.1109/TCSVT.2012.2203741</w:t>
        </w:r>
      </w:hyperlink>
      <w:r w:rsidR="001149BA" w:rsidRPr="00540D60">
        <w:rPr>
          <w:noProof/>
        </w:rPr>
        <w:t xml:space="preserve">  </w:t>
      </w:r>
    </w:p>
    <w:p w14:paraId="54276CDF" w14:textId="77777777" w:rsidR="002F6F38" w:rsidRDefault="002F6F38" w:rsidP="0031399D">
      <w:pPr>
        <w:rPr>
          <w:noProof/>
        </w:rPr>
      </w:pPr>
    </w:p>
    <w:p w14:paraId="55F8AE4B" w14:textId="3E3C18C1" w:rsidR="00814352" w:rsidRDefault="00814352" w:rsidP="00814352">
      <w:pPr>
        <w:rPr>
          <w:lang w:eastAsia="en-GB"/>
        </w:rPr>
      </w:pPr>
      <w:r w:rsidRPr="000544B6">
        <w:rPr>
          <w:lang w:val="de-DE" w:eastAsia="en-GB"/>
        </w:rPr>
        <w:t xml:space="preserve">Froehlich, J. and Krumm, J. (2008). </w:t>
      </w:r>
      <w:r>
        <w:rPr>
          <w:lang w:eastAsia="en-GB"/>
        </w:rPr>
        <w:t xml:space="preserve">Route prediction from trip observations. Proceedings of SAE World Congress, 2193(2008-01–0201), 53. </w:t>
      </w:r>
      <w:hyperlink r:id="rId21" w:history="1">
        <w:r>
          <w:rPr>
            <w:rStyle w:val="Hyperlink"/>
            <w:lang w:eastAsia="en-GB"/>
          </w:rPr>
          <w:t>http://doi.org/10.4271/2008-01-0201</w:t>
        </w:r>
      </w:hyperlink>
    </w:p>
    <w:p w14:paraId="4043460B" w14:textId="77777777" w:rsidR="00814352" w:rsidRDefault="00814352" w:rsidP="0031399D">
      <w:pPr>
        <w:rPr>
          <w:noProof/>
        </w:rPr>
      </w:pPr>
    </w:p>
    <w:p w14:paraId="5B93A2DB" w14:textId="141CD408" w:rsidR="00AE7608" w:rsidRPr="00540D60" w:rsidRDefault="00F8039F" w:rsidP="0031399D">
      <w:pPr>
        <w:rPr>
          <w:noProof/>
        </w:rPr>
      </w:pPr>
      <w:r w:rsidRPr="00540D60">
        <w:rPr>
          <w:noProof/>
        </w:rPr>
        <w:t xml:space="preserve">Gazcón, N. F., Chesñevar, C. I., and Castro, S. M. </w:t>
      </w:r>
      <w:r w:rsidR="00CF589A" w:rsidRPr="00540D60">
        <w:rPr>
          <w:noProof/>
        </w:rPr>
        <w:t>(</w:t>
      </w:r>
      <w:r w:rsidRPr="00540D60">
        <w:rPr>
          <w:noProof/>
        </w:rPr>
        <w:t>2012</w:t>
      </w:r>
      <w:r w:rsidR="00CF589A" w:rsidRPr="00540D60">
        <w:rPr>
          <w:noProof/>
        </w:rPr>
        <w:t>)</w:t>
      </w:r>
      <w:r w:rsidRPr="00540D60">
        <w:rPr>
          <w:noProof/>
        </w:rPr>
        <w:t xml:space="preserve">. Automatic vehicle identification for Argentinean license plates using intelligent template matching. </w:t>
      </w:r>
      <w:r w:rsidRPr="00540D60">
        <w:rPr>
          <w:i/>
          <w:iCs/>
          <w:noProof/>
        </w:rPr>
        <w:t>Pattern Recognition Letters</w:t>
      </w:r>
      <w:r w:rsidRPr="00540D60">
        <w:rPr>
          <w:noProof/>
        </w:rPr>
        <w:t>, 33</w:t>
      </w:r>
      <w:r w:rsidR="00CF589A" w:rsidRPr="00540D60">
        <w:rPr>
          <w:noProof/>
        </w:rPr>
        <w:t>(</w:t>
      </w:r>
      <w:r w:rsidRPr="00540D60">
        <w:rPr>
          <w:noProof/>
        </w:rPr>
        <w:t>9</w:t>
      </w:r>
      <w:r w:rsidR="00CF589A" w:rsidRPr="00540D60">
        <w:rPr>
          <w:noProof/>
        </w:rPr>
        <w:t>)</w:t>
      </w:r>
      <w:r w:rsidRPr="00540D60">
        <w:rPr>
          <w:noProof/>
        </w:rPr>
        <w:t>, 1066-1074.</w:t>
      </w:r>
      <w:r w:rsidR="00CD76E2" w:rsidRPr="00540D60">
        <w:rPr>
          <w:noProof/>
        </w:rPr>
        <w:t xml:space="preserve"> </w:t>
      </w:r>
      <w:hyperlink r:id="rId22" w:history="1">
        <w:r w:rsidR="00AE7608" w:rsidRPr="00540D60">
          <w:rPr>
            <w:rStyle w:val="Hyperlink"/>
            <w:noProof/>
          </w:rPr>
          <w:t>http://dx.doi.org/</w:t>
        </w:r>
        <w:r w:rsidR="00AE7608" w:rsidRPr="00540D60">
          <w:rPr>
            <w:rStyle w:val="Hyperlink"/>
          </w:rPr>
          <w:t>10.1016/j.patrec.2012.02.004</w:t>
        </w:r>
      </w:hyperlink>
      <w:r w:rsidR="00AE7608" w:rsidRPr="00540D60">
        <w:rPr>
          <w:color w:val="2E2E2E"/>
        </w:rPr>
        <w:t xml:space="preserve">  </w:t>
      </w:r>
      <w:r w:rsidR="00430C51" w:rsidRPr="00540D60">
        <w:rPr>
          <w:noProof/>
        </w:rPr>
        <w:t xml:space="preserve"> </w:t>
      </w:r>
    </w:p>
    <w:p w14:paraId="07888B0B" w14:textId="77777777" w:rsidR="002F6F38" w:rsidRDefault="002F6F38" w:rsidP="0031399D">
      <w:pPr>
        <w:rPr>
          <w:noProof/>
        </w:rPr>
      </w:pPr>
    </w:p>
    <w:p w14:paraId="2E5E67FC" w14:textId="77777777" w:rsidR="00814352" w:rsidRDefault="00814352" w:rsidP="00814352">
      <w:pPr>
        <w:rPr>
          <w:lang w:eastAsia="en-GB"/>
        </w:rPr>
      </w:pPr>
      <w:r w:rsidRPr="000544B6">
        <w:rPr>
          <w:lang w:val="de-DE" w:eastAsia="en-GB"/>
        </w:rPr>
        <w:t xml:space="preserve">Guo, W., Ji, Y., Wang, W., Blythe, P., &amp; Tang, D. (2014). </w:t>
      </w:r>
      <w:r>
        <w:rPr>
          <w:lang w:eastAsia="en-GB"/>
        </w:rPr>
        <w:t xml:space="preserve">Understanding drivers’ perspective on parking guidance information. IET Intelligent Transport Systems, 8(4), 398–406. </w:t>
      </w:r>
      <w:hyperlink r:id="rId23" w:history="1">
        <w:r>
          <w:rPr>
            <w:rStyle w:val="Hyperlink"/>
            <w:lang w:eastAsia="en-GB"/>
          </w:rPr>
          <w:t>http://doi.org/10.1049/iet-its.2012.0167</w:t>
        </w:r>
      </w:hyperlink>
    </w:p>
    <w:p w14:paraId="417924BF" w14:textId="77777777" w:rsidR="00814352" w:rsidRDefault="00814352" w:rsidP="00814352">
      <w:pPr>
        <w:rPr>
          <w:lang w:eastAsia="en-GB"/>
        </w:rPr>
      </w:pPr>
    </w:p>
    <w:p w14:paraId="6D0D74CB" w14:textId="0BCC8BBD" w:rsidR="00256DEF" w:rsidRPr="00540D60" w:rsidRDefault="00256DEF" w:rsidP="0031399D">
      <w:pPr>
        <w:rPr>
          <w:lang w:eastAsia="en-US"/>
        </w:rPr>
      </w:pPr>
      <w:r w:rsidRPr="00540D60">
        <w:rPr>
          <w:lang w:eastAsia="en-US"/>
        </w:rPr>
        <w:t>Hasan, S., Choudhury, C. F., Ben</w:t>
      </w:r>
      <w:r w:rsidR="00CF589A" w:rsidRPr="00540D60">
        <w:rPr>
          <w:lang w:eastAsia="en-US"/>
        </w:rPr>
        <w:t>-Akiva, M. E., and Emmonds, A. (</w:t>
      </w:r>
      <w:r w:rsidRPr="00540D60">
        <w:rPr>
          <w:lang w:eastAsia="en-US"/>
        </w:rPr>
        <w:t>2011</w:t>
      </w:r>
      <w:r w:rsidR="00CF589A" w:rsidRPr="00540D60">
        <w:rPr>
          <w:lang w:eastAsia="en-US"/>
        </w:rPr>
        <w:t>)</w:t>
      </w:r>
      <w:r w:rsidR="00AE7608" w:rsidRPr="00540D60">
        <w:rPr>
          <w:lang w:eastAsia="en-US"/>
        </w:rPr>
        <w:t>. Modeling of travel time variations on urban l</w:t>
      </w:r>
      <w:r w:rsidRPr="00540D60">
        <w:rPr>
          <w:lang w:eastAsia="en-US"/>
        </w:rPr>
        <w:t xml:space="preserve">inks in London. </w:t>
      </w:r>
      <w:r w:rsidRPr="00540D60">
        <w:rPr>
          <w:i/>
          <w:iCs/>
          <w:lang w:eastAsia="en-US"/>
        </w:rPr>
        <w:t>Transportation Research Record</w:t>
      </w:r>
      <w:r w:rsidR="00A11FA2" w:rsidRPr="00540D60">
        <w:rPr>
          <w:lang w:eastAsia="en-US"/>
        </w:rPr>
        <w:t xml:space="preserve">, </w:t>
      </w:r>
      <w:r w:rsidRPr="00540D60">
        <w:rPr>
          <w:lang w:eastAsia="en-US"/>
        </w:rPr>
        <w:t>2260, 1-7.</w:t>
      </w:r>
      <w:r w:rsidR="001149BA" w:rsidRPr="00540D60">
        <w:rPr>
          <w:lang w:eastAsia="en-US"/>
        </w:rPr>
        <w:t xml:space="preserve"> </w:t>
      </w:r>
      <w:hyperlink r:id="rId24" w:history="1">
        <w:r w:rsidR="001149BA" w:rsidRPr="00540D60">
          <w:rPr>
            <w:rStyle w:val="Hyperlink"/>
            <w:lang w:eastAsia="en-US"/>
          </w:rPr>
          <w:t>http://dx.doi.org/10.3141/2260-01</w:t>
        </w:r>
      </w:hyperlink>
      <w:r w:rsidR="001149BA" w:rsidRPr="00540D60">
        <w:rPr>
          <w:lang w:eastAsia="en-US"/>
        </w:rPr>
        <w:t xml:space="preserve"> </w:t>
      </w:r>
    </w:p>
    <w:p w14:paraId="304FA0DC" w14:textId="77777777" w:rsidR="002F6F38" w:rsidRDefault="002F6F38" w:rsidP="0031399D">
      <w:pPr>
        <w:rPr>
          <w:lang w:eastAsia="en-US"/>
        </w:rPr>
      </w:pPr>
    </w:p>
    <w:p w14:paraId="0363EDC1" w14:textId="4DF3B234" w:rsidR="00761443" w:rsidRPr="00540D60" w:rsidRDefault="00AE7608" w:rsidP="0031399D">
      <w:pPr>
        <w:rPr>
          <w:lang w:eastAsia="en-US"/>
        </w:rPr>
      </w:pPr>
      <w:r w:rsidRPr="00540D60">
        <w:rPr>
          <w:lang w:eastAsia="en-US"/>
        </w:rPr>
        <w:t xml:space="preserve">Hounsell, N.B., Shrestha, B. P., Piao, J. and McDonald, M. </w:t>
      </w:r>
      <w:r w:rsidR="00D40953" w:rsidRPr="00540D60">
        <w:rPr>
          <w:lang w:eastAsia="en-US"/>
        </w:rPr>
        <w:t>(</w:t>
      </w:r>
      <w:r w:rsidR="00761443" w:rsidRPr="00540D60">
        <w:rPr>
          <w:lang w:eastAsia="en-US"/>
        </w:rPr>
        <w:t>2009</w:t>
      </w:r>
      <w:r w:rsidR="00D40953" w:rsidRPr="00540D60">
        <w:rPr>
          <w:lang w:eastAsia="en-US"/>
        </w:rPr>
        <w:t>)</w:t>
      </w:r>
      <w:r w:rsidR="00761443" w:rsidRPr="00540D60">
        <w:rPr>
          <w:lang w:eastAsia="en-US"/>
        </w:rPr>
        <w:t xml:space="preserve">. Review of </w:t>
      </w:r>
      <w:r w:rsidRPr="00540D60">
        <w:rPr>
          <w:lang w:eastAsia="en-US"/>
        </w:rPr>
        <w:t>urban traffic management and the impacts of new vehicle t</w:t>
      </w:r>
      <w:r w:rsidR="00761443" w:rsidRPr="00540D60">
        <w:rPr>
          <w:lang w:eastAsia="en-US"/>
        </w:rPr>
        <w:t>echnologies</w:t>
      </w:r>
      <w:r w:rsidR="00A11FA2" w:rsidRPr="00540D60">
        <w:rPr>
          <w:lang w:eastAsia="en-US"/>
        </w:rPr>
        <w:t xml:space="preserve">. </w:t>
      </w:r>
      <w:r w:rsidR="00761443" w:rsidRPr="00540D60">
        <w:rPr>
          <w:i/>
          <w:lang w:eastAsia="en-US"/>
        </w:rPr>
        <w:t xml:space="preserve">Institution of Engineering </w:t>
      </w:r>
      <w:r w:rsidR="00CF589A" w:rsidRPr="00540D60">
        <w:rPr>
          <w:i/>
          <w:lang w:eastAsia="en-US"/>
        </w:rPr>
        <w:t>and</w:t>
      </w:r>
      <w:r w:rsidR="00761443" w:rsidRPr="00540D60">
        <w:rPr>
          <w:i/>
          <w:lang w:eastAsia="en-US"/>
        </w:rPr>
        <w:t xml:space="preserve"> Technology, Intelligent Transport Systems</w:t>
      </w:r>
      <w:r w:rsidR="00A11FA2" w:rsidRPr="00540D60">
        <w:rPr>
          <w:i/>
          <w:lang w:eastAsia="en-US"/>
        </w:rPr>
        <w:t>,</w:t>
      </w:r>
      <w:r w:rsidR="00761443" w:rsidRPr="00540D60">
        <w:rPr>
          <w:i/>
          <w:lang w:eastAsia="en-US"/>
        </w:rPr>
        <w:t xml:space="preserve"> </w:t>
      </w:r>
      <w:r w:rsidR="00761443" w:rsidRPr="00540D60">
        <w:rPr>
          <w:iCs/>
          <w:lang w:eastAsia="en-US"/>
        </w:rPr>
        <w:t>3</w:t>
      </w:r>
      <w:r w:rsidR="006E19DD" w:rsidRPr="00540D60">
        <w:rPr>
          <w:iCs/>
          <w:lang w:eastAsia="en-US"/>
        </w:rPr>
        <w:t>(4)</w:t>
      </w:r>
      <w:r w:rsidR="00A11FA2" w:rsidRPr="00540D60">
        <w:rPr>
          <w:iCs/>
          <w:lang w:eastAsia="en-US"/>
        </w:rPr>
        <w:t>,</w:t>
      </w:r>
      <w:r w:rsidR="00761443" w:rsidRPr="00540D60">
        <w:rPr>
          <w:iCs/>
          <w:lang w:eastAsia="en-US"/>
        </w:rPr>
        <w:t xml:space="preserve"> 419-428.</w:t>
      </w:r>
      <w:r w:rsidRPr="00540D60">
        <w:rPr>
          <w:lang w:eastAsia="en-US"/>
        </w:rPr>
        <w:t xml:space="preserve"> </w:t>
      </w:r>
      <w:hyperlink r:id="rId25" w:history="1">
        <w:r w:rsidRPr="00540D60">
          <w:rPr>
            <w:rStyle w:val="Hyperlink"/>
            <w:lang w:eastAsia="en-US"/>
          </w:rPr>
          <w:t>http://dx.doi.org/10.1049/iet-its.2009.0046</w:t>
        </w:r>
      </w:hyperlink>
      <w:r w:rsidRPr="00540D60">
        <w:rPr>
          <w:lang w:eastAsia="en-US"/>
        </w:rPr>
        <w:t xml:space="preserve"> </w:t>
      </w:r>
    </w:p>
    <w:p w14:paraId="79DAED90" w14:textId="77777777" w:rsidR="002F6F38" w:rsidRDefault="002F6F38" w:rsidP="0031399D">
      <w:pPr>
        <w:rPr>
          <w:lang w:eastAsia="en-US"/>
        </w:rPr>
      </w:pPr>
    </w:p>
    <w:p w14:paraId="57AEAB67" w14:textId="1144E9DA" w:rsidR="00475A52" w:rsidRPr="00540D60" w:rsidRDefault="00681CE5" w:rsidP="007C6F31">
      <w:pPr>
        <w:rPr>
          <w:rStyle w:val="Hyperlink"/>
          <w:rFonts w:eastAsiaTheme="minorHAnsi"/>
          <w:color w:val="auto"/>
          <w:u w:val="none"/>
          <w:lang w:eastAsia="en-US"/>
        </w:rPr>
      </w:pPr>
      <w:r w:rsidRPr="00540D60">
        <w:rPr>
          <w:rStyle w:val="Hyperlink"/>
          <w:rFonts w:eastAsiaTheme="minorHAnsi"/>
          <w:color w:val="auto"/>
          <w:u w:val="none"/>
          <w:lang w:eastAsia="en-US"/>
        </w:rPr>
        <w:t xml:space="preserve">Health and Safety Executive </w:t>
      </w:r>
      <w:r w:rsidR="00475A52" w:rsidRPr="00540D60">
        <w:rPr>
          <w:rStyle w:val="Hyperlink"/>
          <w:rFonts w:eastAsiaTheme="minorHAnsi"/>
          <w:color w:val="auto"/>
          <w:u w:val="none"/>
          <w:lang w:eastAsia="en-US"/>
        </w:rPr>
        <w:t>(2011). Changes in shift patterns over the last ten years (1999 to 2009).</w:t>
      </w:r>
      <w:r w:rsidR="007C6F31">
        <w:rPr>
          <w:rStyle w:val="Hyperlink"/>
          <w:rFonts w:eastAsiaTheme="minorHAnsi"/>
          <w:color w:val="auto"/>
          <w:u w:val="none"/>
          <w:lang w:eastAsia="en-US"/>
        </w:rPr>
        <w:t xml:space="preserve"> </w:t>
      </w:r>
      <w:r w:rsidR="00475A52" w:rsidRPr="00540D60">
        <w:rPr>
          <w:rStyle w:val="Hyperlink"/>
          <w:rFonts w:eastAsiaTheme="minorHAnsi"/>
          <w:color w:val="auto"/>
          <w:u w:val="none"/>
          <w:lang w:eastAsia="en-US"/>
        </w:rPr>
        <w:t xml:space="preserve">Research Report RR887. </w:t>
      </w:r>
    </w:p>
    <w:p w14:paraId="5ED89EC1" w14:textId="77777777" w:rsidR="002F6F38" w:rsidRDefault="002F6F38" w:rsidP="0031399D">
      <w:pPr>
        <w:rPr>
          <w:lang w:eastAsia="en-US"/>
        </w:rPr>
      </w:pPr>
    </w:p>
    <w:p w14:paraId="2C3E56D4" w14:textId="6CF345B7" w:rsidR="003466AD" w:rsidRPr="00540D60" w:rsidRDefault="000901D4" w:rsidP="0031399D">
      <w:pPr>
        <w:rPr>
          <w:i/>
          <w:iCs/>
          <w:lang w:eastAsia="en-US"/>
        </w:rPr>
      </w:pPr>
      <w:r w:rsidRPr="000544B6">
        <w:rPr>
          <w:lang w:eastAsia="en-US"/>
        </w:rPr>
        <w:t>Järv, O., Ahas, R., Saluveer, E., Derudder, B., Witlox, F</w:t>
      </w:r>
      <w:r w:rsidR="00057B64" w:rsidRPr="000544B6">
        <w:rPr>
          <w:lang w:eastAsia="en-US"/>
        </w:rPr>
        <w:t>.</w:t>
      </w:r>
      <w:r w:rsidRPr="000544B6">
        <w:rPr>
          <w:lang w:eastAsia="en-US"/>
        </w:rPr>
        <w:t xml:space="preserve"> (2012)</w:t>
      </w:r>
      <w:r w:rsidR="000904DB" w:rsidRPr="000544B6">
        <w:rPr>
          <w:lang w:eastAsia="en-US"/>
        </w:rPr>
        <w:t>.</w:t>
      </w:r>
      <w:r w:rsidRPr="000544B6">
        <w:rPr>
          <w:lang w:eastAsia="en-US"/>
        </w:rPr>
        <w:t xml:space="preserve"> </w:t>
      </w:r>
      <w:r w:rsidR="00892A2C">
        <w:rPr>
          <w:lang w:eastAsia="en-US"/>
        </w:rPr>
        <w:t>M</w:t>
      </w:r>
      <w:r w:rsidR="00892A2C" w:rsidRPr="00540D60">
        <w:rPr>
          <w:lang w:eastAsia="en-US"/>
        </w:rPr>
        <w:t>obile phones in a traffic flow: a geographical perspective to evening rush hour traffic analysis using call detail records</w:t>
      </w:r>
      <w:r w:rsidRPr="00540D60">
        <w:rPr>
          <w:lang w:eastAsia="en-US"/>
        </w:rPr>
        <w:t xml:space="preserve">. PLoS ONE 7(11): e49171. </w:t>
      </w:r>
      <w:hyperlink r:id="rId26" w:history="1">
        <w:r w:rsidR="00D80CF1" w:rsidRPr="00D678E7">
          <w:rPr>
            <w:rStyle w:val="Hyperlink"/>
            <w:rFonts w:eastAsiaTheme="minorHAnsi"/>
            <w:lang w:eastAsia="en-US"/>
          </w:rPr>
          <w:t>http://dx.doi.org/10.1371/journal.pone.0049171</w:t>
        </w:r>
      </w:hyperlink>
      <w:r w:rsidR="00D80CF1">
        <w:rPr>
          <w:lang w:eastAsia="en-US"/>
        </w:rPr>
        <w:t xml:space="preserve"> </w:t>
      </w:r>
      <w:r w:rsidR="00725024">
        <w:rPr>
          <w:lang w:eastAsia="en-US"/>
        </w:rPr>
        <w:t xml:space="preserve"> </w:t>
      </w:r>
      <w:r w:rsidR="001149BA" w:rsidRPr="00540D60">
        <w:rPr>
          <w:lang w:eastAsia="en-US"/>
        </w:rPr>
        <w:t xml:space="preserve"> </w:t>
      </w:r>
    </w:p>
    <w:p w14:paraId="374F2C1A" w14:textId="77777777" w:rsidR="002F6F38" w:rsidRDefault="002F6F38" w:rsidP="0031399D">
      <w:pPr>
        <w:rPr>
          <w:rFonts w:eastAsiaTheme="minorHAnsi"/>
          <w:lang w:eastAsia="en-US"/>
        </w:rPr>
      </w:pPr>
    </w:p>
    <w:p w14:paraId="28B37727" w14:textId="77777777" w:rsidR="00650AB1" w:rsidRPr="000544B6" w:rsidRDefault="00650AB1" w:rsidP="0031399D">
      <w:pPr>
        <w:rPr>
          <w:rFonts w:eastAsiaTheme="minorHAnsi"/>
          <w:lang w:eastAsia="en-US"/>
        </w:rPr>
      </w:pPr>
      <w:r w:rsidRPr="000544B6">
        <w:rPr>
          <w:rFonts w:eastAsiaTheme="minorHAnsi"/>
          <w:lang w:eastAsia="en-US"/>
        </w:rPr>
        <w:t xml:space="preserve">Järv, O., Ahas, R., Witlox, F. (2014) Understanding monthly variability in human activity spaces: A twelve-month study using mobile phone call detail records. </w:t>
      </w:r>
      <w:r w:rsidRPr="000544B6">
        <w:rPr>
          <w:rFonts w:eastAsiaTheme="minorHAnsi"/>
          <w:i/>
          <w:iCs/>
          <w:lang w:eastAsia="en-US"/>
        </w:rPr>
        <w:t>Trans. Res. C: Emerging Tech</w:t>
      </w:r>
      <w:r w:rsidRPr="000544B6">
        <w:rPr>
          <w:rFonts w:eastAsiaTheme="minorHAnsi"/>
          <w:lang w:eastAsia="en-US"/>
        </w:rPr>
        <w:t xml:space="preserve">. 38, 122-135. </w:t>
      </w:r>
    </w:p>
    <w:p w14:paraId="725AEAAA" w14:textId="77777777" w:rsidR="00650AB1" w:rsidRPr="000544B6" w:rsidRDefault="00650AB1" w:rsidP="0031399D">
      <w:pPr>
        <w:rPr>
          <w:rFonts w:eastAsiaTheme="minorHAnsi"/>
          <w:lang w:eastAsia="en-US"/>
        </w:rPr>
      </w:pPr>
    </w:p>
    <w:p w14:paraId="7EA60CF7" w14:textId="04DD9F47" w:rsidR="00430C51" w:rsidRPr="00540D60" w:rsidRDefault="009B20CE" w:rsidP="00395E73">
      <w:r w:rsidRPr="000544B6">
        <w:rPr>
          <w:rFonts w:eastAsiaTheme="minorHAnsi"/>
          <w:lang w:eastAsia="en-US"/>
        </w:rPr>
        <w:t>Keilthy</w:t>
      </w:r>
      <w:r w:rsidR="00E526AD" w:rsidRPr="000544B6">
        <w:rPr>
          <w:rFonts w:eastAsiaTheme="minorHAnsi"/>
          <w:lang w:eastAsia="en-US"/>
        </w:rPr>
        <w:t>, L.</w:t>
      </w:r>
      <w:r w:rsidRPr="000544B6">
        <w:rPr>
          <w:rFonts w:eastAsiaTheme="minorHAnsi"/>
          <w:lang w:eastAsia="en-US"/>
        </w:rPr>
        <w:t xml:space="preserve"> (2008). </w:t>
      </w:r>
      <w:r w:rsidRPr="000544B6">
        <w:rPr>
          <w:rFonts w:eastAsiaTheme="minorHAnsi"/>
          <w:iCs/>
          <w:lang w:eastAsia="en-US"/>
        </w:rPr>
        <w:t>ANPR</w:t>
      </w:r>
      <w:r w:rsidR="001149BA" w:rsidRPr="000544B6">
        <w:rPr>
          <w:rFonts w:eastAsiaTheme="minorHAnsi"/>
          <w:iCs/>
          <w:lang w:eastAsia="en-US"/>
        </w:rPr>
        <w:t xml:space="preserve"> system p</w:t>
      </w:r>
      <w:r w:rsidRPr="000544B6">
        <w:rPr>
          <w:rFonts w:eastAsiaTheme="minorHAnsi"/>
          <w:iCs/>
          <w:lang w:eastAsia="en-US"/>
        </w:rPr>
        <w:t>erformance</w:t>
      </w:r>
      <w:r w:rsidRPr="000544B6">
        <w:rPr>
          <w:rFonts w:eastAsiaTheme="minorHAnsi"/>
          <w:i/>
          <w:lang w:eastAsia="en-US"/>
        </w:rPr>
        <w:t xml:space="preserve">. </w:t>
      </w:r>
      <w:r w:rsidRPr="00892A2C">
        <w:rPr>
          <w:rFonts w:eastAsiaTheme="minorHAnsi"/>
          <w:i/>
          <w:iCs/>
          <w:lang w:eastAsia="en-US"/>
        </w:rPr>
        <w:t>Parking Trend International</w:t>
      </w:r>
      <w:r w:rsidRPr="00540D60">
        <w:rPr>
          <w:rFonts w:eastAsiaTheme="minorHAnsi"/>
          <w:lang w:eastAsia="en-US"/>
        </w:rPr>
        <w:t xml:space="preserve">, June </w:t>
      </w:r>
      <w:r w:rsidR="00F16D7F" w:rsidRPr="00540D60">
        <w:rPr>
          <w:rFonts w:eastAsiaTheme="minorHAnsi"/>
          <w:lang w:eastAsia="en-US"/>
        </w:rPr>
        <w:t>issue</w:t>
      </w:r>
      <w:r w:rsidR="00430C51" w:rsidRPr="00540D60">
        <w:rPr>
          <w:rFonts w:eastAsiaTheme="minorHAnsi"/>
          <w:lang w:eastAsia="en-US"/>
        </w:rPr>
        <w:t xml:space="preserve">. </w:t>
      </w:r>
      <w:r w:rsidRPr="00540D60">
        <w:rPr>
          <w:rFonts w:eastAsiaTheme="minorHAnsi"/>
          <w:lang w:eastAsia="en-US"/>
        </w:rPr>
        <w:t xml:space="preserve"> </w:t>
      </w:r>
      <w:hyperlink r:id="rId27" w:history="1">
        <w:r w:rsidR="00430C51" w:rsidRPr="00540D60">
          <w:rPr>
            <w:rStyle w:val="Hyperlink"/>
            <w:noProof/>
          </w:rPr>
          <w:t>http://nebula.wsimg.com/1205ba4f6f448b01cb774681f96b7b0a?AccessKeyId=4CB8F2392A09CF228A46&amp;disposition=0&amp;alloworigin=1</w:t>
        </w:r>
      </w:hyperlink>
      <w:r w:rsidR="00074D92">
        <w:rPr>
          <w:noProof/>
        </w:rPr>
        <w:t>,</w:t>
      </w:r>
      <w:r w:rsidR="008D019C" w:rsidRPr="00540D60">
        <w:rPr>
          <w:noProof/>
        </w:rPr>
        <w:t xml:space="preserve"> </w:t>
      </w:r>
      <w:r w:rsidR="00074D92">
        <w:t>l</w:t>
      </w:r>
      <w:r w:rsidR="00430C51" w:rsidRPr="00540D60">
        <w:t xml:space="preserve">ast accessed </w:t>
      </w:r>
      <w:r w:rsidR="00395E73">
        <w:t xml:space="preserve">5 September </w:t>
      </w:r>
      <w:r w:rsidR="00074D92">
        <w:t>2</w:t>
      </w:r>
      <w:r w:rsidR="000F5791" w:rsidRPr="00540D60">
        <w:t>016</w:t>
      </w:r>
      <w:r w:rsidR="00430C51" w:rsidRPr="00540D60">
        <w:t>.</w:t>
      </w:r>
    </w:p>
    <w:p w14:paraId="735BC10D" w14:textId="77777777" w:rsidR="002F6F38" w:rsidRDefault="002F6F38" w:rsidP="0031399D">
      <w:pPr>
        <w:rPr>
          <w:noProof/>
        </w:rPr>
      </w:pPr>
    </w:p>
    <w:p w14:paraId="2D02CAB9" w14:textId="1F132C64" w:rsidR="007F68D6" w:rsidRPr="00540D60" w:rsidRDefault="007F68D6" w:rsidP="00892A2C">
      <w:pPr>
        <w:rPr>
          <w:noProof/>
        </w:rPr>
      </w:pPr>
      <w:r w:rsidRPr="00540D60">
        <w:rPr>
          <w:noProof/>
        </w:rPr>
        <w:t xml:space="preserve">Kuroiwa, H., Kawahara, T., Kamijo, S., </w:t>
      </w:r>
      <w:r w:rsidR="00CF589A" w:rsidRPr="00540D60">
        <w:rPr>
          <w:noProof/>
        </w:rPr>
        <w:t>and</w:t>
      </w:r>
      <w:r w:rsidRPr="00540D60">
        <w:rPr>
          <w:noProof/>
        </w:rPr>
        <w:t xml:space="preserve"> Sakauchi, M. (2006). Vehicle </w:t>
      </w:r>
      <w:r w:rsidR="00AE7608" w:rsidRPr="00540D60">
        <w:rPr>
          <w:noProof/>
        </w:rPr>
        <w:t>m</w:t>
      </w:r>
      <w:r w:rsidRPr="00540D60">
        <w:rPr>
          <w:noProof/>
        </w:rPr>
        <w:t xml:space="preserve">atching between </w:t>
      </w:r>
      <w:r w:rsidR="00AE7608" w:rsidRPr="00540D60">
        <w:rPr>
          <w:noProof/>
        </w:rPr>
        <w:t>adjacent intersections by vehicle type c</w:t>
      </w:r>
      <w:r w:rsidRPr="00540D60">
        <w:rPr>
          <w:noProof/>
        </w:rPr>
        <w:t>lassification. IEEE International Conference on Systems, Man and Cybernetics</w:t>
      </w:r>
      <w:r w:rsidR="00A11FA2" w:rsidRPr="00540D60">
        <w:rPr>
          <w:noProof/>
        </w:rPr>
        <w:t xml:space="preserve">, 389–394. </w:t>
      </w:r>
      <w:hyperlink r:id="rId28" w:history="1">
        <w:r w:rsidR="00AE7608" w:rsidRPr="00540D60">
          <w:rPr>
            <w:rStyle w:val="Hyperlink"/>
            <w:noProof/>
          </w:rPr>
          <w:t>http://dx.doi.org/10.1109/ICSMC.2006.384413</w:t>
        </w:r>
      </w:hyperlink>
      <w:r w:rsidR="00AE7608" w:rsidRPr="00540D60">
        <w:rPr>
          <w:noProof/>
        </w:rPr>
        <w:t xml:space="preserve"> </w:t>
      </w:r>
    </w:p>
    <w:p w14:paraId="2148D1F3" w14:textId="77777777" w:rsidR="00083BC0" w:rsidRDefault="00083BC0" w:rsidP="0031399D">
      <w:pPr>
        <w:rPr>
          <w:noProof/>
        </w:rPr>
      </w:pPr>
    </w:p>
    <w:p w14:paraId="39D04F53" w14:textId="1EDE6FAB" w:rsidR="007F68D6" w:rsidRPr="00540D60" w:rsidRDefault="007F68D6" w:rsidP="0031399D">
      <w:pPr>
        <w:rPr>
          <w:lang w:eastAsia="en-US"/>
        </w:rPr>
      </w:pPr>
      <w:r w:rsidRPr="00540D60">
        <w:rPr>
          <w:noProof/>
        </w:rPr>
        <w:lastRenderedPageBreak/>
        <w:t xml:space="preserve">Leape, J. (2006). The London congestion charge. </w:t>
      </w:r>
      <w:r w:rsidRPr="00540D60">
        <w:rPr>
          <w:i/>
          <w:iCs/>
          <w:noProof/>
        </w:rPr>
        <w:t>The Journal of Economic Perspectives</w:t>
      </w:r>
      <w:r w:rsidRPr="00540D60">
        <w:rPr>
          <w:noProof/>
        </w:rPr>
        <w:t xml:space="preserve">, 20(4), 157–176. </w:t>
      </w:r>
      <w:r w:rsidR="0055712A" w:rsidRPr="00540D60">
        <w:rPr>
          <w:noProof/>
        </w:rPr>
        <w:t xml:space="preserve"> </w:t>
      </w:r>
    </w:p>
    <w:p w14:paraId="220A073C" w14:textId="77777777" w:rsidR="002F6F38" w:rsidRDefault="002F6F38" w:rsidP="0031399D">
      <w:pPr>
        <w:rPr>
          <w:lang w:eastAsia="en-US"/>
        </w:rPr>
      </w:pPr>
    </w:p>
    <w:p w14:paraId="0C5549A9" w14:textId="2CBB5704" w:rsidR="009B3B57" w:rsidRPr="00540D60" w:rsidRDefault="00A11FA2" w:rsidP="0031399D">
      <w:pPr>
        <w:rPr>
          <w:lang w:eastAsia="en-US"/>
        </w:rPr>
      </w:pPr>
      <w:r w:rsidRPr="00540D60">
        <w:rPr>
          <w:lang w:eastAsia="en-US"/>
        </w:rPr>
        <w:t>Li, R., Chai, H., and Tang, J. (</w:t>
      </w:r>
      <w:r w:rsidR="006859FA" w:rsidRPr="00540D60">
        <w:rPr>
          <w:lang w:eastAsia="en-US"/>
        </w:rPr>
        <w:t>2013</w:t>
      </w:r>
      <w:r w:rsidRPr="00540D60">
        <w:rPr>
          <w:lang w:eastAsia="en-US"/>
        </w:rPr>
        <w:t>)</w:t>
      </w:r>
      <w:r w:rsidR="006859FA" w:rsidRPr="00540D60">
        <w:rPr>
          <w:lang w:eastAsia="en-US"/>
        </w:rPr>
        <w:t xml:space="preserve">. </w:t>
      </w:r>
      <w:r w:rsidR="002930C0" w:rsidRPr="00540D60">
        <w:rPr>
          <w:lang w:eastAsia="en-US"/>
        </w:rPr>
        <w:t>Empirical study of travel time estimation and r</w:t>
      </w:r>
      <w:r w:rsidR="009B3B57" w:rsidRPr="00540D60">
        <w:rPr>
          <w:lang w:eastAsia="en-US"/>
        </w:rPr>
        <w:t xml:space="preserve">eliability. </w:t>
      </w:r>
      <w:r w:rsidR="009B3B57" w:rsidRPr="00540D60">
        <w:rPr>
          <w:i/>
          <w:iCs/>
          <w:lang w:eastAsia="en-US"/>
        </w:rPr>
        <w:t>Mathematical Problems in Engineering</w:t>
      </w:r>
      <w:r w:rsidR="001149BA" w:rsidRPr="00540D60">
        <w:rPr>
          <w:i/>
          <w:iCs/>
          <w:lang w:eastAsia="en-US"/>
        </w:rPr>
        <w:t xml:space="preserve">, </w:t>
      </w:r>
      <w:r w:rsidR="001149BA" w:rsidRPr="00540D60">
        <w:rPr>
          <w:lang w:eastAsia="en-US"/>
        </w:rPr>
        <w:t>2013</w:t>
      </w:r>
      <w:r w:rsidR="00BD5489" w:rsidRPr="00540D60">
        <w:rPr>
          <w:i/>
          <w:iCs/>
          <w:lang w:eastAsia="en-US"/>
        </w:rPr>
        <w:t>.</w:t>
      </w:r>
      <w:r w:rsidR="009B3B57" w:rsidRPr="00540D60">
        <w:rPr>
          <w:lang w:eastAsia="en-US"/>
        </w:rPr>
        <w:t xml:space="preserve"> </w:t>
      </w:r>
      <w:hyperlink r:id="rId29" w:history="1">
        <w:r w:rsidR="002930C0" w:rsidRPr="00540D60">
          <w:rPr>
            <w:rStyle w:val="Hyperlink"/>
            <w:lang w:eastAsia="en-US"/>
          </w:rPr>
          <w:t>http://dx.doi.org/10.1155/2013/504579</w:t>
        </w:r>
      </w:hyperlink>
      <w:r w:rsidR="002930C0" w:rsidRPr="00540D60">
        <w:rPr>
          <w:lang w:eastAsia="en-US"/>
        </w:rPr>
        <w:t xml:space="preserve"> </w:t>
      </w:r>
      <w:r w:rsidR="009B3B57" w:rsidRPr="00540D60">
        <w:rPr>
          <w:lang w:eastAsia="en-US"/>
        </w:rPr>
        <w:t xml:space="preserve"> </w:t>
      </w:r>
    </w:p>
    <w:p w14:paraId="5D65B11F" w14:textId="77777777" w:rsidR="00083BC0" w:rsidRPr="000544B6" w:rsidRDefault="00083BC0" w:rsidP="0031399D"/>
    <w:p w14:paraId="48E05921" w14:textId="77777777" w:rsidR="00650AB1" w:rsidRDefault="00DC7168" w:rsidP="00650AB1">
      <w:r w:rsidRPr="000544B6">
        <w:t>Marsden, G</w:t>
      </w:r>
      <w:r w:rsidR="00143349" w:rsidRPr="000544B6">
        <w:t>.</w:t>
      </w:r>
      <w:r w:rsidRPr="000544B6">
        <w:t xml:space="preserve"> and Docherty, I</w:t>
      </w:r>
      <w:r w:rsidR="00143349" w:rsidRPr="000544B6">
        <w:t>.</w:t>
      </w:r>
      <w:r w:rsidRPr="000544B6">
        <w:t xml:space="preserve"> (2013)</w:t>
      </w:r>
      <w:r w:rsidR="000F5791" w:rsidRPr="000544B6">
        <w:t>.</w:t>
      </w:r>
      <w:r w:rsidRPr="000544B6">
        <w:t xml:space="preserve"> </w:t>
      </w:r>
      <w:r w:rsidRPr="00540D60">
        <w:t>Insights on disruptions as opportunities for transport policy change.</w:t>
      </w:r>
      <w:r w:rsidRPr="00540D60">
        <w:rPr>
          <w:i/>
          <w:iCs/>
        </w:rPr>
        <w:t xml:space="preserve"> Trans</w:t>
      </w:r>
      <w:r w:rsidR="00650AB1">
        <w:rPr>
          <w:i/>
          <w:iCs/>
        </w:rPr>
        <w:t xml:space="preserve"> Research </w:t>
      </w:r>
      <w:r w:rsidR="00A11FA2" w:rsidRPr="00540D60">
        <w:rPr>
          <w:i/>
          <w:iCs/>
        </w:rPr>
        <w:t>A: Policy and Practice</w:t>
      </w:r>
      <w:r w:rsidR="00A11FA2" w:rsidRPr="00540D60">
        <w:t>, 51,</w:t>
      </w:r>
      <w:r w:rsidRPr="00540D60">
        <w:rPr>
          <w:i/>
          <w:iCs/>
        </w:rPr>
        <w:t xml:space="preserve"> </w:t>
      </w:r>
      <w:r w:rsidRPr="00540D60">
        <w:t>46-55.</w:t>
      </w:r>
    </w:p>
    <w:p w14:paraId="68D3C5A1" w14:textId="53E86A79" w:rsidR="00DC7168" w:rsidRPr="00540D60" w:rsidRDefault="0013224B" w:rsidP="00650AB1">
      <w:pPr>
        <w:rPr>
          <w:color w:val="0000FF"/>
        </w:rPr>
      </w:pPr>
      <w:hyperlink r:id="rId30" w:history="1">
        <w:r w:rsidR="002930C0" w:rsidRPr="00540D60">
          <w:rPr>
            <w:rStyle w:val="Hyperlink"/>
          </w:rPr>
          <w:t>http://dx.doi.org/10.1016/j.tra.2013.03.004</w:t>
        </w:r>
      </w:hyperlink>
      <w:r w:rsidR="002930C0" w:rsidRPr="00540D60">
        <w:rPr>
          <w:color w:val="0000FF"/>
        </w:rPr>
        <w:t xml:space="preserve"> </w:t>
      </w:r>
    </w:p>
    <w:p w14:paraId="75CE6C53" w14:textId="77777777" w:rsidR="00F54ED2" w:rsidRPr="00540D60" w:rsidRDefault="00F54ED2" w:rsidP="0031399D"/>
    <w:p w14:paraId="5C79F002" w14:textId="631D172B" w:rsidR="00E526AD" w:rsidRPr="00540D60" w:rsidRDefault="00E526AD" w:rsidP="0031399D">
      <w:pPr>
        <w:rPr>
          <w:lang w:eastAsia="en-US"/>
        </w:rPr>
      </w:pPr>
      <w:r w:rsidRPr="00540D60">
        <w:rPr>
          <w:lang w:eastAsia="en-US"/>
        </w:rPr>
        <w:t>Patel, C.</w:t>
      </w:r>
      <w:r w:rsidR="000A5B46" w:rsidRPr="00540D60">
        <w:rPr>
          <w:lang w:eastAsia="en-US"/>
        </w:rPr>
        <w:t>, Shah, D. and Patel, A. (</w:t>
      </w:r>
      <w:r w:rsidRPr="00540D60">
        <w:rPr>
          <w:lang w:eastAsia="en-US"/>
        </w:rPr>
        <w:t>2013</w:t>
      </w:r>
      <w:r w:rsidR="000A5B46" w:rsidRPr="00540D60">
        <w:rPr>
          <w:lang w:eastAsia="en-US"/>
        </w:rPr>
        <w:t>)</w:t>
      </w:r>
      <w:r w:rsidR="00F0708E" w:rsidRPr="00540D60">
        <w:rPr>
          <w:lang w:eastAsia="en-US"/>
        </w:rPr>
        <w:t>. Automatic n</w:t>
      </w:r>
      <w:r w:rsidRPr="00540D60">
        <w:rPr>
          <w:lang w:eastAsia="en-US"/>
        </w:rPr>
        <w:t>umb</w:t>
      </w:r>
      <w:r w:rsidR="00F0708E" w:rsidRPr="00540D60">
        <w:rPr>
          <w:lang w:eastAsia="en-US"/>
        </w:rPr>
        <w:t>er plate r</w:t>
      </w:r>
      <w:r w:rsidRPr="00540D60">
        <w:rPr>
          <w:lang w:eastAsia="en-US"/>
        </w:rPr>
        <w:t xml:space="preserve">ecognition </w:t>
      </w:r>
      <w:r w:rsidR="00F0708E" w:rsidRPr="00540D60">
        <w:rPr>
          <w:lang w:eastAsia="en-US"/>
        </w:rPr>
        <w:t>system (ANPR): A s</w:t>
      </w:r>
      <w:r w:rsidRPr="00540D60">
        <w:rPr>
          <w:lang w:eastAsia="en-US"/>
        </w:rPr>
        <w:t xml:space="preserve">urvey. </w:t>
      </w:r>
      <w:r w:rsidRPr="00540D60">
        <w:rPr>
          <w:i/>
          <w:lang w:eastAsia="en-US"/>
        </w:rPr>
        <w:t>International Journal of Computer Applications,</w:t>
      </w:r>
      <w:r w:rsidRPr="00540D60">
        <w:rPr>
          <w:lang w:eastAsia="en-US"/>
        </w:rPr>
        <w:t xml:space="preserve"> 69(9)</w:t>
      </w:r>
      <w:r w:rsidR="002930C0" w:rsidRPr="00540D60">
        <w:rPr>
          <w:lang w:eastAsia="en-US"/>
        </w:rPr>
        <w:t>, 21-33</w:t>
      </w:r>
      <w:r w:rsidRPr="00540D60">
        <w:rPr>
          <w:lang w:eastAsia="en-US"/>
        </w:rPr>
        <w:t xml:space="preserve">. </w:t>
      </w:r>
      <w:hyperlink r:id="rId31" w:history="1">
        <w:r w:rsidR="002930C0" w:rsidRPr="00540D60">
          <w:rPr>
            <w:rStyle w:val="Hyperlink"/>
            <w:lang w:eastAsia="en-US"/>
          </w:rPr>
          <w:t>http://dx.doi.org/10.5120/11871-7665</w:t>
        </w:r>
      </w:hyperlink>
      <w:r w:rsidR="002930C0" w:rsidRPr="00540D60">
        <w:rPr>
          <w:lang w:eastAsia="en-US"/>
        </w:rPr>
        <w:t xml:space="preserve">  </w:t>
      </w:r>
    </w:p>
    <w:p w14:paraId="75C457D8" w14:textId="77777777" w:rsidR="002F6F38" w:rsidRDefault="002F6F38" w:rsidP="0031399D">
      <w:pPr>
        <w:rPr>
          <w:lang w:eastAsia="en-US"/>
        </w:rPr>
      </w:pPr>
    </w:p>
    <w:p w14:paraId="16AE3101" w14:textId="0DE41008" w:rsidR="000550E1" w:rsidRPr="00540D60" w:rsidRDefault="000550E1" w:rsidP="0031399D">
      <w:pPr>
        <w:rPr>
          <w:lang w:eastAsia="en-US"/>
        </w:rPr>
      </w:pPr>
      <w:r w:rsidRPr="00540D60">
        <w:rPr>
          <w:lang w:eastAsia="en-US"/>
        </w:rPr>
        <w:t xml:space="preserve">Paulo, D., Collins, G., Cooper, </w:t>
      </w:r>
      <w:r w:rsidR="00A11FA2" w:rsidRPr="00540D60">
        <w:rPr>
          <w:lang w:eastAsia="en-US"/>
        </w:rPr>
        <w:t>C., Patel, R., and Wallace, S. (</w:t>
      </w:r>
      <w:r w:rsidRPr="00540D60">
        <w:rPr>
          <w:lang w:eastAsia="en-US"/>
        </w:rPr>
        <w:t>2010</w:t>
      </w:r>
      <w:r w:rsidR="00A11FA2" w:rsidRPr="00540D60">
        <w:rPr>
          <w:lang w:eastAsia="en-US"/>
        </w:rPr>
        <w:t>)</w:t>
      </w:r>
      <w:r w:rsidR="002930C0" w:rsidRPr="00540D60">
        <w:rPr>
          <w:lang w:eastAsia="en-US"/>
        </w:rPr>
        <w:t>. M25 speed h</w:t>
      </w:r>
      <w:r w:rsidRPr="00540D60">
        <w:rPr>
          <w:lang w:eastAsia="en-US"/>
        </w:rPr>
        <w:t>armonisation. I</w:t>
      </w:r>
      <w:r w:rsidR="00575D42" w:rsidRPr="00540D60">
        <w:rPr>
          <w:lang w:eastAsia="en-US"/>
        </w:rPr>
        <w:t xml:space="preserve">nstitute of Engineering and Technology. </w:t>
      </w:r>
      <w:r w:rsidRPr="00540D60">
        <w:rPr>
          <w:lang w:eastAsia="en-US"/>
        </w:rPr>
        <w:t xml:space="preserve">Road Transport Information and Control </w:t>
      </w:r>
      <w:r w:rsidR="00575D42" w:rsidRPr="00540D60">
        <w:rPr>
          <w:lang w:eastAsia="en-US"/>
        </w:rPr>
        <w:t xml:space="preserve">- </w:t>
      </w:r>
      <w:r w:rsidRPr="00540D60">
        <w:rPr>
          <w:lang w:eastAsia="en-US"/>
        </w:rPr>
        <w:t>Better transport thr</w:t>
      </w:r>
      <w:r w:rsidR="00575D42" w:rsidRPr="00540D60">
        <w:rPr>
          <w:lang w:eastAsia="en-US"/>
        </w:rPr>
        <w:t xml:space="preserve">ough technology conference. </w:t>
      </w:r>
    </w:p>
    <w:p w14:paraId="5ADF2AB5" w14:textId="77777777" w:rsidR="00623F10" w:rsidRDefault="00623F10" w:rsidP="00623F10">
      <w:pPr>
        <w:pStyle w:val="NormalWeb"/>
        <w:rPr>
          <w:noProof/>
        </w:rPr>
      </w:pPr>
    </w:p>
    <w:p w14:paraId="005B9D15" w14:textId="7B52B108" w:rsidR="00814352" w:rsidRDefault="00814352" w:rsidP="00814352">
      <w:pPr>
        <w:jc w:val="left"/>
        <w:rPr>
          <w:lang w:eastAsia="en-GB"/>
        </w:rPr>
      </w:pPr>
      <w:r>
        <w:rPr>
          <w:lang w:eastAsia="en-GB"/>
        </w:rPr>
        <w:t xml:space="preserve">Peeta, S., Ramos, J. L. and Pasupathy, R. (2000). Content of variable message signs and on-line driver behavior. </w:t>
      </w:r>
      <w:r w:rsidRPr="00814352">
        <w:rPr>
          <w:i/>
          <w:iCs/>
          <w:lang w:eastAsia="en-GB"/>
        </w:rPr>
        <w:t>Transportation Research Record</w:t>
      </w:r>
      <w:r>
        <w:rPr>
          <w:lang w:eastAsia="en-GB"/>
        </w:rPr>
        <w:t xml:space="preserve">, 1725(1), 102–108. </w:t>
      </w:r>
      <w:hyperlink r:id="rId32" w:history="1">
        <w:r>
          <w:rPr>
            <w:rStyle w:val="Hyperlink"/>
            <w:lang w:eastAsia="en-GB"/>
          </w:rPr>
          <w:t>http://doi.org/10.3141/1725-14</w:t>
        </w:r>
      </w:hyperlink>
    </w:p>
    <w:p w14:paraId="55A5D238" w14:textId="77777777" w:rsidR="00814352" w:rsidRDefault="00814352" w:rsidP="00814352">
      <w:pPr>
        <w:rPr>
          <w:lang w:eastAsia="en-GB"/>
        </w:rPr>
      </w:pPr>
    </w:p>
    <w:p w14:paraId="3E765897" w14:textId="21311706" w:rsidR="00623F10" w:rsidRDefault="00623F10" w:rsidP="00623F10">
      <w:pPr>
        <w:pStyle w:val="NormalWeb"/>
        <w:rPr>
          <w:noProof/>
        </w:rPr>
      </w:pPr>
      <w:r>
        <w:rPr>
          <w:noProof/>
        </w:rPr>
        <w:t xml:space="preserve">Peeta, S. and Gedela, S. (2001). Real-time variable message sign-based route guidance consistent with driver behavior. </w:t>
      </w:r>
      <w:r w:rsidRPr="00623F10">
        <w:rPr>
          <w:i/>
          <w:iCs/>
          <w:noProof/>
        </w:rPr>
        <w:t>Transportation Research Record</w:t>
      </w:r>
      <w:r>
        <w:rPr>
          <w:noProof/>
        </w:rPr>
        <w:t>, 1752, 117–125.</w:t>
      </w:r>
    </w:p>
    <w:p w14:paraId="5D3175D7" w14:textId="77777777" w:rsidR="00623F10" w:rsidRDefault="00623F10" w:rsidP="0031399D">
      <w:pPr>
        <w:pStyle w:val="NormalWeb"/>
        <w:rPr>
          <w:noProof/>
        </w:rPr>
      </w:pPr>
    </w:p>
    <w:p w14:paraId="4B85E168" w14:textId="46E31876" w:rsidR="007F68D6" w:rsidRPr="00681CE5" w:rsidRDefault="00B526A4" w:rsidP="0031399D">
      <w:pPr>
        <w:pStyle w:val="NormalWeb"/>
        <w:rPr>
          <w:noProof/>
        </w:rPr>
      </w:pPr>
      <w:r w:rsidRPr="00540D60">
        <w:rPr>
          <w:noProof/>
        </w:rPr>
        <w:t>Pokharel, S. S., Bishop, G.A</w:t>
      </w:r>
      <w:r w:rsidR="007F68D6" w:rsidRPr="00540D60">
        <w:rPr>
          <w:noProof/>
        </w:rPr>
        <w:t xml:space="preserve">, </w:t>
      </w:r>
      <w:r w:rsidR="00CF589A" w:rsidRPr="00540D60">
        <w:rPr>
          <w:noProof/>
        </w:rPr>
        <w:t>and</w:t>
      </w:r>
      <w:r w:rsidR="007F68D6" w:rsidRPr="00540D60">
        <w:rPr>
          <w:noProof/>
        </w:rPr>
        <w:t xml:space="preserve"> Stedman, D. H. (2002). An on-road motor vehicle emissions inventory for Denver: an efficient alternative to modeling. </w:t>
      </w:r>
      <w:r w:rsidR="007F68D6" w:rsidRPr="00540D60">
        <w:rPr>
          <w:i/>
          <w:iCs/>
          <w:noProof/>
        </w:rPr>
        <w:t>Atmospheric Environment</w:t>
      </w:r>
      <w:r w:rsidR="007F68D6" w:rsidRPr="00540D60">
        <w:rPr>
          <w:noProof/>
        </w:rPr>
        <w:t>, 36</w:t>
      </w:r>
      <w:r w:rsidR="00A11FA2" w:rsidRPr="00540D60">
        <w:rPr>
          <w:noProof/>
        </w:rPr>
        <w:t xml:space="preserve">(33), 5177–5184. </w:t>
      </w:r>
      <w:hyperlink r:id="rId33" w:history="1">
        <w:r w:rsidR="00F0708E" w:rsidRPr="00681CE5">
          <w:rPr>
            <w:rStyle w:val="Hyperlink"/>
            <w:rFonts w:asciiTheme="majorBidi" w:hAnsiTheme="majorBidi" w:cstheme="majorBidi"/>
            <w:noProof/>
          </w:rPr>
          <w:t>http://dx.doi.org/10.1016/S1352-2310(02)00651-9</w:t>
        </w:r>
      </w:hyperlink>
      <w:r w:rsidR="00F0708E" w:rsidRPr="00681CE5">
        <w:rPr>
          <w:noProof/>
        </w:rPr>
        <w:t xml:space="preserve"> </w:t>
      </w:r>
    </w:p>
    <w:p w14:paraId="70981F96" w14:textId="77777777" w:rsidR="00143349" w:rsidRPr="00540D60" w:rsidRDefault="00143349" w:rsidP="0031399D"/>
    <w:p w14:paraId="4748FE09" w14:textId="66EF5AF2" w:rsidR="00A40C76" w:rsidRPr="000544B6" w:rsidRDefault="00A40C76" w:rsidP="0031399D">
      <w:pPr>
        <w:pStyle w:val="NormalWeb"/>
        <w:rPr>
          <w:noProof/>
          <w:lang w:val="de-DE"/>
        </w:rPr>
      </w:pPr>
      <w:r w:rsidRPr="00540D60">
        <w:rPr>
          <w:noProof/>
        </w:rPr>
        <w:t xml:space="preserve">Schifter, I., Díaz, L., Múgica, V., </w:t>
      </w:r>
      <w:r w:rsidR="00CF589A" w:rsidRPr="00540D60">
        <w:rPr>
          <w:noProof/>
        </w:rPr>
        <w:t>and</w:t>
      </w:r>
      <w:r w:rsidRPr="00540D60">
        <w:rPr>
          <w:noProof/>
        </w:rPr>
        <w:t xml:space="preserve"> López-Salinas, E. (2005). Fuel-based motor vehicle emission inventory for the metropolitan area of Mexico city. </w:t>
      </w:r>
      <w:r w:rsidRPr="000544B6">
        <w:rPr>
          <w:i/>
          <w:iCs/>
          <w:noProof/>
          <w:lang w:val="de-DE"/>
        </w:rPr>
        <w:t>Atmospheric Environment</w:t>
      </w:r>
      <w:r w:rsidRPr="000544B6">
        <w:rPr>
          <w:noProof/>
          <w:lang w:val="de-DE"/>
        </w:rPr>
        <w:t xml:space="preserve">, 39(5), 931–940. </w:t>
      </w:r>
      <w:hyperlink r:id="rId34" w:history="1">
        <w:r w:rsidR="00F0708E" w:rsidRPr="000544B6">
          <w:rPr>
            <w:rStyle w:val="Hyperlink"/>
            <w:rFonts w:asciiTheme="majorBidi" w:hAnsiTheme="majorBidi" w:cstheme="majorBidi"/>
            <w:noProof/>
            <w:lang w:val="de-DE"/>
          </w:rPr>
          <w:t>http://dx.doi.org/10.1016/j.atmosenv.2004.09.079</w:t>
        </w:r>
      </w:hyperlink>
      <w:r w:rsidR="00F0708E" w:rsidRPr="000544B6">
        <w:rPr>
          <w:noProof/>
          <w:lang w:val="de-DE"/>
        </w:rPr>
        <w:t xml:space="preserve"> </w:t>
      </w:r>
    </w:p>
    <w:p w14:paraId="665B9F8A" w14:textId="56467CDB" w:rsidR="007F68D6" w:rsidRPr="000544B6" w:rsidRDefault="007F68D6" w:rsidP="0031399D">
      <w:pPr>
        <w:pStyle w:val="NormalWeb"/>
        <w:rPr>
          <w:noProof/>
          <w:lang w:val="de-DE"/>
        </w:rPr>
      </w:pPr>
      <w:r w:rsidRPr="00540D60">
        <w:rPr>
          <w:noProof/>
        </w:rPr>
        <w:fldChar w:fldCharType="begin" w:fldLock="1"/>
      </w:r>
      <w:r w:rsidRPr="000544B6">
        <w:rPr>
          <w:noProof/>
          <w:lang w:val="de-DE"/>
        </w:rPr>
        <w:instrText xml:space="preserve">ADDIN Mendeley Bibliography CSL_BIBLIOGRAPHY </w:instrText>
      </w:r>
      <w:r w:rsidRPr="00540D60">
        <w:rPr>
          <w:noProof/>
        </w:rPr>
        <w:fldChar w:fldCharType="end"/>
      </w:r>
    </w:p>
    <w:p w14:paraId="1557B448" w14:textId="77777777" w:rsidR="00EF3FEC" w:rsidRDefault="00083BC0" w:rsidP="00083BC0">
      <w:pPr>
        <w:rPr>
          <w:lang w:eastAsia="en-US"/>
        </w:rPr>
      </w:pPr>
      <w:r w:rsidRPr="00CC3067">
        <w:rPr>
          <w:lang w:val="de-DE" w:eastAsia="en-US"/>
        </w:rPr>
        <w:t xml:space="preserve">Schlich, R., Schönfelder, S., Hanson, S., Axhausen, K. (2004). </w:t>
      </w:r>
      <w:r w:rsidR="00EF3FEC">
        <w:rPr>
          <w:lang w:eastAsia="en-US"/>
        </w:rPr>
        <w:t>Structures of leisure travel: t</w:t>
      </w:r>
      <w:r w:rsidRPr="00540D60">
        <w:rPr>
          <w:lang w:eastAsia="en-US"/>
        </w:rPr>
        <w:t>emporal and</w:t>
      </w:r>
      <w:r w:rsidR="00EF3FEC">
        <w:rPr>
          <w:lang w:eastAsia="en-US"/>
        </w:rPr>
        <w:t xml:space="preserve"> spatial v</w:t>
      </w:r>
      <w:r w:rsidRPr="00540D60">
        <w:rPr>
          <w:lang w:eastAsia="en-US"/>
        </w:rPr>
        <w:t xml:space="preserve">ariability. </w:t>
      </w:r>
      <w:r w:rsidRPr="00EF3FEC">
        <w:rPr>
          <w:i/>
          <w:iCs/>
          <w:lang w:eastAsia="en-US"/>
        </w:rPr>
        <w:t>Transport Reviews</w:t>
      </w:r>
      <w:r w:rsidRPr="00540D60">
        <w:rPr>
          <w:lang w:eastAsia="en-US"/>
        </w:rPr>
        <w:t xml:space="preserve">, 24, 219–237. </w:t>
      </w:r>
    </w:p>
    <w:p w14:paraId="12099F45" w14:textId="60ABF410" w:rsidR="00083BC0" w:rsidRPr="00540D60" w:rsidRDefault="0013224B" w:rsidP="00083BC0">
      <w:pPr>
        <w:rPr>
          <w:lang w:eastAsia="en-US"/>
        </w:rPr>
      </w:pPr>
      <w:hyperlink r:id="rId35" w:history="1">
        <w:r w:rsidR="00083BC0" w:rsidRPr="00540D60">
          <w:rPr>
            <w:rStyle w:val="Hyperlink"/>
            <w:lang w:eastAsia="en-US"/>
          </w:rPr>
          <w:t>http://dx.doi.org/10.1080/0144164032000138742</w:t>
        </w:r>
      </w:hyperlink>
      <w:r w:rsidR="00083BC0" w:rsidRPr="00540D60">
        <w:rPr>
          <w:lang w:eastAsia="en-US"/>
        </w:rPr>
        <w:t xml:space="preserve"> </w:t>
      </w:r>
    </w:p>
    <w:p w14:paraId="162FCFCB" w14:textId="77777777" w:rsidR="00083BC0" w:rsidRDefault="00083BC0" w:rsidP="0031399D">
      <w:pPr>
        <w:rPr>
          <w:lang w:eastAsia="en-US"/>
        </w:rPr>
      </w:pPr>
    </w:p>
    <w:p w14:paraId="1B4A0F12" w14:textId="46C2BEF3" w:rsidR="00C133F9" w:rsidRPr="00C133F9" w:rsidRDefault="00C133F9" w:rsidP="00C133F9">
      <w:pPr>
        <w:rPr>
          <w:lang w:eastAsia="en-US"/>
        </w:rPr>
      </w:pPr>
      <w:r w:rsidRPr="000544B6">
        <w:rPr>
          <w:lang w:val="de-DE" w:eastAsia="en-US"/>
        </w:rPr>
        <w:t xml:space="preserve">Schönfelder, S. and Axhausen, K.W. (2010). </w:t>
      </w:r>
      <w:r w:rsidRPr="00C133F9">
        <w:rPr>
          <w:lang w:eastAsia="en-US"/>
        </w:rPr>
        <w:t>Urban rhythms and travel behaviour: spatial and temporal phenomena of daily travel</w:t>
      </w:r>
      <w:r>
        <w:rPr>
          <w:lang w:eastAsia="en-US"/>
        </w:rPr>
        <w:t>. Routledge</w:t>
      </w:r>
      <w:r w:rsidR="000F09AC">
        <w:rPr>
          <w:lang w:eastAsia="en-US"/>
        </w:rPr>
        <w:t>, Abingdon, UK.</w:t>
      </w:r>
    </w:p>
    <w:p w14:paraId="2E9F98B7" w14:textId="77777777" w:rsidR="00C133F9" w:rsidRPr="000544B6" w:rsidRDefault="00C133F9" w:rsidP="00083BC0">
      <w:pPr>
        <w:rPr>
          <w:lang w:eastAsia="en-US"/>
        </w:rPr>
      </w:pPr>
    </w:p>
    <w:p w14:paraId="6B8CF30C" w14:textId="794299E0" w:rsidR="00EE37F2" w:rsidRPr="00540D60" w:rsidRDefault="00EE37F2" w:rsidP="0031399D">
      <w:pPr>
        <w:rPr>
          <w:lang w:eastAsia="en-US"/>
        </w:rPr>
      </w:pPr>
      <w:r w:rsidRPr="00540D60">
        <w:rPr>
          <w:lang w:eastAsia="en-US"/>
        </w:rPr>
        <w:t>Shen,</w:t>
      </w:r>
      <w:r w:rsidR="00A11FA2" w:rsidRPr="00540D60">
        <w:rPr>
          <w:lang w:eastAsia="en-US"/>
        </w:rPr>
        <w:t xml:space="preserve"> Y., Kwan, M.-P., and Chai, Y. (</w:t>
      </w:r>
      <w:r w:rsidRPr="00540D60">
        <w:rPr>
          <w:lang w:eastAsia="en-US"/>
        </w:rPr>
        <w:t>2013</w:t>
      </w:r>
      <w:r w:rsidR="00A11FA2" w:rsidRPr="00540D60">
        <w:rPr>
          <w:lang w:eastAsia="en-US"/>
        </w:rPr>
        <w:t>)</w:t>
      </w:r>
      <w:r w:rsidRPr="00540D60">
        <w:rPr>
          <w:lang w:eastAsia="en-US"/>
        </w:rPr>
        <w:t xml:space="preserve">. Investigating commuting flexibility with GPS data and 3D geovisualization: a case study of Beijing, China. </w:t>
      </w:r>
      <w:r w:rsidRPr="00540D60">
        <w:rPr>
          <w:i/>
          <w:iCs/>
          <w:lang w:eastAsia="en-US"/>
        </w:rPr>
        <w:t>Journal of Transport Geography</w:t>
      </w:r>
      <w:r w:rsidRPr="00540D60">
        <w:rPr>
          <w:lang w:eastAsia="en-US"/>
        </w:rPr>
        <w:t>, 32, 1-11.</w:t>
      </w:r>
      <w:r w:rsidR="00BD5489" w:rsidRPr="00540D60">
        <w:rPr>
          <w:lang w:eastAsia="en-US"/>
        </w:rPr>
        <w:t xml:space="preserve"> </w:t>
      </w:r>
      <w:hyperlink r:id="rId36" w:history="1">
        <w:r w:rsidR="00BD5489" w:rsidRPr="00540D60">
          <w:rPr>
            <w:rStyle w:val="Hyperlink"/>
            <w:lang w:eastAsia="en-US"/>
          </w:rPr>
          <w:t>http://dx.doi.org/10.1016/j.jtrangeo.2013.07.007</w:t>
        </w:r>
      </w:hyperlink>
      <w:r w:rsidR="00BD5489" w:rsidRPr="00540D60">
        <w:rPr>
          <w:lang w:eastAsia="en-US"/>
        </w:rPr>
        <w:t xml:space="preserve"> </w:t>
      </w:r>
    </w:p>
    <w:p w14:paraId="257E6396" w14:textId="77777777" w:rsidR="002F6F38" w:rsidRDefault="002F6F38" w:rsidP="0031399D">
      <w:pPr>
        <w:rPr>
          <w:lang w:eastAsia="en-US"/>
        </w:rPr>
      </w:pPr>
    </w:p>
    <w:p w14:paraId="57FB9FC8" w14:textId="70BE5E77" w:rsidR="003466AD" w:rsidRPr="00540D60" w:rsidRDefault="003466AD" w:rsidP="0031399D">
      <w:pPr>
        <w:rPr>
          <w:lang w:eastAsia="en-US"/>
        </w:rPr>
      </w:pPr>
      <w:r w:rsidRPr="00540D60">
        <w:rPr>
          <w:lang w:eastAsia="en-US"/>
        </w:rPr>
        <w:t xml:space="preserve">Spyridakis, J., Barfield, </w:t>
      </w:r>
      <w:r w:rsidR="00BD5489" w:rsidRPr="00540D60">
        <w:rPr>
          <w:lang w:eastAsia="en-US"/>
        </w:rPr>
        <w:t xml:space="preserve">W., </w:t>
      </w:r>
      <w:r w:rsidRPr="00540D60">
        <w:rPr>
          <w:lang w:eastAsia="en-US"/>
        </w:rPr>
        <w:t>Conquest,</w:t>
      </w:r>
      <w:r w:rsidR="00BD5489" w:rsidRPr="00540D60">
        <w:rPr>
          <w:lang w:eastAsia="en-US"/>
        </w:rPr>
        <w:t xml:space="preserve"> L., </w:t>
      </w:r>
      <w:r w:rsidRPr="00540D60">
        <w:rPr>
          <w:lang w:eastAsia="en-US"/>
        </w:rPr>
        <w:t>Haselkorn</w:t>
      </w:r>
      <w:r w:rsidR="00BD5489" w:rsidRPr="00540D60">
        <w:rPr>
          <w:lang w:eastAsia="en-US"/>
        </w:rPr>
        <w:t xml:space="preserve">, M. </w:t>
      </w:r>
      <w:r w:rsidRPr="00540D60">
        <w:rPr>
          <w:lang w:eastAsia="en-US"/>
        </w:rPr>
        <w:t>and Isakson</w:t>
      </w:r>
      <w:r w:rsidR="00BD5489" w:rsidRPr="00540D60">
        <w:rPr>
          <w:lang w:eastAsia="en-US"/>
        </w:rPr>
        <w:t xml:space="preserve"> C.</w:t>
      </w:r>
      <w:r w:rsidRPr="00540D60">
        <w:rPr>
          <w:lang w:eastAsia="en-US"/>
        </w:rPr>
        <w:t xml:space="preserve"> (1991). Surveying commuter behaviour: Designing motorist information systems. </w:t>
      </w:r>
      <w:r w:rsidRPr="00540D60">
        <w:rPr>
          <w:i/>
          <w:iCs/>
          <w:lang w:eastAsia="en-US"/>
        </w:rPr>
        <w:t>Transportation Research</w:t>
      </w:r>
      <w:r w:rsidR="00BD5489" w:rsidRPr="00540D60">
        <w:rPr>
          <w:i/>
          <w:iCs/>
          <w:lang w:eastAsia="en-US"/>
        </w:rPr>
        <w:t xml:space="preserve"> A</w:t>
      </w:r>
      <w:r w:rsidRPr="00540D60">
        <w:rPr>
          <w:lang w:eastAsia="en-US"/>
        </w:rPr>
        <w:t>, 25(1)</w:t>
      </w:r>
      <w:r w:rsidR="00BD5489" w:rsidRPr="00540D60">
        <w:rPr>
          <w:lang w:eastAsia="en-US"/>
        </w:rPr>
        <w:t>,</w:t>
      </w:r>
      <w:r w:rsidRPr="00540D60">
        <w:rPr>
          <w:lang w:eastAsia="en-US"/>
        </w:rPr>
        <w:t xml:space="preserve"> 17-30.</w:t>
      </w:r>
      <w:r w:rsidR="00BD5489" w:rsidRPr="00540D60">
        <w:rPr>
          <w:lang w:eastAsia="en-US"/>
        </w:rPr>
        <w:t xml:space="preserve"> </w:t>
      </w:r>
      <w:hyperlink r:id="rId37" w:history="1">
        <w:r w:rsidR="00BD5489" w:rsidRPr="00540D60">
          <w:rPr>
            <w:rStyle w:val="Hyperlink"/>
            <w:lang w:eastAsia="en-US"/>
          </w:rPr>
          <w:t>http://dx.doi.org/10.1016/0191-2607(91)90152-G</w:t>
        </w:r>
      </w:hyperlink>
      <w:r w:rsidR="00BD5489" w:rsidRPr="00540D60">
        <w:rPr>
          <w:lang w:eastAsia="en-US"/>
        </w:rPr>
        <w:t xml:space="preserve"> </w:t>
      </w:r>
    </w:p>
    <w:p w14:paraId="50DF5761" w14:textId="77777777" w:rsidR="002F6F38" w:rsidRDefault="002F6F38" w:rsidP="0031399D">
      <w:pPr>
        <w:rPr>
          <w:lang w:eastAsia="en-US"/>
        </w:rPr>
      </w:pPr>
    </w:p>
    <w:p w14:paraId="42E6A3BA" w14:textId="4DFA4655" w:rsidR="008E2113" w:rsidRPr="00540D60" w:rsidRDefault="00A11FA2" w:rsidP="00681CE5">
      <w:pPr>
        <w:jc w:val="left"/>
        <w:rPr>
          <w:lang w:eastAsia="en-US"/>
        </w:rPr>
      </w:pPr>
      <w:r w:rsidRPr="00540D60">
        <w:rPr>
          <w:lang w:eastAsia="en-US"/>
        </w:rPr>
        <w:lastRenderedPageBreak/>
        <w:t>Stanczyk, D. and Klein, E. (</w:t>
      </w:r>
      <w:r w:rsidR="008E2113" w:rsidRPr="00540D60">
        <w:rPr>
          <w:lang w:eastAsia="en-US"/>
        </w:rPr>
        <w:t>2012</w:t>
      </w:r>
      <w:r w:rsidRPr="00540D60">
        <w:rPr>
          <w:lang w:eastAsia="en-US"/>
        </w:rPr>
        <w:t>)</w:t>
      </w:r>
      <w:r w:rsidR="008E2113" w:rsidRPr="00540D60">
        <w:rPr>
          <w:lang w:eastAsia="en-US"/>
        </w:rPr>
        <w:t xml:space="preserve">. Heavy </w:t>
      </w:r>
      <w:r w:rsidR="00F0708E" w:rsidRPr="00540D60">
        <w:rPr>
          <w:lang w:eastAsia="en-US"/>
        </w:rPr>
        <w:t>t</w:t>
      </w:r>
      <w:r w:rsidR="008E2113" w:rsidRPr="00540D60">
        <w:rPr>
          <w:lang w:eastAsia="en-US"/>
        </w:rPr>
        <w:t xml:space="preserve">raffic </w:t>
      </w:r>
      <w:r w:rsidR="00F0708E" w:rsidRPr="00540D60">
        <w:rPr>
          <w:lang w:eastAsia="en-US"/>
        </w:rPr>
        <w:t>d</w:t>
      </w:r>
      <w:r w:rsidR="008E2113" w:rsidRPr="00540D60">
        <w:rPr>
          <w:lang w:eastAsia="en-US"/>
        </w:rPr>
        <w:t xml:space="preserve">ata </w:t>
      </w:r>
      <w:r w:rsidR="00F0708E" w:rsidRPr="00540D60">
        <w:rPr>
          <w:lang w:eastAsia="en-US"/>
        </w:rPr>
        <w:t>c</w:t>
      </w:r>
      <w:r w:rsidR="008E2113" w:rsidRPr="00540D60">
        <w:rPr>
          <w:lang w:eastAsia="en-US"/>
        </w:rPr>
        <w:t xml:space="preserve">ollection and </w:t>
      </w:r>
      <w:r w:rsidR="00F0708E" w:rsidRPr="00540D60">
        <w:rPr>
          <w:lang w:eastAsia="en-US"/>
        </w:rPr>
        <w:t>d</w:t>
      </w:r>
      <w:r w:rsidR="008E2113" w:rsidRPr="00540D60">
        <w:rPr>
          <w:lang w:eastAsia="en-US"/>
        </w:rPr>
        <w:t xml:space="preserve">etection of </w:t>
      </w:r>
      <w:r w:rsidR="00F0708E" w:rsidRPr="00540D60">
        <w:rPr>
          <w:lang w:eastAsia="en-US"/>
        </w:rPr>
        <w:t>o</w:t>
      </w:r>
      <w:r w:rsidR="008E2113" w:rsidRPr="00540D60">
        <w:rPr>
          <w:lang w:eastAsia="en-US"/>
        </w:rPr>
        <w:t xml:space="preserve">verloaded HGV. </w:t>
      </w:r>
      <w:r w:rsidR="008E2113" w:rsidRPr="00540D60">
        <w:rPr>
          <w:i/>
          <w:iCs/>
          <w:lang w:eastAsia="en-US"/>
        </w:rPr>
        <w:t>Procedia - Social and Behavioral Sciences</w:t>
      </w:r>
      <w:r w:rsidR="008E2113" w:rsidRPr="00540D60">
        <w:rPr>
          <w:lang w:eastAsia="en-US"/>
        </w:rPr>
        <w:t>, 48, 133-143.</w:t>
      </w:r>
      <w:r w:rsidR="00BD5489" w:rsidRPr="00540D60">
        <w:rPr>
          <w:lang w:eastAsia="en-US"/>
        </w:rPr>
        <w:t xml:space="preserve"> </w:t>
      </w:r>
      <w:hyperlink r:id="rId38" w:history="1">
        <w:r w:rsidR="00BD5489" w:rsidRPr="00540D60">
          <w:rPr>
            <w:rStyle w:val="Hyperlink"/>
            <w:lang w:eastAsia="en-US"/>
          </w:rPr>
          <w:t>http://dx.doi.org/10.1016/j.sbspro.2012.06.994</w:t>
        </w:r>
      </w:hyperlink>
      <w:r w:rsidR="00BD5489" w:rsidRPr="00540D60">
        <w:rPr>
          <w:lang w:eastAsia="en-US"/>
        </w:rPr>
        <w:t xml:space="preserve"> </w:t>
      </w:r>
    </w:p>
    <w:p w14:paraId="512B4CD9" w14:textId="77777777" w:rsidR="002F6F38" w:rsidRDefault="002F6F38" w:rsidP="0031399D">
      <w:pPr>
        <w:rPr>
          <w:lang w:eastAsia="en-US"/>
        </w:rPr>
      </w:pPr>
    </w:p>
    <w:p w14:paraId="6048193F" w14:textId="783BF557" w:rsidR="009B3B57" w:rsidRPr="00540D60" w:rsidRDefault="00115C9F" w:rsidP="00395E73">
      <w:pPr>
        <w:jc w:val="left"/>
        <w:rPr>
          <w:lang w:eastAsia="en-US"/>
        </w:rPr>
      </w:pPr>
      <w:r w:rsidRPr="00540D60">
        <w:rPr>
          <w:lang w:eastAsia="en-US"/>
        </w:rPr>
        <w:t>T</w:t>
      </w:r>
      <w:r w:rsidR="008249B8" w:rsidRPr="00540D60">
        <w:rPr>
          <w:lang w:eastAsia="en-US"/>
        </w:rPr>
        <w:t xml:space="preserve">ransport for </w:t>
      </w:r>
      <w:r w:rsidRPr="00540D60">
        <w:rPr>
          <w:lang w:eastAsia="en-US"/>
        </w:rPr>
        <w:t>L</w:t>
      </w:r>
      <w:r w:rsidR="008249B8" w:rsidRPr="00540D60">
        <w:rPr>
          <w:lang w:eastAsia="en-US"/>
        </w:rPr>
        <w:t>ondon</w:t>
      </w:r>
      <w:r w:rsidRPr="00540D60">
        <w:rPr>
          <w:lang w:eastAsia="en-US"/>
        </w:rPr>
        <w:t xml:space="preserve"> (2012)</w:t>
      </w:r>
      <w:r w:rsidR="008249B8" w:rsidRPr="00540D60">
        <w:rPr>
          <w:lang w:eastAsia="en-US"/>
        </w:rPr>
        <w:t>.</w:t>
      </w:r>
      <w:r w:rsidRPr="00540D60">
        <w:rPr>
          <w:lang w:eastAsia="en-US"/>
        </w:rPr>
        <w:t xml:space="preserve"> Roads Task Force – technical note 16. Understanding why people change behaviour. Transport for London. Available at </w:t>
      </w:r>
      <w:hyperlink r:id="rId39" w:history="1">
        <w:r w:rsidRPr="00540D60">
          <w:rPr>
            <w:rStyle w:val="Hyperlink"/>
            <w:color w:val="0000CC"/>
          </w:rPr>
          <w:t>http://www.tfl.gov.uk/cdn/static/cms/documents/technical-note-16-understanding-why-people-change-behaviour.pdf</w:t>
        </w:r>
      </w:hyperlink>
      <w:r w:rsidR="00074D92">
        <w:rPr>
          <w:rStyle w:val="Hyperlink"/>
          <w:color w:val="0000CC"/>
        </w:rPr>
        <w:t xml:space="preserve">, </w:t>
      </w:r>
      <w:r w:rsidR="00074D92">
        <w:t>l</w:t>
      </w:r>
      <w:r w:rsidR="00074D92" w:rsidRPr="00540D60">
        <w:t xml:space="preserve">ast accessed </w:t>
      </w:r>
      <w:r w:rsidR="00395E73">
        <w:t xml:space="preserve">5 September </w:t>
      </w:r>
      <w:r w:rsidR="00074D92">
        <w:t>2</w:t>
      </w:r>
      <w:r w:rsidR="00074D92" w:rsidRPr="00540D60">
        <w:t>016</w:t>
      </w:r>
      <w:r w:rsidR="00F0708E" w:rsidRPr="00540D60">
        <w:rPr>
          <w:lang w:eastAsia="en-US"/>
        </w:rPr>
        <w:t>.</w:t>
      </w:r>
    </w:p>
    <w:p w14:paraId="0530120D" w14:textId="77777777" w:rsidR="002F6F38" w:rsidRDefault="002F6F38" w:rsidP="0031399D">
      <w:pPr>
        <w:rPr>
          <w:lang w:eastAsia="en-US"/>
        </w:rPr>
      </w:pPr>
    </w:p>
    <w:p w14:paraId="496DCC48" w14:textId="6F8630A7" w:rsidR="00D67290" w:rsidRPr="00540D60" w:rsidRDefault="00D67290" w:rsidP="0031399D">
      <w:pPr>
        <w:rPr>
          <w:lang w:eastAsia="en-US"/>
        </w:rPr>
      </w:pPr>
      <w:r w:rsidRPr="00540D60">
        <w:rPr>
          <w:lang w:eastAsia="en-US"/>
        </w:rPr>
        <w:t>Tsapakis,</w:t>
      </w:r>
      <w:r w:rsidR="00A11FA2" w:rsidRPr="00540D60">
        <w:rPr>
          <w:lang w:eastAsia="en-US"/>
        </w:rPr>
        <w:t xml:space="preserve"> I., Cheng, T., and Bolbol, A. (</w:t>
      </w:r>
      <w:r w:rsidRPr="00540D60">
        <w:rPr>
          <w:lang w:eastAsia="en-US"/>
        </w:rPr>
        <w:t>2013</w:t>
      </w:r>
      <w:r w:rsidR="00A11FA2" w:rsidRPr="00540D60">
        <w:rPr>
          <w:lang w:eastAsia="en-US"/>
        </w:rPr>
        <w:t>)</w:t>
      </w:r>
      <w:r w:rsidRPr="00540D60">
        <w:rPr>
          <w:lang w:eastAsia="en-US"/>
        </w:rPr>
        <w:t xml:space="preserve">. Impact of weather conditions on macroscopic urban travel times. </w:t>
      </w:r>
      <w:r w:rsidRPr="00540D60">
        <w:rPr>
          <w:i/>
          <w:iCs/>
          <w:lang w:eastAsia="en-US"/>
        </w:rPr>
        <w:t>Journal of Transport Geography</w:t>
      </w:r>
      <w:r w:rsidRPr="00540D60">
        <w:rPr>
          <w:lang w:eastAsia="en-US"/>
        </w:rPr>
        <w:t xml:space="preserve">, 28, 204-211. </w:t>
      </w:r>
      <w:hyperlink r:id="rId40" w:history="1">
        <w:r w:rsidR="00BD5489" w:rsidRPr="00540D60">
          <w:rPr>
            <w:rStyle w:val="Hyperlink"/>
            <w:lang w:eastAsia="en-US"/>
          </w:rPr>
          <w:t>http://dx.doi.org/10.1016/j.jtrangeo.2012.11.003</w:t>
        </w:r>
      </w:hyperlink>
      <w:r w:rsidR="00BD5489" w:rsidRPr="00540D60">
        <w:rPr>
          <w:lang w:eastAsia="en-US"/>
        </w:rPr>
        <w:t xml:space="preserve"> </w:t>
      </w:r>
    </w:p>
    <w:p w14:paraId="211391EB" w14:textId="77777777" w:rsidR="00BE5D5A" w:rsidRDefault="00BE5D5A" w:rsidP="0031399D">
      <w:pPr>
        <w:rPr>
          <w:lang w:eastAsia="en-US"/>
        </w:rPr>
      </w:pPr>
    </w:p>
    <w:p w14:paraId="2C6E2834" w14:textId="313BB511" w:rsidR="00D67290" w:rsidRPr="00540D60" w:rsidRDefault="00D67290" w:rsidP="0031399D">
      <w:pPr>
        <w:rPr>
          <w:lang w:eastAsia="en-US"/>
        </w:rPr>
      </w:pPr>
      <w:r w:rsidRPr="00540D60">
        <w:rPr>
          <w:lang w:eastAsia="en-US"/>
        </w:rPr>
        <w:t>Ve</w:t>
      </w:r>
      <w:r w:rsidR="00A11FA2" w:rsidRPr="00540D60">
        <w:rPr>
          <w:lang w:eastAsia="en-US"/>
        </w:rPr>
        <w:t>laga, N. R. and Pangbourne, K. (</w:t>
      </w:r>
      <w:r w:rsidRPr="00540D60">
        <w:rPr>
          <w:lang w:eastAsia="en-US"/>
        </w:rPr>
        <w:t>2014</w:t>
      </w:r>
      <w:r w:rsidR="00A11FA2" w:rsidRPr="00540D60">
        <w:rPr>
          <w:lang w:eastAsia="en-US"/>
        </w:rPr>
        <w:t>)</w:t>
      </w:r>
      <w:r w:rsidRPr="00540D60">
        <w:rPr>
          <w:lang w:eastAsia="en-US"/>
        </w:rPr>
        <w:t xml:space="preserve">. Achieving genuinely dynamic road user charging: issues with a GNSS-based approach. </w:t>
      </w:r>
      <w:r w:rsidRPr="00540D60">
        <w:rPr>
          <w:i/>
          <w:iCs/>
          <w:lang w:eastAsia="en-US"/>
        </w:rPr>
        <w:t>Journal of Transport Geography</w:t>
      </w:r>
      <w:r w:rsidRPr="00540D60">
        <w:rPr>
          <w:lang w:eastAsia="en-US"/>
        </w:rPr>
        <w:t xml:space="preserve">, 34, 243-253. </w:t>
      </w:r>
      <w:hyperlink r:id="rId41" w:history="1">
        <w:r w:rsidR="00630D14" w:rsidRPr="00540D60">
          <w:rPr>
            <w:rStyle w:val="Hyperlink"/>
            <w:lang w:eastAsia="en-US"/>
          </w:rPr>
          <w:t>http://dx.doi.org/10.1016/j.jtrangeo.2013.09.013</w:t>
        </w:r>
      </w:hyperlink>
      <w:r w:rsidR="00630D14" w:rsidRPr="00540D60">
        <w:rPr>
          <w:lang w:eastAsia="en-US"/>
        </w:rPr>
        <w:t xml:space="preserve"> </w:t>
      </w:r>
    </w:p>
    <w:p w14:paraId="203141CF" w14:textId="77777777" w:rsidR="002F6F38" w:rsidRDefault="002F6F38" w:rsidP="0031399D">
      <w:pPr>
        <w:rPr>
          <w:lang w:eastAsia="en-US"/>
        </w:rPr>
      </w:pPr>
    </w:p>
    <w:p w14:paraId="4D27E87A" w14:textId="770F7654" w:rsidR="007A7CEC" w:rsidRPr="00540D60" w:rsidRDefault="007A7CEC" w:rsidP="0031399D">
      <w:pPr>
        <w:rPr>
          <w:noProof/>
        </w:rPr>
      </w:pPr>
    </w:p>
    <w:p w14:paraId="382DA8A7" w14:textId="2BBB7F6E" w:rsidR="00E10618" w:rsidRPr="00540D60" w:rsidRDefault="00E10618" w:rsidP="0031399D">
      <w:pPr>
        <w:rPr>
          <w:noProof/>
        </w:rPr>
      </w:pPr>
    </w:p>
    <w:sectPr w:rsidR="00E10618" w:rsidRPr="00540D60" w:rsidSect="00995962">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DC0"/>
    <w:multiLevelType w:val="hybridMultilevel"/>
    <w:tmpl w:val="7EB45E6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01F843BA"/>
    <w:multiLevelType w:val="hybridMultilevel"/>
    <w:tmpl w:val="D3E80BB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26C15F9"/>
    <w:multiLevelType w:val="hybridMultilevel"/>
    <w:tmpl w:val="1CA0771E"/>
    <w:lvl w:ilvl="0" w:tplc="C840D8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2206FA"/>
    <w:multiLevelType w:val="hybridMultilevel"/>
    <w:tmpl w:val="1890CC28"/>
    <w:lvl w:ilvl="0" w:tplc="4796B2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177E48"/>
    <w:multiLevelType w:val="hybridMultilevel"/>
    <w:tmpl w:val="A8BA649E"/>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 w15:restartNumberingAfterBreak="0">
    <w:nsid w:val="0CA12595"/>
    <w:multiLevelType w:val="hybridMultilevel"/>
    <w:tmpl w:val="DAF22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0F33A9"/>
    <w:multiLevelType w:val="hybridMultilevel"/>
    <w:tmpl w:val="54360F7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1F0E261D"/>
    <w:multiLevelType w:val="hybridMultilevel"/>
    <w:tmpl w:val="98F6923A"/>
    <w:lvl w:ilvl="0" w:tplc="6352AF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724CE7"/>
    <w:multiLevelType w:val="hybridMultilevel"/>
    <w:tmpl w:val="0E567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26E2B"/>
    <w:multiLevelType w:val="hybridMultilevel"/>
    <w:tmpl w:val="72DCEFF2"/>
    <w:lvl w:ilvl="0" w:tplc="1C6EF6C4">
      <w:start w:val="1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84384C"/>
    <w:multiLevelType w:val="hybridMultilevel"/>
    <w:tmpl w:val="0CE4F60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23CE3FC9"/>
    <w:multiLevelType w:val="hybridMultilevel"/>
    <w:tmpl w:val="87B82DD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2" w15:restartNumberingAfterBreak="0">
    <w:nsid w:val="27360500"/>
    <w:multiLevelType w:val="multilevel"/>
    <w:tmpl w:val="2048CBC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8644BC5"/>
    <w:multiLevelType w:val="hybridMultilevel"/>
    <w:tmpl w:val="38AA30F4"/>
    <w:lvl w:ilvl="0" w:tplc="743A5C80">
      <w:start w:val="2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E1082D"/>
    <w:multiLevelType w:val="singleLevel"/>
    <w:tmpl w:val="C8F26232"/>
    <w:lvl w:ilvl="0">
      <w:start w:val="1"/>
      <w:numFmt w:val="bullet"/>
      <w:pStyle w:val="Lijststip"/>
      <w:lvlText w:val=""/>
      <w:lvlJc w:val="left"/>
      <w:pPr>
        <w:tabs>
          <w:tab w:val="num" w:pos="360"/>
        </w:tabs>
        <w:ind w:left="360" w:hanging="360"/>
      </w:pPr>
      <w:rPr>
        <w:rFonts w:ascii="Wingdings" w:hAnsi="Wingdings" w:hint="default"/>
      </w:rPr>
    </w:lvl>
  </w:abstractNum>
  <w:abstractNum w:abstractNumId="15" w15:restartNumberingAfterBreak="0">
    <w:nsid w:val="2C1F5A38"/>
    <w:multiLevelType w:val="hybridMultilevel"/>
    <w:tmpl w:val="6AB6665E"/>
    <w:lvl w:ilvl="0" w:tplc="C0B800F0">
      <w:start w:val="1"/>
      <w:numFmt w:val="bullet"/>
      <w:pStyle w:val="ListParagraph"/>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6" w15:restartNumberingAfterBreak="0">
    <w:nsid w:val="32C162A8"/>
    <w:multiLevelType w:val="hybridMultilevel"/>
    <w:tmpl w:val="D876B160"/>
    <w:lvl w:ilvl="0" w:tplc="A9BAB9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FA2536"/>
    <w:multiLevelType w:val="hybridMultilevel"/>
    <w:tmpl w:val="8A183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640B7C"/>
    <w:multiLevelType w:val="hybridMultilevel"/>
    <w:tmpl w:val="BDFA97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93766B"/>
    <w:multiLevelType w:val="hybridMultilevel"/>
    <w:tmpl w:val="5184A7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A80070"/>
    <w:multiLevelType w:val="hybridMultilevel"/>
    <w:tmpl w:val="D87EEB2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3C053F42"/>
    <w:multiLevelType w:val="hybridMultilevel"/>
    <w:tmpl w:val="2670EC3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2" w15:restartNumberingAfterBreak="0">
    <w:nsid w:val="3C7E62F5"/>
    <w:multiLevelType w:val="hybridMultilevel"/>
    <w:tmpl w:val="38B4BF4A"/>
    <w:lvl w:ilvl="0" w:tplc="6F64CA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157FD8"/>
    <w:multiLevelType w:val="multilevel"/>
    <w:tmpl w:val="3200A166"/>
    <w:lvl w:ilvl="0">
      <w:start w:val="1"/>
      <w:numFmt w:val="decimal"/>
      <w:pStyle w:val="Heading1"/>
      <w:lvlText w:val="%1."/>
      <w:lvlJc w:val="left"/>
      <w:pPr>
        <w:ind w:left="502" w:hanging="360"/>
      </w:pPr>
    </w:lvl>
    <w:lvl w:ilvl="1">
      <w:start w:val="1"/>
      <w:numFmt w:val="decimal"/>
      <w:pStyle w:val="Heading2"/>
      <w:lvlText w:val="%1.%2"/>
      <w:lvlJc w:val="left"/>
      <w:pPr>
        <w:ind w:left="860"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5BC85369"/>
    <w:multiLevelType w:val="hybridMultilevel"/>
    <w:tmpl w:val="53E4B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F835D9"/>
    <w:multiLevelType w:val="hybridMultilevel"/>
    <w:tmpl w:val="9EE65F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941A5B"/>
    <w:multiLevelType w:val="hybridMultilevel"/>
    <w:tmpl w:val="7A384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6577E4"/>
    <w:multiLevelType w:val="hybridMultilevel"/>
    <w:tmpl w:val="59F6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7400E2"/>
    <w:multiLevelType w:val="hybridMultilevel"/>
    <w:tmpl w:val="7E24A8DA"/>
    <w:lvl w:ilvl="0" w:tplc="F80226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E6153E"/>
    <w:multiLevelType w:val="hybridMultilevel"/>
    <w:tmpl w:val="980464E4"/>
    <w:lvl w:ilvl="0" w:tplc="B8922B90">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0C3426"/>
    <w:multiLevelType w:val="hybridMultilevel"/>
    <w:tmpl w:val="9A342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6A34BC"/>
    <w:multiLevelType w:val="hybridMultilevel"/>
    <w:tmpl w:val="94923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B5649C"/>
    <w:multiLevelType w:val="hybridMultilevel"/>
    <w:tmpl w:val="FF0636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3" w15:restartNumberingAfterBreak="0">
    <w:nsid w:val="744A0714"/>
    <w:multiLevelType w:val="hybridMultilevel"/>
    <w:tmpl w:val="93D4AC7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4" w15:restartNumberingAfterBreak="0">
    <w:nsid w:val="74E13D0E"/>
    <w:multiLevelType w:val="multilevel"/>
    <w:tmpl w:val="2048CBC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770830B6"/>
    <w:multiLevelType w:val="hybridMultilevel"/>
    <w:tmpl w:val="396C4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093041"/>
    <w:multiLevelType w:val="hybridMultilevel"/>
    <w:tmpl w:val="DE2A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30"/>
  </w:num>
  <w:num w:numId="4">
    <w:abstractNumId w:val="32"/>
  </w:num>
  <w:num w:numId="5">
    <w:abstractNumId w:val="12"/>
  </w:num>
  <w:num w:numId="6">
    <w:abstractNumId w:val="20"/>
  </w:num>
  <w:num w:numId="7">
    <w:abstractNumId w:val="36"/>
  </w:num>
  <w:num w:numId="8">
    <w:abstractNumId w:val="10"/>
  </w:num>
  <w:num w:numId="9">
    <w:abstractNumId w:val="26"/>
  </w:num>
  <w:num w:numId="10">
    <w:abstractNumId w:val="21"/>
  </w:num>
  <w:num w:numId="11">
    <w:abstractNumId w:val="1"/>
  </w:num>
  <w:num w:numId="12">
    <w:abstractNumId w:val="19"/>
  </w:num>
  <w:num w:numId="13">
    <w:abstractNumId w:val="6"/>
  </w:num>
  <w:num w:numId="14">
    <w:abstractNumId w:val="33"/>
  </w:num>
  <w:num w:numId="15">
    <w:abstractNumId w:val="0"/>
  </w:num>
  <w:num w:numId="16">
    <w:abstractNumId w:val="8"/>
  </w:num>
  <w:num w:numId="17">
    <w:abstractNumId w:val="11"/>
  </w:num>
  <w:num w:numId="18">
    <w:abstractNumId w:val="4"/>
  </w:num>
  <w:num w:numId="19">
    <w:abstractNumId w:val="27"/>
  </w:num>
  <w:num w:numId="20">
    <w:abstractNumId w:val="5"/>
  </w:num>
  <w:num w:numId="21">
    <w:abstractNumId w:val="35"/>
  </w:num>
  <w:num w:numId="22">
    <w:abstractNumId w:val="7"/>
  </w:num>
  <w:num w:numId="23">
    <w:abstractNumId w:val="34"/>
  </w:num>
  <w:num w:numId="24">
    <w:abstractNumId w:val="3"/>
  </w:num>
  <w:num w:numId="25">
    <w:abstractNumId w:val="24"/>
  </w:num>
  <w:num w:numId="26">
    <w:abstractNumId w:val="16"/>
  </w:num>
  <w:num w:numId="27">
    <w:abstractNumId w:val="9"/>
  </w:num>
  <w:num w:numId="28">
    <w:abstractNumId w:val="17"/>
  </w:num>
  <w:num w:numId="29">
    <w:abstractNumId w:val="18"/>
  </w:num>
  <w:num w:numId="30">
    <w:abstractNumId w:val="13"/>
  </w:num>
  <w:num w:numId="31">
    <w:abstractNumId w:val="2"/>
  </w:num>
  <w:num w:numId="32">
    <w:abstractNumId w:val="25"/>
  </w:num>
  <w:num w:numId="33">
    <w:abstractNumId w:val="28"/>
  </w:num>
  <w:num w:numId="34">
    <w:abstractNumId w:val="22"/>
  </w:num>
  <w:num w:numId="35">
    <w:abstractNumId w:val="29"/>
  </w:num>
  <w:num w:numId="36">
    <w:abstractNumId w:val="31"/>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6212F"/>
    <w:rsid w:val="00000077"/>
    <w:rsid w:val="00000727"/>
    <w:rsid w:val="000018BF"/>
    <w:rsid w:val="000028F9"/>
    <w:rsid w:val="000035E4"/>
    <w:rsid w:val="00004290"/>
    <w:rsid w:val="00004771"/>
    <w:rsid w:val="00006679"/>
    <w:rsid w:val="00007E2B"/>
    <w:rsid w:val="00010BCC"/>
    <w:rsid w:val="000117D5"/>
    <w:rsid w:val="00012194"/>
    <w:rsid w:val="000123F9"/>
    <w:rsid w:val="00012874"/>
    <w:rsid w:val="00012DAB"/>
    <w:rsid w:val="00013346"/>
    <w:rsid w:val="00017AB7"/>
    <w:rsid w:val="00020371"/>
    <w:rsid w:val="00021061"/>
    <w:rsid w:val="000210B3"/>
    <w:rsid w:val="000238FF"/>
    <w:rsid w:val="00023B46"/>
    <w:rsid w:val="00026288"/>
    <w:rsid w:val="00026B9E"/>
    <w:rsid w:val="00030907"/>
    <w:rsid w:val="0003205E"/>
    <w:rsid w:val="00032CA1"/>
    <w:rsid w:val="000331BC"/>
    <w:rsid w:val="0003444C"/>
    <w:rsid w:val="00034E17"/>
    <w:rsid w:val="000358AB"/>
    <w:rsid w:val="00035E80"/>
    <w:rsid w:val="00042D41"/>
    <w:rsid w:val="00044F75"/>
    <w:rsid w:val="000544B6"/>
    <w:rsid w:val="000545E8"/>
    <w:rsid w:val="000550E1"/>
    <w:rsid w:val="000555BC"/>
    <w:rsid w:val="00057B64"/>
    <w:rsid w:val="000618C5"/>
    <w:rsid w:val="00064983"/>
    <w:rsid w:val="0006526A"/>
    <w:rsid w:val="00066C59"/>
    <w:rsid w:val="00070676"/>
    <w:rsid w:val="0007389B"/>
    <w:rsid w:val="0007442C"/>
    <w:rsid w:val="00074468"/>
    <w:rsid w:val="00074D92"/>
    <w:rsid w:val="00074E36"/>
    <w:rsid w:val="00076B01"/>
    <w:rsid w:val="00077C13"/>
    <w:rsid w:val="00080BF7"/>
    <w:rsid w:val="00081E97"/>
    <w:rsid w:val="00083BC0"/>
    <w:rsid w:val="000842D9"/>
    <w:rsid w:val="00084531"/>
    <w:rsid w:val="00085570"/>
    <w:rsid w:val="000856A8"/>
    <w:rsid w:val="0008594E"/>
    <w:rsid w:val="000861C7"/>
    <w:rsid w:val="0008634B"/>
    <w:rsid w:val="00087820"/>
    <w:rsid w:val="000901D4"/>
    <w:rsid w:val="000904DB"/>
    <w:rsid w:val="0009148A"/>
    <w:rsid w:val="00091D99"/>
    <w:rsid w:val="000935EB"/>
    <w:rsid w:val="00094A25"/>
    <w:rsid w:val="00094E47"/>
    <w:rsid w:val="000962E4"/>
    <w:rsid w:val="00097403"/>
    <w:rsid w:val="000979C5"/>
    <w:rsid w:val="00097FC3"/>
    <w:rsid w:val="000A008C"/>
    <w:rsid w:val="000A1C3C"/>
    <w:rsid w:val="000A2227"/>
    <w:rsid w:val="000A5B46"/>
    <w:rsid w:val="000A5BD6"/>
    <w:rsid w:val="000B132F"/>
    <w:rsid w:val="000B470A"/>
    <w:rsid w:val="000B4983"/>
    <w:rsid w:val="000C0925"/>
    <w:rsid w:val="000C0A61"/>
    <w:rsid w:val="000C10DB"/>
    <w:rsid w:val="000C499D"/>
    <w:rsid w:val="000C5774"/>
    <w:rsid w:val="000C7143"/>
    <w:rsid w:val="000D016E"/>
    <w:rsid w:val="000D1037"/>
    <w:rsid w:val="000D1DFB"/>
    <w:rsid w:val="000D2F23"/>
    <w:rsid w:val="000D3F05"/>
    <w:rsid w:val="000D72A4"/>
    <w:rsid w:val="000D7A2A"/>
    <w:rsid w:val="000E09E4"/>
    <w:rsid w:val="000E1268"/>
    <w:rsid w:val="000E2211"/>
    <w:rsid w:val="000E22E6"/>
    <w:rsid w:val="000E26C3"/>
    <w:rsid w:val="000E3F69"/>
    <w:rsid w:val="000E4591"/>
    <w:rsid w:val="000E5D4C"/>
    <w:rsid w:val="000E68BF"/>
    <w:rsid w:val="000E7B27"/>
    <w:rsid w:val="000F09AC"/>
    <w:rsid w:val="000F1CFA"/>
    <w:rsid w:val="000F2F62"/>
    <w:rsid w:val="000F3023"/>
    <w:rsid w:val="000F4934"/>
    <w:rsid w:val="000F5791"/>
    <w:rsid w:val="000F5ACE"/>
    <w:rsid w:val="000F78A0"/>
    <w:rsid w:val="000F7E56"/>
    <w:rsid w:val="001003AC"/>
    <w:rsid w:val="001008A6"/>
    <w:rsid w:val="00101522"/>
    <w:rsid w:val="00104D87"/>
    <w:rsid w:val="001062F4"/>
    <w:rsid w:val="00106B63"/>
    <w:rsid w:val="00111683"/>
    <w:rsid w:val="00114901"/>
    <w:rsid w:val="001149BA"/>
    <w:rsid w:val="00114CDB"/>
    <w:rsid w:val="00115C9F"/>
    <w:rsid w:val="001167AC"/>
    <w:rsid w:val="0012093D"/>
    <w:rsid w:val="00123E1C"/>
    <w:rsid w:val="00125674"/>
    <w:rsid w:val="00125A4D"/>
    <w:rsid w:val="00127091"/>
    <w:rsid w:val="00127F01"/>
    <w:rsid w:val="00127F54"/>
    <w:rsid w:val="001314CC"/>
    <w:rsid w:val="0013224B"/>
    <w:rsid w:val="00132A61"/>
    <w:rsid w:val="00134E26"/>
    <w:rsid w:val="001350BF"/>
    <w:rsid w:val="00135433"/>
    <w:rsid w:val="00135724"/>
    <w:rsid w:val="00137021"/>
    <w:rsid w:val="00137EEA"/>
    <w:rsid w:val="0014077E"/>
    <w:rsid w:val="00141802"/>
    <w:rsid w:val="00143349"/>
    <w:rsid w:val="001436DB"/>
    <w:rsid w:val="00150E49"/>
    <w:rsid w:val="001542CA"/>
    <w:rsid w:val="00154B5F"/>
    <w:rsid w:val="00156621"/>
    <w:rsid w:val="00157BB5"/>
    <w:rsid w:val="00160B41"/>
    <w:rsid w:val="00161617"/>
    <w:rsid w:val="00162B77"/>
    <w:rsid w:val="00164312"/>
    <w:rsid w:val="00164547"/>
    <w:rsid w:val="0016595D"/>
    <w:rsid w:val="00166B9C"/>
    <w:rsid w:val="001709D9"/>
    <w:rsid w:val="0017187F"/>
    <w:rsid w:val="00171D5B"/>
    <w:rsid w:val="00172254"/>
    <w:rsid w:val="00173460"/>
    <w:rsid w:val="00173EBB"/>
    <w:rsid w:val="00175759"/>
    <w:rsid w:val="00176506"/>
    <w:rsid w:val="001769C2"/>
    <w:rsid w:val="00176D32"/>
    <w:rsid w:val="0018176B"/>
    <w:rsid w:val="00181984"/>
    <w:rsid w:val="00183036"/>
    <w:rsid w:val="0018372C"/>
    <w:rsid w:val="001867DF"/>
    <w:rsid w:val="00190655"/>
    <w:rsid w:val="0019202B"/>
    <w:rsid w:val="001928D4"/>
    <w:rsid w:val="00193ADD"/>
    <w:rsid w:val="00193CB1"/>
    <w:rsid w:val="00193E4C"/>
    <w:rsid w:val="00194004"/>
    <w:rsid w:val="0019417A"/>
    <w:rsid w:val="001943A4"/>
    <w:rsid w:val="0019492C"/>
    <w:rsid w:val="00196977"/>
    <w:rsid w:val="00197997"/>
    <w:rsid w:val="001A044F"/>
    <w:rsid w:val="001A04C3"/>
    <w:rsid w:val="001A09FD"/>
    <w:rsid w:val="001A13D6"/>
    <w:rsid w:val="001A1926"/>
    <w:rsid w:val="001A3A33"/>
    <w:rsid w:val="001A3DBE"/>
    <w:rsid w:val="001A3FF9"/>
    <w:rsid w:val="001A479E"/>
    <w:rsid w:val="001A4851"/>
    <w:rsid w:val="001A60E7"/>
    <w:rsid w:val="001A620A"/>
    <w:rsid w:val="001A6EF7"/>
    <w:rsid w:val="001B05FA"/>
    <w:rsid w:val="001B29B0"/>
    <w:rsid w:val="001B3524"/>
    <w:rsid w:val="001B4183"/>
    <w:rsid w:val="001B4A12"/>
    <w:rsid w:val="001B565C"/>
    <w:rsid w:val="001C22E3"/>
    <w:rsid w:val="001C2D41"/>
    <w:rsid w:val="001C36AC"/>
    <w:rsid w:val="001C450A"/>
    <w:rsid w:val="001C61E6"/>
    <w:rsid w:val="001C7577"/>
    <w:rsid w:val="001C7855"/>
    <w:rsid w:val="001D08FA"/>
    <w:rsid w:val="001D0949"/>
    <w:rsid w:val="001D0B72"/>
    <w:rsid w:val="001D3A4B"/>
    <w:rsid w:val="001D6276"/>
    <w:rsid w:val="001D63CF"/>
    <w:rsid w:val="001D6850"/>
    <w:rsid w:val="001D6FB2"/>
    <w:rsid w:val="001D7420"/>
    <w:rsid w:val="001E0621"/>
    <w:rsid w:val="001E6111"/>
    <w:rsid w:val="001E62D6"/>
    <w:rsid w:val="001E75FA"/>
    <w:rsid w:val="001F0120"/>
    <w:rsid w:val="001F01F5"/>
    <w:rsid w:val="001F13E6"/>
    <w:rsid w:val="001F320E"/>
    <w:rsid w:val="001F3C0E"/>
    <w:rsid w:val="001F3E54"/>
    <w:rsid w:val="001F4947"/>
    <w:rsid w:val="001F5A84"/>
    <w:rsid w:val="001F6F9E"/>
    <w:rsid w:val="001F725B"/>
    <w:rsid w:val="001F75A1"/>
    <w:rsid w:val="001F7614"/>
    <w:rsid w:val="001F797C"/>
    <w:rsid w:val="001F7C37"/>
    <w:rsid w:val="00201F2C"/>
    <w:rsid w:val="00204442"/>
    <w:rsid w:val="00210ED5"/>
    <w:rsid w:val="00210F97"/>
    <w:rsid w:val="002113D3"/>
    <w:rsid w:val="00212E87"/>
    <w:rsid w:val="00213AFA"/>
    <w:rsid w:val="00217983"/>
    <w:rsid w:val="002201B0"/>
    <w:rsid w:val="00220679"/>
    <w:rsid w:val="00220FB7"/>
    <w:rsid w:val="00225DE2"/>
    <w:rsid w:val="002262D0"/>
    <w:rsid w:val="00226621"/>
    <w:rsid w:val="00230869"/>
    <w:rsid w:val="00232BBB"/>
    <w:rsid w:val="00233A3C"/>
    <w:rsid w:val="00233F40"/>
    <w:rsid w:val="002344CD"/>
    <w:rsid w:val="00236DBB"/>
    <w:rsid w:val="0024210A"/>
    <w:rsid w:val="00242F90"/>
    <w:rsid w:val="0024346C"/>
    <w:rsid w:val="002438EC"/>
    <w:rsid w:val="00245A8B"/>
    <w:rsid w:val="00245F26"/>
    <w:rsid w:val="00246E5E"/>
    <w:rsid w:val="002474D4"/>
    <w:rsid w:val="0024785D"/>
    <w:rsid w:val="00254625"/>
    <w:rsid w:val="00256DBE"/>
    <w:rsid w:val="00256DEF"/>
    <w:rsid w:val="002609E1"/>
    <w:rsid w:val="00260CD2"/>
    <w:rsid w:val="002616BA"/>
    <w:rsid w:val="00266006"/>
    <w:rsid w:val="00266D1F"/>
    <w:rsid w:val="0027344C"/>
    <w:rsid w:val="00273B8C"/>
    <w:rsid w:val="00276346"/>
    <w:rsid w:val="002772E9"/>
    <w:rsid w:val="0028008E"/>
    <w:rsid w:val="00280618"/>
    <w:rsid w:val="00280B0B"/>
    <w:rsid w:val="00281AB2"/>
    <w:rsid w:val="0028370E"/>
    <w:rsid w:val="00285AAD"/>
    <w:rsid w:val="0028711F"/>
    <w:rsid w:val="002930C0"/>
    <w:rsid w:val="00293B57"/>
    <w:rsid w:val="002953AC"/>
    <w:rsid w:val="002A38C2"/>
    <w:rsid w:val="002A4426"/>
    <w:rsid w:val="002A52B3"/>
    <w:rsid w:val="002A5721"/>
    <w:rsid w:val="002B3C76"/>
    <w:rsid w:val="002B5141"/>
    <w:rsid w:val="002B76E1"/>
    <w:rsid w:val="002C021E"/>
    <w:rsid w:val="002C1433"/>
    <w:rsid w:val="002C4178"/>
    <w:rsid w:val="002C4BA4"/>
    <w:rsid w:val="002C7B6B"/>
    <w:rsid w:val="002D2965"/>
    <w:rsid w:val="002D4A4A"/>
    <w:rsid w:val="002D4A94"/>
    <w:rsid w:val="002D5565"/>
    <w:rsid w:val="002D7261"/>
    <w:rsid w:val="002E05A9"/>
    <w:rsid w:val="002E096E"/>
    <w:rsid w:val="002E09EE"/>
    <w:rsid w:val="002E32EC"/>
    <w:rsid w:val="002E448C"/>
    <w:rsid w:val="002E4B00"/>
    <w:rsid w:val="002E5A87"/>
    <w:rsid w:val="002E6A46"/>
    <w:rsid w:val="002E7D16"/>
    <w:rsid w:val="002F018E"/>
    <w:rsid w:val="002F02D4"/>
    <w:rsid w:val="002F14B0"/>
    <w:rsid w:val="002F1E17"/>
    <w:rsid w:val="002F26C7"/>
    <w:rsid w:val="002F297F"/>
    <w:rsid w:val="002F2B33"/>
    <w:rsid w:val="002F5021"/>
    <w:rsid w:val="002F6627"/>
    <w:rsid w:val="002F6F38"/>
    <w:rsid w:val="002F77C5"/>
    <w:rsid w:val="0030152A"/>
    <w:rsid w:val="003034CE"/>
    <w:rsid w:val="0030572A"/>
    <w:rsid w:val="00306DF4"/>
    <w:rsid w:val="0030717F"/>
    <w:rsid w:val="0031040E"/>
    <w:rsid w:val="00311573"/>
    <w:rsid w:val="0031272B"/>
    <w:rsid w:val="00312DF6"/>
    <w:rsid w:val="0031399D"/>
    <w:rsid w:val="00313B20"/>
    <w:rsid w:val="00315726"/>
    <w:rsid w:val="0031595D"/>
    <w:rsid w:val="003159E1"/>
    <w:rsid w:val="00320B82"/>
    <w:rsid w:val="00320FFF"/>
    <w:rsid w:val="003231AE"/>
    <w:rsid w:val="003249D0"/>
    <w:rsid w:val="00324CC2"/>
    <w:rsid w:val="00324D96"/>
    <w:rsid w:val="0032526C"/>
    <w:rsid w:val="0032594C"/>
    <w:rsid w:val="00325E49"/>
    <w:rsid w:val="00326660"/>
    <w:rsid w:val="00326B2A"/>
    <w:rsid w:val="00326E6B"/>
    <w:rsid w:val="00330B8D"/>
    <w:rsid w:val="003320CD"/>
    <w:rsid w:val="003355D7"/>
    <w:rsid w:val="00336BD3"/>
    <w:rsid w:val="00336F75"/>
    <w:rsid w:val="003376BB"/>
    <w:rsid w:val="00340161"/>
    <w:rsid w:val="00340499"/>
    <w:rsid w:val="0034286F"/>
    <w:rsid w:val="00343CA8"/>
    <w:rsid w:val="00343D09"/>
    <w:rsid w:val="00343F1A"/>
    <w:rsid w:val="00344F59"/>
    <w:rsid w:val="003456AD"/>
    <w:rsid w:val="00346539"/>
    <w:rsid w:val="003466AD"/>
    <w:rsid w:val="0035283E"/>
    <w:rsid w:val="003535C3"/>
    <w:rsid w:val="0035422F"/>
    <w:rsid w:val="0035537E"/>
    <w:rsid w:val="0036450B"/>
    <w:rsid w:val="003647D0"/>
    <w:rsid w:val="003666C5"/>
    <w:rsid w:val="0036783F"/>
    <w:rsid w:val="003700A0"/>
    <w:rsid w:val="00370EC8"/>
    <w:rsid w:val="003730D3"/>
    <w:rsid w:val="00374135"/>
    <w:rsid w:val="00374510"/>
    <w:rsid w:val="00374FD2"/>
    <w:rsid w:val="003802FA"/>
    <w:rsid w:val="00380DCC"/>
    <w:rsid w:val="00380E1E"/>
    <w:rsid w:val="0038107C"/>
    <w:rsid w:val="00382EA1"/>
    <w:rsid w:val="003852A3"/>
    <w:rsid w:val="0039033D"/>
    <w:rsid w:val="00391452"/>
    <w:rsid w:val="00395E73"/>
    <w:rsid w:val="003968F0"/>
    <w:rsid w:val="00397040"/>
    <w:rsid w:val="00397B1A"/>
    <w:rsid w:val="00397BE4"/>
    <w:rsid w:val="003A01E9"/>
    <w:rsid w:val="003A0797"/>
    <w:rsid w:val="003A220A"/>
    <w:rsid w:val="003A22B8"/>
    <w:rsid w:val="003A52C5"/>
    <w:rsid w:val="003A5F6B"/>
    <w:rsid w:val="003A74A2"/>
    <w:rsid w:val="003B0D04"/>
    <w:rsid w:val="003B145E"/>
    <w:rsid w:val="003B2DC2"/>
    <w:rsid w:val="003B37DC"/>
    <w:rsid w:val="003B5C2B"/>
    <w:rsid w:val="003B5E94"/>
    <w:rsid w:val="003B6A8B"/>
    <w:rsid w:val="003C0651"/>
    <w:rsid w:val="003C116A"/>
    <w:rsid w:val="003C403E"/>
    <w:rsid w:val="003C5127"/>
    <w:rsid w:val="003C5162"/>
    <w:rsid w:val="003C5888"/>
    <w:rsid w:val="003C6651"/>
    <w:rsid w:val="003C7629"/>
    <w:rsid w:val="003D0BCA"/>
    <w:rsid w:val="003D1206"/>
    <w:rsid w:val="003D2DD2"/>
    <w:rsid w:val="003D328C"/>
    <w:rsid w:val="003D3CC7"/>
    <w:rsid w:val="003D4EF7"/>
    <w:rsid w:val="003E091F"/>
    <w:rsid w:val="003E0D0B"/>
    <w:rsid w:val="003E159D"/>
    <w:rsid w:val="003E1940"/>
    <w:rsid w:val="003E5C3C"/>
    <w:rsid w:val="003E5D26"/>
    <w:rsid w:val="003E7885"/>
    <w:rsid w:val="003E7917"/>
    <w:rsid w:val="003E7F21"/>
    <w:rsid w:val="003F0B29"/>
    <w:rsid w:val="003F1305"/>
    <w:rsid w:val="003F7AE2"/>
    <w:rsid w:val="00401855"/>
    <w:rsid w:val="00405292"/>
    <w:rsid w:val="00406EBE"/>
    <w:rsid w:val="00410272"/>
    <w:rsid w:val="00410A34"/>
    <w:rsid w:val="00411383"/>
    <w:rsid w:val="004123F2"/>
    <w:rsid w:val="00413B5C"/>
    <w:rsid w:val="00415057"/>
    <w:rsid w:val="00415A13"/>
    <w:rsid w:val="0041627E"/>
    <w:rsid w:val="00416767"/>
    <w:rsid w:val="00421218"/>
    <w:rsid w:val="004218F0"/>
    <w:rsid w:val="00422224"/>
    <w:rsid w:val="004243DF"/>
    <w:rsid w:val="00424F25"/>
    <w:rsid w:val="004251AF"/>
    <w:rsid w:val="00430C51"/>
    <w:rsid w:val="00431512"/>
    <w:rsid w:val="00432FD7"/>
    <w:rsid w:val="00433CF1"/>
    <w:rsid w:val="00435976"/>
    <w:rsid w:val="00435EEE"/>
    <w:rsid w:val="00437AF7"/>
    <w:rsid w:val="00441F0E"/>
    <w:rsid w:val="00442075"/>
    <w:rsid w:val="004421AF"/>
    <w:rsid w:val="00445833"/>
    <w:rsid w:val="00445A25"/>
    <w:rsid w:val="00447163"/>
    <w:rsid w:val="00447D60"/>
    <w:rsid w:val="00450B4C"/>
    <w:rsid w:val="0045157C"/>
    <w:rsid w:val="004538F8"/>
    <w:rsid w:val="00455EEB"/>
    <w:rsid w:val="004604EA"/>
    <w:rsid w:val="004607B8"/>
    <w:rsid w:val="00462D9C"/>
    <w:rsid w:val="00464297"/>
    <w:rsid w:val="004648C2"/>
    <w:rsid w:val="0046589B"/>
    <w:rsid w:val="004659B3"/>
    <w:rsid w:val="00465B90"/>
    <w:rsid w:val="00465FDB"/>
    <w:rsid w:val="00466DAC"/>
    <w:rsid w:val="00472799"/>
    <w:rsid w:val="00472899"/>
    <w:rsid w:val="004736EE"/>
    <w:rsid w:val="004754AC"/>
    <w:rsid w:val="004756E2"/>
    <w:rsid w:val="00475A52"/>
    <w:rsid w:val="00476D4B"/>
    <w:rsid w:val="0047752B"/>
    <w:rsid w:val="00477716"/>
    <w:rsid w:val="00480C6E"/>
    <w:rsid w:val="00481C04"/>
    <w:rsid w:val="0048464A"/>
    <w:rsid w:val="0048491D"/>
    <w:rsid w:val="0048598B"/>
    <w:rsid w:val="00485E01"/>
    <w:rsid w:val="00486C1C"/>
    <w:rsid w:val="00487E97"/>
    <w:rsid w:val="004904D9"/>
    <w:rsid w:val="00491317"/>
    <w:rsid w:val="00491A47"/>
    <w:rsid w:val="0049399B"/>
    <w:rsid w:val="00494774"/>
    <w:rsid w:val="004950AA"/>
    <w:rsid w:val="004970E8"/>
    <w:rsid w:val="00497C96"/>
    <w:rsid w:val="004A03CD"/>
    <w:rsid w:val="004A09C0"/>
    <w:rsid w:val="004A1521"/>
    <w:rsid w:val="004A1D5B"/>
    <w:rsid w:val="004A2399"/>
    <w:rsid w:val="004A28DD"/>
    <w:rsid w:val="004A35A6"/>
    <w:rsid w:val="004A50E2"/>
    <w:rsid w:val="004A78E4"/>
    <w:rsid w:val="004A7E62"/>
    <w:rsid w:val="004B00A8"/>
    <w:rsid w:val="004B169D"/>
    <w:rsid w:val="004B20EA"/>
    <w:rsid w:val="004B2538"/>
    <w:rsid w:val="004B2659"/>
    <w:rsid w:val="004B2F35"/>
    <w:rsid w:val="004B4088"/>
    <w:rsid w:val="004B4FE1"/>
    <w:rsid w:val="004B51A8"/>
    <w:rsid w:val="004B646B"/>
    <w:rsid w:val="004B7055"/>
    <w:rsid w:val="004B76AB"/>
    <w:rsid w:val="004C1092"/>
    <w:rsid w:val="004C1EDB"/>
    <w:rsid w:val="004C2A1C"/>
    <w:rsid w:val="004C2CF9"/>
    <w:rsid w:val="004C30FF"/>
    <w:rsid w:val="004C5497"/>
    <w:rsid w:val="004C5E2B"/>
    <w:rsid w:val="004C5EBA"/>
    <w:rsid w:val="004C65FB"/>
    <w:rsid w:val="004C7CE3"/>
    <w:rsid w:val="004D3F0C"/>
    <w:rsid w:val="004D51EE"/>
    <w:rsid w:val="004D5CCA"/>
    <w:rsid w:val="004D5FC1"/>
    <w:rsid w:val="004D65EC"/>
    <w:rsid w:val="004E0E2C"/>
    <w:rsid w:val="004E159F"/>
    <w:rsid w:val="004E231B"/>
    <w:rsid w:val="004E241C"/>
    <w:rsid w:val="004E2D29"/>
    <w:rsid w:val="004E6949"/>
    <w:rsid w:val="004E7AEB"/>
    <w:rsid w:val="004F0033"/>
    <w:rsid w:val="004F07B2"/>
    <w:rsid w:val="004F3329"/>
    <w:rsid w:val="004F44A4"/>
    <w:rsid w:val="004F4A74"/>
    <w:rsid w:val="004F6F16"/>
    <w:rsid w:val="004F765F"/>
    <w:rsid w:val="00500A80"/>
    <w:rsid w:val="00501FC4"/>
    <w:rsid w:val="00505813"/>
    <w:rsid w:val="00506A5F"/>
    <w:rsid w:val="00507A73"/>
    <w:rsid w:val="00507F45"/>
    <w:rsid w:val="00510301"/>
    <w:rsid w:val="0051098F"/>
    <w:rsid w:val="00511ADE"/>
    <w:rsid w:val="00514D56"/>
    <w:rsid w:val="00523302"/>
    <w:rsid w:val="00530F9E"/>
    <w:rsid w:val="005311C2"/>
    <w:rsid w:val="00534023"/>
    <w:rsid w:val="00534447"/>
    <w:rsid w:val="00534A61"/>
    <w:rsid w:val="0053659F"/>
    <w:rsid w:val="00537D8F"/>
    <w:rsid w:val="005401C0"/>
    <w:rsid w:val="005401E3"/>
    <w:rsid w:val="00540D60"/>
    <w:rsid w:val="0054131A"/>
    <w:rsid w:val="00541B88"/>
    <w:rsid w:val="005439C5"/>
    <w:rsid w:val="00545947"/>
    <w:rsid w:val="005462FD"/>
    <w:rsid w:val="00546427"/>
    <w:rsid w:val="005472E0"/>
    <w:rsid w:val="00547377"/>
    <w:rsid w:val="00547E14"/>
    <w:rsid w:val="005513EC"/>
    <w:rsid w:val="00551411"/>
    <w:rsid w:val="00552672"/>
    <w:rsid w:val="00553916"/>
    <w:rsid w:val="00553D0D"/>
    <w:rsid w:val="00554AF8"/>
    <w:rsid w:val="005551F6"/>
    <w:rsid w:val="00555208"/>
    <w:rsid w:val="00555407"/>
    <w:rsid w:val="0055712A"/>
    <w:rsid w:val="005605B9"/>
    <w:rsid w:val="005621CC"/>
    <w:rsid w:val="00562645"/>
    <w:rsid w:val="00562C76"/>
    <w:rsid w:val="00564EC6"/>
    <w:rsid w:val="00565A48"/>
    <w:rsid w:val="00565D01"/>
    <w:rsid w:val="00570ECF"/>
    <w:rsid w:val="00572FB8"/>
    <w:rsid w:val="0057474D"/>
    <w:rsid w:val="00575D42"/>
    <w:rsid w:val="00575F16"/>
    <w:rsid w:val="005764BE"/>
    <w:rsid w:val="00577A98"/>
    <w:rsid w:val="00582148"/>
    <w:rsid w:val="00582758"/>
    <w:rsid w:val="00582EFE"/>
    <w:rsid w:val="00584502"/>
    <w:rsid w:val="00585307"/>
    <w:rsid w:val="00586494"/>
    <w:rsid w:val="00592995"/>
    <w:rsid w:val="00595A82"/>
    <w:rsid w:val="0059695A"/>
    <w:rsid w:val="00597211"/>
    <w:rsid w:val="005A2950"/>
    <w:rsid w:val="005A516E"/>
    <w:rsid w:val="005A5E72"/>
    <w:rsid w:val="005A628A"/>
    <w:rsid w:val="005A653C"/>
    <w:rsid w:val="005B0C18"/>
    <w:rsid w:val="005B1EE1"/>
    <w:rsid w:val="005B237F"/>
    <w:rsid w:val="005B4519"/>
    <w:rsid w:val="005C23C4"/>
    <w:rsid w:val="005C3677"/>
    <w:rsid w:val="005C431A"/>
    <w:rsid w:val="005C4E00"/>
    <w:rsid w:val="005C53F9"/>
    <w:rsid w:val="005C56D7"/>
    <w:rsid w:val="005C5C92"/>
    <w:rsid w:val="005C6D55"/>
    <w:rsid w:val="005C6DC4"/>
    <w:rsid w:val="005C7C6E"/>
    <w:rsid w:val="005D10D8"/>
    <w:rsid w:val="005D39AE"/>
    <w:rsid w:val="005D3BD0"/>
    <w:rsid w:val="005D4999"/>
    <w:rsid w:val="005D5496"/>
    <w:rsid w:val="005D6916"/>
    <w:rsid w:val="005D7C94"/>
    <w:rsid w:val="005D7EA4"/>
    <w:rsid w:val="005D7FFD"/>
    <w:rsid w:val="005E03FE"/>
    <w:rsid w:val="005E327E"/>
    <w:rsid w:val="005E39BC"/>
    <w:rsid w:val="005E4861"/>
    <w:rsid w:val="005E58D0"/>
    <w:rsid w:val="005E5EFF"/>
    <w:rsid w:val="005E6767"/>
    <w:rsid w:val="005F123E"/>
    <w:rsid w:val="005F1CF8"/>
    <w:rsid w:val="005F3A52"/>
    <w:rsid w:val="005F4398"/>
    <w:rsid w:val="005F6199"/>
    <w:rsid w:val="005F7EBA"/>
    <w:rsid w:val="00601830"/>
    <w:rsid w:val="006040C9"/>
    <w:rsid w:val="0060456E"/>
    <w:rsid w:val="00604B4D"/>
    <w:rsid w:val="0060523D"/>
    <w:rsid w:val="00606565"/>
    <w:rsid w:val="00610AD0"/>
    <w:rsid w:val="006119CC"/>
    <w:rsid w:val="00612A6E"/>
    <w:rsid w:val="00612B59"/>
    <w:rsid w:val="00616962"/>
    <w:rsid w:val="006178AD"/>
    <w:rsid w:val="00617DD8"/>
    <w:rsid w:val="006225DC"/>
    <w:rsid w:val="0062309B"/>
    <w:rsid w:val="00623204"/>
    <w:rsid w:val="00623F10"/>
    <w:rsid w:val="00624094"/>
    <w:rsid w:val="0062458B"/>
    <w:rsid w:val="006253D7"/>
    <w:rsid w:val="0062548D"/>
    <w:rsid w:val="00625815"/>
    <w:rsid w:val="00626553"/>
    <w:rsid w:val="0062753D"/>
    <w:rsid w:val="00627DE7"/>
    <w:rsid w:val="0063059E"/>
    <w:rsid w:val="00630D14"/>
    <w:rsid w:val="0063180B"/>
    <w:rsid w:val="00634001"/>
    <w:rsid w:val="0063574D"/>
    <w:rsid w:val="006369BE"/>
    <w:rsid w:val="00637D6E"/>
    <w:rsid w:val="006400FF"/>
    <w:rsid w:val="00640510"/>
    <w:rsid w:val="00640AE7"/>
    <w:rsid w:val="00642D4B"/>
    <w:rsid w:val="006449D7"/>
    <w:rsid w:val="0064566E"/>
    <w:rsid w:val="00647541"/>
    <w:rsid w:val="00650AB1"/>
    <w:rsid w:val="00654010"/>
    <w:rsid w:val="00656B40"/>
    <w:rsid w:val="00656FA9"/>
    <w:rsid w:val="006571EB"/>
    <w:rsid w:val="00657622"/>
    <w:rsid w:val="00661C5B"/>
    <w:rsid w:val="00662021"/>
    <w:rsid w:val="00662DB3"/>
    <w:rsid w:val="0066301A"/>
    <w:rsid w:val="00664406"/>
    <w:rsid w:val="00665B0C"/>
    <w:rsid w:val="00666294"/>
    <w:rsid w:val="00672D74"/>
    <w:rsid w:val="006759B5"/>
    <w:rsid w:val="006800EC"/>
    <w:rsid w:val="0068015A"/>
    <w:rsid w:val="00681CE5"/>
    <w:rsid w:val="00683A41"/>
    <w:rsid w:val="006859FA"/>
    <w:rsid w:val="00686710"/>
    <w:rsid w:val="0069160C"/>
    <w:rsid w:val="0069188D"/>
    <w:rsid w:val="00691F43"/>
    <w:rsid w:val="00692035"/>
    <w:rsid w:val="006932B2"/>
    <w:rsid w:val="006970D1"/>
    <w:rsid w:val="00697239"/>
    <w:rsid w:val="006A09EA"/>
    <w:rsid w:val="006A41B1"/>
    <w:rsid w:val="006A5D86"/>
    <w:rsid w:val="006A5D8A"/>
    <w:rsid w:val="006A74A0"/>
    <w:rsid w:val="006B04BB"/>
    <w:rsid w:val="006B0C7A"/>
    <w:rsid w:val="006B1278"/>
    <w:rsid w:val="006B13D9"/>
    <w:rsid w:val="006B1A45"/>
    <w:rsid w:val="006B258C"/>
    <w:rsid w:val="006B4881"/>
    <w:rsid w:val="006B6CDA"/>
    <w:rsid w:val="006B6E99"/>
    <w:rsid w:val="006C0468"/>
    <w:rsid w:val="006C0CB6"/>
    <w:rsid w:val="006C2250"/>
    <w:rsid w:val="006C2365"/>
    <w:rsid w:val="006C4DB8"/>
    <w:rsid w:val="006C5F10"/>
    <w:rsid w:val="006C6387"/>
    <w:rsid w:val="006C72EF"/>
    <w:rsid w:val="006D002F"/>
    <w:rsid w:val="006D1318"/>
    <w:rsid w:val="006D2337"/>
    <w:rsid w:val="006D2675"/>
    <w:rsid w:val="006D30E0"/>
    <w:rsid w:val="006D74FE"/>
    <w:rsid w:val="006E0D29"/>
    <w:rsid w:val="006E15FB"/>
    <w:rsid w:val="006E19DD"/>
    <w:rsid w:val="006E4830"/>
    <w:rsid w:val="006E4EB9"/>
    <w:rsid w:val="006E5FD4"/>
    <w:rsid w:val="006E7A3A"/>
    <w:rsid w:val="006F018D"/>
    <w:rsid w:val="006F0CA9"/>
    <w:rsid w:val="006F4882"/>
    <w:rsid w:val="006F7B39"/>
    <w:rsid w:val="007025E7"/>
    <w:rsid w:val="00704755"/>
    <w:rsid w:val="00704C87"/>
    <w:rsid w:val="00705090"/>
    <w:rsid w:val="00706EF1"/>
    <w:rsid w:val="00712D79"/>
    <w:rsid w:val="00712F33"/>
    <w:rsid w:val="007137BA"/>
    <w:rsid w:val="007140BD"/>
    <w:rsid w:val="00715FA0"/>
    <w:rsid w:val="00721DCB"/>
    <w:rsid w:val="007236BB"/>
    <w:rsid w:val="00724A75"/>
    <w:rsid w:val="00724CB2"/>
    <w:rsid w:val="00725024"/>
    <w:rsid w:val="00730AD8"/>
    <w:rsid w:val="007322EE"/>
    <w:rsid w:val="007338AD"/>
    <w:rsid w:val="00733DCE"/>
    <w:rsid w:val="00734BF4"/>
    <w:rsid w:val="007350EA"/>
    <w:rsid w:val="00735D9E"/>
    <w:rsid w:val="00736A7F"/>
    <w:rsid w:val="007374A2"/>
    <w:rsid w:val="00742CE2"/>
    <w:rsid w:val="007435A7"/>
    <w:rsid w:val="00743C62"/>
    <w:rsid w:val="007444AF"/>
    <w:rsid w:val="00745C74"/>
    <w:rsid w:val="00747129"/>
    <w:rsid w:val="00747B59"/>
    <w:rsid w:val="00747E9D"/>
    <w:rsid w:val="00753ED7"/>
    <w:rsid w:val="007550FD"/>
    <w:rsid w:val="00756A42"/>
    <w:rsid w:val="007576EA"/>
    <w:rsid w:val="0075788D"/>
    <w:rsid w:val="00757D5F"/>
    <w:rsid w:val="00757E74"/>
    <w:rsid w:val="00760A96"/>
    <w:rsid w:val="00761443"/>
    <w:rsid w:val="00762676"/>
    <w:rsid w:val="007645CB"/>
    <w:rsid w:val="00765AD7"/>
    <w:rsid w:val="007736A1"/>
    <w:rsid w:val="0077423B"/>
    <w:rsid w:val="0077446A"/>
    <w:rsid w:val="00774C25"/>
    <w:rsid w:val="0077500E"/>
    <w:rsid w:val="00777C3C"/>
    <w:rsid w:val="007805A9"/>
    <w:rsid w:val="007824EB"/>
    <w:rsid w:val="0078265A"/>
    <w:rsid w:val="0078290E"/>
    <w:rsid w:val="00784504"/>
    <w:rsid w:val="00784531"/>
    <w:rsid w:val="00785B68"/>
    <w:rsid w:val="00787403"/>
    <w:rsid w:val="00787EB1"/>
    <w:rsid w:val="00791D19"/>
    <w:rsid w:val="00792EE1"/>
    <w:rsid w:val="00795377"/>
    <w:rsid w:val="00796098"/>
    <w:rsid w:val="00796652"/>
    <w:rsid w:val="0079764C"/>
    <w:rsid w:val="00797A8A"/>
    <w:rsid w:val="007A2F13"/>
    <w:rsid w:val="007A3093"/>
    <w:rsid w:val="007A4586"/>
    <w:rsid w:val="007A55D8"/>
    <w:rsid w:val="007A7CEC"/>
    <w:rsid w:val="007B4C6A"/>
    <w:rsid w:val="007B6716"/>
    <w:rsid w:val="007B6D98"/>
    <w:rsid w:val="007B7323"/>
    <w:rsid w:val="007C0758"/>
    <w:rsid w:val="007C2792"/>
    <w:rsid w:val="007C2929"/>
    <w:rsid w:val="007C4EDC"/>
    <w:rsid w:val="007C56A2"/>
    <w:rsid w:val="007C6F31"/>
    <w:rsid w:val="007C7220"/>
    <w:rsid w:val="007C7502"/>
    <w:rsid w:val="007C7817"/>
    <w:rsid w:val="007D27E7"/>
    <w:rsid w:val="007D31C4"/>
    <w:rsid w:val="007D3DB4"/>
    <w:rsid w:val="007D718F"/>
    <w:rsid w:val="007E045F"/>
    <w:rsid w:val="007E28B2"/>
    <w:rsid w:val="007E2B08"/>
    <w:rsid w:val="007E35EA"/>
    <w:rsid w:val="007E5126"/>
    <w:rsid w:val="007E6DFB"/>
    <w:rsid w:val="007F02A8"/>
    <w:rsid w:val="007F378D"/>
    <w:rsid w:val="007F631C"/>
    <w:rsid w:val="007F6726"/>
    <w:rsid w:val="007F68D6"/>
    <w:rsid w:val="007F75B5"/>
    <w:rsid w:val="008004C3"/>
    <w:rsid w:val="008007F7"/>
    <w:rsid w:val="008047C1"/>
    <w:rsid w:val="00805089"/>
    <w:rsid w:val="00810515"/>
    <w:rsid w:val="008108CF"/>
    <w:rsid w:val="00811476"/>
    <w:rsid w:val="00811EDD"/>
    <w:rsid w:val="008124B3"/>
    <w:rsid w:val="00814352"/>
    <w:rsid w:val="008145A9"/>
    <w:rsid w:val="00814CF6"/>
    <w:rsid w:val="00815F17"/>
    <w:rsid w:val="0081790B"/>
    <w:rsid w:val="008179CC"/>
    <w:rsid w:val="00820E0C"/>
    <w:rsid w:val="008222B7"/>
    <w:rsid w:val="00822BE1"/>
    <w:rsid w:val="00822CC0"/>
    <w:rsid w:val="008237C3"/>
    <w:rsid w:val="008245A9"/>
    <w:rsid w:val="008249B8"/>
    <w:rsid w:val="00824AF5"/>
    <w:rsid w:val="00824B4D"/>
    <w:rsid w:val="00824BF9"/>
    <w:rsid w:val="0082684E"/>
    <w:rsid w:val="00830CA4"/>
    <w:rsid w:val="00831C3D"/>
    <w:rsid w:val="00833065"/>
    <w:rsid w:val="00833864"/>
    <w:rsid w:val="00834193"/>
    <w:rsid w:val="00836D61"/>
    <w:rsid w:val="008376C9"/>
    <w:rsid w:val="00840E15"/>
    <w:rsid w:val="0084193F"/>
    <w:rsid w:val="00845E7C"/>
    <w:rsid w:val="00847214"/>
    <w:rsid w:val="00847D85"/>
    <w:rsid w:val="00851EA0"/>
    <w:rsid w:val="0085288D"/>
    <w:rsid w:val="00852B1E"/>
    <w:rsid w:val="00854155"/>
    <w:rsid w:val="0085634A"/>
    <w:rsid w:val="0086212F"/>
    <w:rsid w:val="00863206"/>
    <w:rsid w:val="008678E4"/>
    <w:rsid w:val="0087053C"/>
    <w:rsid w:val="00870E32"/>
    <w:rsid w:val="00872196"/>
    <w:rsid w:val="00872578"/>
    <w:rsid w:val="00872757"/>
    <w:rsid w:val="00873502"/>
    <w:rsid w:val="0087428F"/>
    <w:rsid w:val="00874AAD"/>
    <w:rsid w:val="00875024"/>
    <w:rsid w:val="0088088D"/>
    <w:rsid w:val="008809E9"/>
    <w:rsid w:val="008815ED"/>
    <w:rsid w:val="00883CBE"/>
    <w:rsid w:val="008852F6"/>
    <w:rsid w:val="00890E6E"/>
    <w:rsid w:val="00890F91"/>
    <w:rsid w:val="00892894"/>
    <w:rsid w:val="00892A2C"/>
    <w:rsid w:val="008931A5"/>
    <w:rsid w:val="00893E15"/>
    <w:rsid w:val="00895A6F"/>
    <w:rsid w:val="008969E7"/>
    <w:rsid w:val="008976BD"/>
    <w:rsid w:val="00897A2D"/>
    <w:rsid w:val="008A01ED"/>
    <w:rsid w:val="008A0F75"/>
    <w:rsid w:val="008A15E1"/>
    <w:rsid w:val="008A57DF"/>
    <w:rsid w:val="008A5BA7"/>
    <w:rsid w:val="008B2C0B"/>
    <w:rsid w:val="008B2FA6"/>
    <w:rsid w:val="008B307D"/>
    <w:rsid w:val="008B31C9"/>
    <w:rsid w:val="008B34E2"/>
    <w:rsid w:val="008B717C"/>
    <w:rsid w:val="008C1917"/>
    <w:rsid w:val="008C238F"/>
    <w:rsid w:val="008C5D6B"/>
    <w:rsid w:val="008C5F36"/>
    <w:rsid w:val="008D019C"/>
    <w:rsid w:val="008D0A8E"/>
    <w:rsid w:val="008D1685"/>
    <w:rsid w:val="008D245C"/>
    <w:rsid w:val="008D5D98"/>
    <w:rsid w:val="008E0DDF"/>
    <w:rsid w:val="008E12F8"/>
    <w:rsid w:val="008E1D14"/>
    <w:rsid w:val="008E2113"/>
    <w:rsid w:val="008E310C"/>
    <w:rsid w:val="008E44C6"/>
    <w:rsid w:val="008E5340"/>
    <w:rsid w:val="008E5832"/>
    <w:rsid w:val="008E6E74"/>
    <w:rsid w:val="008F2DF2"/>
    <w:rsid w:val="008F327C"/>
    <w:rsid w:val="008F4699"/>
    <w:rsid w:val="008F4986"/>
    <w:rsid w:val="008F53BC"/>
    <w:rsid w:val="008F5A0C"/>
    <w:rsid w:val="00903286"/>
    <w:rsid w:val="009040C7"/>
    <w:rsid w:val="00904989"/>
    <w:rsid w:val="00911994"/>
    <w:rsid w:val="009124F2"/>
    <w:rsid w:val="00913646"/>
    <w:rsid w:val="00921387"/>
    <w:rsid w:val="009219F3"/>
    <w:rsid w:val="00921A60"/>
    <w:rsid w:val="00921E28"/>
    <w:rsid w:val="00926159"/>
    <w:rsid w:val="0092695F"/>
    <w:rsid w:val="00930BC6"/>
    <w:rsid w:val="00931C5E"/>
    <w:rsid w:val="00932040"/>
    <w:rsid w:val="009338ED"/>
    <w:rsid w:val="00935C1D"/>
    <w:rsid w:val="00937C44"/>
    <w:rsid w:val="00940DAB"/>
    <w:rsid w:val="00943390"/>
    <w:rsid w:val="00944074"/>
    <w:rsid w:val="009449C3"/>
    <w:rsid w:val="00946ABF"/>
    <w:rsid w:val="00947148"/>
    <w:rsid w:val="009504AA"/>
    <w:rsid w:val="00952890"/>
    <w:rsid w:val="00954C67"/>
    <w:rsid w:val="009565DB"/>
    <w:rsid w:val="00957061"/>
    <w:rsid w:val="00957490"/>
    <w:rsid w:val="00957973"/>
    <w:rsid w:val="00960B09"/>
    <w:rsid w:val="009643CB"/>
    <w:rsid w:val="0096489D"/>
    <w:rsid w:val="00964FF6"/>
    <w:rsid w:val="00965B47"/>
    <w:rsid w:val="009668A2"/>
    <w:rsid w:val="0096700D"/>
    <w:rsid w:val="0097176B"/>
    <w:rsid w:val="00972C71"/>
    <w:rsid w:val="0097373B"/>
    <w:rsid w:val="00974919"/>
    <w:rsid w:val="009755D9"/>
    <w:rsid w:val="00975EA2"/>
    <w:rsid w:val="0097776B"/>
    <w:rsid w:val="009813E9"/>
    <w:rsid w:val="00981F24"/>
    <w:rsid w:val="009832EA"/>
    <w:rsid w:val="0098392C"/>
    <w:rsid w:val="00984569"/>
    <w:rsid w:val="00985A60"/>
    <w:rsid w:val="00986A90"/>
    <w:rsid w:val="00986B0B"/>
    <w:rsid w:val="00986B90"/>
    <w:rsid w:val="00987232"/>
    <w:rsid w:val="00987883"/>
    <w:rsid w:val="00987A31"/>
    <w:rsid w:val="00990291"/>
    <w:rsid w:val="00990A93"/>
    <w:rsid w:val="009917D2"/>
    <w:rsid w:val="00991B05"/>
    <w:rsid w:val="009928FB"/>
    <w:rsid w:val="00992BC3"/>
    <w:rsid w:val="00994793"/>
    <w:rsid w:val="00995962"/>
    <w:rsid w:val="00995C2B"/>
    <w:rsid w:val="009961EE"/>
    <w:rsid w:val="00997D04"/>
    <w:rsid w:val="00997D86"/>
    <w:rsid w:val="009A29C9"/>
    <w:rsid w:val="009A55A5"/>
    <w:rsid w:val="009A5972"/>
    <w:rsid w:val="009A6265"/>
    <w:rsid w:val="009A7FF9"/>
    <w:rsid w:val="009B20CE"/>
    <w:rsid w:val="009B367F"/>
    <w:rsid w:val="009B3B57"/>
    <w:rsid w:val="009B3FDC"/>
    <w:rsid w:val="009B4E81"/>
    <w:rsid w:val="009B582D"/>
    <w:rsid w:val="009C1D27"/>
    <w:rsid w:val="009C30B7"/>
    <w:rsid w:val="009C4C20"/>
    <w:rsid w:val="009C5850"/>
    <w:rsid w:val="009C5B0A"/>
    <w:rsid w:val="009C6AA1"/>
    <w:rsid w:val="009C7134"/>
    <w:rsid w:val="009D0E36"/>
    <w:rsid w:val="009D101F"/>
    <w:rsid w:val="009D1FA9"/>
    <w:rsid w:val="009D258C"/>
    <w:rsid w:val="009D4693"/>
    <w:rsid w:val="009D4D97"/>
    <w:rsid w:val="009D6046"/>
    <w:rsid w:val="009D69BE"/>
    <w:rsid w:val="009E28D3"/>
    <w:rsid w:val="009E2E28"/>
    <w:rsid w:val="009E3F47"/>
    <w:rsid w:val="009E5034"/>
    <w:rsid w:val="009E5547"/>
    <w:rsid w:val="009E5955"/>
    <w:rsid w:val="009E649F"/>
    <w:rsid w:val="009E64B6"/>
    <w:rsid w:val="009E67AA"/>
    <w:rsid w:val="009E6FF0"/>
    <w:rsid w:val="009E70D2"/>
    <w:rsid w:val="009F01B7"/>
    <w:rsid w:val="009F159D"/>
    <w:rsid w:val="009F25DA"/>
    <w:rsid w:val="009F27A7"/>
    <w:rsid w:val="009F2EC2"/>
    <w:rsid w:val="009F42C6"/>
    <w:rsid w:val="009F69D0"/>
    <w:rsid w:val="009F6D27"/>
    <w:rsid w:val="00A0126C"/>
    <w:rsid w:val="00A02185"/>
    <w:rsid w:val="00A05138"/>
    <w:rsid w:val="00A0521A"/>
    <w:rsid w:val="00A05C2A"/>
    <w:rsid w:val="00A071BC"/>
    <w:rsid w:val="00A11FA2"/>
    <w:rsid w:val="00A12D69"/>
    <w:rsid w:val="00A13011"/>
    <w:rsid w:val="00A1468C"/>
    <w:rsid w:val="00A15B96"/>
    <w:rsid w:val="00A16D28"/>
    <w:rsid w:val="00A17438"/>
    <w:rsid w:val="00A17C53"/>
    <w:rsid w:val="00A200CF"/>
    <w:rsid w:val="00A212F4"/>
    <w:rsid w:val="00A22400"/>
    <w:rsid w:val="00A22BA0"/>
    <w:rsid w:val="00A23748"/>
    <w:rsid w:val="00A24F23"/>
    <w:rsid w:val="00A25BC3"/>
    <w:rsid w:val="00A3054F"/>
    <w:rsid w:val="00A31386"/>
    <w:rsid w:val="00A318A4"/>
    <w:rsid w:val="00A352EA"/>
    <w:rsid w:val="00A35C84"/>
    <w:rsid w:val="00A36FF6"/>
    <w:rsid w:val="00A40B0B"/>
    <w:rsid w:val="00A40C76"/>
    <w:rsid w:val="00A4153E"/>
    <w:rsid w:val="00A426E2"/>
    <w:rsid w:val="00A43D58"/>
    <w:rsid w:val="00A446A8"/>
    <w:rsid w:val="00A44F48"/>
    <w:rsid w:val="00A4611F"/>
    <w:rsid w:val="00A506B6"/>
    <w:rsid w:val="00A5111D"/>
    <w:rsid w:val="00A51BA8"/>
    <w:rsid w:val="00A52840"/>
    <w:rsid w:val="00A53B48"/>
    <w:rsid w:val="00A53C6F"/>
    <w:rsid w:val="00A53E06"/>
    <w:rsid w:val="00A53F60"/>
    <w:rsid w:val="00A55A27"/>
    <w:rsid w:val="00A55CC9"/>
    <w:rsid w:val="00A57189"/>
    <w:rsid w:val="00A57593"/>
    <w:rsid w:val="00A60190"/>
    <w:rsid w:val="00A628DE"/>
    <w:rsid w:val="00A63FB1"/>
    <w:rsid w:val="00A65640"/>
    <w:rsid w:val="00A65DBA"/>
    <w:rsid w:val="00A712F7"/>
    <w:rsid w:val="00A72B2E"/>
    <w:rsid w:val="00A72C13"/>
    <w:rsid w:val="00A731CE"/>
    <w:rsid w:val="00A74D16"/>
    <w:rsid w:val="00A754DF"/>
    <w:rsid w:val="00A756C8"/>
    <w:rsid w:val="00A75987"/>
    <w:rsid w:val="00A76361"/>
    <w:rsid w:val="00A80F06"/>
    <w:rsid w:val="00A810AC"/>
    <w:rsid w:val="00A821CD"/>
    <w:rsid w:val="00A82744"/>
    <w:rsid w:val="00A83CCE"/>
    <w:rsid w:val="00A8435E"/>
    <w:rsid w:val="00A8462D"/>
    <w:rsid w:val="00A86557"/>
    <w:rsid w:val="00A90E7F"/>
    <w:rsid w:val="00A91405"/>
    <w:rsid w:val="00A92997"/>
    <w:rsid w:val="00A944F2"/>
    <w:rsid w:val="00A958E7"/>
    <w:rsid w:val="00A95B29"/>
    <w:rsid w:val="00AA10BF"/>
    <w:rsid w:val="00AA5FF0"/>
    <w:rsid w:val="00AA64F1"/>
    <w:rsid w:val="00AA7689"/>
    <w:rsid w:val="00AA7AFD"/>
    <w:rsid w:val="00AA7D5D"/>
    <w:rsid w:val="00AB1646"/>
    <w:rsid w:val="00AB28DF"/>
    <w:rsid w:val="00AB2F8B"/>
    <w:rsid w:val="00AB3ADB"/>
    <w:rsid w:val="00AB5AAD"/>
    <w:rsid w:val="00AB5D9C"/>
    <w:rsid w:val="00AB5F1A"/>
    <w:rsid w:val="00AB6706"/>
    <w:rsid w:val="00AB672F"/>
    <w:rsid w:val="00AB7742"/>
    <w:rsid w:val="00AC15C0"/>
    <w:rsid w:val="00AC2BB5"/>
    <w:rsid w:val="00AC3AC9"/>
    <w:rsid w:val="00AC412D"/>
    <w:rsid w:val="00AC7D42"/>
    <w:rsid w:val="00AD0A62"/>
    <w:rsid w:val="00AD0ADD"/>
    <w:rsid w:val="00AD15EA"/>
    <w:rsid w:val="00AD2589"/>
    <w:rsid w:val="00AD2B92"/>
    <w:rsid w:val="00AE19F8"/>
    <w:rsid w:val="00AE3525"/>
    <w:rsid w:val="00AE36B0"/>
    <w:rsid w:val="00AE5F41"/>
    <w:rsid w:val="00AE74B2"/>
    <w:rsid w:val="00AE7540"/>
    <w:rsid w:val="00AE7608"/>
    <w:rsid w:val="00AE7A79"/>
    <w:rsid w:val="00AF16A2"/>
    <w:rsid w:val="00AF17BC"/>
    <w:rsid w:val="00AF2EE2"/>
    <w:rsid w:val="00AF3659"/>
    <w:rsid w:val="00AF3D2C"/>
    <w:rsid w:val="00AF484B"/>
    <w:rsid w:val="00AF49A3"/>
    <w:rsid w:val="00AF50BA"/>
    <w:rsid w:val="00AF639A"/>
    <w:rsid w:val="00AF6E45"/>
    <w:rsid w:val="00AF703A"/>
    <w:rsid w:val="00B0292F"/>
    <w:rsid w:val="00B02A54"/>
    <w:rsid w:val="00B030DF"/>
    <w:rsid w:val="00B03209"/>
    <w:rsid w:val="00B057EA"/>
    <w:rsid w:val="00B058CC"/>
    <w:rsid w:val="00B07944"/>
    <w:rsid w:val="00B12051"/>
    <w:rsid w:val="00B1606B"/>
    <w:rsid w:val="00B16E56"/>
    <w:rsid w:val="00B17C3E"/>
    <w:rsid w:val="00B17FDA"/>
    <w:rsid w:val="00B21D15"/>
    <w:rsid w:val="00B224D9"/>
    <w:rsid w:val="00B227DC"/>
    <w:rsid w:val="00B23595"/>
    <w:rsid w:val="00B2730C"/>
    <w:rsid w:val="00B3000C"/>
    <w:rsid w:val="00B30BFF"/>
    <w:rsid w:val="00B3247B"/>
    <w:rsid w:val="00B339EE"/>
    <w:rsid w:val="00B352E1"/>
    <w:rsid w:val="00B36414"/>
    <w:rsid w:val="00B37BBC"/>
    <w:rsid w:val="00B416D1"/>
    <w:rsid w:val="00B41728"/>
    <w:rsid w:val="00B427BC"/>
    <w:rsid w:val="00B45B27"/>
    <w:rsid w:val="00B4771A"/>
    <w:rsid w:val="00B51756"/>
    <w:rsid w:val="00B51DB4"/>
    <w:rsid w:val="00B526A4"/>
    <w:rsid w:val="00B529CB"/>
    <w:rsid w:val="00B52DD5"/>
    <w:rsid w:val="00B552DB"/>
    <w:rsid w:val="00B55E94"/>
    <w:rsid w:val="00B57467"/>
    <w:rsid w:val="00B601CA"/>
    <w:rsid w:val="00B6092E"/>
    <w:rsid w:val="00B6316D"/>
    <w:rsid w:val="00B6366F"/>
    <w:rsid w:val="00B636DB"/>
    <w:rsid w:val="00B643F9"/>
    <w:rsid w:val="00B644EC"/>
    <w:rsid w:val="00B64CC9"/>
    <w:rsid w:val="00B66C7F"/>
    <w:rsid w:val="00B67528"/>
    <w:rsid w:val="00B675D6"/>
    <w:rsid w:val="00B70733"/>
    <w:rsid w:val="00B70C5B"/>
    <w:rsid w:val="00B71C78"/>
    <w:rsid w:val="00B7236F"/>
    <w:rsid w:val="00B7238A"/>
    <w:rsid w:val="00B728A8"/>
    <w:rsid w:val="00B72D35"/>
    <w:rsid w:val="00B72EA6"/>
    <w:rsid w:val="00B74039"/>
    <w:rsid w:val="00B741C7"/>
    <w:rsid w:val="00B758F5"/>
    <w:rsid w:val="00B75919"/>
    <w:rsid w:val="00B7687E"/>
    <w:rsid w:val="00B802B4"/>
    <w:rsid w:val="00B80533"/>
    <w:rsid w:val="00B84F18"/>
    <w:rsid w:val="00B85C00"/>
    <w:rsid w:val="00B86197"/>
    <w:rsid w:val="00B86C42"/>
    <w:rsid w:val="00B86F7B"/>
    <w:rsid w:val="00B86FBB"/>
    <w:rsid w:val="00B8787D"/>
    <w:rsid w:val="00B91104"/>
    <w:rsid w:val="00B92BB8"/>
    <w:rsid w:val="00B93034"/>
    <w:rsid w:val="00B937EB"/>
    <w:rsid w:val="00B93A77"/>
    <w:rsid w:val="00B94361"/>
    <w:rsid w:val="00B9436D"/>
    <w:rsid w:val="00B94DD6"/>
    <w:rsid w:val="00B95A0F"/>
    <w:rsid w:val="00B96CC1"/>
    <w:rsid w:val="00B975CD"/>
    <w:rsid w:val="00BA1325"/>
    <w:rsid w:val="00BA248A"/>
    <w:rsid w:val="00BA380B"/>
    <w:rsid w:val="00BA549B"/>
    <w:rsid w:val="00BB52AD"/>
    <w:rsid w:val="00BB5746"/>
    <w:rsid w:val="00BB5BB8"/>
    <w:rsid w:val="00BC0A99"/>
    <w:rsid w:val="00BC2E24"/>
    <w:rsid w:val="00BC47FF"/>
    <w:rsid w:val="00BC4F85"/>
    <w:rsid w:val="00BC513E"/>
    <w:rsid w:val="00BC56BB"/>
    <w:rsid w:val="00BC5FE2"/>
    <w:rsid w:val="00BC68D9"/>
    <w:rsid w:val="00BC7AF2"/>
    <w:rsid w:val="00BD34A5"/>
    <w:rsid w:val="00BD5489"/>
    <w:rsid w:val="00BD596B"/>
    <w:rsid w:val="00BE1098"/>
    <w:rsid w:val="00BE1F80"/>
    <w:rsid w:val="00BE483E"/>
    <w:rsid w:val="00BE5AD4"/>
    <w:rsid w:val="00BE5D5A"/>
    <w:rsid w:val="00BE71FE"/>
    <w:rsid w:val="00BF21D1"/>
    <w:rsid w:val="00BF2EE0"/>
    <w:rsid w:val="00BF31A2"/>
    <w:rsid w:val="00BF3BD2"/>
    <w:rsid w:val="00BF4464"/>
    <w:rsid w:val="00BF46F8"/>
    <w:rsid w:val="00BF6421"/>
    <w:rsid w:val="00C00F32"/>
    <w:rsid w:val="00C01ECD"/>
    <w:rsid w:val="00C02125"/>
    <w:rsid w:val="00C024D5"/>
    <w:rsid w:val="00C044A1"/>
    <w:rsid w:val="00C04784"/>
    <w:rsid w:val="00C04F5A"/>
    <w:rsid w:val="00C05611"/>
    <w:rsid w:val="00C0580A"/>
    <w:rsid w:val="00C05859"/>
    <w:rsid w:val="00C05D89"/>
    <w:rsid w:val="00C06D0E"/>
    <w:rsid w:val="00C06EF3"/>
    <w:rsid w:val="00C11A50"/>
    <w:rsid w:val="00C1285E"/>
    <w:rsid w:val="00C1292A"/>
    <w:rsid w:val="00C13075"/>
    <w:rsid w:val="00C133F9"/>
    <w:rsid w:val="00C14C1E"/>
    <w:rsid w:val="00C15189"/>
    <w:rsid w:val="00C16D5C"/>
    <w:rsid w:val="00C17C07"/>
    <w:rsid w:val="00C2210E"/>
    <w:rsid w:val="00C22169"/>
    <w:rsid w:val="00C23490"/>
    <w:rsid w:val="00C236D5"/>
    <w:rsid w:val="00C24D19"/>
    <w:rsid w:val="00C25B98"/>
    <w:rsid w:val="00C26C82"/>
    <w:rsid w:val="00C30EED"/>
    <w:rsid w:val="00C32A24"/>
    <w:rsid w:val="00C33D09"/>
    <w:rsid w:val="00C34788"/>
    <w:rsid w:val="00C34929"/>
    <w:rsid w:val="00C3537C"/>
    <w:rsid w:val="00C36193"/>
    <w:rsid w:val="00C36220"/>
    <w:rsid w:val="00C36D3B"/>
    <w:rsid w:val="00C43917"/>
    <w:rsid w:val="00C43960"/>
    <w:rsid w:val="00C43DEA"/>
    <w:rsid w:val="00C449B4"/>
    <w:rsid w:val="00C4513B"/>
    <w:rsid w:val="00C4586B"/>
    <w:rsid w:val="00C45A44"/>
    <w:rsid w:val="00C46661"/>
    <w:rsid w:val="00C46B12"/>
    <w:rsid w:val="00C47D57"/>
    <w:rsid w:val="00C51228"/>
    <w:rsid w:val="00C51FD5"/>
    <w:rsid w:val="00C53BE0"/>
    <w:rsid w:val="00C55C3C"/>
    <w:rsid w:val="00C55E7C"/>
    <w:rsid w:val="00C56A6C"/>
    <w:rsid w:val="00C61079"/>
    <w:rsid w:val="00C619B3"/>
    <w:rsid w:val="00C62D3F"/>
    <w:rsid w:val="00C6745D"/>
    <w:rsid w:val="00C71535"/>
    <w:rsid w:val="00C71C06"/>
    <w:rsid w:val="00C723BF"/>
    <w:rsid w:val="00C72E62"/>
    <w:rsid w:val="00C742C1"/>
    <w:rsid w:val="00C7498F"/>
    <w:rsid w:val="00C755F0"/>
    <w:rsid w:val="00C764B2"/>
    <w:rsid w:val="00C77099"/>
    <w:rsid w:val="00C77979"/>
    <w:rsid w:val="00C77A39"/>
    <w:rsid w:val="00C77AC5"/>
    <w:rsid w:val="00C823BC"/>
    <w:rsid w:val="00C82910"/>
    <w:rsid w:val="00C8521B"/>
    <w:rsid w:val="00C85423"/>
    <w:rsid w:val="00C85FAA"/>
    <w:rsid w:val="00C86995"/>
    <w:rsid w:val="00C90F9B"/>
    <w:rsid w:val="00C94434"/>
    <w:rsid w:val="00C955DF"/>
    <w:rsid w:val="00C959AC"/>
    <w:rsid w:val="00CA000E"/>
    <w:rsid w:val="00CA063C"/>
    <w:rsid w:val="00CA2702"/>
    <w:rsid w:val="00CA3C3C"/>
    <w:rsid w:val="00CA42ED"/>
    <w:rsid w:val="00CA448A"/>
    <w:rsid w:val="00CA5BB3"/>
    <w:rsid w:val="00CA73EC"/>
    <w:rsid w:val="00CB029D"/>
    <w:rsid w:val="00CB1BC7"/>
    <w:rsid w:val="00CB3E47"/>
    <w:rsid w:val="00CB432F"/>
    <w:rsid w:val="00CB4F91"/>
    <w:rsid w:val="00CC0CAB"/>
    <w:rsid w:val="00CC1FE2"/>
    <w:rsid w:val="00CC2B19"/>
    <w:rsid w:val="00CC3067"/>
    <w:rsid w:val="00CC33A4"/>
    <w:rsid w:val="00CC49D0"/>
    <w:rsid w:val="00CC513D"/>
    <w:rsid w:val="00CC5404"/>
    <w:rsid w:val="00CC5E25"/>
    <w:rsid w:val="00CC6D82"/>
    <w:rsid w:val="00CC7F2C"/>
    <w:rsid w:val="00CD0D10"/>
    <w:rsid w:val="00CD1485"/>
    <w:rsid w:val="00CD2208"/>
    <w:rsid w:val="00CD2840"/>
    <w:rsid w:val="00CD36AA"/>
    <w:rsid w:val="00CD48B8"/>
    <w:rsid w:val="00CD4BD4"/>
    <w:rsid w:val="00CD5253"/>
    <w:rsid w:val="00CD6E70"/>
    <w:rsid w:val="00CD6E81"/>
    <w:rsid w:val="00CD7688"/>
    <w:rsid w:val="00CD76E2"/>
    <w:rsid w:val="00CE00EE"/>
    <w:rsid w:val="00CE0145"/>
    <w:rsid w:val="00CE1E46"/>
    <w:rsid w:val="00CE2E6B"/>
    <w:rsid w:val="00CE3FDB"/>
    <w:rsid w:val="00CE4089"/>
    <w:rsid w:val="00CE453B"/>
    <w:rsid w:val="00CE4BAA"/>
    <w:rsid w:val="00CE52ED"/>
    <w:rsid w:val="00CE7CFD"/>
    <w:rsid w:val="00CF322D"/>
    <w:rsid w:val="00CF34F7"/>
    <w:rsid w:val="00CF51EC"/>
    <w:rsid w:val="00CF589A"/>
    <w:rsid w:val="00CF749D"/>
    <w:rsid w:val="00D004CD"/>
    <w:rsid w:val="00D014FC"/>
    <w:rsid w:val="00D0164A"/>
    <w:rsid w:val="00D01A04"/>
    <w:rsid w:val="00D03120"/>
    <w:rsid w:val="00D03E28"/>
    <w:rsid w:val="00D043A0"/>
    <w:rsid w:val="00D05F27"/>
    <w:rsid w:val="00D0745E"/>
    <w:rsid w:val="00D10573"/>
    <w:rsid w:val="00D105FF"/>
    <w:rsid w:val="00D1518E"/>
    <w:rsid w:val="00D1567B"/>
    <w:rsid w:val="00D16A76"/>
    <w:rsid w:val="00D218DE"/>
    <w:rsid w:val="00D22B13"/>
    <w:rsid w:val="00D23A7F"/>
    <w:rsid w:val="00D23B7A"/>
    <w:rsid w:val="00D27A00"/>
    <w:rsid w:val="00D27EDF"/>
    <w:rsid w:val="00D31CBE"/>
    <w:rsid w:val="00D33441"/>
    <w:rsid w:val="00D34FC6"/>
    <w:rsid w:val="00D36432"/>
    <w:rsid w:val="00D366B3"/>
    <w:rsid w:val="00D36847"/>
    <w:rsid w:val="00D4092E"/>
    <w:rsid w:val="00D40953"/>
    <w:rsid w:val="00D40BAC"/>
    <w:rsid w:val="00D410DD"/>
    <w:rsid w:val="00D43E46"/>
    <w:rsid w:val="00D45606"/>
    <w:rsid w:val="00D4575A"/>
    <w:rsid w:val="00D5014F"/>
    <w:rsid w:val="00D52114"/>
    <w:rsid w:val="00D53D06"/>
    <w:rsid w:val="00D54D15"/>
    <w:rsid w:val="00D57E9D"/>
    <w:rsid w:val="00D6043E"/>
    <w:rsid w:val="00D62654"/>
    <w:rsid w:val="00D63D61"/>
    <w:rsid w:val="00D64FA3"/>
    <w:rsid w:val="00D656FE"/>
    <w:rsid w:val="00D67290"/>
    <w:rsid w:val="00D7324E"/>
    <w:rsid w:val="00D80CF1"/>
    <w:rsid w:val="00D80CFC"/>
    <w:rsid w:val="00D83856"/>
    <w:rsid w:val="00D83F98"/>
    <w:rsid w:val="00D862EA"/>
    <w:rsid w:val="00D86E75"/>
    <w:rsid w:val="00D91A6E"/>
    <w:rsid w:val="00D920B4"/>
    <w:rsid w:val="00D92150"/>
    <w:rsid w:val="00D92879"/>
    <w:rsid w:val="00D92E3D"/>
    <w:rsid w:val="00D9301F"/>
    <w:rsid w:val="00D93F9C"/>
    <w:rsid w:val="00D940F5"/>
    <w:rsid w:val="00D95174"/>
    <w:rsid w:val="00D95B80"/>
    <w:rsid w:val="00D96492"/>
    <w:rsid w:val="00D9747A"/>
    <w:rsid w:val="00D979E8"/>
    <w:rsid w:val="00DA18E8"/>
    <w:rsid w:val="00DA261B"/>
    <w:rsid w:val="00DB03DB"/>
    <w:rsid w:val="00DB1162"/>
    <w:rsid w:val="00DB17B1"/>
    <w:rsid w:val="00DB2955"/>
    <w:rsid w:val="00DB2C03"/>
    <w:rsid w:val="00DB3F82"/>
    <w:rsid w:val="00DB58E5"/>
    <w:rsid w:val="00DB7C2B"/>
    <w:rsid w:val="00DC1F22"/>
    <w:rsid w:val="00DC2226"/>
    <w:rsid w:val="00DC4F0E"/>
    <w:rsid w:val="00DC515B"/>
    <w:rsid w:val="00DC7168"/>
    <w:rsid w:val="00DD2DDE"/>
    <w:rsid w:val="00DD6A39"/>
    <w:rsid w:val="00DD6DC8"/>
    <w:rsid w:val="00DD7929"/>
    <w:rsid w:val="00DE095F"/>
    <w:rsid w:val="00DE0F4C"/>
    <w:rsid w:val="00DE4219"/>
    <w:rsid w:val="00DE6C49"/>
    <w:rsid w:val="00DF17DB"/>
    <w:rsid w:val="00DF2027"/>
    <w:rsid w:val="00DF3ABA"/>
    <w:rsid w:val="00DF44F9"/>
    <w:rsid w:val="00DF4FDA"/>
    <w:rsid w:val="00DF5B16"/>
    <w:rsid w:val="00E0350E"/>
    <w:rsid w:val="00E03559"/>
    <w:rsid w:val="00E044A8"/>
    <w:rsid w:val="00E05634"/>
    <w:rsid w:val="00E05918"/>
    <w:rsid w:val="00E0738B"/>
    <w:rsid w:val="00E07695"/>
    <w:rsid w:val="00E10618"/>
    <w:rsid w:val="00E1089B"/>
    <w:rsid w:val="00E1179F"/>
    <w:rsid w:val="00E12D0E"/>
    <w:rsid w:val="00E1436B"/>
    <w:rsid w:val="00E149AC"/>
    <w:rsid w:val="00E14C05"/>
    <w:rsid w:val="00E14D51"/>
    <w:rsid w:val="00E1553E"/>
    <w:rsid w:val="00E164C6"/>
    <w:rsid w:val="00E21594"/>
    <w:rsid w:val="00E21D17"/>
    <w:rsid w:val="00E21D68"/>
    <w:rsid w:val="00E2484E"/>
    <w:rsid w:val="00E27011"/>
    <w:rsid w:val="00E30254"/>
    <w:rsid w:val="00E316D2"/>
    <w:rsid w:val="00E32D4D"/>
    <w:rsid w:val="00E35659"/>
    <w:rsid w:val="00E4176C"/>
    <w:rsid w:val="00E42579"/>
    <w:rsid w:val="00E438C3"/>
    <w:rsid w:val="00E442D4"/>
    <w:rsid w:val="00E45860"/>
    <w:rsid w:val="00E45ADB"/>
    <w:rsid w:val="00E45DAE"/>
    <w:rsid w:val="00E4736F"/>
    <w:rsid w:val="00E47F8B"/>
    <w:rsid w:val="00E517B7"/>
    <w:rsid w:val="00E518F1"/>
    <w:rsid w:val="00E51CFC"/>
    <w:rsid w:val="00E51FAD"/>
    <w:rsid w:val="00E526AD"/>
    <w:rsid w:val="00E53A57"/>
    <w:rsid w:val="00E53DEE"/>
    <w:rsid w:val="00E5465F"/>
    <w:rsid w:val="00E604FA"/>
    <w:rsid w:val="00E60647"/>
    <w:rsid w:val="00E6065F"/>
    <w:rsid w:val="00E620A1"/>
    <w:rsid w:val="00E66009"/>
    <w:rsid w:val="00E6614A"/>
    <w:rsid w:val="00E672F6"/>
    <w:rsid w:val="00E673DF"/>
    <w:rsid w:val="00E718B0"/>
    <w:rsid w:val="00E72756"/>
    <w:rsid w:val="00E72875"/>
    <w:rsid w:val="00E737D7"/>
    <w:rsid w:val="00E76276"/>
    <w:rsid w:val="00E76A0D"/>
    <w:rsid w:val="00E7749E"/>
    <w:rsid w:val="00E84238"/>
    <w:rsid w:val="00E843E0"/>
    <w:rsid w:val="00E8495E"/>
    <w:rsid w:val="00E8637E"/>
    <w:rsid w:val="00E90DFF"/>
    <w:rsid w:val="00E913BB"/>
    <w:rsid w:val="00E913DE"/>
    <w:rsid w:val="00E91D68"/>
    <w:rsid w:val="00E92AC5"/>
    <w:rsid w:val="00E976EC"/>
    <w:rsid w:val="00E979A5"/>
    <w:rsid w:val="00E97B3B"/>
    <w:rsid w:val="00E97FAB"/>
    <w:rsid w:val="00EA06CE"/>
    <w:rsid w:val="00EA1503"/>
    <w:rsid w:val="00EA3959"/>
    <w:rsid w:val="00EA3C35"/>
    <w:rsid w:val="00EA475A"/>
    <w:rsid w:val="00EA6456"/>
    <w:rsid w:val="00EA6A5F"/>
    <w:rsid w:val="00EB02AE"/>
    <w:rsid w:val="00EB1BD1"/>
    <w:rsid w:val="00EB1F44"/>
    <w:rsid w:val="00EB23E3"/>
    <w:rsid w:val="00EB3589"/>
    <w:rsid w:val="00EB551A"/>
    <w:rsid w:val="00EB5FA2"/>
    <w:rsid w:val="00EC039A"/>
    <w:rsid w:val="00EC0C6F"/>
    <w:rsid w:val="00EC38E4"/>
    <w:rsid w:val="00EC69DA"/>
    <w:rsid w:val="00EC6BB4"/>
    <w:rsid w:val="00EC7E1D"/>
    <w:rsid w:val="00EC7E69"/>
    <w:rsid w:val="00ED031A"/>
    <w:rsid w:val="00ED12C2"/>
    <w:rsid w:val="00ED2095"/>
    <w:rsid w:val="00ED265B"/>
    <w:rsid w:val="00ED319A"/>
    <w:rsid w:val="00ED37A3"/>
    <w:rsid w:val="00ED49AF"/>
    <w:rsid w:val="00ED681C"/>
    <w:rsid w:val="00EE1707"/>
    <w:rsid w:val="00EE323C"/>
    <w:rsid w:val="00EE37F2"/>
    <w:rsid w:val="00EE40B9"/>
    <w:rsid w:val="00EE45E5"/>
    <w:rsid w:val="00EE614D"/>
    <w:rsid w:val="00EF31F9"/>
    <w:rsid w:val="00EF3FEC"/>
    <w:rsid w:val="00EF529E"/>
    <w:rsid w:val="00EF7071"/>
    <w:rsid w:val="00F020B6"/>
    <w:rsid w:val="00F04754"/>
    <w:rsid w:val="00F051F2"/>
    <w:rsid w:val="00F0708E"/>
    <w:rsid w:val="00F07DB6"/>
    <w:rsid w:val="00F11169"/>
    <w:rsid w:val="00F11F98"/>
    <w:rsid w:val="00F132E3"/>
    <w:rsid w:val="00F16982"/>
    <w:rsid w:val="00F16D7F"/>
    <w:rsid w:val="00F1794F"/>
    <w:rsid w:val="00F17DD7"/>
    <w:rsid w:val="00F212CC"/>
    <w:rsid w:val="00F23094"/>
    <w:rsid w:val="00F240E4"/>
    <w:rsid w:val="00F26291"/>
    <w:rsid w:val="00F3017E"/>
    <w:rsid w:val="00F30714"/>
    <w:rsid w:val="00F30EB7"/>
    <w:rsid w:val="00F32828"/>
    <w:rsid w:val="00F32EBC"/>
    <w:rsid w:val="00F33E38"/>
    <w:rsid w:val="00F36E27"/>
    <w:rsid w:val="00F4075C"/>
    <w:rsid w:val="00F43882"/>
    <w:rsid w:val="00F43DCD"/>
    <w:rsid w:val="00F44795"/>
    <w:rsid w:val="00F44880"/>
    <w:rsid w:val="00F466C2"/>
    <w:rsid w:val="00F47191"/>
    <w:rsid w:val="00F47329"/>
    <w:rsid w:val="00F47AA0"/>
    <w:rsid w:val="00F47B06"/>
    <w:rsid w:val="00F508A2"/>
    <w:rsid w:val="00F50E42"/>
    <w:rsid w:val="00F51A4A"/>
    <w:rsid w:val="00F52600"/>
    <w:rsid w:val="00F537AE"/>
    <w:rsid w:val="00F539E0"/>
    <w:rsid w:val="00F54ED2"/>
    <w:rsid w:val="00F55E75"/>
    <w:rsid w:val="00F566DD"/>
    <w:rsid w:val="00F57265"/>
    <w:rsid w:val="00F638C2"/>
    <w:rsid w:val="00F66F0B"/>
    <w:rsid w:val="00F67508"/>
    <w:rsid w:val="00F72C7B"/>
    <w:rsid w:val="00F72C9A"/>
    <w:rsid w:val="00F74345"/>
    <w:rsid w:val="00F75AC8"/>
    <w:rsid w:val="00F801B0"/>
    <w:rsid w:val="00F8039F"/>
    <w:rsid w:val="00F81FBF"/>
    <w:rsid w:val="00F823E2"/>
    <w:rsid w:val="00F82EB4"/>
    <w:rsid w:val="00F838B1"/>
    <w:rsid w:val="00F84BF0"/>
    <w:rsid w:val="00F858E1"/>
    <w:rsid w:val="00F8640D"/>
    <w:rsid w:val="00F866EA"/>
    <w:rsid w:val="00F86770"/>
    <w:rsid w:val="00F9601C"/>
    <w:rsid w:val="00F96115"/>
    <w:rsid w:val="00F96D00"/>
    <w:rsid w:val="00FA0A3F"/>
    <w:rsid w:val="00FA140C"/>
    <w:rsid w:val="00FA3241"/>
    <w:rsid w:val="00FA38E6"/>
    <w:rsid w:val="00FA55E5"/>
    <w:rsid w:val="00FB50E2"/>
    <w:rsid w:val="00FB6835"/>
    <w:rsid w:val="00FC14CC"/>
    <w:rsid w:val="00FC42E3"/>
    <w:rsid w:val="00FC4B47"/>
    <w:rsid w:val="00FC561F"/>
    <w:rsid w:val="00FC6882"/>
    <w:rsid w:val="00FC7A47"/>
    <w:rsid w:val="00FD0331"/>
    <w:rsid w:val="00FD0358"/>
    <w:rsid w:val="00FD0833"/>
    <w:rsid w:val="00FD2294"/>
    <w:rsid w:val="00FD32C8"/>
    <w:rsid w:val="00FD4770"/>
    <w:rsid w:val="00FD4E21"/>
    <w:rsid w:val="00FD535D"/>
    <w:rsid w:val="00FD5495"/>
    <w:rsid w:val="00FD63F9"/>
    <w:rsid w:val="00FD6C1B"/>
    <w:rsid w:val="00FD6C8E"/>
    <w:rsid w:val="00FD732F"/>
    <w:rsid w:val="00FE1CFA"/>
    <w:rsid w:val="00FE22B9"/>
    <w:rsid w:val="00FE61DD"/>
    <w:rsid w:val="00FE76AA"/>
    <w:rsid w:val="00FE76D1"/>
    <w:rsid w:val="00FF18C5"/>
    <w:rsid w:val="00FF345D"/>
    <w:rsid w:val="00FF44D7"/>
    <w:rsid w:val="00FF5305"/>
    <w:rsid w:val="00FF5A9D"/>
    <w:rsid w:val="00FF68E0"/>
    <w:rsid w:val="00FF7607"/>
    <w:rsid w:val="00FF7E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22EFD"/>
  <w15:docId w15:val="{231D87C6-F206-44CB-BCC4-529D5FFE9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99D"/>
    <w:pPr>
      <w:spacing w:after="0" w:line="240" w:lineRule="auto"/>
      <w:jc w:val="both"/>
    </w:pPr>
    <w:rPr>
      <w:rFonts w:asciiTheme="majorBidi" w:hAnsiTheme="majorBidi" w:cstheme="majorBidi"/>
      <w:sz w:val="24"/>
      <w:szCs w:val="24"/>
    </w:rPr>
  </w:style>
  <w:style w:type="paragraph" w:styleId="Heading1">
    <w:name w:val="heading 1"/>
    <w:basedOn w:val="Normal"/>
    <w:next w:val="Normal"/>
    <w:link w:val="Heading1Char"/>
    <w:uiPriority w:val="9"/>
    <w:qFormat/>
    <w:rsid w:val="0039033D"/>
    <w:pPr>
      <w:keepNext/>
      <w:keepLines/>
      <w:numPr>
        <w:numId w:val="1"/>
      </w:numPr>
      <w:spacing w:before="480" w:after="240"/>
      <w:ind w:left="36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D80CFC"/>
    <w:pPr>
      <w:keepNext/>
      <w:keepLines/>
      <w:numPr>
        <w:ilvl w:val="1"/>
        <w:numId w:val="1"/>
      </w:numPr>
      <w:spacing w:before="200" w:after="120"/>
      <w:ind w:left="578" w:hanging="578"/>
      <w:outlineLvl w:val="1"/>
    </w:pPr>
    <w:rPr>
      <w:rFonts w:eastAsiaTheme="majorEastAsia"/>
      <w:b/>
      <w:bCs/>
    </w:rPr>
  </w:style>
  <w:style w:type="paragraph" w:styleId="Heading3">
    <w:name w:val="heading 3"/>
    <w:basedOn w:val="Normal"/>
    <w:next w:val="Normal"/>
    <w:link w:val="Heading3Char"/>
    <w:uiPriority w:val="9"/>
    <w:unhideWhenUsed/>
    <w:qFormat/>
    <w:rsid w:val="00374FD2"/>
    <w:pPr>
      <w:keepNext/>
      <w:keepLines/>
      <w:numPr>
        <w:ilvl w:val="2"/>
        <w:numId w:val="1"/>
      </w:numPr>
      <w:spacing w:before="20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unhideWhenUsed/>
    <w:qFormat/>
    <w:rsid w:val="00374FD2"/>
    <w:pPr>
      <w:keepNext/>
      <w:keepLines/>
      <w:numPr>
        <w:ilvl w:val="3"/>
        <w:numId w:val="1"/>
      </w:numPr>
      <w:spacing w:before="20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uiPriority w:val="9"/>
    <w:semiHidden/>
    <w:unhideWhenUsed/>
    <w:qFormat/>
    <w:rsid w:val="00374FD2"/>
    <w:pPr>
      <w:keepNext/>
      <w:keepLines/>
      <w:numPr>
        <w:ilvl w:val="4"/>
        <w:numId w:val="1"/>
      </w:numPr>
      <w:spacing w:before="20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374FD2"/>
    <w:pPr>
      <w:keepNext/>
      <w:keepLines/>
      <w:numPr>
        <w:ilvl w:val="5"/>
        <w:numId w:val="1"/>
      </w:numPr>
      <w:spacing w:before="200"/>
      <w:outlineLvl w:val="5"/>
    </w:pPr>
    <w:rPr>
      <w:rFonts w:asciiTheme="majorHAnsi" w:eastAsiaTheme="majorEastAsia" w:hAnsiTheme="majorHAnsi"/>
      <w:i/>
      <w:iCs/>
      <w:color w:val="243F60" w:themeColor="accent1" w:themeShade="7F"/>
    </w:rPr>
  </w:style>
  <w:style w:type="paragraph" w:styleId="Heading7">
    <w:name w:val="heading 7"/>
    <w:basedOn w:val="Normal"/>
    <w:next w:val="Normal"/>
    <w:link w:val="Heading7Char"/>
    <w:uiPriority w:val="9"/>
    <w:semiHidden/>
    <w:unhideWhenUsed/>
    <w:qFormat/>
    <w:rsid w:val="00374FD2"/>
    <w:pPr>
      <w:keepNext/>
      <w:keepLines/>
      <w:numPr>
        <w:ilvl w:val="6"/>
        <w:numId w:val="1"/>
      </w:numPr>
      <w:spacing w:before="20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374FD2"/>
    <w:pPr>
      <w:keepNext/>
      <w:keepLines/>
      <w:numPr>
        <w:ilvl w:val="7"/>
        <w:numId w:val="1"/>
      </w:numPr>
      <w:spacing w:before="200"/>
      <w:outlineLvl w:val="7"/>
    </w:pPr>
    <w:rPr>
      <w:rFonts w:asciiTheme="majorHAnsi" w:eastAsiaTheme="majorEastAsia" w:hAnsiTheme="majorHAnsi"/>
      <w:color w:val="404040" w:themeColor="text1" w:themeTint="BF"/>
    </w:rPr>
  </w:style>
  <w:style w:type="paragraph" w:styleId="Heading9">
    <w:name w:val="heading 9"/>
    <w:basedOn w:val="Normal"/>
    <w:next w:val="Normal"/>
    <w:link w:val="Heading9Char"/>
    <w:uiPriority w:val="9"/>
    <w:semiHidden/>
    <w:unhideWhenUsed/>
    <w:qFormat/>
    <w:rsid w:val="00374FD2"/>
    <w:pPr>
      <w:keepNext/>
      <w:keepLines/>
      <w:numPr>
        <w:ilvl w:val="8"/>
        <w:numId w:val="1"/>
      </w:numPr>
      <w:spacing w:before="200"/>
      <w:outlineLvl w:val="8"/>
    </w:pPr>
    <w:rPr>
      <w:rFonts w:asciiTheme="majorHAnsi" w:eastAsiaTheme="majorEastAsia" w:hAnsiTheme="majorHAns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12F"/>
    <w:rPr>
      <w:color w:val="0000FF" w:themeColor="hyperlink"/>
      <w:u w:val="single"/>
    </w:rPr>
  </w:style>
  <w:style w:type="character" w:customStyle="1" w:styleId="Heading1Char">
    <w:name w:val="Heading 1 Char"/>
    <w:basedOn w:val="DefaultParagraphFont"/>
    <w:link w:val="Heading1"/>
    <w:uiPriority w:val="9"/>
    <w:rsid w:val="0039033D"/>
    <w:rPr>
      <w:rFonts w:asciiTheme="majorBidi" w:eastAsiaTheme="majorEastAsia" w:hAnsiTheme="majorBidi" w:cstheme="majorBidi"/>
      <w:b/>
      <w:bCs/>
      <w:sz w:val="28"/>
      <w:szCs w:val="28"/>
    </w:rPr>
  </w:style>
  <w:style w:type="character" w:customStyle="1" w:styleId="Heading2Char">
    <w:name w:val="Heading 2 Char"/>
    <w:basedOn w:val="DefaultParagraphFont"/>
    <w:link w:val="Heading2"/>
    <w:uiPriority w:val="9"/>
    <w:rsid w:val="00D80CFC"/>
    <w:rPr>
      <w:rFonts w:asciiTheme="majorBidi" w:eastAsiaTheme="majorEastAsia" w:hAnsiTheme="majorBidi" w:cstheme="majorBidi"/>
      <w:b/>
      <w:bCs/>
      <w:sz w:val="24"/>
      <w:szCs w:val="24"/>
    </w:rPr>
  </w:style>
  <w:style w:type="character" w:customStyle="1" w:styleId="Heading3Char">
    <w:name w:val="Heading 3 Char"/>
    <w:basedOn w:val="DefaultParagraphFont"/>
    <w:link w:val="Heading3"/>
    <w:uiPriority w:val="9"/>
    <w:rsid w:val="00374FD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74FD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74FD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74FD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74FD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74FD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74FD2"/>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1F5A84"/>
    <w:rPr>
      <w:sz w:val="16"/>
      <w:szCs w:val="16"/>
    </w:rPr>
  </w:style>
  <w:style w:type="paragraph" w:styleId="CommentText">
    <w:name w:val="annotation text"/>
    <w:basedOn w:val="Normal"/>
    <w:link w:val="CommentTextChar"/>
    <w:uiPriority w:val="99"/>
    <w:unhideWhenUsed/>
    <w:rsid w:val="001F5A84"/>
  </w:style>
  <w:style w:type="character" w:customStyle="1" w:styleId="CommentTextChar">
    <w:name w:val="Comment Text Char"/>
    <w:basedOn w:val="DefaultParagraphFont"/>
    <w:link w:val="CommentText"/>
    <w:uiPriority w:val="99"/>
    <w:rsid w:val="001F5A84"/>
    <w:rPr>
      <w:sz w:val="20"/>
      <w:szCs w:val="20"/>
    </w:rPr>
  </w:style>
  <w:style w:type="paragraph" w:styleId="CommentSubject">
    <w:name w:val="annotation subject"/>
    <w:basedOn w:val="CommentText"/>
    <w:next w:val="CommentText"/>
    <w:link w:val="CommentSubjectChar"/>
    <w:uiPriority w:val="99"/>
    <w:semiHidden/>
    <w:unhideWhenUsed/>
    <w:rsid w:val="001F5A84"/>
    <w:rPr>
      <w:b/>
      <w:bCs/>
    </w:rPr>
  </w:style>
  <w:style w:type="character" w:customStyle="1" w:styleId="CommentSubjectChar">
    <w:name w:val="Comment Subject Char"/>
    <w:basedOn w:val="CommentTextChar"/>
    <w:link w:val="CommentSubject"/>
    <w:uiPriority w:val="99"/>
    <w:semiHidden/>
    <w:rsid w:val="001F5A84"/>
    <w:rPr>
      <w:b/>
      <w:bCs/>
      <w:sz w:val="20"/>
      <w:szCs w:val="20"/>
    </w:rPr>
  </w:style>
  <w:style w:type="paragraph" w:styleId="BalloonText">
    <w:name w:val="Balloon Text"/>
    <w:basedOn w:val="Normal"/>
    <w:link w:val="BalloonTextChar"/>
    <w:uiPriority w:val="99"/>
    <w:semiHidden/>
    <w:unhideWhenUsed/>
    <w:rsid w:val="001F5A84"/>
    <w:rPr>
      <w:rFonts w:ascii="Tahoma" w:hAnsi="Tahoma" w:cs="Tahoma"/>
      <w:sz w:val="16"/>
      <w:szCs w:val="16"/>
    </w:rPr>
  </w:style>
  <w:style w:type="character" w:customStyle="1" w:styleId="BalloonTextChar">
    <w:name w:val="Balloon Text Char"/>
    <w:basedOn w:val="DefaultParagraphFont"/>
    <w:link w:val="BalloonText"/>
    <w:uiPriority w:val="99"/>
    <w:semiHidden/>
    <w:rsid w:val="001F5A84"/>
    <w:rPr>
      <w:rFonts w:ascii="Tahoma" w:hAnsi="Tahoma" w:cs="Tahoma"/>
      <w:sz w:val="16"/>
      <w:szCs w:val="16"/>
    </w:rPr>
  </w:style>
  <w:style w:type="paragraph" w:styleId="ListParagraph">
    <w:name w:val="List Paragraph"/>
    <w:basedOn w:val="Normal"/>
    <w:uiPriority w:val="34"/>
    <w:qFormat/>
    <w:rsid w:val="00B86FBB"/>
    <w:pPr>
      <w:numPr>
        <w:numId w:val="2"/>
      </w:numPr>
      <w:ind w:left="851" w:hanging="425"/>
      <w:contextualSpacing/>
    </w:pPr>
    <w:rPr>
      <w:rFonts w:eastAsia="Times New Roman" w:cs="Times New Roman"/>
    </w:rPr>
  </w:style>
  <w:style w:type="paragraph" w:styleId="Caption">
    <w:name w:val="caption"/>
    <w:basedOn w:val="Normal"/>
    <w:next w:val="Normal"/>
    <w:uiPriority w:val="35"/>
    <w:unhideWhenUsed/>
    <w:qFormat/>
    <w:rsid w:val="00F74345"/>
    <w:rPr>
      <w:rFonts w:eastAsia="Times New Roman" w:cs="Times New Roman"/>
      <w:i/>
      <w:iCs/>
    </w:rPr>
  </w:style>
  <w:style w:type="paragraph" w:styleId="Title">
    <w:name w:val="Title"/>
    <w:basedOn w:val="Normal"/>
    <w:next w:val="Normal"/>
    <w:link w:val="TitleChar"/>
    <w:uiPriority w:val="10"/>
    <w:qFormat/>
    <w:rsid w:val="0087053C"/>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leChar">
    <w:name w:val="Title Char"/>
    <w:basedOn w:val="DefaultParagraphFont"/>
    <w:link w:val="Title"/>
    <w:uiPriority w:val="10"/>
    <w:rsid w:val="0087053C"/>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7053C"/>
    <w:pPr>
      <w:numPr>
        <w:ilvl w:val="1"/>
      </w:numPr>
    </w:pPr>
    <w:rPr>
      <w:rFonts w:asciiTheme="majorHAnsi" w:eastAsiaTheme="majorEastAsia" w:hAnsiTheme="majorHAnsi"/>
      <w:i/>
      <w:iCs/>
      <w:color w:val="4F81BD" w:themeColor="accent1"/>
      <w:spacing w:val="15"/>
    </w:rPr>
  </w:style>
  <w:style w:type="character" w:customStyle="1" w:styleId="SubtitleChar">
    <w:name w:val="Subtitle Char"/>
    <w:basedOn w:val="DefaultParagraphFont"/>
    <w:link w:val="Subtitle"/>
    <w:uiPriority w:val="11"/>
    <w:rsid w:val="0087053C"/>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87053C"/>
    <w:rPr>
      <w:b/>
      <w:bCs/>
    </w:rPr>
  </w:style>
  <w:style w:type="character" w:styleId="Emphasis">
    <w:name w:val="Emphasis"/>
    <w:uiPriority w:val="20"/>
    <w:qFormat/>
    <w:rsid w:val="0087053C"/>
    <w:rPr>
      <w:i/>
      <w:iCs/>
    </w:rPr>
  </w:style>
  <w:style w:type="paragraph" w:styleId="NoSpacing">
    <w:name w:val="No Spacing"/>
    <w:basedOn w:val="Normal"/>
    <w:link w:val="NoSpacingChar"/>
    <w:uiPriority w:val="1"/>
    <w:qFormat/>
    <w:rsid w:val="0087053C"/>
    <w:rPr>
      <w:rFonts w:eastAsia="Times New Roman" w:cs="Times New Roman"/>
    </w:rPr>
  </w:style>
  <w:style w:type="character" w:customStyle="1" w:styleId="NoSpacingChar">
    <w:name w:val="No Spacing Char"/>
    <w:basedOn w:val="DefaultParagraphFont"/>
    <w:link w:val="NoSpacing"/>
    <w:uiPriority w:val="1"/>
    <w:rsid w:val="0087053C"/>
    <w:rPr>
      <w:rFonts w:eastAsia="Times New Roman" w:cs="Times New Roman"/>
    </w:rPr>
  </w:style>
  <w:style w:type="paragraph" w:styleId="Quote">
    <w:name w:val="Quote"/>
    <w:basedOn w:val="Normal"/>
    <w:next w:val="Normal"/>
    <w:link w:val="QuoteChar"/>
    <w:uiPriority w:val="29"/>
    <w:qFormat/>
    <w:rsid w:val="0087053C"/>
    <w:rPr>
      <w:rFonts w:eastAsia="Times New Roman" w:cs="Times New Roman"/>
      <w:i/>
      <w:iCs/>
      <w:color w:val="000000" w:themeColor="text1"/>
    </w:rPr>
  </w:style>
  <w:style w:type="character" w:customStyle="1" w:styleId="QuoteChar">
    <w:name w:val="Quote Char"/>
    <w:basedOn w:val="DefaultParagraphFont"/>
    <w:link w:val="Quote"/>
    <w:uiPriority w:val="29"/>
    <w:rsid w:val="0087053C"/>
    <w:rPr>
      <w:rFonts w:eastAsia="Times New Roman" w:cs="Times New Roman"/>
      <w:i/>
      <w:iCs/>
      <w:color w:val="000000" w:themeColor="text1"/>
    </w:rPr>
  </w:style>
  <w:style w:type="paragraph" w:styleId="IntenseQuote">
    <w:name w:val="Intense Quote"/>
    <w:basedOn w:val="Normal"/>
    <w:next w:val="Normal"/>
    <w:link w:val="IntenseQuoteChar"/>
    <w:uiPriority w:val="30"/>
    <w:qFormat/>
    <w:rsid w:val="0087053C"/>
    <w:pPr>
      <w:pBdr>
        <w:bottom w:val="single" w:sz="4" w:space="4" w:color="4F81BD" w:themeColor="accent1"/>
      </w:pBdr>
      <w:spacing w:before="200" w:after="280"/>
      <w:ind w:left="936" w:right="936"/>
    </w:pPr>
    <w:rPr>
      <w:rFonts w:eastAsia="Times New Roman" w:cs="Times New Roman"/>
      <w:b/>
      <w:bCs/>
      <w:i/>
      <w:iCs/>
      <w:color w:val="4F81BD" w:themeColor="accent1"/>
    </w:rPr>
  </w:style>
  <w:style w:type="character" w:customStyle="1" w:styleId="IntenseQuoteChar">
    <w:name w:val="Intense Quote Char"/>
    <w:basedOn w:val="DefaultParagraphFont"/>
    <w:link w:val="IntenseQuote"/>
    <w:uiPriority w:val="30"/>
    <w:rsid w:val="0087053C"/>
    <w:rPr>
      <w:rFonts w:eastAsia="Times New Roman" w:cs="Times New Roman"/>
      <w:b/>
      <w:bCs/>
      <w:i/>
      <w:iCs/>
      <w:color w:val="4F81BD" w:themeColor="accent1"/>
    </w:rPr>
  </w:style>
  <w:style w:type="character" w:styleId="SubtleEmphasis">
    <w:name w:val="Subtle Emphasis"/>
    <w:uiPriority w:val="19"/>
    <w:qFormat/>
    <w:rsid w:val="0087053C"/>
    <w:rPr>
      <w:i/>
      <w:iCs/>
      <w:color w:val="808080" w:themeColor="text1" w:themeTint="7F"/>
    </w:rPr>
  </w:style>
  <w:style w:type="character" w:styleId="IntenseEmphasis">
    <w:name w:val="Intense Emphasis"/>
    <w:uiPriority w:val="21"/>
    <w:qFormat/>
    <w:rsid w:val="0087053C"/>
    <w:rPr>
      <w:b/>
      <w:bCs/>
      <w:i/>
      <w:iCs/>
      <w:color w:val="4F81BD" w:themeColor="accent1"/>
    </w:rPr>
  </w:style>
  <w:style w:type="character" w:styleId="SubtleReference">
    <w:name w:val="Subtle Reference"/>
    <w:uiPriority w:val="31"/>
    <w:qFormat/>
    <w:rsid w:val="0087053C"/>
    <w:rPr>
      <w:smallCaps/>
      <w:color w:val="C0504D" w:themeColor="accent2"/>
      <w:u w:val="single"/>
    </w:rPr>
  </w:style>
  <w:style w:type="character" w:styleId="IntenseReference">
    <w:name w:val="Intense Reference"/>
    <w:uiPriority w:val="32"/>
    <w:qFormat/>
    <w:rsid w:val="0087053C"/>
    <w:rPr>
      <w:b/>
      <w:bCs/>
      <w:smallCaps/>
      <w:color w:val="C0504D" w:themeColor="accent2"/>
      <w:spacing w:val="5"/>
      <w:u w:val="single"/>
    </w:rPr>
  </w:style>
  <w:style w:type="character" w:styleId="BookTitle">
    <w:name w:val="Book Title"/>
    <w:uiPriority w:val="33"/>
    <w:qFormat/>
    <w:rsid w:val="0087053C"/>
    <w:rPr>
      <w:b/>
      <w:bCs/>
      <w:smallCaps/>
      <w:spacing w:val="5"/>
    </w:rPr>
  </w:style>
  <w:style w:type="paragraph" w:styleId="TOCHeading">
    <w:name w:val="TOC Heading"/>
    <w:basedOn w:val="Heading1"/>
    <w:next w:val="Normal"/>
    <w:uiPriority w:val="39"/>
    <w:semiHidden/>
    <w:unhideWhenUsed/>
    <w:qFormat/>
    <w:rsid w:val="0087053C"/>
    <w:pPr>
      <w:spacing w:after="360"/>
      <w:outlineLvl w:val="9"/>
    </w:pPr>
  </w:style>
  <w:style w:type="table" w:styleId="TableGrid">
    <w:name w:val="Table Grid"/>
    <w:basedOn w:val="TableNormal"/>
    <w:uiPriority w:val="59"/>
    <w:rsid w:val="00870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7053C"/>
    <w:rPr>
      <w:color w:val="800080" w:themeColor="followedHyperlink"/>
      <w:u w:val="single"/>
    </w:rPr>
  </w:style>
  <w:style w:type="paragraph" w:styleId="FootnoteText">
    <w:name w:val="footnote text"/>
    <w:basedOn w:val="Normal"/>
    <w:link w:val="FootnoteTextChar"/>
    <w:uiPriority w:val="99"/>
    <w:unhideWhenUsed/>
    <w:rsid w:val="0087053C"/>
    <w:rPr>
      <w:rFonts w:eastAsia="Times New Roman" w:cs="Times New Roman"/>
    </w:rPr>
  </w:style>
  <w:style w:type="character" w:customStyle="1" w:styleId="FootnoteTextChar">
    <w:name w:val="Footnote Text Char"/>
    <w:basedOn w:val="DefaultParagraphFont"/>
    <w:link w:val="FootnoteText"/>
    <w:uiPriority w:val="99"/>
    <w:rsid w:val="0087053C"/>
    <w:rPr>
      <w:rFonts w:eastAsia="Times New Roman" w:cs="Times New Roman"/>
      <w:sz w:val="20"/>
      <w:szCs w:val="20"/>
    </w:rPr>
  </w:style>
  <w:style w:type="character" w:styleId="FootnoteReference">
    <w:name w:val="footnote reference"/>
    <w:basedOn w:val="DefaultParagraphFont"/>
    <w:uiPriority w:val="99"/>
    <w:semiHidden/>
    <w:unhideWhenUsed/>
    <w:rsid w:val="0087053C"/>
    <w:rPr>
      <w:vertAlign w:val="superscript"/>
    </w:rPr>
  </w:style>
  <w:style w:type="paragraph" w:styleId="TOC1">
    <w:name w:val="toc 1"/>
    <w:basedOn w:val="Normal"/>
    <w:next w:val="Normal"/>
    <w:autoRedefine/>
    <w:uiPriority w:val="39"/>
    <w:unhideWhenUsed/>
    <w:rsid w:val="0087053C"/>
    <w:pPr>
      <w:spacing w:after="100"/>
    </w:pPr>
    <w:rPr>
      <w:rFonts w:eastAsia="Times New Roman" w:cs="Times New Roman"/>
    </w:rPr>
  </w:style>
  <w:style w:type="paragraph" w:styleId="TOC2">
    <w:name w:val="toc 2"/>
    <w:basedOn w:val="Normal"/>
    <w:next w:val="Normal"/>
    <w:autoRedefine/>
    <w:uiPriority w:val="39"/>
    <w:unhideWhenUsed/>
    <w:rsid w:val="0087053C"/>
    <w:pPr>
      <w:spacing w:after="100"/>
      <w:ind w:left="220"/>
    </w:pPr>
    <w:rPr>
      <w:rFonts w:eastAsia="Times New Roman" w:cs="Times New Roman"/>
    </w:rPr>
  </w:style>
  <w:style w:type="paragraph" w:styleId="TOC3">
    <w:name w:val="toc 3"/>
    <w:basedOn w:val="Normal"/>
    <w:next w:val="Normal"/>
    <w:autoRedefine/>
    <w:uiPriority w:val="39"/>
    <w:unhideWhenUsed/>
    <w:rsid w:val="0087053C"/>
    <w:pPr>
      <w:spacing w:after="100"/>
      <w:ind w:left="440"/>
    </w:pPr>
    <w:rPr>
      <w:rFonts w:eastAsia="Times New Roman" w:cs="Times New Roman"/>
    </w:rPr>
  </w:style>
  <w:style w:type="paragraph" w:styleId="Revision">
    <w:name w:val="Revision"/>
    <w:hidden/>
    <w:uiPriority w:val="99"/>
    <w:semiHidden/>
    <w:rsid w:val="0087053C"/>
    <w:pPr>
      <w:spacing w:after="0" w:line="240" w:lineRule="auto"/>
    </w:pPr>
    <w:rPr>
      <w:rFonts w:eastAsia="Times New Roman" w:cs="Times New Roman"/>
    </w:rPr>
  </w:style>
  <w:style w:type="paragraph" w:styleId="Header">
    <w:name w:val="header"/>
    <w:basedOn w:val="Normal"/>
    <w:link w:val="HeaderChar"/>
    <w:uiPriority w:val="99"/>
    <w:unhideWhenUsed/>
    <w:rsid w:val="0087053C"/>
    <w:pPr>
      <w:tabs>
        <w:tab w:val="center" w:pos="4513"/>
        <w:tab w:val="right" w:pos="9026"/>
      </w:tabs>
    </w:pPr>
    <w:rPr>
      <w:rFonts w:eastAsia="Times New Roman" w:cs="Times New Roman"/>
    </w:rPr>
  </w:style>
  <w:style w:type="character" w:customStyle="1" w:styleId="HeaderChar">
    <w:name w:val="Header Char"/>
    <w:basedOn w:val="DefaultParagraphFont"/>
    <w:link w:val="Header"/>
    <w:uiPriority w:val="99"/>
    <w:rsid w:val="0087053C"/>
    <w:rPr>
      <w:rFonts w:eastAsia="Times New Roman" w:cs="Times New Roman"/>
    </w:rPr>
  </w:style>
  <w:style w:type="paragraph" w:styleId="Footer">
    <w:name w:val="footer"/>
    <w:basedOn w:val="Normal"/>
    <w:link w:val="FooterChar"/>
    <w:uiPriority w:val="99"/>
    <w:unhideWhenUsed/>
    <w:rsid w:val="0087053C"/>
    <w:pPr>
      <w:tabs>
        <w:tab w:val="center" w:pos="4513"/>
        <w:tab w:val="right" w:pos="9026"/>
      </w:tabs>
    </w:pPr>
    <w:rPr>
      <w:rFonts w:eastAsia="Times New Roman" w:cs="Times New Roman"/>
    </w:rPr>
  </w:style>
  <w:style w:type="character" w:customStyle="1" w:styleId="FooterChar">
    <w:name w:val="Footer Char"/>
    <w:basedOn w:val="DefaultParagraphFont"/>
    <w:link w:val="Footer"/>
    <w:uiPriority w:val="99"/>
    <w:rsid w:val="0087053C"/>
    <w:rPr>
      <w:rFonts w:eastAsia="Times New Roman" w:cs="Times New Roman"/>
    </w:rPr>
  </w:style>
  <w:style w:type="paragraph" w:customStyle="1" w:styleId="frfield">
    <w:name w:val="fr_field"/>
    <w:basedOn w:val="Normal"/>
    <w:rsid w:val="008179CC"/>
    <w:pPr>
      <w:spacing w:after="30" w:line="330" w:lineRule="atLeast"/>
    </w:pPr>
    <w:rPr>
      <w:rFonts w:ascii="Times New Roman" w:eastAsia="Times New Roman" w:hAnsi="Times New Roman" w:cs="Times New Roman"/>
    </w:rPr>
  </w:style>
  <w:style w:type="character" w:customStyle="1" w:styleId="hithilite3">
    <w:name w:val="hithilite3"/>
    <w:basedOn w:val="DefaultParagraphFont"/>
    <w:rsid w:val="008179CC"/>
    <w:rPr>
      <w:shd w:val="clear" w:color="auto" w:fill="FFFF00"/>
    </w:rPr>
  </w:style>
  <w:style w:type="paragraph" w:styleId="NormalWeb">
    <w:name w:val="Normal (Web)"/>
    <w:basedOn w:val="Normal"/>
    <w:uiPriority w:val="99"/>
    <w:unhideWhenUsed/>
    <w:rsid w:val="00777C3C"/>
    <w:rPr>
      <w:rFonts w:ascii="Times New Roman" w:hAnsi="Times New Roman" w:cs="Times New Roman"/>
    </w:rPr>
  </w:style>
  <w:style w:type="character" w:styleId="PlaceholderText">
    <w:name w:val="Placeholder Text"/>
    <w:basedOn w:val="DefaultParagraphFont"/>
    <w:uiPriority w:val="99"/>
    <w:semiHidden/>
    <w:rsid w:val="008B307D"/>
    <w:rPr>
      <w:color w:val="808080"/>
    </w:rPr>
  </w:style>
  <w:style w:type="paragraph" w:styleId="Date">
    <w:name w:val="Date"/>
    <w:basedOn w:val="Normal"/>
    <w:next w:val="Normal"/>
    <w:link w:val="DateChar"/>
    <w:uiPriority w:val="99"/>
    <w:semiHidden/>
    <w:unhideWhenUsed/>
    <w:rsid w:val="004D51EE"/>
  </w:style>
  <w:style w:type="character" w:customStyle="1" w:styleId="DateChar">
    <w:name w:val="Date Char"/>
    <w:basedOn w:val="DefaultParagraphFont"/>
    <w:link w:val="Date"/>
    <w:uiPriority w:val="99"/>
    <w:semiHidden/>
    <w:rsid w:val="004D51EE"/>
  </w:style>
  <w:style w:type="paragraph" w:customStyle="1" w:styleId="BodyText21">
    <w:name w:val="Body Text 21"/>
    <w:basedOn w:val="Normal"/>
    <w:rsid w:val="00FD63F9"/>
    <w:pPr>
      <w:overflowPunct w:val="0"/>
      <w:autoSpaceDE w:val="0"/>
      <w:autoSpaceDN w:val="0"/>
      <w:adjustRightInd w:val="0"/>
      <w:spacing w:before="120"/>
      <w:ind w:left="360"/>
    </w:pPr>
    <w:rPr>
      <w:rFonts w:ascii="Arial" w:eastAsia="SimSun" w:hAnsi="Arial" w:cs="Times New Roman"/>
      <w:lang w:eastAsia="en-US"/>
    </w:rPr>
  </w:style>
  <w:style w:type="table" w:styleId="LightShading-Accent1">
    <w:name w:val="Light Shading Accent 1"/>
    <w:basedOn w:val="TableNormal"/>
    <w:uiPriority w:val="60"/>
    <w:rsid w:val="005B1EE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lainText">
    <w:name w:val="Plain Text"/>
    <w:basedOn w:val="Normal"/>
    <w:link w:val="PlainTextChar"/>
    <w:uiPriority w:val="99"/>
    <w:semiHidden/>
    <w:unhideWhenUsed/>
    <w:rsid w:val="005C431A"/>
    <w:rPr>
      <w:rFonts w:ascii="Calibri" w:hAnsi="Calibri" w:cstheme="minorBidi"/>
      <w:sz w:val="22"/>
      <w:szCs w:val="21"/>
    </w:rPr>
  </w:style>
  <w:style w:type="character" w:customStyle="1" w:styleId="PlainTextChar">
    <w:name w:val="Plain Text Char"/>
    <w:basedOn w:val="DefaultParagraphFont"/>
    <w:link w:val="PlainText"/>
    <w:uiPriority w:val="99"/>
    <w:semiHidden/>
    <w:rsid w:val="005C431A"/>
    <w:rPr>
      <w:rFonts w:ascii="Calibri" w:hAnsi="Calibri"/>
      <w:szCs w:val="21"/>
    </w:rPr>
  </w:style>
  <w:style w:type="paragraph" w:customStyle="1" w:styleId="Lijststip">
    <w:name w:val="Lijst_stip"/>
    <w:basedOn w:val="Normal"/>
    <w:rsid w:val="0031399D"/>
    <w:pPr>
      <w:keepNext/>
      <w:keepLines/>
      <w:numPr>
        <w:numId w:val="37"/>
      </w:numPr>
      <w:tabs>
        <w:tab w:val="clear" w:pos="360"/>
        <w:tab w:val="left" w:pos="284"/>
      </w:tabs>
      <w:ind w:left="284" w:hanging="284"/>
      <w:jc w:val="left"/>
    </w:pPr>
    <w:rPr>
      <w:rFonts w:ascii="Times New Roman" w:eastAsia="Times New Roman" w:hAnsi="Times New Roman" w:cs="Times New Roman"/>
      <w:szCs w:val="20"/>
      <w:lang w:eastAsia="nl-NL"/>
    </w:rPr>
  </w:style>
  <w:style w:type="paragraph" w:customStyle="1" w:styleId="Default">
    <w:name w:val="Default"/>
    <w:rsid w:val="004E0E2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5800">
      <w:bodyDiv w:val="1"/>
      <w:marLeft w:val="0"/>
      <w:marRight w:val="0"/>
      <w:marTop w:val="0"/>
      <w:marBottom w:val="0"/>
      <w:divBdr>
        <w:top w:val="none" w:sz="0" w:space="0" w:color="auto"/>
        <w:left w:val="none" w:sz="0" w:space="0" w:color="auto"/>
        <w:bottom w:val="none" w:sz="0" w:space="0" w:color="auto"/>
        <w:right w:val="none" w:sz="0" w:space="0" w:color="auto"/>
      </w:divBdr>
    </w:div>
    <w:div w:id="41565723">
      <w:bodyDiv w:val="1"/>
      <w:marLeft w:val="0"/>
      <w:marRight w:val="0"/>
      <w:marTop w:val="0"/>
      <w:marBottom w:val="0"/>
      <w:divBdr>
        <w:top w:val="none" w:sz="0" w:space="0" w:color="auto"/>
        <w:left w:val="none" w:sz="0" w:space="0" w:color="auto"/>
        <w:bottom w:val="none" w:sz="0" w:space="0" w:color="auto"/>
        <w:right w:val="none" w:sz="0" w:space="0" w:color="auto"/>
      </w:divBdr>
    </w:div>
    <w:div w:id="68232703">
      <w:bodyDiv w:val="1"/>
      <w:marLeft w:val="0"/>
      <w:marRight w:val="0"/>
      <w:marTop w:val="0"/>
      <w:marBottom w:val="0"/>
      <w:divBdr>
        <w:top w:val="none" w:sz="0" w:space="0" w:color="auto"/>
        <w:left w:val="none" w:sz="0" w:space="0" w:color="auto"/>
        <w:bottom w:val="none" w:sz="0" w:space="0" w:color="auto"/>
        <w:right w:val="none" w:sz="0" w:space="0" w:color="auto"/>
      </w:divBdr>
    </w:div>
    <w:div w:id="296837730">
      <w:bodyDiv w:val="1"/>
      <w:marLeft w:val="0"/>
      <w:marRight w:val="0"/>
      <w:marTop w:val="0"/>
      <w:marBottom w:val="0"/>
      <w:divBdr>
        <w:top w:val="none" w:sz="0" w:space="0" w:color="auto"/>
        <w:left w:val="none" w:sz="0" w:space="0" w:color="auto"/>
        <w:bottom w:val="none" w:sz="0" w:space="0" w:color="auto"/>
        <w:right w:val="none" w:sz="0" w:space="0" w:color="auto"/>
      </w:divBdr>
    </w:div>
    <w:div w:id="332607637">
      <w:bodyDiv w:val="1"/>
      <w:marLeft w:val="0"/>
      <w:marRight w:val="0"/>
      <w:marTop w:val="0"/>
      <w:marBottom w:val="0"/>
      <w:divBdr>
        <w:top w:val="none" w:sz="0" w:space="0" w:color="auto"/>
        <w:left w:val="none" w:sz="0" w:space="0" w:color="auto"/>
        <w:bottom w:val="none" w:sz="0" w:space="0" w:color="auto"/>
        <w:right w:val="none" w:sz="0" w:space="0" w:color="auto"/>
      </w:divBdr>
    </w:div>
    <w:div w:id="344483380">
      <w:bodyDiv w:val="1"/>
      <w:marLeft w:val="0"/>
      <w:marRight w:val="0"/>
      <w:marTop w:val="0"/>
      <w:marBottom w:val="0"/>
      <w:divBdr>
        <w:top w:val="none" w:sz="0" w:space="0" w:color="auto"/>
        <w:left w:val="none" w:sz="0" w:space="0" w:color="auto"/>
        <w:bottom w:val="none" w:sz="0" w:space="0" w:color="auto"/>
        <w:right w:val="none" w:sz="0" w:space="0" w:color="auto"/>
      </w:divBdr>
    </w:div>
    <w:div w:id="382021339">
      <w:bodyDiv w:val="1"/>
      <w:marLeft w:val="0"/>
      <w:marRight w:val="0"/>
      <w:marTop w:val="0"/>
      <w:marBottom w:val="0"/>
      <w:divBdr>
        <w:top w:val="none" w:sz="0" w:space="0" w:color="auto"/>
        <w:left w:val="none" w:sz="0" w:space="0" w:color="auto"/>
        <w:bottom w:val="none" w:sz="0" w:space="0" w:color="auto"/>
        <w:right w:val="none" w:sz="0" w:space="0" w:color="auto"/>
      </w:divBdr>
    </w:div>
    <w:div w:id="414253607">
      <w:bodyDiv w:val="1"/>
      <w:marLeft w:val="0"/>
      <w:marRight w:val="0"/>
      <w:marTop w:val="0"/>
      <w:marBottom w:val="0"/>
      <w:divBdr>
        <w:top w:val="none" w:sz="0" w:space="0" w:color="auto"/>
        <w:left w:val="none" w:sz="0" w:space="0" w:color="auto"/>
        <w:bottom w:val="none" w:sz="0" w:space="0" w:color="auto"/>
        <w:right w:val="none" w:sz="0" w:space="0" w:color="auto"/>
      </w:divBdr>
    </w:div>
    <w:div w:id="503013870">
      <w:bodyDiv w:val="1"/>
      <w:marLeft w:val="0"/>
      <w:marRight w:val="0"/>
      <w:marTop w:val="0"/>
      <w:marBottom w:val="0"/>
      <w:divBdr>
        <w:top w:val="none" w:sz="0" w:space="0" w:color="auto"/>
        <w:left w:val="none" w:sz="0" w:space="0" w:color="auto"/>
        <w:bottom w:val="none" w:sz="0" w:space="0" w:color="auto"/>
        <w:right w:val="none" w:sz="0" w:space="0" w:color="auto"/>
      </w:divBdr>
    </w:div>
    <w:div w:id="609356169">
      <w:bodyDiv w:val="1"/>
      <w:marLeft w:val="0"/>
      <w:marRight w:val="0"/>
      <w:marTop w:val="0"/>
      <w:marBottom w:val="0"/>
      <w:divBdr>
        <w:top w:val="none" w:sz="0" w:space="0" w:color="auto"/>
        <w:left w:val="none" w:sz="0" w:space="0" w:color="auto"/>
        <w:bottom w:val="none" w:sz="0" w:space="0" w:color="auto"/>
        <w:right w:val="none" w:sz="0" w:space="0" w:color="auto"/>
      </w:divBdr>
    </w:div>
    <w:div w:id="618801652">
      <w:bodyDiv w:val="1"/>
      <w:marLeft w:val="0"/>
      <w:marRight w:val="0"/>
      <w:marTop w:val="0"/>
      <w:marBottom w:val="0"/>
      <w:divBdr>
        <w:top w:val="none" w:sz="0" w:space="0" w:color="auto"/>
        <w:left w:val="none" w:sz="0" w:space="0" w:color="auto"/>
        <w:bottom w:val="none" w:sz="0" w:space="0" w:color="auto"/>
        <w:right w:val="none" w:sz="0" w:space="0" w:color="auto"/>
      </w:divBdr>
    </w:div>
    <w:div w:id="691953970">
      <w:bodyDiv w:val="1"/>
      <w:marLeft w:val="0"/>
      <w:marRight w:val="0"/>
      <w:marTop w:val="0"/>
      <w:marBottom w:val="0"/>
      <w:divBdr>
        <w:top w:val="none" w:sz="0" w:space="0" w:color="auto"/>
        <w:left w:val="none" w:sz="0" w:space="0" w:color="auto"/>
        <w:bottom w:val="none" w:sz="0" w:space="0" w:color="auto"/>
        <w:right w:val="none" w:sz="0" w:space="0" w:color="auto"/>
      </w:divBdr>
    </w:div>
    <w:div w:id="703484601">
      <w:bodyDiv w:val="1"/>
      <w:marLeft w:val="0"/>
      <w:marRight w:val="0"/>
      <w:marTop w:val="0"/>
      <w:marBottom w:val="0"/>
      <w:divBdr>
        <w:top w:val="none" w:sz="0" w:space="0" w:color="auto"/>
        <w:left w:val="none" w:sz="0" w:space="0" w:color="auto"/>
        <w:bottom w:val="none" w:sz="0" w:space="0" w:color="auto"/>
        <w:right w:val="none" w:sz="0" w:space="0" w:color="auto"/>
      </w:divBdr>
    </w:div>
    <w:div w:id="716508305">
      <w:bodyDiv w:val="1"/>
      <w:marLeft w:val="0"/>
      <w:marRight w:val="0"/>
      <w:marTop w:val="0"/>
      <w:marBottom w:val="0"/>
      <w:divBdr>
        <w:top w:val="none" w:sz="0" w:space="0" w:color="auto"/>
        <w:left w:val="none" w:sz="0" w:space="0" w:color="auto"/>
        <w:bottom w:val="none" w:sz="0" w:space="0" w:color="auto"/>
        <w:right w:val="none" w:sz="0" w:space="0" w:color="auto"/>
      </w:divBdr>
    </w:div>
    <w:div w:id="766386469">
      <w:bodyDiv w:val="1"/>
      <w:marLeft w:val="0"/>
      <w:marRight w:val="0"/>
      <w:marTop w:val="0"/>
      <w:marBottom w:val="0"/>
      <w:divBdr>
        <w:top w:val="none" w:sz="0" w:space="0" w:color="auto"/>
        <w:left w:val="none" w:sz="0" w:space="0" w:color="auto"/>
        <w:bottom w:val="none" w:sz="0" w:space="0" w:color="auto"/>
        <w:right w:val="none" w:sz="0" w:space="0" w:color="auto"/>
      </w:divBdr>
    </w:div>
    <w:div w:id="891581556">
      <w:bodyDiv w:val="1"/>
      <w:marLeft w:val="0"/>
      <w:marRight w:val="0"/>
      <w:marTop w:val="0"/>
      <w:marBottom w:val="0"/>
      <w:divBdr>
        <w:top w:val="none" w:sz="0" w:space="0" w:color="auto"/>
        <w:left w:val="none" w:sz="0" w:space="0" w:color="auto"/>
        <w:bottom w:val="none" w:sz="0" w:space="0" w:color="auto"/>
        <w:right w:val="none" w:sz="0" w:space="0" w:color="auto"/>
      </w:divBdr>
    </w:div>
    <w:div w:id="893926088">
      <w:bodyDiv w:val="1"/>
      <w:marLeft w:val="0"/>
      <w:marRight w:val="0"/>
      <w:marTop w:val="0"/>
      <w:marBottom w:val="0"/>
      <w:divBdr>
        <w:top w:val="none" w:sz="0" w:space="0" w:color="auto"/>
        <w:left w:val="none" w:sz="0" w:space="0" w:color="auto"/>
        <w:bottom w:val="none" w:sz="0" w:space="0" w:color="auto"/>
        <w:right w:val="none" w:sz="0" w:space="0" w:color="auto"/>
      </w:divBdr>
    </w:div>
    <w:div w:id="894857805">
      <w:bodyDiv w:val="1"/>
      <w:marLeft w:val="0"/>
      <w:marRight w:val="0"/>
      <w:marTop w:val="0"/>
      <w:marBottom w:val="0"/>
      <w:divBdr>
        <w:top w:val="none" w:sz="0" w:space="0" w:color="auto"/>
        <w:left w:val="none" w:sz="0" w:space="0" w:color="auto"/>
        <w:bottom w:val="none" w:sz="0" w:space="0" w:color="auto"/>
        <w:right w:val="none" w:sz="0" w:space="0" w:color="auto"/>
      </w:divBdr>
      <w:divsChild>
        <w:div w:id="513300587">
          <w:marLeft w:val="0"/>
          <w:marRight w:val="0"/>
          <w:marTop w:val="0"/>
          <w:marBottom w:val="0"/>
          <w:divBdr>
            <w:top w:val="none" w:sz="0" w:space="0" w:color="auto"/>
            <w:left w:val="none" w:sz="0" w:space="0" w:color="auto"/>
            <w:bottom w:val="none" w:sz="0" w:space="0" w:color="auto"/>
            <w:right w:val="none" w:sz="0" w:space="0" w:color="auto"/>
          </w:divBdr>
          <w:divsChild>
            <w:div w:id="890459656">
              <w:marLeft w:val="0"/>
              <w:marRight w:val="0"/>
              <w:marTop w:val="0"/>
              <w:marBottom w:val="0"/>
              <w:divBdr>
                <w:top w:val="none" w:sz="0" w:space="0" w:color="auto"/>
                <w:left w:val="none" w:sz="0" w:space="0" w:color="auto"/>
                <w:bottom w:val="none" w:sz="0" w:space="0" w:color="auto"/>
                <w:right w:val="none" w:sz="0" w:space="0" w:color="auto"/>
              </w:divBdr>
              <w:divsChild>
                <w:div w:id="212084380">
                  <w:marLeft w:val="0"/>
                  <w:marRight w:val="0"/>
                  <w:marTop w:val="0"/>
                  <w:marBottom w:val="0"/>
                  <w:divBdr>
                    <w:top w:val="none" w:sz="0" w:space="0" w:color="auto"/>
                    <w:left w:val="none" w:sz="0" w:space="0" w:color="auto"/>
                    <w:bottom w:val="none" w:sz="0" w:space="0" w:color="auto"/>
                    <w:right w:val="none" w:sz="0" w:space="0" w:color="auto"/>
                  </w:divBdr>
                  <w:divsChild>
                    <w:div w:id="716784578">
                      <w:marLeft w:val="0"/>
                      <w:marRight w:val="0"/>
                      <w:marTop w:val="0"/>
                      <w:marBottom w:val="0"/>
                      <w:divBdr>
                        <w:top w:val="none" w:sz="0" w:space="0" w:color="auto"/>
                        <w:left w:val="none" w:sz="0" w:space="0" w:color="auto"/>
                        <w:bottom w:val="none" w:sz="0" w:space="0" w:color="auto"/>
                        <w:right w:val="none" w:sz="0" w:space="0" w:color="auto"/>
                      </w:divBdr>
                      <w:divsChild>
                        <w:div w:id="291790242">
                          <w:marLeft w:val="0"/>
                          <w:marRight w:val="0"/>
                          <w:marTop w:val="0"/>
                          <w:marBottom w:val="0"/>
                          <w:divBdr>
                            <w:top w:val="none" w:sz="0" w:space="0" w:color="auto"/>
                            <w:left w:val="none" w:sz="0" w:space="0" w:color="auto"/>
                            <w:bottom w:val="none" w:sz="0" w:space="0" w:color="auto"/>
                            <w:right w:val="none" w:sz="0" w:space="0" w:color="auto"/>
                          </w:divBdr>
                          <w:divsChild>
                            <w:div w:id="820390992">
                              <w:marLeft w:val="0"/>
                              <w:marRight w:val="0"/>
                              <w:marTop w:val="0"/>
                              <w:marBottom w:val="0"/>
                              <w:divBdr>
                                <w:top w:val="none" w:sz="0" w:space="0" w:color="auto"/>
                                <w:left w:val="none" w:sz="0" w:space="0" w:color="auto"/>
                                <w:bottom w:val="none" w:sz="0" w:space="0" w:color="auto"/>
                                <w:right w:val="none" w:sz="0" w:space="0" w:color="auto"/>
                              </w:divBdr>
                              <w:divsChild>
                                <w:div w:id="630941651">
                                  <w:marLeft w:val="0"/>
                                  <w:marRight w:val="0"/>
                                  <w:marTop w:val="0"/>
                                  <w:marBottom w:val="0"/>
                                  <w:divBdr>
                                    <w:top w:val="none" w:sz="0" w:space="0" w:color="auto"/>
                                    <w:left w:val="none" w:sz="0" w:space="0" w:color="auto"/>
                                    <w:bottom w:val="none" w:sz="0" w:space="0" w:color="auto"/>
                                    <w:right w:val="none" w:sz="0" w:space="0" w:color="auto"/>
                                  </w:divBdr>
                                  <w:divsChild>
                                    <w:div w:id="2045979679">
                                      <w:marLeft w:val="0"/>
                                      <w:marRight w:val="0"/>
                                      <w:marTop w:val="0"/>
                                      <w:marBottom w:val="0"/>
                                      <w:divBdr>
                                        <w:top w:val="none" w:sz="0" w:space="0" w:color="auto"/>
                                        <w:left w:val="none" w:sz="0" w:space="0" w:color="auto"/>
                                        <w:bottom w:val="none" w:sz="0" w:space="0" w:color="auto"/>
                                        <w:right w:val="none" w:sz="0" w:space="0" w:color="auto"/>
                                      </w:divBdr>
                                      <w:divsChild>
                                        <w:div w:id="1709262666">
                                          <w:marLeft w:val="0"/>
                                          <w:marRight w:val="0"/>
                                          <w:marTop w:val="0"/>
                                          <w:marBottom w:val="0"/>
                                          <w:divBdr>
                                            <w:top w:val="none" w:sz="0" w:space="0" w:color="auto"/>
                                            <w:left w:val="none" w:sz="0" w:space="0" w:color="auto"/>
                                            <w:bottom w:val="none" w:sz="0" w:space="0" w:color="auto"/>
                                            <w:right w:val="none" w:sz="0" w:space="0" w:color="auto"/>
                                          </w:divBdr>
                                          <w:divsChild>
                                            <w:div w:id="1237782275">
                                              <w:marLeft w:val="0"/>
                                              <w:marRight w:val="0"/>
                                              <w:marTop w:val="0"/>
                                              <w:marBottom w:val="0"/>
                                              <w:divBdr>
                                                <w:top w:val="none" w:sz="0" w:space="0" w:color="auto"/>
                                                <w:left w:val="none" w:sz="0" w:space="0" w:color="auto"/>
                                                <w:bottom w:val="none" w:sz="0" w:space="0" w:color="auto"/>
                                                <w:right w:val="none" w:sz="0" w:space="0" w:color="auto"/>
                                              </w:divBdr>
                                              <w:divsChild>
                                                <w:div w:id="397436904">
                                                  <w:marLeft w:val="0"/>
                                                  <w:marRight w:val="0"/>
                                                  <w:marTop w:val="0"/>
                                                  <w:marBottom w:val="0"/>
                                                  <w:divBdr>
                                                    <w:top w:val="none" w:sz="0" w:space="0" w:color="auto"/>
                                                    <w:left w:val="none" w:sz="0" w:space="0" w:color="auto"/>
                                                    <w:bottom w:val="none" w:sz="0" w:space="0" w:color="auto"/>
                                                    <w:right w:val="none" w:sz="0" w:space="0" w:color="auto"/>
                                                  </w:divBdr>
                                                  <w:divsChild>
                                                    <w:div w:id="119149326">
                                                      <w:marLeft w:val="0"/>
                                                      <w:marRight w:val="0"/>
                                                      <w:marTop w:val="0"/>
                                                      <w:marBottom w:val="0"/>
                                                      <w:divBdr>
                                                        <w:top w:val="none" w:sz="0" w:space="0" w:color="auto"/>
                                                        <w:left w:val="none" w:sz="0" w:space="0" w:color="auto"/>
                                                        <w:bottom w:val="none" w:sz="0" w:space="0" w:color="auto"/>
                                                        <w:right w:val="none" w:sz="0" w:space="0" w:color="auto"/>
                                                      </w:divBdr>
                                                      <w:divsChild>
                                                        <w:div w:id="9264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4148190">
      <w:bodyDiv w:val="1"/>
      <w:marLeft w:val="0"/>
      <w:marRight w:val="0"/>
      <w:marTop w:val="0"/>
      <w:marBottom w:val="0"/>
      <w:divBdr>
        <w:top w:val="none" w:sz="0" w:space="0" w:color="auto"/>
        <w:left w:val="none" w:sz="0" w:space="0" w:color="auto"/>
        <w:bottom w:val="none" w:sz="0" w:space="0" w:color="auto"/>
        <w:right w:val="none" w:sz="0" w:space="0" w:color="auto"/>
      </w:divBdr>
      <w:divsChild>
        <w:div w:id="1827479459">
          <w:marLeft w:val="0"/>
          <w:marRight w:val="0"/>
          <w:marTop w:val="0"/>
          <w:marBottom w:val="0"/>
          <w:divBdr>
            <w:top w:val="none" w:sz="0" w:space="0" w:color="auto"/>
            <w:left w:val="none" w:sz="0" w:space="0" w:color="auto"/>
            <w:bottom w:val="none" w:sz="0" w:space="0" w:color="auto"/>
            <w:right w:val="none" w:sz="0" w:space="0" w:color="auto"/>
          </w:divBdr>
          <w:divsChild>
            <w:div w:id="855575562">
              <w:marLeft w:val="0"/>
              <w:marRight w:val="0"/>
              <w:marTop w:val="0"/>
              <w:marBottom w:val="0"/>
              <w:divBdr>
                <w:top w:val="none" w:sz="0" w:space="0" w:color="auto"/>
                <w:left w:val="single" w:sz="6" w:space="0" w:color="AAAAAA"/>
                <w:bottom w:val="none" w:sz="0" w:space="0" w:color="auto"/>
                <w:right w:val="single" w:sz="6" w:space="0" w:color="AAAAAA"/>
              </w:divBdr>
              <w:divsChild>
                <w:div w:id="614562137">
                  <w:marLeft w:val="0"/>
                  <w:marRight w:val="0"/>
                  <w:marTop w:val="0"/>
                  <w:marBottom w:val="0"/>
                  <w:divBdr>
                    <w:top w:val="none" w:sz="0" w:space="0" w:color="auto"/>
                    <w:left w:val="none" w:sz="0" w:space="0" w:color="auto"/>
                    <w:bottom w:val="none" w:sz="0" w:space="0" w:color="auto"/>
                    <w:right w:val="none" w:sz="0" w:space="0" w:color="auto"/>
                  </w:divBdr>
                  <w:divsChild>
                    <w:div w:id="992485306">
                      <w:marLeft w:val="0"/>
                      <w:marRight w:val="0"/>
                      <w:marTop w:val="0"/>
                      <w:marBottom w:val="0"/>
                      <w:divBdr>
                        <w:top w:val="none" w:sz="0" w:space="0" w:color="auto"/>
                        <w:left w:val="none" w:sz="0" w:space="0" w:color="auto"/>
                        <w:bottom w:val="none" w:sz="0" w:space="0" w:color="auto"/>
                        <w:right w:val="none" w:sz="0" w:space="0" w:color="auto"/>
                      </w:divBdr>
                      <w:divsChild>
                        <w:div w:id="445080464">
                          <w:marLeft w:val="0"/>
                          <w:marRight w:val="0"/>
                          <w:marTop w:val="0"/>
                          <w:marBottom w:val="0"/>
                          <w:divBdr>
                            <w:top w:val="none" w:sz="0" w:space="0" w:color="auto"/>
                            <w:left w:val="single" w:sz="12" w:space="0" w:color="8EB3C3"/>
                            <w:bottom w:val="single" w:sz="12" w:space="0" w:color="8EB3C3"/>
                            <w:right w:val="single" w:sz="12" w:space="0" w:color="8EB3C3"/>
                          </w:divBdr>
                          <w:divsChild>
                            <w:div w:id="379399765">
                              <w:marLeft w:val="0"/>
                              <w:marRight w:val="0"/>
                              <w:marTop w:val="0"/>
                              <w:marBottom w:val="0"/>
                              <w:divBdr>
                                <w:top w:val="none" w:sz="0" w:space="0" w:color="auto"/>
                                <w:left w:val="none" w:sz="0" w:space="0" w:color="auto"/>
                                <w:bottom w:val="none" w:sz="0" w:space="0" w:color="auto"/>
                                <w:right w:val="none" w:sz="0" w:space="0" w:color="auto"/>
                              </w:divBdr>
                              <w:divsChild>
                                <w:div w:id="1970940998">
                                  <w:marLeft w:val="0"/>
                                  <w:marRight w:val="0"/>
                                  <w:marTop w:val="0"/>
                                  <w:marBottom w:val="0"/>
                                  <w:divBdr>
                                    <w:top w:val="none" w:sz="0" w:space="0" w:color="auto"/>
                                    <w:left w:val="none" w:sz="0" w:space="0" w:color="auto"/>
                                    <w:bottom w:val="none" w:sz="0" w:space="0" w:color="auto"/>
                                    <w:right w:val="none" w:sz="0" w:space="0" w:color="auto"/>
                                  </w:divBdr>
                                  <w:divsChild>
                                    <w:div w:id="1703284453">
                                      <w:marLeft w:val="0"/>
                                      <w:marRight w:val="0"/>
                                      <w:marTop w:val="0"/>
                                      <w:marBottom w:val="120"/>
                                      <w:divBdr>
                                        <w:top w:val="none" w:sz="0" w:space="0" w:color="auto"/>
                                        <w:left w:val="none" w:sz="0" w:space="0" w:color="auto"/>
                                        <w:bottom w:val="none" w:sz="0" w:space="0" w:color="auto"/>
                                        <w:right w:val="none" w:sz="0" w:space="0" w:color="auto"/>
                                      </w:divBdr>
                                      <w:divsChild>
                                        <w:div w:id="433601239">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1746123">
      <w:bodyDiv w:val="1"/>
      <w:marLeft w:val="0"/>
      <w:marRight w:val="0"/>
      <w:marTop w:val="0"/>
      <w:marBottom w:val="0"/>
      <w:divBdr>
        <w:top w:val="none" w:sz="0" w:space="0" w:color="auto"/>
        <w:left w:val="none" w:sz="0" w:space="0" w:color="auto"/>
        <w:bottom w:val="none" w:sz="0" w:space="0" w:color="auto"/>
        <w:right w:val="none" w:sz="0" w:space="0" w:color="auto"/>
      </w:divBdr>
    </w:div>
    <w:div w:id="965624055">
      <w:bodyDiv w:val="1"/>
      <w:marLeft w:val="0"/>
      <w:marRight w:val="0"/>
      <w:marTop w:val="0"/>
      <w:marBottom w:val="0"/>
      <w:divBdr>
        <w:top w:val="none" w:sz="0" w:space="0" w:color="auto"/>
        <w:left w:val="none" w:sz="0" w:space="0" w:color="auto"/>
        <w:bottom w:val="none" w:sz="0" w:space="0" w:color="auto"/>
        <w:right w:val="none" w:sz="0" w:space="0" w:color="auto"/>
      </w:divBdr>
    </w:div>
    <w:div w:id="1005135809">
      <w:bodyDiv w:val="1"/>
      <w:marLeft w:val="0"/>
      <w:marRight w:val="0"/>
      <w:marTop w:val="0"/>
      <w:marBottom w:val="0"/>
      <w:divBdr>
        <w:top w:val="none" w:sz="0" w:space="0" w:color="auto"/>
        <w:left w:val="none" w:sz="0" w:space="0" w:color="auto"/>
        <w:bottom w:val="none" w:sz="0" w:space="0" w:color="auto"/>
        <w:right w:val="none" w:sz="0" w:space="0" w:color="auto"/>
      </w:divBdr>
      <w:divsChild>
        <w:div w:id="490827278">
          <w:marLeft w:val="0"/>
          <w:marRight w:val="0"/>
          <w:marTop w:val="0"/>
          <w:marBottom w:val="0"/>
          <w:divBdr>
            <w:top w:val="none" w:sz="0" w:space="0" w:color="auto"/>
            <w:left w:val="none" w:sz="0" w:space="0" w:color="auto"/>
            <w:bottom w:val="none" w:sz="0" w:space="0" w:color="auto"/>
            <w:right w:val="none" w:sz="0" w:space="0" w:color="auto"/>
          </w:divBdr>
          <w:divsChild>
            <w:div w:id="542180680">
              <w:marLeft w:val="0"/>
              <w:marRight w:val="0"/>
              <w:marTop w:val="0"/>
              <w:marBottom w:val="0"/>
              <w:divBdr>
                <w:top w:val="none" w:sz="0" w:space="0" w:color="auto"/>
                <w:left w:val="none" w:sz="0" w:space="0" w:color="auto"/>
                <w:bottom w:val="none" w:sz="0" w:space="0" w:color="auto"/>
                <w:right w:val="none" w:sz="0" w:space="0" w:color="auto"/>
              </w:divBdr>
              <w:divsChild>
                <w:div w:id="385689397">
                  <w:marLeft w:val="0"/>
                  <w:marRight w:val="0"/>
                  <w:marTop w:val="0"/>
                  <w:marBottom w:val="0"/>
                  <w:divBdr>
                    <w:top w:val="none" w:sz="0" w:space="0" w:color="auto"/>
                    <w:left w:val="none" w:sz="0" w:space="0" w:color="auto"/>
                    <w:bottom w:val="none" w:sz="0" w:space="0" w:color="auto"/>
                    <w:right w:val="none" w:sz="0" w:space="0" w:color="auto"/>
                  </w:divBdr>
                  <w:divsChild>
                    <w:div w:id="1616601068">
                      <w:marLeft w:val="0"/>
                      <w:marRight w:val="0"/>
                      <w:marTop w:val="0"/>
                      <w:marBottom w:val="0"/>
                      <w:divBdr>
                        <w:top w:val="none" w:sz="0" w:space="0" w:color="auto"/>
                        <w:left w:val="none" w:sz="0" w:space="0" w:color="auto"/>
                        <w:bottom w:val="none" w:sz="0" w:space="0" w:color="auto"/>
                        <w:right w:val="none" w:sz="0" w:space="0" w:color="auto"/>
                      </w:divBdr>
                      <w:divsChild>
                        <w:div w:id="1596281594">
                          <w:marLeft w:val="0"/>
                          <w:marRight w:val="0"/>
                          <w:marTop w:val="0"/>
                          <w:marBottom w:val="0"/>
                          <w:divBdr>
                            <w:top w:val="none" w:sz="0" w:space="0" w:color="auto"/>
                            <w:left w:val="none" w:sz="0" w:space="0" w:color="auto"/>
                            <w:bottom w:val="none" w:sz="0" w:space="0" w:color="auto"/>
                            <w:right w:val="none" w:sz="0" w:space="0" w:color="auto"/>
                          </w:divBdr>
                          <w:divsChild>
                            <w:div w:id="2059283598">
                              <w:marLeft w:val="0"/>
                              <w:marRight w:val="0"/>
                              <w:marTop w:val="0"/>
                              <w:marBottom w:val="0"/>
                              <w:divBdr>
                                <w:top w:val="single" w:sz="6" w:space="0" w:color="D3D3D3"/>
                                <w:left w:val="none" w:sz="0" w:space="0" w:color="auto"/>
                                <w:bottom w:val="none" w:sz="0" w:space="0" w:color="auto"/>
                                <w:right w:val="none" w:sz="0" w:space="0" w:color="auto"/>
                              </w:divBdr>
                              <w:divsChild>
                                <w:div w:id="707219228">
                                  <w:marLeft w:val="0"/>
                                  <w:marRight w:val="0"/>
                                  <w:marTop w:val="0"/>
                                  <w:marBottom w:val="0"/>
                                  <w:divBdr>
                                    <w:top w:val="none" w:sz="0" w:space="0" w:color="auto"/>
                                    <w:left w:val="none" w:sz="0" w:space="0" w:color="auto"/>
                                    <w:bottom w:val="none" w:sz="0" w:space="0" w:color="auto"/>
                                    <w:right w:val="none" w:sz="0" w:space="0" w:color="auto"/>
                                  </w:divBdr>
                                  <w:divsChild>
                                    <w:div w:id="429737463">
                                      <w:marLeft w:val="330"/>
                                      <w:marRight w:val="330"/>
                                      <w:marTop w:val="0"/>
                                      <w:marBottom w:val="330"/>
                                      <w:divBdr>
                                        <w:top w:val="none" w:sz="0" w:space="0" w:color="auto"/>
                                        <w:left w:val="none" w:sz="0" w:space="0" w:color="auto"/>
                                        <w:bottom w:val="none" w:sz="0" w:space="0" w:color="auto"/>
                                        <w:right w:val="none" w:sz="0" w:space="0" w:color="auto"/>
                                      </w:divBdr>
                                      <w:divsChild>
                                        <w:div w:id="11374527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731138">
      <w:bodyDiv w:val="1"/>
      <w:marLeft w:val="0"/>
      <w:marRight w:val="0"/>
      <w:marTop w:val="0"/>
      <w:marBottom w:val="0"/>
      <w:divBdr>
        <w:top w:val="none" w:sz="0" w:space="0" w:color="auto"/>
        <w:left w:val="none" w:sz="0" w:space="0" w:color="auto"/>
        <w:bottom w:val="none" w:sz="0" w:space="0" w:color="auto"/>
        <w:right w:val="none" w:sz="0" w:space="0" w:color="auto"/>
      </w:divBdr>
      <w:divsChild>
        <w:div w:id="189225502">
          <w:marLeft w:val="0"/>
          <w:marRight w:val="0"/>
          <w:marTop w:val="0"/>
          <w:marBottom w:val="0"/>
          <w:divBdr>
            <w:top w:val="none" w:sz="0" w:space="0" w:color="auto"/>
            <w:left w:val="none" w:sz="0" w:space="0" w:color="auto"/>
            <w:bottom w:val="none" w:sz="0" w:space="0" w:color="auto"/>
            <w:right w:val="none" w:sz="0" w:space="0" w:color="auto"/>
          </w:divBdr>
          <w:divsChild>
            <w:div w:id="1674069794">
              <w:marLeft w:val="0"/>
              <w:marRight w:val="0"/>
              <w:marTop w:val="0"/>
              <w:marBottom w:val="300"/>
              <w:divBdr>
                <w:top w:val="none" w:sz="0" w:space="0" w:color="auto"/>
                <w:left w:val="none" w:sz="0" w:space="0" w:color="auto"/>
                <w:bottom w:val="none" w:sz="0" w:space="0" w:color="auto"/>
                <w:right w:val="none" w:sz="0" w:space="0" w:color="auto"/>
              </w:divBdr>
              <w:divsChild>
                <w:div w:id="154954302">
                  <w:marLeft w:val="0"/>
                  <w:marRight w:val="0"/>
                  <w:marTop w:val="0"/>
                  <w:marBottom w:val="0"/>
                  <w:divBdr>
                    <w:top w:val="none" w:sz="0" w:space="0" w:color="auto"/>
                    <w:left w:val="none" w:sz="0" w:space="0" w:color="auto"/>
                    <w:bottom w:val="none" w:sz="0" w:space="0" w:color="auto"/>
                    <w:right w:val="none" w:sz="0" w:space="0" w:color="auto"/>
                  </w:divBdr>
                  <w:divsChild>
                    <w:div w:id="1888225431">
                      <w:marLeft w:val="0"/>
                      <w:marRight w:val="0"/>
                      <w:marTop w:val="0"/>
                      <w:marBottom w:val="0"/>
                      <w:divBdr>
                        <w:top w:val="none" w:sz="0" w:space="0" w:color="auto"/>
                        <w:left w:val="none" w:sz="0" w:space="0" w:color="auto"/>
                        <w:bottom w:val="none" w:sz="0" w:space="0" w:color="auto"/>
                        <w:right w:val="none" w:sz="0" w:space="0" w:color="auto"/>
                      </w:divBdr>
                      <w:divsChild>
                        <w:div w:id="1041242720">
                          <w:marLeft w:val="0"/>
                          <w:marRight w:val="0"/>
                          <w:marTop w:val="0"/>
                          <w:marBottom w:val="0"/>
                          <w:divBdr>
                            <w:top w:val="none" w:sz="0" w:space="0" w:color="auto"/>
                            <w:left w:val="none" w:sz="0" w:space="0" w:color="auto"/>
                            <w:bottom w:val="none" w:sz="0" w:space="0" w:color="auto"/>
                            <w:right w:val="none" w:sz="0" w:space="0" w:color="auto"/>
                          </w:divBdr>
                          <w:divsChild>
                            <w:div w:id="1250962608">
                              <w:marLeft w:val="0"/>
                              <w:marRight w:val="0"/>
                              <w:marTop w:val="0"/>
                              <w:marBottom w:val="0"/>
                              <w:divBdr>
                                <w:top w:val="none" w:sz="0" w:space="0" w:color="auto"/>
                                <w:left w:val="none" w:sz="0" w:space="0" w:color="auto"/>
                                <w:bottom w:val="none" w:sz="0" w:space="0" w:color="auto"/>
                                <w:right w:val="none" w:sz="0" w:space="0" w:color="auto"/>
                              </w:divBdr>
                            </w:div>
                            <w:div w:id="174687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199133">
      <w:bodyDiv w:val="1"/>
      <w:marLeft w:val="0"/>
      <w:marRight w:val="0"/>
      <w:marTop w:val="0"/>
      <w:marBottom w:val="0"/>
      <w:divBdr>
        <w:top w:val="none" w:sz="0" w:space="0" w:color="auto"/>
        <w:left w:val="none" w:sz="0" w:space="0" w:color="auto"/>
        <w:bottom w:val="none" w:sz="0" w:space="0" w:color="auto"/>
        <w:right w:val="none" w:sz="0" w:space="0" w:color="auto"/>
      </w:divBdr>
    </w:div>
    <w:div w:id="1165436677">
      <w:bodyDiv w:val="1"/>
      <w:marLeft w:val="0"/>
      <w:marRight w:val="0"/>
      <w:marTop w:val="0"/>
      <w:marBottom w:val="0"/>
      <w:divBdr>
        <w:top w:val="none" w:sz="0" w:space="0" w:color="auto"/>
        <w:left w:val="none" w:sz="0" w:space="0" w:color="auto"/>
        <w:bottom w:val="none" w:sz="0" w:space="0" w:color="auto"/>
        <w:right w:val="none" w:sz="0" w:space="0" w:color="auto"/>
      </w:divBdr>
      <w:divsChild>
        <w:div w:id="1733502303">
          <w:marLeft w:val="0"/>
          <w:marRight w:val="0"/>
          <w:marTop w:val="0"/>
          <w:marBottom w:val="0"/>
          <w:divBdr>
            <w:top w:val="none" w:sz="0" w:space="0" w:color="auto"/>
            <w:left w:val="none" w:sz="0" w:space="0" w:color="auto"/>
            <w:bottom w:val="none" w:sz="0" w:space="0" w:color="auto"/>
            <w:right w:val="none" w:sz="0" w:space="0" w:color="auto"/>
          </w:divBdr>
          <w:divsChild>
            <w:div w:id="2054960878">
              <w:marLeft w:val="0"/>
              <w:marRight w:val="0"/>
              <w:marTop w:val="0"/>
              <w:marBottom w:val="0"/>
              <w:divBdr>
                <w:top w:val="none" w:sz="0" w:space="0" w:color="auto"/>
                <w:left w:val="single" w:sz="6" w:space="0" w:color="AAAAAA"/>
                <w:bottom w:val="none" w:sz="0" w:space="0" w:color="auto"/>
                <w:right w:val="single" w:sz="6" w:space="0" w:color="AAAAAA"/>
              </w:divBdr>
              <w:divsChild>
                <w:div w:id="1283419789">
                  <w:marLeft w:val="0"/>
                  <w:marRight w:val="0"/>
                  <w:marTop w:val="0"/>
                  <w:marBottom w:val="0"/>
                  <w:divBdr>
                    <w:top w:val="none" w:sz="0" w:space="0" w:color="auto"/>
                    <w:left w:val="none" w:sz="0" w:space="0" w:color="auto"/>
                    <w:bottom w:val="none" w:sz="0" w:space="0" w:color="auto"/>
                    <w:right w:val="none" w:sz="0" w:space="0" w:color="auto"/>
                  </w:divBdr>
                  <w:divsChild>
                    <w:div w:id="2072922406">
                      <w:marLeft w:val="0"/>
                      <w:marRight w:val="0"/>
                      <w:marTop w:val="0"/>
                      <w:marBottom w:val="0"/>
                      <w:divBdr>
                        <w:top w:val="none" w:sz="0" w:space="0" w:color="auto"/>
                        <w:left w:val="none" w:sz="0" w:space="0" w:color="auto"/>
                        <w:bottom w:val="none" w:sz="0" w:space="0" w:color="auto"/>
                        <w:right w:val="none" w:sz="0" w:space="0" w:color="auto"/>
                      </w:divBdr>
                      <w:divsChild>
                        <w:div w:id="1265457034">
                          <w:marLeft w:val="0"/>
                          <w:marRight w:val="0"/>
                          <w:marTop w:val="0"/>
                          <w:marBottom w:val="0"/>
                          <w:divBdr>
                            <w:top w:val="none" w:sz="0" w:space="0" w:color="auto"/>
                            <w:left w:val="single" w:sz="12" w:space="0" w:color="8EB3C3"/>
                            <w:bottom w:val="single" w:sz="12" w:space="0" w:color="8EB3C3"/>
                            <w:right w:val="single" w:sz="12" w:space="0" w:color="8EB3C3"/>
                          </w:divBdr>
                          <w:divsChild>
                            <w:div w:id="1248732621">
                              <w:marLeft w:val="0"/>
                              <w:marRight w:val="0"/>
                              <w:marTop w:val="0"/>
                              <w:marBottom w:val="0"/>
                              <w:divBdr>
                                <w:top w:val="none" w:sz="0" w:space="0" w:color="auto"/>
                                <w:left w:val="none" w:sz="0" w:space="0" w:color="auto"/>
                                <w:bottom w:val="none" w:sz="0" w:space="0" w:color="auto"/>
                                <w:right w:val="none" w:sz="0" w:space="0" w:color="auto"/>
                              </w:divBdr>
                              <w:divsChild>
                                <w:div w:id="1407260572">
                                  <w:marLeft w:val="0"/>
                                  <w:marRight w:val="0"/>
                                  <w:marTop w:val="0"/>
                                  <w:marBottom w:val="0"/>
                                  <w:divBdr>
                                    <w:top w:val="none" w:sz="0" w:space="0" w:color="auto"/>
                                    <w:left w:val="none" w:sz="0" w:space="0" w:color="auto"/>
                                    <w:bottom w:val="none" w:sz="0" w:space="0" w:color="auto"/>
                                    <w:right w:val="none" w:sz="0" w:space="0" w:color="auto"/>
                                  </w:divBdr>
                                  <w:divsChild>
                                    <w:div w:id="949555090">
                                      <w:marLeft w:val="0"/>
                                      <w:marRight w:val="0"/>
                                      <w:marTop w:val="0"/>
                                      <w:marBottom w:val="120"/>
                                      <w:divBdr>
                                        <w:top w:val="none" w:sz="0" w:space="0" w:color="auto"/>
                                        <w:left w:val="none" w:sz="0" w:space="0" w:color="auto"/>
                                        <w:bottom w:val="none" w:sz="0" w:space="0" w:color="auto"/>
                                        <w:right w:val="none" w:sz="0" w:space="0" w:color="auto"/>
                                      </w:divBdr>
                                      <w:divsChild>
                                        <w:div w:id="197476044">
                                          <w:marLeft w:val="2400"/>
                                          <w:marRight w:val="0"/>
                                          <w:marTop w:val="0"/>
                                          <w:marBottom w:val="0"/>
                                          <w:divBdr>
                                            <w:top w:val="none" w:sz="0" w:space="0" w:color="auto"/>
                                            <w:left w:val="none" w:sz="0" w:space="0" w:color="auto"/>
                                            <w:bottom w:val="none" w:sz="0" w:space="0" w:color="auto"/>
                                            <w:right w:val="none" w:sz="0" w:space="0" w:color="auto"/>
                                          </w:divBdr>
                                          <w:divsChild>
                                            <w:div w:id="1196962015">
                                              <w:marLeft w:val="0"/>
                                              <w:marRight w:val="0"/>
                                              <w:marTop w:val="0"/>
                                              <w:marBottom w:val="0"/>
                                              <w:divBdr>
                                                <w:top w:val="none" w:sz="0" w:space="0" w:color="auto"/>
                                                <w:left w:val="none" w:sz="0" w:space="0" w:color="auto"/>
                                                <w:bottom w:val="none" w:sz="0" w:space="0" w:color="auto"/>
                                                <w:right w:val="none" w:sz="0" w:space="0" w:color="auto"/>
                                              </w:divBdr>
                                            </w:div>
                                            <w:div w:id="15965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9176146">
      <w:bodyDiv w:val="1"/>
      <w:marLeft w:val="0"/>
      <w:marRight w:val="0"/>
      <w:marTop w:val="0"/>
      <w:marBottom w:val="0"/>
      <w:divBdr>
        <w:top w:val="none" w:sz="0" w:space="0" w:color="auto"/>
        <w:left w:val="none" w:sz="0" w:space="0" w:color="auto"/>
        <w:bottom w:val="none" w:sz="0" w:space="0" w:color="auto"/>
        <w:right w:val="none" w:sz="0" w:space="0" w:color="auto"/>
      </w:divBdr>
      <w:divsChild>
        <w:div w:id="1857379626">
          <w:marLeft w:val="0"/>
          <w:marRight w:val="0"/>
          <w:marTop w:val="0"/>
          <w:marBottom w:val="0"/>
          <w:divBdr>
            <w:top w:val="none" w:sz="0" w:space="0" w:color="auto"/>
            <w:left w:val="none" w:sz="0" w:space="0" w:color="auto"/>
            <w:bottom w:val="none" w:sz="0" w:space="0" w:color="auto"/>
            <w:right w:val="none" w:sz="0" w:space="0" w:color="auto"/>
          </w:divBdr>
          <w:divsChild>
            <w:div w:id="264700087">
              <w:marLeft w:val="0"/>
              <w:marRight w:val="0"/>
              <w:marTop w:val="0"/>
              <w:marBottom w:val="0"/>
              <w:divBdr>
                <w:top w:val="none" w:sz="0" w:space="0" w:color="auto"/>
                <w:left w:val="none" w:sz="0" w:space="0" w:color="auto"/>
                <w:bottom w:val="none" w:sz="0" w:space="0" w:color="auto"/>
                <w:right w:val="none" w:sz="0" w:space="0" w:color="auto"/>
              </w:divBdr>
              <w:divsChild>
                <w:div w:id="1327198960">
                  <w:marLeft w:val="0"/>
                  <w:marRight w:val="0"/>
                  <w:marTop w:val="0"/>
                  <w:marBottom w:val="0"/>
                  <w:divBdr>
                    <w:top w:val="none" w:sz="0" w:space="0" w:color="auto"/>
                    <w:left w:val="none" w:sz="0" w:space="0" w:color="auto"/>
                    <w:bottom w:val="none" w:sz="0" w:space="0" w:color="auto"/>
                    <w:right w:val="none" w:sz="0" w:space="0" w:color="auto"/>
                  </w:divBdr>
                  <w:divsChild>
                    <w:div w:id="109931870">
                      <w:marLeft w:val="0"/>
                      <w:marRight w:val="0"/>
                      <w:marTop w:val="0"/>
                      <w:marBottom w:val="0"/>
                      <w:divBdr>
                        <w:top w:val="none" w:sz="0" w:space="0" w:color="auto"/>
                        <w:left w:val="none" w:sz="0" w:space="0" w:color="auto"/>
                        <w:bottom w:val="none" w:sz="0" w:space="0" w:color="auto"/>
                        <w:right w:val="none" w:sz="0" w:space="0" w:color="auto"/>
                      </w:divBdr>
                      <w:divsChild>
                        <w:div w:id="5441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245729">
      <w:bodyDiv w:val="1"/>
      <w:marLeft w:val="0"/>
      <w:marRight w:val="0"/>
      <w:marTop w:val="0"/>
      <w:marBottom w:val="0"/>
      <w:divBdr>
        <w:top w:val="none" w:sz="0" w:space="0" w:color="auto"/>
        <w:left w:val="none" w:sz="0" w:space="0" w:color="auto"/>
        <w:bottom w:val="none" w:sz="0" w:space="0" w:color="auto"/>
        <w:right w:val="none" w:sz="0" w:space="0" w:color="auto"/>
      </w:divBdr>
    </w:div>
    <w:div w:id="1243640883">
      <w:bodyDiv w:val="1"/>
      <w:marLeft w:val="0"/>
      <w:marRight w:val="0"/>
      <w:marTop w:val="0"/>
      <w:marBottom w:val="0"/>
      <w:divBdr>
        <w:top w:val="none" w:sz="0" w:space="0" w:color="auto"/>
        <w:left w:val="none" w:sz="0" w:space="0" w:color="auto"/>
        <w:bottom w:val="none" w:sz="0" w:space="0" w:color="auto"/>
        <w:right w:val="none" w:sz="0" w:space="0" w:color="auto"/>
      </w:divBdr>
    </w:div>
    <w:div w:id="1332903162">
      <w:bodyDiv w:val="1"/>
      <w:marLeft w:val="0"/>
      <w:marRight w:val="0"/>
      <w:marTop w:val="0"/>
      <w:marBottom w:val="0"/>
      <w:divBdr>
        <w:top w:val="none" w:sz="0" w:space="0" w:color="auto"/>
        <w:left w:val="none" w:sz="0" w:space="0" w:color="auto"/>
        <w:bottom w:val="none" w:sz="0" w:space="0" w:color="auto"/>
        <w:right w:val="none" w:sz="0" w:space="0" w:color="auto"/>
      </w:divBdr>
    </w:div>
    <w:div w:id="1409381494">
      <w:bodyDiv w:val="1"/>
      <w:marLeft w:val="0"/>
      <w:marRight w:val="0"/>
      <w:marTop w:val="0"/>
      <w:marBottom w:val="0"/>
      <w:divBdr>
        <w:top w:val="none" w:sz="0" w:space="0" w:color="auto"/>
        <w:left w:val="none" w:sz="0" w:space="0" w:color="auto"/>
        <w:bottom w:val="none" w:sz="0" w:space="0" w:color="auto"/>
        <w:right w:val="none" w:sz="0" w:space="0" w:color="auto"/>
      </w:divBdr>
    </w:div>
    <w:div w:id="1430009184">
      <w:bodyDiv w:val="1"/>
      <w:marLeft w:val="0"/>
      <w:marRight w:val="0"/>
      <w:marTop w:val="0"/>
      <w:marBottom w:val="0"/>
      <w:divBdr>
        <w:top w:val="none" w:sz="0" w:space="0" w:color="auto"/>
        <w:left w:val="none" w:sz="0" w:space="0" w:color="auto"/>
        <w:bottom w:val="none" w:sz="0" w:space="0" w:color="auto"/>
        <w:right w:val="none" w:sz="0" w:space="0" w:color="auto"/>
      </w:divBdr>
    </w:div>
    <w:div w:id="1457486261">
      <w:bodyDiv w:val="1"/>
      <w:marLeft w:val="0"/>
      <w:marRight w:val="0"/>
      <w:marTop w:val="0"/>
      <w:marBottom w:val="0"/>
      <w:divBdr>
        <w:top w:val="none" w:sz="0" w:space="0" w:color="auto"/>
        <w:left w:val="none" w:sz="0" w:space="0" w:color="auto"/>
        <w:bottom w:val="none" w:sz="0" w:space="0" w:color="auto"/>
        <w:right w:val="none" w:sz="0" w:space="0" w:color="auto"/>
      </w:divBdr>
    </w:div>
    <w:div w:id="1484004139">
      <w:bodyDiv w:val="1"/>
      <w:marLeft w:val="0"/>
      <w:marRight w:val="0"/>
      <w:marTop w:val="0"/>
      <w:marBottom w:val="0"/>
      <w:divBdr>
        <w:top w:val="none" w:sz="0" w:space="0" w:color="auto"/>
        <w:left w:val="none" w:sz="0" w:space="0" w:color="auto"/>
        <w:bottom w:val="none" w:sz="0" w:space="0" w:color="auto"/>
        <w:right w:val="none" w:sz="0" w:space="0" w:color="auto"/>
      </w:divBdr>
    </w:div>
    <w:div w:id="1550916277">
      <w:bodyDiv w:val="1"/>
      <w:marLeft w:val="0"/>
      <w:marRight w:val="0"/>
      <w:marTop w:val="0"/>
      <w:marBottom w:val="0"/>
      <w:divBdr>
        <w:top w:val="none" w:sz="0" w:space="0" w:color="auto"/>
        <w:left w:val="none" w:sz="0" w:space="0" w:color="auto"/>
        <w:bottom w:val="none" w:sz="0" w:space="0" w:color="auto"/>
        <w:right w:val="none" w:sz="0" w:space="0" w:color="auto"/>
      </w:divBdr>
    </w:div>
    <w:div w:id="1576166476">
      <w:bodyDiv w:val="1"/>
      <w:marLeft w:val="0"/>
      <w:marRight w:val="0"/>
      <w:marTop w:val="0"/>
      <w:marBottom w:val="0"/>
      <w:divBdr>
        <w:top w:val="none" w:sz="0" w:space="0" w:color="auto"/>
        <w:left w:val="none" w:sz="0" w:space="0" w:color="auto"/>
        <w:bottom w:val="none" w:sz="0" w:space="0" w:color="auto"/>
        <w:right w:val="none" w:sz="0" w:space="0" w:color="auto"/>
      </w:divBdr>
    </w:div>
    <w:div w:id="1578972665">
      <w:bodyDiv w:val="1"/>
      <w:marLeft w:val="0"/>
      <w:marRight w:val="0"/>
      <w:marTop w:val="0"/>
      <w:marBottom w:val="0"/>
      <w:divBdr>
        <w:top w:val="none" w:sz="0" w:space="0" w:color="auto"/>
        <w:left w:val="none" w:sz="0" w:space="0" w:color="auto"/>
        <w:bottom w:val="none" w:sz="0" w:space="0" w:color="auto"/>
        <w:right w:val="none" w:sz="0" w:space="0" w:color="auto"/>
      </w:divBdr>
    </w:div>
    <w:div w:id="1613056332">
      <w:bodyDiv w:val="1"/>
      <w:marLeft w:val="0"/>
      <w:marRight w:val="0"/>
      <w:marTop w:val="0"/>
      <w:marBottom w:val="0"/>
      <w:divBdr>
        <w:top w:val="none" w:sz="0" w:space="0" w:color="auto"/>
        <w:left w:val="none" w:sz="0" w:space="0" w:color="auto"/>
        <w:bottom w:val="none" w:sz="0" w:space="0" w:color="auto"/>
        <w:right w:val="none" w:sz="0" w:space="0" w:color="auto"/>
      </w:divBdr>
    </w:div>
    <w:div w:id="1653874023">
      <w:bodyDiv w:val="1"/>
      <w:marLeft w:val="0"/>
      <w:marRight w:val="0"/>
      <w:marTop w:val="0"/>
      <w:marBottom w:val="0"/>
      <w:divBdr>
        <w:top w:val="none" w:sz="0" w:space="0" w:color="auto"/>
        <w:left w:val="none" w:sz="0" w:space="0" w:color="auto"/>
        <w:bottom w:val="none" w:sz="0" w:space="0" w:color="auto"/>
        <w:right w:val="none" w:sz="0" w:space="0" w:color="auto"/>
      </w:divBdr>
    </w:div>
    <w:div w:id="1694383824">
      <w:bodyDiv w:val="1"/>
      <w:marLeft w:val="0"/>
      <w:marRight w:val="0"/>
      <w:marTop w:val="0"/>
      <w:marBottom w:val="0"/>
      <w:divBdr>
        <w:top w:val="none" w:sz="0" w:space="0" w:color="auto"/>
        <w:left w:val="none" w:sz="0" w:space="0" w:color="auto"/>
        <w:bottom w:val="none" w:sz="0" w:space="0" w:color="auto"/>
        <w:right w:val="none" w:sz="0" w:space="0" w:color="auto"/>
      </w:divBdr>
      <w:divsChild>
        <w:div w:id="970985165">
          <w:marLeft w:val="0"/>
          <w:marRight w:val="0"/>
          <w:marTop w:val="0"/>
          <w:marBottom w:val="0"/>
          <w:divBdr>
            <w:top w:val="none" w:sz="0" w:space="0" w:color="auto"/>
            <w:left w:val="none" w:sz="0" w:space="0" w:color="auto"/>
            <w:bottom w:val="none" w:sz="0" w:space="0" w:color="auto"/>
            <w:right w:val="none" w:sz="0" w:space="0" w:color="auto"/>
          </w:divBdr>
          <w:divsChild>
            <w:div w:id="211504512">
              <w:marLeft w:val="0"/>
              <w:marRight w:val="0"/>
              <w:marTop w:val="0"/>
              <w:marBottom w:val="0"/>
              <w:divBdr>
                <w:top w:val="none" w:sz="0" w:space="0" w:color="auto"/>
                <w:left w:val="single" w:sz="6" w:space="0" w:color="AAAAAA"/>
                <w:bottom w:val="none" w:sz="0" w:space="0" w:color="auto"/>
                <w:right w:val="single" w:sz="6" w:space="0" w:color="AAAAAA"/>
              </w:divBdr>
              <w:divsChild>
                <w:div w:id="1054427990">
                  <w:marLeft w:val="0"/>
                  <w:marRight w:val="0"/>
                  <w:marTop w:val="0"/>
                  <w:marBottom w:val="0"/>
                  <w:divBdr>
                    <w:top w:val="none" w:sz="0" w:space="0" w:color="auto"/>
                    <w:left w:val="none" w:sz="0" w:space="0" w:color="auto"/>
                    <w:bottom w:val="none" w:sz="0" w:space="0" w:color="auto"/>
                    <w:right w:val="none" w:sz="0" w:space="0" w:color="auto"/>
                  </w:divBdr>
                  <w:divsChild>
                    <w:div w:id="1054498667">
                      <w:marLeft w:val="0"/>
                      <w:marRight w:val="0"/>
                      <w:marTop w:val="0"/>
                      <w:marBottom w:val="0"/>
                      <w:divBdr>
                        <w:top w:val="none" w:sz="0" w:space="0" w:color="auto"/>
                        <w:left w:val="none" w:sz="0" w:space="0" w:color="auto"/>
                        <w:bottom w:val="none" w:sz="0" w:space="0" w:color="auto"/>
                        <w:right w:val="none" w:sz="0" w:space="0" w:color="auto"/>
                      </w:divBdr>
                      <w:divsChild>
                        <w:div w:id="1186139232">
                          <w:marLeft w:val="0"/>
                          <w:marRight w:val="0"/>
                          <w:marTop w:val="0"/>
                          <w:marBottom w:val="0"/>
                          <w:divBdr>
                            <w:top w:val="none" w:sz="0" w:space="0" w:color="auto"/>
                            <w:left w:val="single" w:sz="12" w:space="0" w:color="8EB3C3"/>
                            <w:bottom w:val="single" w:sz="12" w:space="0" w:color="8EB3C3"/>
                            <w:right w:val="single" w:sz="12" w:space="0" w:color="8EB3C3"/>
                          </w:divBdr>
                          <w:divsChild>
                            <w:div w:id="148910552">
                              <w:marLeft w:val="0"/>
                              <w:marRight w:val="0"/>
                              <w:marTop w:val="0"/>
                              <w:marBottom w:val="0"/>
                              <w:divBdr>
                                <w:top w:val="none" w:sz="0" w:space="0" w:color="auto"/>
                                <w:left w:val="none" w:sz="0" w:space="0" w:color="auto"/>
                                <w:bottom w:val="none" w:sz="0" w:space="0" w:color="auto"/>
                                <w:right w:val="none" w:sz="0" w:space="0" w:color="auto"/>
                              </w:divBdr>
                              <w:divsChild>
                                <w:div w:id="1815289164">
                                  <w:marLeft w:val="0"/>
                                  <w:marRight w:val="0"/>
                                  <w:marTop w:val="0"/>
                                  <w:marBottom w:val="0"/>
                                  <w:divBdr>
                                    <w:top w:val="none" w:sz="0" w:space="0" w:color="auto"/>
                                    <w:left w:val="none" w:sz="0" w:space="0" w:color="auto"/>
                                    <w:bottom w:val="none" w:sz="0" w:space="0" w:color="auto"/>
                                    <w:right w:val="none" w:sz="0" w:space="0" w:color="auto"/>
                                  </w:divBdr>
                                  <w:divsChild>
                                    <w:div w:id="1955624697">
                                      <w:marLeft w:val="0"/>
                                      <w:marRight w:val="0"/>
                                      <w:marTop w:val="0"/>
                                      <w:marBottom w:val="120"/>
                                      <w:divBdr>
                                        <w:top w:val="none" w:sz="0" w:space="0" w:color="auto"/>
                                        <w:left w:val="none" w:sz="0" w:space="0" w:color="auto"/>
                                        <w:bottom w:val="none" w:sz="0" w:space="0" w:color="auto"/>
                                        <w:right w:val="none" w:sz="0" w:space="0" w:color="auto"/>
                                      </w:divBdr>
                                      <w:divsChild>
                                        <w:div w:id="476646364">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3533984">
      <w:bodyDiv w:val="1"/>
      <w:marLeft w:val="0"/>
      <w:marRight w:val="0"/>
      <w:marTop w:val="0"/>
      <w:marBottom w:val="0"/>
      <w:divBdr>
        <w:top w:val="none" w:sz="0" w:space="0" w:color="auto"/>
        <w:left w:val="none" w:sz="0" w:space="0" w:color="auto"/>
        <w:bottom w:val="none" w:sz="0" w:space="0" w:color="auto"/>
        <w:right w:val="none" w:sz="0" w:space="0" w:color="auto"/>
      </w:divBdr>
      <w:divsChild>
        <w:div w:id="924802054">
          <w:marLeft w:val="0"/>
          <w:marRight w:val="0"/>
          <w:marTop w:val="0"/>
          <w:marBottom w:val="0"/>
          <w:divBdr>
            <w:top w:val="none" w:sz="0" w:space="0" w:color="auto"/>
            <w:left w:val="none" w:sz="0" w:space="0" w:color="auto"/>
            <w:bottom w:val="none" w:sz="0" w:space="0" w:color="auto"/>
            <w:right w:val="none" w:sz="0" w:space="0" w:color="auto"/>
          </w:divBdr>
          <w:divsChild>
            <w:div w:id="489489436">
              <w:marLeft w:val="0"/>
              <w:marRight w:val="0"/>
              <w:marTop w:val="0"/>
              <w:marBottom w:val="0"/>
              <w:divBdr>
                <w:top w:val="none" w:sz="0" w:space="0" w:color="auto"/>
                <w:left w:val="single" w:sz="6" w:space="0" w:color="AAAAAA"/>
                <w:bottom w:val="none" w:sz="0" w:space="0" w:color="auto"/>
                <w:right w:val="single" w:sz="6" w:space="0" w:color="AAAAAA"/>
              </w:divBdr>
              <w:divsChild>
                <w:div w:id="666979608">
                  <w:marLeft w:val="0"/>
                  <w:marRight w:val="0"/>
                  <w:marTop w:val="0"/>
                  <w:marBottom w:val="0"/>
                  <w:divBdr>
                    <w:top w:val="none" w:sz="0" w:space="0" w:color="auto"/>
                    <w:left w:val="none" w:sz="0" w:space="0" w:color="auto"/>
                    <w:bottom w:val="none" w:sz="0" w:space="0" w:color="auto"/>
                    <w:right w:val="none" w:sz="0" w:space="0" w:color="auto"/>
                  </w:divBdr>
                  <w:divsChild>
                    <w:div w:id="736244911">
                      <w:marLeft w:val="0"/>
                      <w:marRight w:val="0"/>
                      <w:marTop w:val="0"/>
                      <w:marBottom w:val="0"/>
                      <w:divBdr>
                        <w:top w:val="none" w:sz="0" w:space="0" w:color="auto"/>
                        <w:left w:val="none" w:sz="0" w:space="0" w:color="auto"/>
                        <w:bottom w:val="none" w:sz="0" w:space="0" w:color="auto"/>
                        <w:right w:val="none" w:sz="0" w:space="0" w:color="auto"/>
                      </w:divBdr>
                      <w:divsChild>
                        <w:div w:id="466823942">
                          <w:marLeft w:val="0"/>
                          <w:marRight w:val="0"/>
                          <w:marTop w:val="0"/>
                          <w:marBottom w:val="0"/>
                          <w:divBdr>
                            <w:top w:val="none" w:sz="0" w:space="0" w:color="auto"/>
                            <w:left w:val="single" w:sz="12" w:space="0" w:color="8EB3C3"/>
                            <w:bottom w:val="single" w:sz="12" w:space="0" w:color="8EB3C3"/>
                            <w:right w:val="single" w:sz="12" w:space="0" w:color="8EB3C3"/>
                          </w:divBdr>
                          <w:divsChild>
                            <w:div w:id="780413475">
                              <w:marLeft w:val="0"/>
                              <w:marRight w:val="0"/>
                              <w:marTop w:val="0"/>
                              <w:marBottom w:val="0"/>
                              <w:divBdr>
                                <w:top w:val="none" w:sz="0" w:space="0" w:color="auto"/>
                                <w:left w:val="none" w:sz="0" w:space="0" w:color="auto"/>
                                <w:bottom w:val="none" w:sz="0" w:space="0" w:color="auto"/>
                                <w:right w:val="none" w:sz="0" w:space="0" w:color="auto"/>
                              </w:divBdr>
                              <w:divsChild>
                                <w:div w:id="910503180">
                                  <w:marLeft w:val="0"/>
                                  <w:marRight w:val="0"/>
                                  <w:marTop w:val="0"/>
                                  <w:marBottom w:val="0"/>
                                  <w:divBdr>
                                    <w:top w:val="none" w:sz="0" w:space="0" w:color="auto"/>
                                    <w:left w:val="none" w:sz="0" w:space="0" w:color="auto"/>
                                    <w:bottom w:val="none" w:sz="0" w:space="0" w:color="auto"/>
                                    <w:right w:val="none" w:sz="0" w:space="0" w:color="auto"/>
                                  </w:divBdr>
                                  <w:divsChild>
                                    <w:div w:id="2058386742">
                                      <w:marLeft w:val="0"/>
                                      <w:marRight w:val="0"/>
                                      <w:marTop w:val="0"/>
                                      <w:marBottom w:val="120"/>
                                      <w:divBdr>
                                        <w:top w:val="none" w:sz="0" w:space="0" w:color="auto"/>
                                        <w:left w:val="none" w:sz="0" w:space="0" w:color="auto"/>
                                        <w:bottom w:val="none" w:sz="0" w:space="0" w:color="auto"/>
                                        <w:right w:val="none" w:sz="0" w:space="0" w:color="auto"/>
                                      </w:divBdr>
                                      <w:divsChild>
                                        <w:div w:id="1448233702">
                                          <w:marLeft w:val="2400"/>
                                          <w:marRight w:val="0"/>
                                          <w:marTop w:val="0"/>
                                          <w:marBottom w:val="0"/>
                                          <w:divBdr>
                                            <w:top w:val="none" w:sz="0" w:space="0" w:color="auto"/>
                                            <w:left w:val="none" w:sz="0" w:space="0" w:color="auto"/>
                                            <w:bottom w:val="none" w:sz="0" w:space="0" w:color="auto"/>
                                            <w:right w:val="none" w:sz="0" w:space="0" w:color="auto"/>
                                          </w:divBdr>
                                          <w:divsChild>
                                            <w:div w:id="357778515">
                                              <w:marLeft w:val="0"/>
                                              <w:marRight w:val="0"/>
                                              <w:marTop w:val="0"/>
                                              <w:marBottom w:val="0"/>
                                              <w:divBdr>
                                                <w:top w:val="none" w:sz="0" w:space="0" w:color="auto"/>
                                                <w:left w:val="none" w:sz="0" w:space="0" w:color="auto"/>
                                                <w:bottom w:val="none" w:sz="0" w:space="0" w:color="auto"/>
                                                <w:right w:val="none" w:sz="0" w:space="0" w:color="auto"/>
                                              </w:divBdr>
                                            </w:div>
                                            <w:div w:id="8274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516370">
      <w:bodyDiv w:val="1"/>
      <w:marLeft w:val="0"/>
      <w:marRight w:val="0"/>
      <w:marTop w:val="0"/>
      <w:marBottom w:val="0"/>
      <w:divBdr>
        <w:top w:val="none" w:sz="0" w:space="0" w:color="auto"/>
        <w:left w:val="none" w:sz="0" w:space="0" w:color="auto"/>
        <w:bottom w:val="none" w:sz="0" w:space="0" w:color="auto"/>
        <w:right w:val="none" w:sz="0" w:space="0" w:color="auto"/>
      </w:divBdr>
    </w:div>
    <w:div w:id="1762212200">
      <w:bodyDiv w:val="1"/>
      <w:marLeft w:val="0"/>
      <w:marRight w:val="0"/>
      <w:marTop w:val="0"/>
      <w:marBottom w:val="0"/>
      <w:divBdr>
        <w:top w:val="none" w:sz="0" w:space="0" w:color="auto"/>
        <w:left w:val="none" w:sz="0" w:space="0" w:color="auto"/>
        <w:bottom w:val="none" w:sz="0" w:space="0" w:color="auto"/>
        <w:right w:val="none" w:sz="0" w:space="0" w:color="auto"/>
      </w:divBdr>
    </w:div>
    <w:div w:id="1795755986">
      <w:bodyDiv w:val="1"/>
      <w:marLeft w:val="0"/>
      <w:marRight w:val="0"/>
      <w:marTop w:val="0"/>
      <w:marBottom w:val="0"/>
      <w:divBdr>
        <w:top w:val="none" w:sz="0" w:space="0" w:color="auto"/>
        <w:left w:val="none" w:sz="0" w:space="0" w:color="auto"/>
        <w:bottom w:val="none" w:sz="0" w:space="0" w:color="auto"/>
        <w:right w:val="none" w:sz="0" w:space="0" w:color="auto"/>
      </w:divBdr>
    </w:div>
    <w:div w:id="1822883921">
      <w:bodyDiv w:val="1"/>
      <w:marLeft w:val="0"/>
      <w:marRight w:val="0"/>
      <w:marTop w:val="0"/>
      <w:marBottom w:val="0"/>
      <w:divBdr>
        <w:top w:val="none" w:sz="0" w:space="0" w:color="auto"/>
        <w:left w:val="none" w:sz="0" w:space="0" w:color="auto"/>
        <w:bottom w:val="none" w:sz="0" w:space="0" w:color="auto"/>
        <w:right w:val="none" w:sz="0" w:space="0" w:color="auto"/>
      </w:divBdr>
      <w:divsChild>
        <w:div w:id="1648702701">
          <w:marLeft w:val="0"/>
          <w:marRight w:val="0"/>
          <w:marTop w:val="0"/>
          <w:marBottom w:val="0"/>
          <w:divBdr>
            <w:top w:val="none" w:sz="0" w:space="0" w:color="auto"/>
            <w:left w:val="none" w:sz="0" w:space="0" w:color="auto"/>
            <w:bottom w:val="none" w:sz="0" w:space="0" w:color="auto"/>
            <w:right w:val="none" w:sz="0" w:space="0" w:color="auto"/>
          </w:divBdr>
          <w:divsChild>
            <w:div w:id="669799072">
              <w:marLeft w:val="0"/>
              <w:marRight w:val="0"/>
              <w:marTop w:val="0"/>
              <w:marBottom w:val="0"/>
              <w:divBdr>
                <w:top w:val="none" w:sz="0" w:space="0" w:color="auto"/>
                <w:left w:val="none" w:sz="0" w:space="0" w:color="auto"/>
                <w:bottom w:val="none" w:sz="0" w:space="0" w:color="auto"/>
                <w:right w:val="none" w:sz="0" w:space="0" w:color="auto"/>
              </w:divBdr>
              <w:divsChild>
                <w:div w:id="1738550439">
                  <w:marLeft w:val="0"/>
                  <w:marRight w:val="0"/>
                  <w:marTop w:val="0"/>
                  <w:marBottom w:val="0"/>
                  <w:divBdr>
                    <w:top w:val="none" w:sz="0" w:space="0" w:color="auto"/>
                    <w:left w:val="none" w:sz="0" w:space="0" w:color="auto"/>
                    <w:bottom w:val="none" w:sz="0" w:space="0" w:color="auto"/>
                    <w:right w:val="none" w:sz="0" w:space="0" w:color="auto"/>
                  </w:divBdr>
                  <w:divsChild>
                    <w:div w:id="1868985708">
                      <w:marLeft w:val="0"/>
                      <w:marRight w:val="0"/>
                      <w:marTop w:val="0"/>
                      <w:marBottom w:val="0"/>
                      <w:divBdr>
                        <w:top w:val="none" w:sz="0" w:space="0" w:color="auto"/>
                        <w:left w:val="none" w:sz="0" w:space="0" w:color="auto"/>
                        <w:bottom w:val="none" w:sz="0" w:space="0" w:color="auto"/>
                        <w:right w:val="none" w:sz="0" w:space="0" w:color="auto"/>
                      </w:divBdr>
                      <w:divsChild>
                        <w:div w:id="2018657121">
                          <w:marLeft w:val="0"/>
                          <w:marRight w:val="0"/>
                          <w:marTop w:val="0"/>
                          <w:marBottom w:val="0"/>
                          <w:divBdr>
                            <w:top w:val="none" w:sz="0" w:space="0" w:color="auto"/>
                            <w:left w:val="none" w:sz="0" w:space="0" w:color="auto"/>
                            <w:bottom w:val="none" w:sz="0" w:space="0" w:color="auto"/>
                            <w:right w:val="none" w:sz="0" w:space="0" w:color="auto"/>
                          </w:divBdr>
                          <w:divsChild>
                            <w:div w:id="553154808">
                              <w:marLeft w:val="0"/>
                              <w:marRight w:val="0"/>
                              <w:marTop w:val="0"/>
                              <w:marBottom w:val="0"/>
                              <w:divBdr>
                                <w:top w:val="none" w:sz="0" w:space="0" w:color="auto"/>
                                <w:left w:val="none" w:sz="0" w:space="0" w:color="auto"/>
                                <w:bottom w:val="none" w:sz="0" w:space="0" w:color="auto"/>
                                <w:right w:val="none" w:sz="0" w:space="0" w:color="auto"/>
                              </w:divBdr>
                              <w:divsChild>
                                <w:div w:id="1243953380">
                                  <w:marLeft w:val="0"/>
                                  <w:marRight w:val="0"/>
                                  <w:marTop w:val="0"/>
                                  <w:marBottom w:val="0"/>
                                  <w:divBdr>
                                    <w:top w:val="none" w:sz="0" w:space="0" w:color="auto"/>
                                    <w:left w:val="none" w:sz="0" w:space="0" w:color="auto"/>
                                    <w:bottom w:val="none" w:sz="0" w:space="0" w:color="auto"/>
                                    <w:right w:val="none" w:sz="0" w:space="0" w:color="auto"/>
                                  </w:divBdr>
                                  <w:divsChild>
                                    <w:div w:id="1943876500">
                                      <w:marLeft w:val="0"/>
                                      <w:marRight w:val="0"/>
                                      <w:marTop w:val="0"/>
                                      <w:marBottom w:val="0"/>
                                      <w:divBdr>
                                        <w:top w:val="none" w:sz="0" w:space="0" w:color="auto"/>
                                        <w:left w:val="none" w:sz="0" w:space="0" w:color="auto"/>
                                        <w:bottom w:val="none" w:sz="0" w:space="0" w:color="auto"/>
                                        <w:right w:val="none" w:sz="0" w:space="0" w:color="auto"/>
                                      </w:divBdr>
                                      <w:divsChild>
                                        <w:div w:id="1750081091">
                                          <w:marLeft w:val="0"/>
                                          <w:marRight w:val="0"/>
                                          <w:marTop w:val="0"/>
                                          <w:marBottom w:val="0"/>
                                          <w:divBdr>
                                            <w:top w:val="none" w:sz="0" w:space="0" w:color="auto"/>
                                            <w:left w:val="none" w:sz="0" w:space="0" w:color="auto"/>
                                            <w:bottom w:val="none" w:sz="0" w:space="0" w:color="auto"/>
                                            <w:right w:val="none" w:sz="0" w:space="0" w:color="auto"/>
                                          </w:divBdr>
                                          <w:divsChild>
                                            <w:div w:id="307829831">
                                              <w:marLeft w:val="0"/>
                                              <w:marRight w:val="0"/>
                                              <w:marTop w:val="0"/>
                                              <w:marBottom w:val="0"/>
                                              <w:divBdr>
                                                <w:top w:val="none" w:sz="0" w:space="0" w:color="auto"/>
                                                <w:left w:val="none" w:sz="0" w:space="0" w:color="auto"/>
                                                <w:bottom w:val="none" w:sz="0" w:space="0" w:color="auto"/>
                                                <w:right w:val="none" w:sz="0" w:space="0" w:color="auto"/>
                                              </w:divBdr>
                                              <w:divsChild>
                                                <w:div w:id="1204247689">
                                                  <w:marLeft w:val="0"/>
                                                  <w:marRight w:val="0"/>
                                                  <w:marTop w:val="0"/>
                                                  <w:marBottom w:val="0"/>
                                                  <w:divBdr>
                                                    <w:top w:val="none" w:sz="0" w:space="0" w:color="auto"/>
                                                    <w:left w:val="none" w:sz="0" w:space="0" w:color="auto"/>
                                                    <w:bottom w:val="none" w:sz="0" w:space="0" w:color="auto"/>
                                                    <w:right w:val="none" w:sz="0" w:space="0" w:color="auto"/>
                                                  </w:divBdr>
                                                  <w:divsChild>
                                                    <w:div w:id="758258845">
                                                      <w:marLeft w:val="0"/>
                                                      <w:marRight w:val="0"/>
                                                      <w:marTop w:val="0"/>
                                                      <w:marBottom w:val="0"/>
                                                      <w:divBdr>
                                                        <w:top w:val="none" w:sz="0" w:space="0" w:color="auto"/>
                                                        <w:left w:val="none" w:sz="0" w:space="0" w:color="auto"/>
                                                        <w:bottom w:val="none" w:sz="0" w:space="0" w:color="auto"/>
                                                        <w:right w:val="none" w:sz="0" w:space="0" w:color="auto"/>
                                                      </w:divBdr>
                                                      <w:divsChild>
                                                        <w:div w:id="1650012441">
                                                          <w:marLeft w:val="0"/>
                                                          <w:marRight w:val="0"/>
                                                          <w:marTop w:val="0"/>
                                                          <w:marBottom w:val="0"/>
                                                          <w:divBdr>
                                                            <w:top w:val="none" w:sz="0" w:space="0" w:color="auto"/>
                                                            <w:left w:val="none" w:sz="0" w:space="0" w:color="auto"/>
                                                            <w:bottom w:val="none" w:sz="0" w:space="0" w:color="auto"/>
                                                            <w:right w:val="none" w:sz="0" w:space="0" w:color="auto"/>
                                                          </w:divBdr>
                                                          <w:divsChild>
                                                            <w:div w:id="1693846541">
                                                              <w:marLeft w:val="0"/>
                                                              <w:marRight w:val="150"/>
                                                              <w:marTop w:val="0"/>
                                                              <w:marBottom w:val="150"/>
                                                              <w:divBdr>
                                                                <w:top w:val="none" w:sz="0" w:space="0" w:color="auto"/>
                                                                <w:left w:val="none" w:sz="0" w:space="0" w:color="auto"/>
                                                                <w:bottom w:val="none" w:sz="0" w:space="0" w:color="auto"/>
                                                                <w:right w:val="none" w:sz="0" w:space="0" w:color="auto"/>
                                                              </w:divBdr>
                                                              <w:divsChild>
                                                                <w:div w:id="888347459">
                                                                  <w:marLeft w:val="0"/>
                                                                  <w:marRight w:val="0"/>
                                                                  <w:marTop w:val="0"/>
                                                                  <w:marBottom w:val="0"/>
                                                                  <w:divBdr>
                                                                    <w:top w:val="none" w:sz="0" w:space="0" w:color="auto"/>
                                                                    <w:left w:val="none" w:sz="0" w:space="0" w:color="auto"/>
                                                                    <w:bottom w:val="none" w:sz="0" w:space="0" w:color="auto"/>
                                                                    <w:right w:val="none" w:sz="0" w:space="0" w:color="auto"/>
                                                                  </w:divBdr>
                                                                  <w:divsChild>
                                                                    <w:div w:id="1402828383">
                                                                      <w:marLeft w:val="0"/>
                                                                      <w:marRight w:val="0"/>
                                                                      <w:marTop w:val="0"/>
                                                                      <w:marBottom w:val="0"/>
                                                                      <w:divBdr>
                                                                        <w:top w:val="none" w:sz="0" w:space="0" w:color="auto"/>
                                                                        <w:left w:val="none" w:sz="0" w:space="0" w:color="auto"/>
                                                                        <w:bottom w:val="none" w:sz="0" w:space="0" w:color="auto"/>
                                                                        <w:right w:val="none" w:sz="0" w:space="0" w:color="auto"/>
                                                                      </w:divBdr>
                                                                      <w:divsChild>
                                                                        <w:div w:id="1139153987">
                                                                          <w:marLeft w:val="0"/>
                                                                          <w:marRight w:val="0"/>
                                                                          <w:marTop w:val="0"/>
                                                                          <w:marBottom w:val="0"/>
                                                                          <w:divBdr>
                                                                            <w:top w:val="none" w:sz="0" w:space="0" w:color="auto"/>
                                                                            <w:left w:val="none" w:sz="0" w:space="0" w:color="auto"/>
                                                                            <w:bottom w:val="none" w:sz="0" w:space="0" w:color="auto"/>
                                                                            <w:right w:val="none" w:sz="0" w:space="0" w:color="auto"/>
                                                                          </w:divBdr>
                                                                          <w:divsChild>
                                                                            <w:div w:id="1863324538">
                                                                              <w:marLeft w:val="0"/>
                                                                              <w:marRight w:val="0"/>
                                                                              <w:marTop w:val="0"/>
                                                                              <w:marBottom w:val="0"/>
                                                                              <w:divBdr>
                                                                                <w:top w:val="none" w:sz="0" w:space="0" w:color="auto"/>
                                                                                <w:left w:val="none" w:sz="0" w:space="0" w:color="auto"/>
                                                                                <w:bottom w:val="none" w:sz="0" w:space="0" w:color="auto"/>
                                                                                <w:right w:val="none" w:sz="0" w:space="0" w:color="auto"/>
                                                                              </w:divBdr>
                                                                              <w:divsChild>
                                                                                <w:div w:id="287008081">
                                                                                  <w:marLeft w:val="0"/>
                                                                                  <w:marRight w:val="0"/>
                                                                                  <w:marTop w:val="0"/>
                                                                                  <w:marBottom w:val="0"/>
                                                                                  <w:divBdr>
                                                                                    <w:top w:val="none" w:sz="0" w:space="0" w:color="auto"/>
                                                                                    <w:left w:val="none" w:sz="0" w:space="0" w:color="auto"/>
                                                                                    <w:bottom w:val="none" w:sz="0" w:space="0" w:color="auto"/>
                                                                                    <w:right w:val="none" w:sz="0" w:space="0" w:color="auto"/>
                                                                                  </w:divBdr>
                                                                                  <w:divsChild>
                                                                                    <w:div w:id="945424128">
                                                                                      <w:marLeft w:val="0"/>
                                                                                      <w:marRight w:val="0"/>
                                                                                      <w:marTop w:val="0"/>
                                                                                      <w:marBottom w:val="0"/>
                                                                                      <w:divBdr>
                                                                                        <w:top w:val="none" w:sz="0" w:space="0" w:color="auto"/>
                                                                                        <w:left w:val="none" w:sz="0" w:space="0" w:color="auto"/>
                                                                                        <w:bottom w:val="none" w:sz="0" w:space="0" w:color="auto"/>
                                                                                        <w:right w:val="none" w:sz="0" w:space="0" w:color="auto"/>
                                                                                      </w:divBdr>
                                                                                      <w:divsChild>
                                                                                        <w:div w:id="26949984">
                                                                                          <w:marLeft w:val="0"/>
                                                                                          <w:marRight w:val="0"/>
                                                                                          <w:marTop w:val="0"/>
                                                                                          <w:marBottom w:val="0"/>
                                                                                          <w:divBdr>
                                                                                            <w:top w:val="none" w:sz="0" w:space="0" w:color="auto"/>
                                                                                            <w:left w:val="none" w:sz="0" w:space="0" w:color="auto"/>
                                                                                            <w:bottom w:val="none" w:sz="0" w:space="0" w:color="auto"/>
                                                                                            <w:right w:val="none" w:sz="0" w:space="0" w:color="auto"/>
                                                                                          </w:divBdr>
                                                                                          <w:divsChild>
                                                                                            <w:div w:id="1557860987">
                                                                                              <w:marLeft w:val="0"/>
                                                                                              <w:marRight w:val="0"/>
                                                                                              <w:marTop w:val="0"/>
                                                                                              <w:marBottom w:val="0"/>
                                                                                              <w:divBdr>
                                                                                                <w:top w:val="none" w:sz="0" w:space="0" w:color="auto"/>
                                                                                                <w:left w:val="none" w:sz="0" w:space="0" w:color="auto"/>
                                                                                                <w:bottom w:val="none" w:sz="0" w:space="0" w:color="auto"/>
                                                                                                <w:right w:val="none" w:sz="0" w:space="0" w:color="auto"/>
                                                                                              </w:divBdr>
                                                                                              <w:divsChild>
                                                                                                <w:div w:id="58746021">
                                                                                                  <w:marLeft w:val="0"/>
                                                                                                  <w:marRight w:val="0"/>
                                                                                                  <w:marTop w:val="0"/>
                                                                                                  <w:marBottom w:val="0"/>
                                                                                                  <w:divBdr>
                                                                                                    <w:top w:val="none" w:sz="0" w:space="0" w:color="auto"/>
                                                                                                    <w:left w:val="none" w:sz="0" w:space="0" w:color="auto"/>
                                                                                                    <w:bottom w:val="none" w:sz="0" w:space="0" w:color="auto"/>
                                                                                                    <w:right w:val="none" w:sz="0" w:space="0" w:color="auto"/>
                                                                                                  </w:divBdr>
                                                                                                </w:div>
                                                                                                <w:div w:id="295062604">
                                                                                                  <w:marLeft w:val="0"/>
                                                                                                  <w:marRight w:val="0"/>
                                                                                                  <w:marTop w:val="0"/>
                                                                                                  <w:marBottom w:val="0"/>
                                                                                                  <w:divBdr>
                                                                                                    <w:top w:val="none" w:sz="0" w:space="0" w:color="auto"/>
                                                                                                    <w:left w:val="none" w:sz="0" w:space="0" w:color="auto"/>
                                                                                                    <w:bottom w:val="none" w:sz="0" w:space="0" w:color="auto"/>
                                                                                                    <w:right w:val="none" w:sz="0" w:space="0" w:color="auto"/>
                                                                                                  </w:divBdr>
                                                                                                </w:div>
                                                                                                <w:div w:id="422803964">
                                                                                                  <w:marLeft w:val="0"/>
                                                                                                  <w:marRight w:val="0"/>
                                                                                                  <w:marTop w:val="0"/>
                                                                                                  <w:marBottom w:val="0"/>
                                                                                                  <w:divBdr>
                                                                                                    <w:top w:val="none" w:sz="0" w:space="0" w:color="auto"/>
                                                                                                    <w:left w:val="none" w:sz="0" w:space="0" w:color="auto"/>
                                                                                                    <w:bottom w:val="none" w:sz="0" w:space="0" w:color="auto"/>
                                                                                                    <w:right w:val="none" w:sz="0" w:space="0" w:color="auto"/>
                                                                                                  </w:divBdr>
                                                                                                </w:div>
                                                                                                <w:div w:id="449710588">
                                                                                                  <w:marLeft w:val="0"/>
                                                                                                  <w:marRight w:val="0"/>
                                                                                                  <w:marTop w:val="0"/>
                                                                                                  <w:marBottom w:val="0"/>
                                                                                                  <w:divBdr>
                                                                                                    <w:top w:val="none" w:sz="0" w:space="0" w:color="auto"/>
                                                                                                    <w:left w:val="none" w:sz="0" w:space="0" w:color="auto"/>
                                                                                                    <w:bottom w:val="none" w:sz="0" w:space="0" w:color="auto"/>
                                                                                                    <w:right w:val="none" w:sz="0" w:space="0" w:color="auto"/>
                                                                                                  </w:divBdr>
                                                                                                </w:div>
                                                                                                <w:div w:id="603146541">
                                                                                                  <w:marLeft w:val="0"/>
                                                                                                  <w:marRight w:val="0"/>
                                                                                                  <w:marTop w:val="0"/>
                                                                                                  <w:marBottom w:val="0"/>
                                                                                                  <w:divBdr>
                                                                                                    <w:top w:val="none" w:sz="0" w:space="0" w:color="auto"/>
                                                                                                    <w:left w:val="none" w:sz="0" w:space="0" w:color="auto"/>
                                                                                                    <w:bottom w:val="none" w:sz="0" w:space="0" w:color="auto"/>
                                                                                                    <w:right w:val="none" w:sz="0" w:space="0" w:color="auto"/>
                                                                                                  </w:divBdr>
                                                                                                </w:div>
                                                                                                <w:div w:id="761537429">
                                                                                                  <w:marLeft w:val="0"/>
                                                                                                  <w:marRight w:val="0"/>
                                                                                                  <w:marTop w:val="0"/>
                                                                                                  <w:marBottom w:val="0"/>
                                                                                                  <w:divBdr>
                                                                                                    <w:top w:val="none" w:sz="0" w:space="0" w:color="auto"/>
                                                                                                    <w:left w:val="none" w:sz="0" w:space="0" w:color="auto"/>
                                                                                                    <w:bottom w:val="none" w:sz="0" w:space="0" w:color="auto"/>
                                                                                                    <w:right w:val="none" w:sz="0" w:space="0" w:color="auto"/>
                                                                                                  </w:divBdr>
                                                                                                </w:div>
                                                                                                <w:div w:id="763503174">
                                                                                                  <w:marLeft w:val="0"/>
                                                                                                  <w:marRight w:val="0"/>
                                                                                                  <w:marTop w:val="0"/>
                                                                                                  <w:marBottom w:val="0"/>
                                                                                                  <w:divBdr>
                                                                                                    <w:top w:val="none" w:sz="0" w:space="0" w:color="auto"/>
                                                                                                    <w:left w:val="none" w:sz="0" w:space="0" w:color="auto"/>
                                                                                                    <w:bottom w:val="none" w:sz="0" w:space="0" w:color="auto"/>
                                                                                                    <w:right w:val="none" w:sz="0" w:space="0" w:color="auto"/>
                                                                                                  </w:divBdr>
                                                                                                </w:div>
                                                                                                <w:div w:id="858540437">
                                                                                                  <w:marLeft w:val="0"/>
                                                                                                  <w:marRight w:val="0"/>
                                                                                                  <w:marTop w:val="0"/>
                                                                                                  <w:marBottom w:val="0"/>
                                                                                                  <w:divBdr>
                                                                                                    <w:top w:val="none" w:sz="0" w:space="0" w:color="auto"/>
                                                                                                    <w:left w:val="none" w:sz="0" w:space="0" w:color="auto"/>
                                                                                                    <w:bottom w:val="none" w:sz="0" w:space="0" w:color="auto"/>
                                                                                                    <w:right w:val="none" w:sz="0" w:space="0" w:color="auto"/>
                                                                                                  </w:divBdr>
                                                                                                </w:div>
                                                                                                <w:div w:id="1037269260">
                                                                                                  <w:marLeft w:val="0"/>
                                                                                                  <w:marRight w:val="0"/>
                                                                                                  <w:marTop w:val="0"/>
                                                                                                  <w:marBottom w:val="0"/>
                                                                                                  <w:divBdr>
                                                                                                    <w:top w:val="none" w:sz="0" w:space="0" w:color="auto"/>
                                                                                                    <w:left w:val="none" w:sz="0" w:space="0" w:color="auto"/>
                                                                                                    <w:bottom w:val="none" w:sz="0" w:space="0" w:color="auto"/>
                                                                                                    <w:right w:val="none" w:sz="0" w:space="0" w:color="auto"/>
                                                                                                  </w:divBdr>
                                                                                                </w:div>
                                                                                                <w:div w:id="1086196118">
                                                                                                  <w:marLeft w:val="0"/>
                                                                                                  <w:marRight w:val="0"/>
                                                                                                  <w:marTop w:val="0"/>
                                                                                                  <w:marBottom w:val="0"/>
                                                                                                  <w:divBdr>
                                                                                                    <w:top w:val="none" w:sz="0" w:space="0" w:color="auto"/>
                                                                                                    <w:left w:val="none" w:sz="0" w:space="0" w:color="auto"/>
                                                                                                    <w:bottom w:val="none" w:sz="0" w:space="0" w:color="auto"/>
                                                                                                    <w:right w:val="none" w:sz="0" w:space="0" w:color="auto"/>
                                                                                                  </w:divBdr>
                                                                                                </w:div>
                                                                                                <w:div w:id="1507865920">
                                                                                                  <w:marLeft w:val="0"/>
                                                                                                  <w:marRight w:val="0"/>
                                                                                                  <w:marTop w:val="0"/>
                                                                                                  <w:marBottom w:val="0"/>
                                                                                                  <w:divBdr>
                                                                                                    <w:top w:val="none" w:sz="0" w:space="0" w:color="auto"/>
                                                                                                    <w:left w:val="none" w:sz="0" w:space="0" w:color="auto"/>
                                                                                                    <w:bottom w:val="none" w:sz="0" w:space="0" w:color="auto"/>
                                                                                                    <w:right w:val="none" w:sz="0" w:space="0" w:color="auto"/>
                                                                                                  </w:divBdr>
                                                                                                </w:div>
                                                                                                <w:div w:id="1533032867">
                                                                                                  <w:marLeft w:val="0"/>
                                                                                                  <w:marRight w:val="0"/>
                                                                                                  <w:marTop w:val="0"/>
                                                                                                  <w:marBottom w:val="0"/>
                                                                                                  <w:divBdr>
                                                                                                    <w:top w:val="none" w:sz="0" w:space="0" w:color="auto"/>
                                                                                                    <w:left w:val="none" w:sz="0" w:space="0" w:color="auto"/>
                                                                                                    <w:bottom w:val="none" w:sz="0" w:space="0" w:color="auto"/>
                                                                                                    <w:right w:val="none" w:sz="0" w:space="0" w:color="auto"/>
                                                                                                  </w:divBdr>
                                                                                                </w:div>
                                                                                                <w:div w:id="1580941320">
                                                                                                  <w:marLeft w:val="0"/>
                                                                                                  <w:marRight w:val="0"/>
                                                                                                  <w:marTop w:val="0"/>
                                                                                                  <w:marBottom w:val="0"/>
                                                                                                  <w:divBdr>
                                                                                                    <w:top w:val="none" w:sz="0" w:space="0" w:color="auto"/>
                                                                                                    <w:left w:val="none" w:sz="0" w:space="0" w:color="auto"/>
                                                                                                    <w:bottom w:val="none" w:sz="0" w:space="0" w:color="auto"/>
                                                                                                    <w:right w:val="none" w:sz="0" w:space="0" w:color="auto"/>
                                                                                                  </w:divBdr>
                                                                                                </w:div>
                                                                                                <w:div w:id="1710952237">
                                                                                                  <w:marLeft w:val="0"/>
                                                                                                  <w:marRight w:val="0"/>
                                                                                                  <w:marTop w:val="0"/>
                                                                                                  <w:marBottom w:val="0"/>
                                                                                                  <w:divBdr>
                                                                                                    <w:top w:val="none" w:sz="0" w:space="0" w:color="auto"/>
                                                                                                    <w:left w:val="none" w:sz="0" w:space="0" w:color="auto"/>
                                                                                                    <w:bottom w:val="none" w:sz="0" w:space="0" w:color="auto"/>
                                                                                                    <w:right w:val="none" w:sz="0" w:space="0" w:color="auto"/>
                                                                                                  </w:divBdr>
                                                                                                </w:div>
                                                                                                <w:div w:id="1774277422">
                                                                                                  <w:marLeft w:val="0"/>
                                                                                                  <w:marRight w:val="0"/>
                                                                                                  <w:marTop w:val="0"/>
                                                                                                  <w:marBottom w:val="0"/>
                                                                                                  <w:divBdr>
                                                                                                    <w:top w:val="none" w:sz="0" w:space="0" w:color="auto"/>
                                                                                                    <w:left w:val="none" w:sz="0" w:space="0" w:color="auto"/>
                                                                                                    <w:bottom w:val="none" w:sz="0" w:space="0" w:color="auto"/>
                                                                                                    <w:right w:val="none" w:sz="0" w:space="0" w:color="auto"/>
                                                                                                  </w:divBdr>
                                                                                                </w:div>
                                                                                                <w:div w:id="1828741788">
                                                                                                  <w:marLeft w:val="0"/>
                                                                                                  <w:marRight w:val="0"/>
                                                                                                  <w:marTop w:val="0"/>
                                                                                                  <w:marBottom w:val="0"/>
                                                                                                  <w:divBdr>
                                                                                                    <w:top w:val="none" w:sz="0" w:space="0" w:color="auto"/>
                                                                                                    <w:left w:val="none" w:sz="0" w:space="0" w:color="auto"/>
                                                                                                    <w:bottom w:val="none" w:sz="0" w:space="0" w:color="auto"/>
                                                                                                    <w:right w:val="none" w:sz="0" w:space="0" w:color="auto"/>
                                                                                                  </w:divBdr>
                                                                                                </w:div>
                                                                                                <w:div w:id="212037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904936">
      <w:bodyDiv w:val="1"/>
      <w:marLeft w:val="0"/>
      <w:marRight w:val="0"/>
      <w:marTop w:val="0"/>
      <w:marBottom w:val="0"/>
      <w:divBdr>
        <w:top w:val="none" w:sz="0" w:space="0" w:color="auto"/>
        <w:left w:val="none" w:sz="0" w:space="0" w:color="auto"/>
        <w:bottom w:val="none" w:sz="0" w:space="0" w:color="auto"/>
        <w:right w:val="none" w:sz="0" w:space="0" w:color="auto"/>
      </w:divBdr>
    </w:div>
    <w:div w:id="1899589422">
      <w:bodyDiv w:val="1"/>
      <w:marLeft w:val="0"/>
      <w:marRight w:val="0"/>
      <w:marTop w:val="0"/>
      <w:marBottom w:val="0"/>
      <w:divBdr>
        <w:top w:val="none" w:sz="0" w:space="0" w:color="auto"/>
        <w:left w:val="none" w:sz="0" w:space="0" w:color="auto"/>
        <w:bottom w:val="none" w:sz="0" w:space="0" w:color="auto"/>
        <w:right w:val="none" w:sz="0" w:space="0" w:color="auto"/>
      </w:divBdr>
    </w:div>
    <w:div w:id="1919292481">
      <w:bodyDiv w:val="1"/>
      <w:marLeft w:val="0"/>
      <w:marRight w:val="0"/>
      <w:marTop w:val="0"/>
      <w:marBottom w:val="0"/>
      <w:divBdr>
        <w:top w:val="none" w:sz="0" w:space="0" w:color="auto"/>
        <w:left w:val="none" w:sz="0" w:space="0" w:color="auto"/>
        <w:bottom w:val="none" w:sz="0" w:space="0" w:color="auto"/>
        <w:right w:val="none" w:sz="0" w:space="0" w:color="auto"/>
      </w:divBdr>
    </w:div>
    <w:div w:id="1949580536">
      <w:bodyDiv w:val="1"/>
      <w:marLeft w:val="0"/>
      <w:marRight w:val="0"/>
      <w:marTop w:val="0"/>
      <w:marBottom w:val="0"/>
      <w:divBdr>
        <w:top w:val="none" w:sz="0" w:space="0" w:color="auto"/>
        <w:left w:val="none" w:sz="0" w:space="0" w:color="auto"/>
        <w:bottom w:val="none" w:sz="0" w:space="0" w:color="auto"/>
        <w:right w:val="none" w:sz="0" w:space="0" w:color="auto"/>
      </w:divBdr>
    </w:div>
    <w:div w:id="1955210282">
      <w:bodyDiv w:val="1"/>
      <w:marLeft w:val="0"/>
      <w:marRight w:val="0"/>
      <w:marTop w:val="0"/>
      <w:marBottom w:val="0"/>
      <w:divBdr>
        <w:top w:val="none" w:sz="0" w:space="0" w:color="auto"/>
        <w:left w:val="none" w:sz="0" w:space="0" w:color="auto"/>
        <w:bottom w:val="none" w:sz="0" w:space="0" w:color="auto"/>
        <w:right w:val="none" w:sz="0" w:space="0" w:color="auto"/>
      </w:divBdr>
    </w:div>
    <w:div w:id="2005863144">
      <w:bodyDiv w:val="1"/>
      <w:marLeft w:val="0"/>
      <w:marRight w:val="0"/>
      <w:marTop w:val="0"/>
      <w:marBottom w:val="0"/>
      <w:divBdr>
        <w:top w:val="none" w:sz="0" w:space="0" w:color="auto"/>
        <w:left w:val="none" w:sz="0" w:space="0" w:color="auto"/>
        <w:bottom w:val="none" w:sz="0" w:space="0" w:color="auto"/>
        <w:right w:val="none" w:sz="0" w:space="0" w:color="auto"/>
      </w:divBdr>
    </w:div>
    <w:div w:id="2029868942">
      <w:bodyDiv w:val="1"/>
      <w:marLeft w:val="0"/>
      <w:marRight w:val="0"/>
      <w:marTop w:val="0"/>
      <w:marBottom w:val="0"/>
      <w:divBdr>
        <w:top w:val="none" w:sz="0" w:space="0" w:color="auto"/>
        <w:left w:val="none" w:sz="0" w:space="0" w:color="auto"/>
        <w:bottom w:val="none" w:sz="0" w:space="0" w:color="auto"/>
        <w:right w:val="none" w:sz="0" w:space="0" w:color="auto"/>
      </w:divBdr>
    </w:div>
    <w:div w:id="2055153921">
      <w:bodyDiv w:val="1"/>
      <w:marLeft w:val="0"/>
      <w:marRight w:val="0"/>
      <w:marTop w:val="0"/>
      <w:marBottom w:val="0"/>
      <w:divBdr>
        <w:top w:val="none" w:sz="0" w:space="0" w:color="auto"/>
        <w:left w:val="none" w:sz="0" w:space="0" w:color="auto"/>
        <w:bottom w:val="none" w:sz="0" w:space="0" w:color="auto"/>
        <w:right w:val="none" w:sz="0" w:space="0" w:color="auto"/>
      </w:divBdr>
    </w:div>
    <w:div w:id="207627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hyperlink" Target="https://www.gov.uk/government/uploads/system/uploads/attachment_data/file/224437/pb13988-emission-factor-methodology-130719.pdf" TargetMode="External"/><Relationship Id="rId26" Type="http://schemas.openxmlformats.org/officeDocument/2006/relationships/hyperlink" Target="http://dx.doi.org/10.1371/journal.pone.0049171" TargetMode="External"/><Relationship Id="rId39" Type="http://schemas.openxmlformats.org/officeDocument/2006/relationships/hyperlink" Target="http://www.tfl.gov.uk/cdn/static/cms/documents/technical-note-16-understanding-why-people-change-behaviour.pdf" TargetMode="External"/><Relationship Id="rId3" Type="http://schemas.openxmlformats.org/officeDocument/2006/relationships/styles" Target="styles.xml"/><Relationship Id="rId21" Type="http://schemas.openxmlformats.org/officeDocument/2006/relationships/hyperlink" Target="http://doi.org/10.4271/2008-01-0201" TargetMode="External"/><Relationship Id="rId34" Type="http://schemas.openxmlformats.org/officeDocument/2006/relationships/hyperlink" Target="http://dx.doi.org/10.1016/j.atmosenv.2004.09.079" TargetMode="External"/><Relationship Id="rId42"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yperlink" Target="http://dx.doi.org/10.1016/j.trc.2013.09.001" TargetMode="External"/><Relationship Id="rId25" Type="http://schemas.openxmlformats.org/officeDocument/2006/relationships/hyperlink" Target="http://dx.doi.org/10.1049/iet-its.2009.0046" TargetMode="External"/><Relationship Id="rId33" Type="http://schemas.openxmlformats.org/officeDocument/2006/relationships/hyperlink" Target="http://dx.doi.org/10.1016/S1352-2310(02)00651-9" TargetMode="External"/><Relationship Id="rId38" Type="http://schemas.openxmlformats.org/officeDocument/2006/relationships/hyperlink" Target="http://dx.doi.org/10.1016/j.sbspro.2012.06.994" TargetMode="External"/><Relationship Id="rId2" Type="http://schemas.openxmlformats.org/officeDocument/2006/relationships/numbering" Target="numbering.xml"/><Relationship Id="rId16" Type="http://schemas.openxmlformats.org/officeDocument/2006/relationships/hyperlink" Target="http://dx.doi.org/10.1109/ITSC.2005.1520134" TargetMode="External"/><Relationship Id="rId20" Type="http://schemas.openxmlformats.org/officeDocument/2006/relationships/hyperlink" Target="http://dx.doi.org/10.1109/TCSVT.2012.2203741" TargetMode="External"/><Relationship Id="rId29" Type="http://schemas.openxmlformats.org/officeDocument/2006/relationships/hyperlink" Target="http://dx.doi.org/10.1155/2013/504579" TargetMode="External"/><Relationship Id="rId41" Type="http://schemas.openxmlformats.org/officeDocument/2006/relationships/hyperlink" Target="http://dx.doi.org/10.1016/j.jtrangeo.2013.09.013"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chart" Target="charts/chart5.xml"/><Relationship Id="rId24" Type="http://schemas.openxmlformats.org/officeDocument/2006/relationships/hyperlink" Target="http://dx.doi.org/10.3141/2260-01" TargetMode="External"/><Relationship Id="rId32" Type="http://schemas.openxmlformats.org/officeDocument/2006/relationships/hyperlink" Target="http://doi.org/10.3141/1725-14" TargetMode="External"/><Relationship Id="rId37" Type="http://schemas.openxmlformats.org/officeDocument/2006/relationships/hyperlink" Target="http://dx.doi.org/10.1016/0191-2607(91)90152-G" TargetMode="External"/><Relationship Id="rId40" Type="http://schemas.openxmlformats.org/officeDocument/2006/relationships/hyperlink" Target="http://dx.doi.org/10.1016/j.jtrangeo.2012.11.003" TargetMode="External"/><Relationship Id="rId5" Type="http://schemas.openxmlformats.org/officeDocument/2006/relationships/webSettings" Target="webSettings.xml"/><Relationship Id="rId15" Type="http://schemas.openxmlformats.org/officeDocument/2006/relationships/hyperlink" Target="http://dx.doi.org/10.1007/s11116-012-9404-y" TargetMode="External"/><Relationship Id="rId23" Type="http://schemas.openxmlformats.org/officeDocument/2006/relationships/hyperlink" Target="http://doi.org/10.1049/iet-its.2012.0167" TargetMode="External"/><Relationship Id="rId28" Type="http://schemas.openxmlformats.org/officeDocument/2006/relationships/hyperlink" Target="http://dx.doi.org/10.1109/ICSMC.2006.384413" TargetMode="External"/><Relationship Id="rId36" Type="http://schemas.openxmlformats.org/officeDocument/2006/relationships/hyperlink" Target="http://dx.doi.org/10.1016/j.jtrangeo.2013.07.007" TargetMode="External"/><Relationship Id="rId10" Type="http://schemas.openxmlformats.org/officeDocument/2006/relationships/chart" Target="charts/chart4.xml"/><Relationship Id="rId19" Type="http://schemas.openxmlformats.org/officeDocument/2006/relationships/hyperlink" Target="https://www.gov.uk/government/uploads/system/uploads/attachment_data/file/457752/nts2014-01.pdf" TargetMode="External"/><Relationship Id="rId31" Type="http://schemas.openxmlformats.org/officeDocument/2006/relationships/hyperlink" Target="http://dx.doi.org/10.5120/11871-7665" TargetMode="Externa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hyperlink" Target="http://dx.doi.org/10.1016/j.jtrangeo.2009.05.009" TargetMode="External"/><Relationship Id="rId22" Type="http://schemas.openxmlformats.org/officeDocument/2006/relationships/hyperlink" Target="http://dx.doi.org/10.1016/j.patrec.2012.02.004" TargetMode="External"/><Relationship Id="rId27" Type="http://schemas.openxmlformats.org/officeDocument/2006/relationships/hyperlink" Target="http://nebula.wsimg.com/1205ba4f6f448b01cb774681f96b7b0a?AccessKeyId=4CB8F2392A09CF228A46&amp;disposition=0&amp;alloworigin=1" TargetMode="External"/><Relationship Id="rId30" Type="http://schemas.openxmlformats.org/officeDocument/2006/relationships/hyperlink" Target="http://dx.doi.org/10.1016/j.tra.2013.03.004" TargetMode="External"/><Relationship Id="rId35" Type="http://schemas.openxmlformats.org/officeDocument/2006/relationships/hyperlink" Target="http://dx.doi.org/10.1080/0144164032000138742" TargetMode="Externa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soton.ac.uk\ude\PersonalFiles\Users\fnm\mydocuments\utils1\papers\Transport%20Geography%202015\flow_data.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oton.ac.uk\ude\PersonalFiles\Users\fnm\mydocuments\utils1\papers\Transport%20Geography%202015\flow_data.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oton.ac.uk\ude\PersonalFiles\Users\fnm\mydocuments\archive%20projects\ANPR\fnm_analyses\Dorset\XLS_files\distinct_plates_AM-conf90_v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oton.ac.uk\ude\PersonalFiles\Users\fnm\mydocuments\archive%20projects\ANPR\fnm_analyses\Dorset\XLS_files\A11_1_NB.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oton.ac.uk\ude\PersonalFiles\Users\fnm\mydocuments\archive%20projects\ANPR\fnm_analyses\Dorset\XLS_files\lateness_site1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soton.ac.uk\ude\PersonalFiles\Users\fnm\mydocuments\archive%20projects\ANPR\fnm_analyses\Dorset\XLS_files\Churn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soton.ac.uk\ude\PersonalFiles\Users\fnm\mydocuments\archive%20projects\ANPR\fnm_analyses\Dorset\XLS_files\Churn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weekdays_only!$AD$4:$AD$15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weekdays_only!$AE$4:$AE$15</c:f>
              <c:numCache>
                <c:formatCode>0</c:formatCode>
                <c:ptCount val="12"/>
                <c:pt idx="0">
                  <c:v>22948.5</c:v>
                </c:pt>
                <c:pt idx="1">
                  <c:v>25403.45</c:v>
                </c:pt>
                <c:pt idx="2">
                  <c:v>25934.239999999998</c:v>
                </c:pt>
                <c:pt idx="3">
                  <c:v>26423.299999999996</c:v>
                </c:pt>
                <c:pt idx="4">
                  <c:v>27546.159999999996</c:v>
                </c:pt>
                <c:pt idx="5">
                  <c:v>28202.2</c:v>
                </c:pt>
                <c:pt idx="6">
                  <c:v>29398</c:v>
                </c:pt>
                <c:pt idx="7">
                  <c:v>29417.52</c:v>
                </c:pt>
                <c:pt idx="8">
                  <c:v>28169.699999999997</c:v>
                </c:pt>
                <c:pt idx="9">
                  <c:v>27399.890980930413</c:v>
                </c:pt>
                <c:pt idx="10">
                  <c:v>26783.027566094308</c:v>
                </c:pt>
                <c:pt idx="11">
                  <c:v>24910.950000000004</c:v>
                </c:pt>
              </c:numCache>
            </c:numRef>
          </c:val>
          <c:extLst xmlns:c16r2="http://schemas.microsoft.com/office/drawing/2015/06/chart">
            <c:ext xmlns:c16="http://schemas.microsoft.com/office/drawing/2014/chart" uri="{C3380CC4-5D6E-409C-BE32-E72D297353CC}">
              <c16:uniqueId val="{00000000-F59D-48A9-AD42-DF7FBE4E11B0}"/>
            </c:ext>
          </c:extLst>
        </c:ser>
        <c:dLbls>
          <c:showLegendKey val="0"/>
          <c:showVal val="0"/>
          <c:showCatName val="0"/>
          <c:showSerName val="0"/>
          <c:showPercent val="0"/>
          <c:showBubbleSize val="0"/>
        </c:dLbls>
        <c:gapWidth val="150"/>
        <c:axId val="296249712"/>
        <c:axId val="296248928"/>
      </c:barChart>
      <c:catAx>
        <c:axId val="296249712"/>
        <c:scaling>
          <c:orientation val="minMax"/>
        </c:scaling>
        <c:delete val="0"/>
        <c:axPos val="b"/>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Month of year, 2013</a:t>
                </a:r>
              </a:p>
            </c:rich>
          </c:tx>
          <c:layout/>
          <c:overlay val="0"/>
        </c:title>
        <c:numFmt formatCode="General" sourceLinked="1"/>
        <c:majorTickMark val="out"/>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en-US"/>
          </a:p>
        </c:txPr>
        <c:crossAx val="296248928"/>
        <c:crosses val="autoZero"/>
        <c:auto val="1"/>
        <c:lblAlgn val="ctr"/>
        <c:lblOffset val="100"/>
        <c:noMultiLvlLbl val="0"/>
      </c:catAx>
      <c:valAx>
        <c:axId val="296248928"/>
        <c:scaling>
          <c:orientation val="minMax"/>
        </c:scaling>
        <c:delete val="0"/>
        <c:axPos val="l"/>
        <c:title>
          <c:tx>
            <c:rich>
              <a:bodyPr rot="-5400000" vert="horz"/>
              <a:lstStyle/>
              <a:p>
                <a:pPr>
                  <a:defRPr sz="1000" b="0">
                    <a:latin typeface="Times New Roman" panose="02020603050405020304" pitchFamily="18" charset="0"/>
                    <a:cs typeface="Times New Roman" panose="02020603050405020304" pitchFamily="18" charset="0"/>
                  </a:defRPr>
                </a:pPr>
                <a:r>
                  <a:rPr lang="en-US" sz="1000" b="0">
                    <a:latin typeface="Times New Roman" panose="02020603050405020304" pitchFamily="18" charset="0"/>
                    <a:cs typeface="Times New Roman" panose="02020603050405020304" pitchFamily="18" charset="0"/>
                  </a:rPr>
                  <a:t>Average two-way vehicle flow (vehicles/working week)</a:t>
                </a:r>
              </a:p>
            </c:rich>
          </c:tx>
          <c:layout/>
          <c:overlay val="0"/>
        </c:title>
        <c:numFmt formatCode="0" sourceLinked="1"/>
        <c:majorTickMark val="out"/>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en-US"/>
          </a:p>
        </c:txPr>
        <c:crossAx val="29624971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TaraData!$BO$9</c:f>
              <c:strCache>
                <c:ptCount val="1"/>
                <c:pt idx="0">
                  <c:v>average</c:v>
                </c:pt>
              </c:strCache>
            </c:strRef>
          </c:tx>
          <c:invertIfNegative val="0"/>
          <c:cat>
            <c:strRef>
              <c:f>TaraData!$BN$10:$BN$33</c:f>
              <c:strCache>
                <c:ptCount val="24"/>
                <c:pt idx="0">
                  <c:v>0-1</c:v>
                </c:pt>
                <c:pt idx="1">
                  <c:v>1-2</c:v>
                </c:pt>
                <c:pt idx="2">
                  <c:v>2-3</c:v>
                </c:pt>
                <c:pt idx="3">
                  <c:v>3-4</c:v>
                </c:pt>
                <c:pt idx="4">
                  <c:v>4-5</c:v>
                </c:pt>
                <c:pt idx="5">
                  <c:v>5-6</c:v>
                </c:pt>
                <c:pt idx="6">
                  <c:v>6-7</c:v>
                </c:pt>
                <c:pt idx="7">
                  <c:v>7-8</c:v>
                </c:pt>
                <c:pt idx="8">
                  <c:v>8-9</c:v>
                </c:pt>
                <c:pt idx="9">
                  <c:v>9-10</c:v>
                </c:pt>
                <c:pt idx="10">
                  <c:v>10-11</c:v>
                </c:pt>
                <c:pt idx="11">
                  <c:v>11-12</c:v>
                </c:pt>
                <c:pt idx="12">
                  <c:v>12-13</c:v>
                </c:pt>
                <c:pt idx="13">
                  <c:v>13-14 </c:v>
                </c:pt>
                <c:pt idx="14">
                  <c:v>14-15 </c:v>
                </c:pt>
                <c:pt idx="15">
                  <c:v>15-16 </c:v>
                </c:pt>
                <c:pt idx="16">
                  <c:v>16-17 </c:v>
                </c:pt>
                <c:pt idx="17">
                  <c:v>17-18 </c:v>
                </c:pt>
                <c:pt idx="18">
                  <c:v>18-19 </c:v>
                </c:pt>
                <c:pt idx="19">
                  <c:v>19-20 </c:v>
                </c:pt>
                <c:pt idx="20">
                  <c:v>20-21 </c:v>
                </c:pt>
                <c:pt idx="21">
                  <c:v>21-22 </c:v>
                </c:pt>
                <c:pt idx="22">
                  <c:v>22-23 </c:v>
                </c:pt>
                <c:pt idx="23">
                  <c:v>23-24 </c:v>
                </c:pt>
              </c:strCache>
            </c:strRef>
          </c:cat>
          <c:val>
            <c:numRef>
              <c:f>TaraData!$BO$10:$BO$33</c:f>
              <c:numCache>
                <c:formatCode>General</c:formatCode>
                <c:ptCount val="24"/>
                <c:pt idx="0">
                  <c:v>93.06</c:v>
                </c:pt>
                <c:pt idx="1">
                  <c:v>55.02</c:v>
                </c:pt>
                <c:pt idx="2">
                  <c:v>47.1</c:v>
                </c:pt>
                <c:pt idx="3">
                  <c:v>50.9</c:v>
                </c:pt>
                <c:pt idx="4">
                  <c:v>88.08</c:v>
                </c:pt>
                <c:pt idx="5">
                  <c:v>261.92</c:v>
                </c:pt>
                <c:pt idx="6">
                  <c:v>860.72</c:v>
                </c:pt>
                <c:pt idx="7">
                  <c:v>1957.16</c:v>
                </c:pt>
                <c:pt idx="8">
                  <c:v>2177.5</c:v>
                </c:pt>
                <c:pt idx="9">
                  <c:v>1762.02</c:v>
                </c:pt>
                <c:pt idx="10">
                  <c:v>1703.86</c:v>
                </c:pt>
                <c:pt idx="11">
                  <c:v>1673.66</c:v>
                </c:pt>
                <c:pt idx="12">
                  <c:v>1691.92</c:v>
                </c:pt>
                <c:pt idx="13">
                  <c:v>1714.56</c:v>
                </c:pt>
                <c:pt idx="14">
                  <c:v>1794.12</c:v>
                </c:pt>
                <c:pt idx="15">
                  <c:v>1929.28</c:v>
                </c:pt>
                <c:pt idx="16">
                  <c:v>2191.42</c:v>
                </c:pt>
                <c:pt idx="17">
                  <c:v>2241.48</c:v>
                </c:pt>
                <c:pt idx="18">
                  <c:v>1589.84</c:v>
                </c:pt>
                <c:pt idx="19">
                  <c:v>1063.28</c:v>
                </c:pt>
                <c:pt idx="20">
                  <c:v>749.72</c:v>
                </c:pt>
                <c:pt idx="21">
                  <c:v>562.91999999999996</c:v>
                </c:pt>
                <c:pt idx="22">
                  <c:v>430.02</c:v>
                </c:pt>
                <c:pt idx="23">
                  <c:v>230.38</c:v>
                </c:pt>
              </c:numCache>
            </c:numRef>
          </c:val>
          <c:extLst xmlns:c16r2="http://schemas.microsoft.com/office/drawing/2015/06/chart">
            <c:ext xmlns:c16="http://schemas.microsoft.com/office/drawing/2014/chart" uri="{C3380CC4-5D6E-409C-BE32-E72D297353CC}">
              <c16:uniqueId val="{00000000-BED9-4279-BFEF-774AE125EE3D}"/>
            </c:ext>
          </c:extLst>
        </c:ser>
        <c:dLbls>
          <c:showLegendKey val="0"/>
          <c:showVal val="0"/>
          <c:showCatName val="0"/>
          <c:showSerName val="0"/>
          <c:showPercent val="0"/>
          <c:showBubbleSize val="0"/>
        </c:dLbls>
        <c:gapWidth val="150"/>
        <c:axId val="243795792"/>
        <c:axId val="243796576"/>
      </c:barChart>
      <c:catAx>
        <c:axId val="243795792"/>
        <c:scaling>
          <c:orientation val="minMax"/>
        </c:scaling>
        <c:delete val="0"/>
        <c:axPos val="b"/>
        <c:title>
          <c:tx>
            <c:rich>
              <a:bodyPr/>
              <a:lstStyle/>
              <a:p>
                <a:pPr>
                  <a:defRPr b="0">
                    <a:latin typeface="Times New Roman" panose="02020603050405020304" pitchFamily="18" charset="0"/>
                    <a:cs typeface="Times New Roman" panose="02020603050405020304" pitchFamily="18" charset="0"/>
                  </a:defRPr>
                </a:pPr>
                <a:r>
                  <a:rPr lang="en-US" b="0">
                    <a:latin typeface="Times New Roman" panose="02020603050405020304" pitchFamily="18" charset="0"/>
                    <a:cs typeface="Times New Roman" panose="02020603050405020304" pitchFamily="18" charset="0"/>
                  </a:rPr>
                  <a:t>Hour of day</a:t>
                </a:r>
              </a:p>
            </c:rich>
          </c:tx>
          <c:layout/>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243796576"/>
        <c:crosses val="autoZero"/>
        <c:auto val="1"/>
        <c:lblAlgn val="ctr"/>
        <c:lblOffset val="100"/>
        <c:noMultiLvlLbl val="0"/>
      </c:catAx>
      <c:valAx>
        <c:axId val="243796576"/>
        <c:scaling>
          <c:orientation val="minMax"/>
        </c:scaling>
        <c:delete val="0"/>
        <c:axPos val="l"/>
        <c:title>
          <c:tx>
            <c:rich>
              <a:bodyPr rot="-5400000" vert="horz"/>
              <a:lstStyle/>
              <a:p>
                <a:pPr>
                  <a:defRPr sz="1000">
                    <a:latin typeface="Times New Roman" panose="02020603050405020304" pitchFamily="18" charset="0"/>
                    <a:cs typeface="Times New Roman" panose="02020603050405020304" pitchFamily="18" charset="0"/>
                  </a:defRPr>
                </a:pPr>
                <a:r>
                  <a:rPr lang="en-US" sz="1000" b="0">
                    <a:latin typeface="Times New Roman" panose="02020603050405020304" pitchFamily="18" charset="0"/>
                    <a:cs typeface="Times New Roman" panose="02020603050405020304" pitchFamily="18" charset="0"/>
                  </a:rPr>
                  <a:t>Average two-way vehicle flow (vehicles/hour)</a:t>
                </a:r>
              </a:p>
            </c:rich>
          </c:tx>
          <c:layout/>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24379579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'#summary'!$AE$45</c:f>
              <c:strCache>
                <c:ptCount val="1"/>
                <c:pt idx="0">
                  <c:v>cumulative</c:v>
                </c:pt>
              </c:strCache>
            </c:strRef>
          </c:tx>
          <c:invertIfNegative val="0"/>
          <c:cat>
            <c:strRef>
              <c:f>'#summary'!$AC$46:$AC$62</c:f>
              <c:strCache>
                <c:ptCount val="17"/>
                <c:pt idx="0">
                  <c:v>1</c:v>
                </c:pt>
                <c:pt idx="1">
                  <c:v>2-5</c:v>
                </c:pt>
                <c:pt idx="2">
                  <c:v>6-10</c:v>
                </c:pt>
                <c:pt idx="3">
                  <c:v>11-15</c:v>
                </c:pt>
                <c:pt idx="4">
                  <c:v>16-20</c:v>
                </c:pt>
                <c:pt idx="5">
                  <c:v>21-25</c:v>
                </c:pt>
                <c:pt idx="6">
                  <c:v>26-30</c:v>
                </c:pt>
                <c:pt idx="7">
                  <c:v>31-35</c:v>
                </c:pt>
                <c:pt idx="8">
                  <c:v>36-40</c:v>
                </c:pt>
                <c:pt idx="9">
                  <c:v>41-45</c:v>
                </c:pt>
                <c:pt idx="10">
                  <c:v>46-50</c:v>
                </c:pt>
                <c:pt idx="11">
                  <c:v>51-55</c:v>
                </c:pt>
                <c:pt idx="12">
                  <c:v>56-60</c:v>
                </c:pt>
                <c:pt idx="13">
                  <c:v>61-65</c:v>
                </c:pt>
                <c:pt idx="14">
                  <c:v>66-70</c:v>
                </c:pt>
                <c:pt idx="15">
                  <c:v>71-75</c:v>
                </c:pt>
                <c:pt idx="16">
                  <c:v>&gt;75</c:v>
                </c:pt>
              </c:strCache>
            </c:strRef>
          </c:cat>
          <c:val>
            <c:numRef>
              <c:f>'#summary'!$AE$46:$AE$62</c:f>
              <c:numCache>
                <c:formatCode>0.0%</c:formatCode>
                <c:ptCount val="17"/>
                <c:pt idx="0">
                  <c:v>0.55665520664461876</c:v>
                </c:pt>
                <c:pt idx="1">
                  <c:v>0.82596324536799604</c:v>
                </c:pt>
                <c:pt idx="2">
                  <c:v>0.89428590458253421</c:v>
                </c:pt>
                <c:pt idx="3">
                  <c:v>0.92352424522617804</c:v>
                </c:pt>
                <c:pt idx="4">
                  <c:v>0.94056397242745504</c:v>
                </c:pt>
                <c:pt idx="5">
                  <c:v>0.95236173286071746</c:v>
                </c:pt>
                <c:pt idx="6">
                  <c:v>0.96095554862000698</c:v>
                </c:pt>
                <c:pt idx="7">
                  <c:v>0.96718644102690809</c:v>
                </c:pt>
                <c:pt idx="8">
                  <c:v>0.97218136757340268</c:v>
                </c:pt>
                <c:pt idx="9">
                  <c:v>0.97609904623087529</c:v>
                </c:pt>
                <c:pt idx="10">
                  <c:v>0.97938721451986555</c:v>
                </c:pt>
                <c:pt idx="11">
                  <c:v>0.98214720529955857</c:v>
                </c:pt>
                <c:pt idx="12">
                  <c:v>0.98451843191159683</c:v>
                </c:pt>
                <c:pt idx="13">
                  <c:v>0.98663150500205465</c:v>
                </c:pt>
                <c:pt idx="14">
                  <c:v>0.98846631766933768</c:v>
                </c:pt>
                <c:pt idx="15">
                  <c:v>0.9900234956907964</c:v>
                </c:pt>
                <c:pt idx="16">
                  <c:v>1</c:v>
                </c:pt>
              </c:numCache>
            </c:numRef>
          </c:val>
        </c:ser>
        <c:dLbls>
          <c:showLegendKey val="0"/>
          <c:showVal val="0"/>
          <c:showCatName val="0"/>
          <c:showSerName val="0"/>
          <c:showPercent val="0"/>
          <c:showBubbleSize val="0"/>
        </c:dLbls>
        <c:gapWidth val="150"/>
        <c:axId val="243798928"/>
        <c:axId val="243797360"/>
      </c:barChart>
      <c:catAx>
        <c:axId val="243798928"/>
        <c:scaling>
          <c:orientation val="minMax"/>
        </c:scaling>
        <c:delete val="0"/>
        <c:axPos val="b"/>
        <c:title>
          <c:tx>
            <c:rich>
              <a:bodyPr/>
              <a:lstStyle/>
              <a:p>
                <a:pPr>
                  <a:defRPr b="0">
                    <a:latin typeface="Times New Roman" panose="02020603050405020304" pitchFamily="18" charset="0"/>
                    <a:cs typeface="Times New Roman" panose="02020603050405020304" pitchFamily="18" charset="0"/>
                  </a:defRPr>
                </a:pPr>
                <a:r>
                  <a:rPr lang="en-US" b="0">
                    <a:latin typeface="Times New Roman" panose="02020603050405020304" pitchFamily="18" charset="0"/>
                    <a:cs typeface="Times New Roman" panose="02020603050405020304" pitchFamily="18" charset="0"/>
                  </a:rPr>
                  <a:t>Number of times same vehicle observed at same site between </a:t>
                </a:r>
                <a:r>
                  <a:rPr lang="en-US"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07</a:t>
                </a:r>
                <a:r>
                  <a:rPr lang="en-US" b="0">
                    <a:latin typeface="Times New Roman" panose="02020603050405020304" pitchFamily="18" charset="0"/>
                    <a:cs typeface="Times New Roman" panose="02020603050405020304" pitchFamily="18" charset="0"/>
                  </a:rPr>
                  <a:t>00-</a:t>
                </a:r>
                <a:r>
                  <a:rPr lang="en-US"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09</a:t>
                </a:r>
                <a:r>
                  <a:rPr lang="en-US" b="0">
                    <a:latin typeface="Times New Roman" panose="02020603050405020304" pitchFamily="18" charset="0"/>
                    <a:cs typeface="Times New Roman" panose="02020603050405020304" pitchFamily="18" charset="0"/>
                  </a:rPr>
                  <a:t>00</a:t>
                </a:r>
              </a:p>
            </c:rich>
          </c:tx>
          <c:layout/>
          <c:overlay val="0"/>
        </c:title>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243797360"/>
        <c:crosses val="autoZero"/>
        <c:auto val="1"/>
        <c:lblAlgn val="ctr"/>
        <c:lblOffset val="100"/>
        <c:noMultiLvlLbl val="0"/>
      </c:catAx>
      <c:valAx>
        <c:axId val="243797360"/>
        <c:scaling>
          <c:orientation val="minMax"/>
          <c:max val="1"/>
        </c:scaling>
        <c:delete val="0"/>
        <c:axPos val="l"/>
        <c:title>
          <c:tx>
            <c:rich>
              <a:bodyPr rot="-5400000" vert="horz"/>
              <a:lstStyle/>
              <a:p>
                <a:pPr>
                  <a:defRPr b="0">
                    <a:latin typeface="Times New Roman" panose="02020603050405020304" pitchFamily="18" charset="0"/>
                    <a:cs typeface="Times New Roman" panose="02020603050405020304" pitchFamily="18" charset="0"/>
                  </a:defRPr>
                </a:pPr>
                <a:r>
                  <a:rPr lang="en-US" b="0">
                    <a:latin typeface="Times New Roman" panose="02020603050405020304" pitchFamily="18" charset="0"/>
                    <a:cs typeface="Times New Roman" panose="02020603050405020304" pitchFamily="18" charset="0"/>
                  </a:rPr>
                  <a:t>Cumulative proportion of vehicle population</a:t>
                </a:r>
              </a:p>
            </c:rich>
          </c:tx>
          <c:layout/>
          <c:overlay val="0"/>
        </c:title>
        <c:numFmt formatCode="0%"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243798928"/>
        <c:crosses val="autoZero"/>
        <c:crossBetween val="between"/>
        <c:majorUnit val="0.2"/>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258219367315928"/>
          <c:y val="5.0925925925925923E-2"/>
          <c:w val="0.75364587650227932"/>
          <c:h val="0.75687481773111698"/>
        </c:manualLayout>
      </c:layout>
      <c:scatterChart>
        <c:scatterStyle val="lineMarker"/>
        <c:varyColors val="0"/>
        <c:ser>
          <c:idx val="0"/>
          <c:order val="0"/>
          <c:spPr>
            <a:ln w="28575">
              <a:noFill/>
            </a:ln>
          </c:spPr>
          <c:xVal>
            <c:numRef>
              <c:f>'P1'!$Q$2:$Q$88</c:f>
              <c:numCache>
                <c:formatCode>dd/mm/yy</c:formatCode>
                <c:ptCount val="87"/>
                <c:pt idx="0">
                  <c:v>41368</c:v>
                </c:pt>
                <c:pt idx="1">
                  <c:v>41369</c:v>
                </c:pt>
                <c:pt idx="2">
                  <c:v>41372</c:v>
                </c:pt>
                <c:pt idx="3">
                  <c:v>41373</c:v>
                </c:pt>
                <c:pt idx="4">
                  <c:v>41374</c:v>
                </c:pt>
                <c:pt idx="5">
                  <c:v>41375</c:v>
                </c:pt>
                <c:pt idx="6">
                  <c:v>41376</c:v>
                </c:pt>
                <c:pt idx="7">
                  <c:v>41379</c:v>
                </c:pt>
                <c:pt idx="8">
                  <c:v>41380</c:v>
                </c:pt>
                <c:pt idx="9">
                  <c:v>41381</c:v>
                </c:pt>
                <c:pt idx="10">
                  <c:v>41382</c:v>
                </c:pt>
                <c:pt idx="11">
                  <c:v>41383</c:v>
                </c:pt>
                <c:pt idx="12">
                  <c:v>41386</c:v>
                </c:pt>
                <c:pt idx="13">
                  <c:v>41387</c:v>
                </c:pt>
                <c:pt idx="14">
                  <c:v>41388</c:v>
                </c:pt>
                <c:pt idx="15">
                  <c:v>41389</c:v>
                </c:pt>
                <c:pt idx="16">
                  <c:v>41390</c:v>
                </c:pt>
                <c:pt idx="17">
                  <c:v>41393</c:v>
                </c:pt>
                <c:pt idx="18">
                  <c:v>41394</c:v>
                </c:pt>
                <c:pt idx="19">
                  <c:v>41395</c:v>
                </c:pt>
                <c:pt idx="20">
                  <c:v>41396</c:v>
                </c:pt>
                <c:pt idx="21">
                  <c:v>41397</c:v>
                </c:pt>
                <c:pt idx="22">
                  <c:v>41400</c:v>
                </c:pt>
                <c:pt idx="23">
                  <c:v>41401</c:v>
                </c:pt>
                <c:pt idx="24">
                  <c:v>41402</c:v>
                </c:pt>
                <c:pt idx="25">
                  <c:v>41403</c:v>
                </c:pt>
                <c:pt idx="26">
                  <c:v>41404</c:v>
                </c:pt>
                <c:pt idx="27">
                  <c:v>41407</c:v>
                </c:pt>
                <c:pt idx="28">
                  <c:v>41408</c:v>
                </c:pt>
                <c:pt idx="29">
                  <c:v>41409</c:v>
                </c:pt>
                <c:pt idx="30">
                  <c:v>41410</c:v>
                </c:pt>
                <c:pt idx="31">
                  <c:v>41411</c:v>
                </c:pt>
                <c:pt idx="32">
                  <c:v>41414</c:v>
                </c:pt>
                <c:pt idx="33">
                  <c:v>41415</c:v>
                </c:pt>
                <c:pt idx="34">
                  <c:v>41416</c:v>
                </c:pt>
                <c:pt idx="35">
                  <c:v>41417</c:v>
                </c:pt>
                <c:pt idx="36">
                  <c:v>41418</c:v>
                </c:pt>
                <c:pt idx="37">
                  <c:v>41421</c:v>
                </c:pt>
                <c:pt idx="38">
                  <c:v>41422</c:v>
                </c:pt>
                <c:pt idx="39">
                  <c:v>41423</c:v>
                </c:pt>
                <c:pt idx="40">
                  <c:v>41424</c:v>
                </c:pt>
                <c:pt idx="41">
                  <c:v>41425</c:v>
                </c:pt>
                <c:pt idx="42">
                  <c:v>41428</c:v>
                </c:pt>
                <c:pt idx="43">
                  <c:v>41429</c:v>
                </c:pt>
                <c:pt idx="44">
                  <c:v>41430</c:v>
                </c:pt>
                <c:pt idx="45">
                  <c:v>41431</c:v>
                </c:pt>
                <c:pt idx="46">
                  <c:v>41432</c:v>
                </c:pt>
                <c:pt idx="47">
                  <c:v>41435</c:v>
                </c:pt>
                <c:pt idx="48">
                  <c:v>41436</c:v>
                </c:pt>
                <c:pt idx="49">
                  <c:v>41437</c:v>
                </c:pt>
                <c:pt idx="50">
                  <c:v>41438</c:v>
                </c:pt>
                <c:pt idx="51">
                  <c:v>41439</c:v>
                </c:pt>
                <c:pt idx="52">
                  <c:v>41442</c:v>
                </c:pt>
                <c:pt idx="53">
                  <c:v>41443</c:v>
                </c:pt>
                <c:pt idx="54">
                  <c:v>41444</c:v>
                </c:pt>
                <c:pt idx="55">
                  <c:v>41445</c:v>
                </c:pt>
                <c:pt idx="56">
                  <c:v>41446</c:v>
                </c:pt>
                <c:pt idx="57">
                  <c:v>41449</c:v>
                </c:pt>
                <c:pt idx="58">
                  <c:v>41450</c:v>
                </c:pt>
                <c:pt idx="59">
                  <c:v>41451</c:v>
                </c:pt>
                <c:pt idx="60">
                  <c:v>41452</c:v>
                </c:pt>
                <c:pt idx="61">
                  <c:v>41453</c:v>
                </c:pt>
                <c:pt idx="62">
                  <c:v>41456</c:v>
                </c:pt>
                <c:pt idx="63">
                  <c:v>41457</c:v>
                </c:pt>
                <c:pt idx="64">
                  <c:v>41458</c:v>
                </c:pt>
                <c:pt idx="65">
                  <c:v>41459</c:v>
                </c:pt>
                <c:pt idx="66">
                  <c:v>41460</c:v>
                </c:pt>
                <c:pt idx="67">
                  <c:v>41463</c:v>
                </c:pt>
                <c:pt idx="68">
                  <c:v>41464</c:v>
                </c:pt>
                <c:pt idx="69">
                  <c:v>41465</c:v>
                </c:pt>
                <c:pt idx="70">
                  <c:v>41466</c:v>
                </c:pt>
                <c:pt idx="71">
                  <c:v>41467</c:v>
                </c:pt>
                <c:pt idx="72">
                  <c:v>41470</c:v>
                </c:pt>
                <c:pt idx="73">
                  <c:v>41471</c:v>
                </c:pt>
                <c:pt idx="74">
                  <c:v>41472</c:v>
                </c:pt>
                <c:pt idx="75">
                  <c:v>41473</c:v>
                </c:pt>
                <c:pt idx="76">
                  <c:v>41474</c:v>
                </c:pt>
                <c:pt idx="77">
                  <c:v>41477</c:v>
                </c:pt>
                <c:pt idx="78">
                  <c:v>41478</c:v>
                </c:pt>
                <c:pt idx="79">
                  <c:v>41479</c:v>
                </c:pt>
                <c:pt idx="80">
                  <c:v>41480</c:v>
                </c:pt>
                <c:pt idx="81">
                  <c:v>41481</c:v>
                </c:pt>
                <c:pt idx="82">
                  <c:v>41484</c:v>
                </c:pt>
                <c:pt idx="83">
                  <c:v>41485</c:v>
                </c:pt>
                <c:pt idx="84">
                  <c:v>41486</c:v>
                </c:pt>
                <c:pt idx="85">
                  <c:v>41487</c:v>
                </c:pt>
                <c:pt idx="86">
                  <c:v>41488</c:v>
                </c:pt>
              </c:numCache>
            </c:numRef>
          </c:xVal>
          <c:yVal>
            <c:numRef>
              <c:f>'P1'!$R$2:$R$88</c:f>
              <c:numCache>
                <c:formatCode>General</c:formatCode>
                <c:ptCount val="87"/>
                <c:pt idx="0">
                  <c:v>0.13275063242181384</c:v>
                </c:pt>
                <c:pt idx="1">
                  <c:v>0.18834337008341323</c:v>
                </c:pt>
                <c:pt idx="2">
                  <c:v>0.23207987124132734</c:v>
                </c:pt>
                <c:pt idx="3">
                  <c:v>0.15109349736988797</c:v>
                </c:pt>
                <c:pt idx="4">
                  <c:v>-4.0230985783079896E-2</c:v>
                </c:pt>
                <c:pt idx="5">
                  <c:v>7.1149205996569195E-2</c:v>
                </c:pt>
                <c:pt idx="6">
                  <c:v>-7.3082258197403216E-2</c:v>
                </c:pt>
                <c:pt idx="7">
                  <c:v>9.7863512261751814E-2</c:v>
                </c:pt>
                <c:pt idx="8">
                  <c:v>-6.3227450240292679E-2</c:v>
                </c:pt>
                <c:pt idx="9">
                  <c:v>1.9489496417939376E-2</c:v>
                </c:pt>
                <c:pt idx="10">
                  <c:v>-0.16441832221634595</c:v>
                </c:pt>
                <c:pt idx="11">
                  <c:v>3.1610929348843839E-2</c:v>
                </c:pt>
                <c:pt idx="12">
                  <c:v>-2.7200093323557339E-2</c:v>
                </c:pt>
                <c:pt idx="13">
                  <c:v>6.1316084010050474E-2</c:v>
                </c:pt>
                <c:pt idx="14">
                  <c:v>0.12163303731587717</c:v>
                </c:pt>
                <c:pt idx="15">
                  <c:v>0.17954561025450433</c:v>
                </c:pt>
                <c:pt idx="16">
                  <c:v>-2.9280499368596041E-2</c:v>
                </c:pt>
                <c:pt idx="17">
                  <c:v>4.2325699110857236E-3</c:v>
                </c:pt>
                <c:pt idx="18">
                  <c:v>5.5140878338746637E-3</c:v>
                </c:pt>
                <c:pt idx="19">
                  <c:v>3.6716368602977799E-2</c:v>
                </c:pt>
                <c:pt idx="20">
                  <c:v>-0.10002445639218926</c:v>
                </c:pt>
                <c:pt idx="21">
                  <c:v>-2.3498021954107051E-2</c:v>
                </c:pt>
                <c:pt idx="23">
                  <c:v>-0.12739163365567005</c:v>
                </c:pt>
                <c:pt idx="24">
                  <c:v>-6.5591106632389609E-2</c:v>
                </c:pt>
                <c:pt idx="25">
                  <c:v>-4.8102227090838542E-2</c:v>
                </c:pt>
                <c:pt idx="26">
                  <c:v>-4.874318313425919E-2</c:v>
                </c:pt>
                <c:pt idx="27">
                  <c:v>-6.881828505061631E-2</c:v>
                </c:pt>
                <c:pt idx="28">
                  <c:v>-3.9783800715152834E-2</c:v>
                </c:pt>
                <c:pt idx="29">
                  <c:v>2.6889586438270996E-2</c:v>
                </c:pt>
                <c:pt idx="30">
                  <c:v>-0.12953496512303275</c:v>
                </c:pt>
                <c:pt idx="31">
                  <c:v>-5.1463041537161004E-2</c:v>
                </c:pt>
                <c:pt idx="32">
                  <c:v>-7.3629848234678594E-2</c:v>
                </c:pt>
                <c:pt idx="33">
                  <c:v>-2.8376083722849704E-2</c:v>
                </c:pt>
                <c:pt idx="34">
                  <c:v>-2.6078663775463789E-2</c:v>
                </c:pt>
                <c:pt idx="35">
                  <c:v>-6.210423855862459E-2</c:v>
                </c:pt>
                <c:pt idx="36">
                  <c:v>-7.0104984647732987E-2</c:v>
                </c:pt>
                <c:pt idx="38">
                  <c:v>-0.11670603825271658</c:v>
                </c:pt>
                <c:pt idx="39">
                  <c:v>-0.15396717661915377</c:v>
                </c:pt>
                <c:pt idx="40">
                  <c:v>0.1290145948373882</c:v>
                </c:pt>
                <c:pt idx="41">
                  <c:v>-0.14880122631462239</c:v>
                </c:pt>
                <c:pt idx="42">
                  <c:v>1.7935512873321176E-2</c:v>
                </c:pt>
                <c:pt idx="43">
                  <c:v>0.17294473645971414</c:v>
                </c:pt>
                <c:pt idx="44">
                  <c:v>0.23413086506298833</c:v>
                </c:pt>
                <c:pt idx="45">
                  <c:v>0.28898620804368441</c:v>
                </c:pt>
                <c:pt idx="46">
                  <c:v>0.15451058883799312</c:v>
                </c:pt>
                <c:pt idx="47">
                  <c:v>-7.2033992511908299E-2</c:v>
                </c:pt>
                <c:pt idx="48">
                  <c:v>6.8378438796166474E-3</c:v>
                </c:pt>
                <c:pt idx="49">
                  <c:v>-7.6826118155418482E-2</c:v>
                </c:pt>
                <c:pt idx="50">
                  <c:v>-8.0035551536453437E-3</c:v>
                </c:pt>
                <c:pt idx="51">
                  <c:v>-0.13362343727541823</c:v>
                </c:pt>
                <c:pt idx="56">
                  <c:v>-9.5717694018459157E-2</c:v>
                </c:pt>
                <c:pt idx="57">
                  <c:v>-0.11374272840361468</c:v>
                </c:pt>
                <c:pt idx="58">
                  <c:v>1.4578539407587044E-2</c:v>
                </c:pt>
                <c:pt idx="59">
                  <c:v>-2.7868710669637874E-2</c:v>
                </c:pt>
                <c:pt idx="60">
                  <c:v>-6.1730692421830977E-2</c:v>
                </c:pt>
                <c:pt idx="61">
                  <c:v>-5.0561236462025906E-2</c:v>
                </c:pt>
                <c:pt idx="62">
                  <c:v>-7.2914713774582834E-2</c:v>
                </c:pt>
                <c:pt idx="63">
                  <c:v>-0.10203927505064619</c:v>
                </c:pt>
                <c:pt idx="64">
                  <c:v>-0.19163992753161754</c:v>
                </c:pt>
                <c:pt idx="65">
                  <c:v>5.5579148196703676E-2</c:v>
                </c:pt>
                <c:pt idx="66">
                  <c:v>-3.8367684133478407E-3</c:v>
                </c:pt>
                <c:pt idx="67">
                  <c:v>6.4442614492098177E-2</c:v>
                </c:pt>
                <c:pt idx="68">
                  <c:v>-7.0872869963311602E-2</c:v>
                </c:pt>
                <c:pt idx="69">
                  <c:v>8.267806316771735E-2</c:v>
                </c:pt>
                <c:pt idx="70">
                  <c:v>-5.0450705296720251E-2</c:v>
                </c:pt>
                <c:pt idx="71">
                  <c:v>2.8534191876619666E-2</c:v>
                </c:pt>
                <c:pt idx="72">
                  <c:v>-3.3027154415287384E-2</c:v>
                </c:pt>
                <c:pt idx="73">
                  <c:v>1.5414914250787478E-2</c:v>
                </c:pt>
                <c:pt idx="74">
                  <c:v>3.0793050780813975E-2</c:v>
                </c:pt>
                <c:pt idx="75">
                  <c:v>-0.12500061000147508</c:v>
                </c:pt>
                <c:pt idx="76">
                  <c:v>-0.11992719231790487</c:v>
                </c:pt>
                <c:pt idx="77">
                  <c:v>0.11011938954893169</c:v>
                </c:pt>
                <c:pt idx="78">
                  <c:v>0.56805623465063049</c:v>
                </c:pt>
                <c:pt idx="79">
                  <c:v>0.20538596567825329</c:v>
                </c:pt>
                <c:pt idx="80">
                  <c:v>0.1023881488611311</c:v>
                </c:pt>
                <c:pt idx="81">
                  <c:v>7.5802347838450149E-2</c:v>
                </c:pt>
                <c:pt idx="82">
                  <c:v>-6.2294082016695333E-2</c:v>
                </c:pt>
                <c:pt idx="83">
                  <c:v>-0.14735439493573599</c:v>
                </c:pt>
                <c:pt idx="84">
                  <c:v>-0.15620732009712712</c:v>
                </c:pt>
                <c:pt idx="85">
                  <c:v>-8.4622853961283148E-2</c:v>
                </c:pt>
                <c:pt idx="86">
                  <c:v>-9.7956267764579844E-2</c:v>
                </c:pt>
              </c:numCache>
            </c:numRef>
          </c:yVal>
          <c:smooth val="0"/>
        </c:ser>
        <c:dLbls>
          <c:showLegendKey val="0"/>
          <c:showVal val="0"/>
          <c:showCatName val="0"/>
          <c:showSerName val="0"/>
          <c:showPercent val="0"/>
          <c:showBubbleSize val="0"/>
        </c:dLbls>
        <c:axId val="298331616"/>
        <c:axId val="298334752"/>
      </c:scatterChart>
      <c:valAx>
        <c:axId val="298331616"/>
        <c:scaling>
          <c:orientation val="minMax"/>
          <c:max val="41490"/>
          <c:min val="41368"/>
        </c:scaling>
        <c:delete val="0"/>
        <c:axPos val="b"/>
        <c:title>
          <c:tx>
            <c:rich>
              <a:bodyPr/>
              <a:lstStyle/>
              <a:p>
                <a:pPr>
                  <a:defRPr sz="1200" b="0">
                    <a:latin typeface="Times New Roman" panose="02020603050405020304" pitchFamily="18" charset="0"/>
                    <a:cs typeface="Times New Roman" panose="02020603050405020304" pitchFamily="18" charset="0"/>
                  </a:defRPr>
                </a:pPr>
                <a:r>
                  <a:rPr lang="en-US" sz="1200" b="0">
                    <a:latin typeface="Times New Roman" panose="02020603050405020304" pitchFamily="18" charset="0"/>
                    <a:cs typeface="Times New Roman" panose="02020603050405020304" pitchFamily="18" charset="0"/>
                  </a:rPr>
                  <a:t>Date (dd/mm/yy)</a:t>
                </a:r>
              </a:p>
            </c:rich>
          </c:tx>
          <c:layout/>
          <c:overlay val="0"/>
        </c:title>
        <c:numFmt formatCode="dd/mm/yy" sourceLinked="1"/>
        <c:majorTickMark val="out"/>
        <c:minorTickMark val="none"/>
        <c:tickLblPos val="low"/>
        <c:txPr>
          <a:bodyPr rot="0" vert="horz"/>
          <a:lstStyle/>
          <a:p>
            <a:pPr>
              <a:defRPr sz="1200">
                <a:latin typeface="Times New Roman" panose="02020603050405020304" pitchFamily="18" charset="0"/>
                <a:cs typeface="Times New Roman" panose="02020603050405020304" pitchFamily="18" charset="0"/>
              </a:defRPr>
            </a:pPr>
            <a:endParaRPr lang="en-US"/>
          </a:p>
        </c:txPr>
        <c:crossAx val="298334752"/>
        <c:crosses val="autoZero"/>
        <c:crossBetween val="midCat"/>
        <c:majorUnit val="20"/>
      </c:valAx>
      <c:valAx>
        <c:axId val="298334752"/>
        <c:scaling>
          <c:orientation val="minMax"/>
        </c:scaling>
        <c:delete val="0"/>
        <c:axPos val="l"/>
        <c:title>
          <c:tx>
            <c:rich>
              <a:bodyPr rot="-5400000" vert="horz"/>
              <a:lstStyle/>
              <a:p>
                <a:pPr>
                  <a:defRPr sz="1200" b="0">
                    <a:latin typeface="Times New Roman" panose="02020603050405020304" pitchFamily="18" charset="0"/>
                    <a:cs typeface="Times New Roman" panose="02020603050405020304" pitchFamily="18" charset="0"/>
                  </a:defRPr>
                </a:pPr>
                <a:r>
                  <a:rPr lang="en-US" sz="1200" b="0">
                    <a:latin typeface="Times New Roman" panose="02020603050405020304" pitchFamily="18" charset="0"/>
                    <a:cs typeface="Times New Roman" panose="02020603050405020304" pitchFamily="18" charset="0"/>
                  </a:rPr>
                  <a:t>mean standard score</a:t>
                </a:r>
              </a:p>
            </c:rich>
          </c:tx>
          <c:layout/>
          <c:overlay val="0"/>
        </c:title>
        <c:numFmt formatCode="General" sourceLinked="1"/>
        <c:majorTickMark val="out"/>
        <c:minorTickMark val="none"/>
        <c:tickLblPos val="nextTo"/>
        <c:txPr>
          <a:bodyPr/>
          <a:lstStyle/>
          <a:p>
            <a:pPr>
              <a:defRPr sz="1200" b="0">
                <a:latin typeface="Times New Roman" panose="02020603050405020304" pitchFamily="18" charset="0"/>
                <a:cs typeface="Times New Roman" panose="02020603050405020304" pitchFamily="18" charset="0"/>
              </a:defRPr>
            </a:pPr>
            <a:endParaRPr lang="en-US"/>
          </a:p>
        </c:txPr>
        <c:crossAx val="298331616"/>
        <c:crosses val="autoZero"/>
        <c:crossBetween val="midCat"/>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xVal>
            <c:numRef>
              <c:f>Sheet1!$C$2:$C$112</c:f>
              <c:numCache>
                <c:formatCode>[$-F400]h:mm:ss\ AM/PM</c:formatCode>
                <c:ptCount val="111"/>
                <c:pt idx="0">
                  <c:v>0.29249999999999998</c:v>
                </c:pt>
                <c:pt idx="1">
                  <c:v>0.29304398148148147</c:v>
                </c:pt>
                <c:pt idx="2">
                  <c:v>0.29458333333333336</c:v>
                </c:pt>
                <c:pt idx="3">
                  <c:v>0.29568287037037039</c:v>
                </c:pt>
                <c:pt idx="4">
                  <c:v>0.29626157407407411</c:v>
                </c:pt>
                <c:pt idx="5">
                  <c:v>0.29730324074074072</c:v>
                </c:pt>
                <c:pt idx="6">
                  <c:v>0.29765046296296299</c:v>
                </c:pt>
                <c:pt idx="7">
                  <c:v>0.29775462962962962</c:v>
                </c:pt>
                <c:pt idx="8">
                  <c:v>0.29815972222222226</c:v>
                </c:pt>
                <c:pt idx="9">
                  <c:v>0.29900462962962965</c:v>
                </c:pt>
                <c:pt idx="10">
                  <c:v>0.29986111111111108</c:v>
                </c:pt>
                <c:pt idx="11">
                  <c:v>0.29997685185185186</c:v>
                </c:pt>
                <c:pt idx="12">
                  <c:v>0.30094907407407406</c:v>
                </c:pt>
                <c:pt idx="13">
                  <c:v>0.30296296296296293</c:v>
                </c:pt>
                <c:pt idx="14">
                  <c:v>0.30437500000000001</c:v>
                </c:pt>
                <c:pt idx="15">
                  <c:v>0.30444444444444446</c:v>
                </c:pt>
                <c:pt idx="16">
                  <c:v>0.30519675925925926</c:v>
                </c:pt>
                <c:pt idx="17">
                  <c:v>0.30556712962962962</c:v>
                </c:pt>
                <c:pt idx="18">
                  <c:v>0.30797453703703703</c:v>
                </c:pt>
                <c:pt idx="19">
                  <c:v>0.30905092592592592</c:v>
                </c:pt>
                <c:pt idx="20">
                  <c:v>0.3104513888888889</c:v>
                </c:pt>
                <c:pt idx="21">
                  <c:v>0.31056712962962962</c:v>
                </c:pt>
                <c:pt idx="22">
                  <c:v>0.31099537037037034</c:v>
                </c:pt>
                <c:pt idx="23">
                  <c:v>0.31144675925925924</c:v>
                </c:pt>
                <c:pt idx="24">
                  <c:v>0.31168981481481478</c:v>
                </c:pt>
                <c:pt idx="25">
                  <c:v>0.31393518518518521</c:v>
                </c:pt>
                <c:pt idx="26">
                  <c:v>0.31429398148148152</c:v>
                </c:pt>
                <c:pt idx="27">
                  <c:v>0.31481481481481483</c:v>
                </c:pt>
                <c:pt idx="28">
                  <c:v>0.31523148148148145</c:v>
                </c:pt>
                <c:pt idx="29">
                  <c:v>0.315462962962963</c:v>
                </c:pt>
                <c:pt idx="30">
                  <c:v>0.31562499999999999</c:v>
                </c:pt>
                <c:pt idx="31">
                  <c:v>0.31670138888888888</c:v>
                </c:pt>
                <c:pt idx="32">
                  <c:v>0.31684027777777779</c:v>
                </c:pt>
                <c:pt idx="33">
                  <c:v>0.31716435185185182</c:v>
                </c:pt>
                <c:pt idx="34">
                  <c:v>0.3172800925925926</c:v>
                </c:pt>
                <c:pt idx="35">
                  <c:v>0.31729166666666669</c:v>
                </c:pt>
                <c:pt idx="36">
                  <c:v>0.31836805555555553</c:v>
                </c:pt>
                <c:pt idx="37">
                  <c:v>0.31861111111111112</c:v>
                </c:pt>
                <c:pt idx="38">
                  <c:v>0.31962962962962965</c:v>
                </c:pt>
                <c:pt idx="39">
                  <c:v>0.32060185185185186</c:v>
                </c:pt>
                <c:pt idx="40">
                  <c:v>0.32108796296296299</c:v>
                </c:pt>
                <c:pt idx="41">
                  <c:v>0.32109953703703703</c:v>
                </c:pt>
                <c:pt idx="42">
                  <c:v>0.3228935185185185</c:v>
                </c:pt>
                <c:pt idx="43">
                  <c:v>0.32291666666666669</c:v>
                </c:pt>
                <c:pt idx="44">
                  <c:v>0.32523148148148145</c:v>
                </c:pt>
                <c:pt idx="45">
                  <c:v>0.32576388888888891</c:v>
                </c:pt>
                <c:pt idx="46">
                  <c:v>0.3258449074074074</c:v>
                </c:pt>
                <c:pt idx="47">
                  <c:v>0.32721064814814815</c:v>
                </c:pt>
                <c:pt idx="48">
                  <c:v>0.32818287037037036</c:v>
                </c:pt>
                <c:pt idx="49">
                  <c:v>0.32993055555555556</c:v>
                </c:pt>
                <c:pt idx="50">
                  <c:v>0.33008101851851851</c:v>
                </c:pt>
                <c:pt idx="51">
                  <c:v>0.33069444444444446</c:v>
                </c:pt>
                <c:pt idx="52">
                  <c:v>0.331087962962963</c:v>
                </c:pt>
                <c:pt idx="53">
                  <c:v>0.33121527777777776</c:v>
                </c:pt>
                <c:pt idx="54">
                  <c:v>0.33525462962962965</c:v>
                </c:pt>
                <c:pt idx="55">
                  <c:v>0.33530092592592592</c:v>
                </c:pt>
                <c:pt idx="56">
                  <c:v>0.33538194444444441</c:v>
                </c:pt>
                <c:pt idx="57">
                  <c:v>0.33802083333333338</c:v>
                </c:pt>
                <c:pt idx="58">
                  <c:v>0.3388194444444444</c:v>
                </c:pt>
                <c:pt idx="59">
                  <c:v>0.33909722222222222</c:v>
                </c:pt>
                <c:pt idx="60">
                  <c:v>0.33961805555555552</c:v>
                </c:pt>
                <c:pt idx="61">
                  <c:v>0.33994212962962966</c:v>
                </c:pt>
                <c:pt idx="62">
                  <c:v>0.34092592592592591</c:v>
                </c:pt>
                <c:pt idx="63">
                  <c:v>0.34120370370370368</c:v>
                </c:pt>
                <c:pt idx="64">
                  <c:v>0.34150462962962963</c:v>
                </c:pt>
                <c:pt idx="65">
                  <c:v>0.34168981481481481</c:v>
                </c:pt>
                <c:pt idx="66">
                  <c:v>0.34234953703703702</c:v>
                </c:pt>
                <c:pt idx="67">
                  <c:v>0.34247685185185189</c:v>
                </c:pt>
                <c:pt idx="68">
                  <c:v>0.34317129629629628</c:v>
                </c:pt>
                <c:pt idx="69">
                  <c:v>0.34391203703703704</c:v>
                </c:pt>
                <c:pt idx="70">
                  <c:v>0.34457175925925926</c:v>
                </c:pt>
                <c:pt idx="71">
                  <c:v>0.34533564814814816</c:v>
                </c:pt>
                <c:pt idx="72">
                  <c:v>0.34650462962962963</c:v>
                </c:pt>
                <c:pt idx="73">
                  <c:v>0.34679398148148149</c:v>
                </c:pt>
                <c:pt idx="74">
                  <c:v>0.34707175925925932</c:v>
                </c:pt>
                <c:pt idx="75">
                  <c:v>0.34767361111111111</c:v>
                </c:pt>
                <c:pt idx="76">
                  <c:v>0.34916666666666668</c:v>
                </c:pt>
                <c:pt idx="77">
                  <c:v>0.35116898148148151</c:v>
                </c:pt>
                <c:pt idx="78">
                  <c:v>0.35116898148148151</c:v>
                </c:pt>
                <c:pt idx="79">
                  <c:v>0.35271990740740744</c:v>
                </c:pt>
                <c:pt idx="80">
                  <c:v>0.35328703703703707</c:v>
                </c:pt>
                <c:pt idx="81">
                  <c:v>0.3541435185185185</c:v>
                </c:pt>
                <c:pt idx="82">
                  <c:v>0.35488425925925932</c:v>
                </c:pt>
                <c:pt idx="83">
                  <c:v>0.35525462962962967</c:v>
                </c:pt>
                <c:pt idx="84">
                  <c:v>0.3558912037037037</c:v>
                </c:pt>
                <c:pt idx="85">
                  <c:v>0.35596064814814815</c:v>
                </c:pt>
                <c:pt idx="86">
                  <c:v>0.35719907407407409</c:v>
                </c:pt>
                <c:pt idx="87">
                  <c:v>0.35784722222222221</c:v>
                </c:pt>
                <c:pt idx="88">
                  <c:v>0.35822916666666665</c:v>
                </c:pt>
                <c:pt idx="89">
                  <c:v>0.35858796296296297</c:v>
                </c:pt>
                <c:pt idx="90">
                  <c:v>0.35939814814814813</c:v>
                </c:pt>
                <c:pt idx="91">
                  <c:v>0.35951388888888891</c:v>
                </c:pt>
                <c:pt idx="92">
                  <c:v>0.36040509259259257</c:v>
                </c:pt>
                <c:pt idx="93">
                  <c:v>0.36048611111111112</c:v>
                </c:pt>
                <c:pt idx="94">
                  <c:v>0.36068287037037039</c:v>
                </c:pt>
                <c:pt idx="95">
                  <c:v>0.36162037037037037</c:v>
                </c:pt>
                <c:pt idx="96">
                  <c:v>0.36398148148148146</c:v>
                </c:pt>
                <c:pt idx="97">
                  <c:v>0.36413194444444441</c:v>
                </c:pt>
                <c:pt idx="98">
                  <c:v>0.36486111111111108</c:v>
                </c:pt>
                <c:pt idx="99">
                  <c:v>0.36528935185185185</c:v>
                </c:pt>
                <c:pt idx="100">
                  <c:v>0.36556712962962962</c:v>
                </c:pt>
                <c:pt idx="101">
                  <c:v>0.36608796296296298</c:v>
                </c:pt>
                <c:pt idx="102">
                  <c:v>0.36659722222222224</c:v>
                </c:pt>
                <c:pt idx="103">
                  <c:v>0.36675925925925923</c:v>
                </c:pt>
                <c:pt idx="104">
                  <c:v>0.36701388888888892</c:v>
                </c:pt>
                <c:pt idx="105">
                  <c:v>0.36865740740740738</c:v>
                </c:pt>
                <c:pt idx="106">
                  <c:v>0.37228009259259259</c:v>
                </c:pt>
                <c:pt idx="107">
                  <c:v>0.37232638888888886</c:v>
                </c:pt>
                <c:pt idx="108">
                  <c:v>0.37304398148148149</c:v>
                </c:pt>
                <c:pt idx="109">
                  <c:v>0.37337962962962962</c:v>
                </c:pt>
                <c:pt idx="110">
                  <c:v>0.37406249999999996</c:v>
                </c:pt>
              </c:numCache>
            </c:numRef>
          </c:xVal>
          <c:yVal>
            <c:numRef>
              <c:f>Sheet1!$D$2:$D$112</c:f>
              <c:numCache>
                <c:formatCode>General</c:formatCode>
                <c:ptCount val="111"/>
                <c:pt idx="0">
                  <c:v>146.00000000000205</c:v>
                </c:pt>
                <c:pt idx="1">
                  <c:v>894.9999999999975</c:v>
                </c:pt>
                <c:pt idx="2">
                  <c:v>-174.00000000000321</c:v>
                </c:pt>
                <c:pt idx="3">
                  <c:v>-135.00000000000193</c:v>
                </c:pt>
                <c:pt idx="4">
                  <c:v>111.99999999999513</c:v>
                </c:pt>
                <c:pt idx="5">
                  <c:v>173.00000000000148</c:v>
                </c:pt>
                <c:pt idx="6">
                  <c:v>-64.000000000002018</c:v>
                </c:pt>
                <c:pt idx="7">
                  <c:v>914.00000000000227</c:v>
                </c:pt>
                <c:pt idx="8">
                  <c:v>-303.00000000000421</c:v>
                </c:pt>
                <c:pt idx="9">
                  <c:v>167.9999999999975</c:v>
                </c:pt>
                <c:pt idx="10">
                  <c:v>-31.999999999998607</c:v>
                </c:pt>
                <c:pt idx="11">
                  <c:v>260.00000000000068</c:v>
                </c:pt>
                <c:pt idx="12">
                  <c:v>33.000000000000362</c:v>
                </c:pt>
                <c:pt idx="13">
                  <c:v>-11.99999999999708</c:v>
                </c:pt>
                <c:pt idx="14">
                  <c:v>-492.00000000000017</c:v>
                </c:pt>
                <c:pt idx="15">
                  <c:v>-1468.0000000000009</c:v>
                </c:pt>
                <c:pt idx="16">
                  <c:v>361.00000000000045</c:v>
                </c:pt>
                <c:pt idx="17">
                  <c:v>80.000000000001307</c:v>
                </c:pt>
                <c:pt idx="18">
                  <c:v>176.99999999999889</c:v>
                </c:pt>
                <c:pt idx="19">
                  <c:v>681.00000000000091</c:v>
                </c:pt>
                <c:pt idx="20">
                  <c:v>175.99999999999713</c:v>
                </c:pt>
                <c:pt idx="21">
                  <c:v>105.99999999999898</c:v>
                </c:pt>
                <c:pt idx="22">
                  <c:v>122.00000000000308</c:v>
                </c:pt>
                <c:pt idx="23">
                  <c:v>225.00000000000162</c:v>
                </c:pt>
                <c:pt idx="24">
                  <c:v>366.00000000000443</c:v>
                </c:pt>
                <c:pt idx="25">
                  <c:v>357.99999999999523</c:v>
                </c:pt>
                <c:pt idx="26">
                  <c:v>1252.9999999999977</c:v>
                </c:pt>
                <c:pt idx="27">
                  <c:v>121.99999999999829</c:v>
                </c:pt>
                <c:pt idx="28">
                  <c:v>1032.0000000000032</c:v>
                </c:pt>
                <c:pt idx="29">
                  <c:v>-905.00000000000068</c:v>
                </c:pt>
                <c:pt idx="30">
                  <c:v>458.99999999999983</c:v>
                </c:pt>
                <c:pt idx="31">
                  <c:v>744.00000000000114</c:v>
                </c:pt>
                <c:pt idx="32">
                  <c:v>108.99999999999946</c:v>
                </c:pt>
                <c:pt idx="33">
                  <c:v>578.0000000000025</c:v>
                </c:pt>
                <c:pt idx="34">
                  <c:v>-105.99999999999898</c:v>
                </c:pt>
                <c:pt idx="35">
                  <c:v>681.00000000000091</c:v>
                </c:pt>
                <c:pt idx="36">
                  <c:v>-170.00000000000099</c:v>
                </c:pt>
                <c:pt idx="37">
                  <c:v>160.9999999999996</c:v>
                </c:pt>
                <c:pt idx="38">
                  <c:v>-138.00000000000239</c:v>
                </c:pt>
                <c:pt idx="39">
                  <c:v>159.99999999999784</c:v>
                </c:pt>
                <c:pt idx="40">
                  <c:v>170.00000000000099</c:v>
                </c:pt>
                <c:pt idx="41">
                  <c:v>29.999999999999893</c:v>
                </c:pt>
                <c:pt idx="42">
                  <c:v>200.00000000000091</c:v>
                </c:pt>
                <c:pt idx="43">
                  <c:v>870.00000000000171</c:v>
                </c:pt>
                <c:pt idx="44">
                  <c:v>337.00000000000153</c:v>
                </c:pt>
                <c:pt idx="45">
                  <c:v>-236.00000000000171</c:v>
                </c:pt>
                <c:pt idx="46">
                  <c:v>498.00000000000114</c:v>
                </c:pt>
                <c:pt idx="47">
                  <c:v>307.99999999999864</c:v>
                </c:pt>
                <c:pt idx="48">
                  <c:v>-66.999999999997684</c:v>
                </c:pt>
                <c:pt idx="49">
                  <c:v>958.99999999999955</c:v>
                </c:pt>
                <c:pt idx="50">
                  <c:v>-219.99999999999764</c:v>
                </c:pt>
                <c:pt idx="51">
                  <c:v>251.99999999999625</c:v>
                </c:pt>
                <c:pt idx="52">
                  <c:v>-135.00000000000193</c:v>
                </c:pt>
                <c:pt idx="53">
                  <c:v>339.00000000000023</c:v>
                </c:pt>
                <c:pt idx="54">
                  <c:v>849.99999999999534</c:v>
                </c:pt>
                <c:pt idx="55">
                  <c:v>230.0000000000008</c:v>
                </c:pt>
                <c:pt idx="56">
                  <c:v>682.0000000000075</c:v>
                </c:pt>
                <c:pt idx="57">
                  <c:v>220.99999999999937</c:v>
                </c:pt>
                <c:pt idx="58">
                  <c:v>396.00000000000432</c:v>
                </c:pt>
                <c:pt idx="59">
                  <c:v>460.99999999999852</c:v>
                </c:pt>
                <c:pt idx="60">
                  <c:v>-55.999999999992767</c:v>
                </c:pt>
                <c:pt idx="61">
                  <c:v>-1661.0000000000041</c:v>
                </c:pt>
                <c:pt idx="62">
                  <c:v>1316.9999999999995</c:v>
                </c:pt>
                <c:pt idx="63">
                  <c:v>-1189.9999999999973</c:v>
                </c:pt>
                <c:pt idx="64">
                  <c:v>843.00000000000227</c:v>
                </c:pt>
                <c:pt idx="65">
                  <c:v>857.99999999999977</c:v>
                </c:pt>
                <c:pt idx="66">
                  <c:v>432.99999999999739</c:v>
                </c:pt>
                <c:pt idx="67">
                  <c:v>403.9999999999992</c:v>
                </c:pt>
                <c:pt idx="68">
                  <c:v>315.99999999999824</c:v>
                </c:pt>
                <c:pt idx="69">
                  <c:v>-253.99999999999972</c:v>
                </c:pt>
                <c:pt idx="70">
                  <c:v>427.00000000000125</c:v>
                </c:pt>
                <c:pt idx="71">
                  <c:v>117.99999999999606</c:v>
                </c:pt>
                <c:pt idx="72">
                  <c:v>-265.99999999999682</c:v>
                </c:pt>
                <c:pt idx="73">
                  <c:v>343.99999999999943</c:v>
                </c:pt>
                <c:pt idx="74">
                  <c:v>10.999999999995325</c:v>
                </c:pt>
                <c:pt idx="75">
                  <c:v>167.00000000000051</c:v>
                </c:pt>
                <c:pt idx="76">
                  <c:v>220.99999999999937</c:v>
                </c:pt>
                <c:pt idx="77">
                  <c:v>-163.0000000000031</c:v>
                </c:pt>
                <c:pt idx="78">
                  <c:v>577.99999999999773</c:v>
                </c:pt>
                <c:pt idx="79">
                  <c:v>-32.000000000003403</c:v>
                </c:pt>
                <c:pt idx="80">
                  <c:v>-359.99999999999875</c:v>
                </c:pt>
                <c:pt idx="81">
                  <c:v>458.00000000000284</c:v>
                </c:pt>
                <c:pt idx="82">
                  <c:v>985.99999999999432</c:v>
                </c:pt>
                <c:pt idx="83">
                  <c:v>-2060.0000000000041</c:v>
                </c:pt>
                <c:pt idx="84">
                  <c:v>305.99999999999989</c:v>
                </c:pt>
                <c:pt idx="85">
                  <c:v>213.9999999999967</c:v>
                </c:pt>
                <c:pt idx="86">
                  <c:v>17.000000000001059</c:v>
                </c:pt>
                <c:pt idx="87">
                  <c:v>108.99999999999946</c:v>
                </c:pt>
                <c:pt idx="88">
                  <c:v>338.0000000000033</c:v>
                </c:pt>
                <c:pt idx="89">
                  <c:v>47.000000000000952</c:v>
                </c:pt>
                <c:pt idx="90">
                  <c:v>2433.9999999999982</c:v>
                </c:pt>
                <c:pt idx="91">
                  <c:v>-100.00000000000284</c:v>
                </c:pt>
                <c:pt idx="92">
                  <c:v>1111.9999999999995</c:v>
                </c:pt>
                <c:pt idx="93">
                  <c:v>900.00000000000159</c:v>
                </c:pt>
                <c:pt idx="94">
                  <c:v>759.99999999999568</c:v>
                </c:pt>
                <c:pt idx="95">
                  <c:v>1004.9999999999989</c:v>
                </c:pt>
                <c:pt idx="96">
                  <c:v>391.00000000000034</c:v>
                </c:pt>
                <c:pt idx="97">
                  <c:v>182.99999999999983</c:v>
                </c:pt>
                <c:pt idx="98">
                  <c:v>253.99999999999972</c:v>
                </c:pt>
                <c:pt idx="99">
                  <c:v>-282.00000000000091</c:v>
                </c:pt>
                <c:pt idx="100">
                  <c:v>996.00000000000227</c:v>
                </c:pt>
                <c:pt idx="101">
                  <c:v>889.00000000000148</c:v>
                </c:pt>
                <c:pt idx="102">
                  <c:v>-863.00000000000387</c:v>
                </c:pt>
                <c:pt idx="103">
                  <c:v>327.00000000000318</c:v>
                </c:pt>
                <c:pt idx="104">
                  <c:v>206.99999999999397</c:v>
                </c:pt>
                <c:pt idx="105">
                  <c:v>1.000000000001755</c:v>
                </c:pt>
                <c:pt idx="106">
                  <c:v>-23.999999999998956</c:v>
                </c:pt>
                <c:pt idx="107">
                  <c:v>900.00000000000159</c:v>
                </c:pt>
                <c:pt idx="108">
                  <c:v>686.00000000000011</c:v>
                </c:pt>
                <c:pt idx="109">
                  <c:v>30.00000000000469</c:v>
                </c:pt>
                <c:pt idx="110">
                  <c:v>-188.99999999999596</c:v>
                </c:pt>
              </c:numCache>
            </c:numRef>
          </c:yVal>
          <c:smooth val="0"/>
        </c:ser>
        <c:dLbls>
          <c:showLegendKey val="0"/>
          <c:showVal val="0"/>
          <c:showCatName val="0"/>
          <c:showSerName val="0"/>
          <c:showPercent val="0"/>
          <c:showBubbleSize val="0"/>
        </c:dLbls>
        <c:axId val="298334360"/>
        <c:axId val="298335536"/>
      </c:scatterChart>
      <c:valAx>
        <c:axId val="298334360"/>
        <c:scaling>
          <c:orientation val="minMax"/>
          <c:max val="0.37500000000000006"/>
          <c:min val="0.29166660000000005"/>
        </c:scaling>
        <c:delete val="0"/>
        <c:axPos val="b"/>
        <c:title>
          <c:tx>
            <c:rich>
              <a:bodyPr/>
              <a:lstStyle/>
              <a:p>
                <a:pPr>
                  <a:defRPr sz="1200" b="0">
                    <a:latin typeface="Times New Roman" panose="02020603050405020304" pitchFamily="18" charset="0"/>
                    <a:cs typeface="Times New Roman" panose="02020603050405020304" pitchFamily="18" charset="0"/>
                  </a:defRPr>
                </a:pPr>
                <a:r>
                  <a:rPr lang="en-US" sz="1200" b="0">
                    <a:latin typeface="Times New Roman" panose="02020603050405020304" pitchFamily="18" charset="0"/>
                    <a:cs typeface="Times New Roman" panose="02020603050405020304" pitchFamily="18" charset="0"/>
                  </a:rPr>
                  <a:t>Time (hhmm)</a:t>
                </a:r>
              </a:p>
            </c:rich>
          </c:tx>
          <c:layout/>
          <c:overlay val="0"/>
        </c:title>
        <c:numFmt formatCode="hhmm" sourceLinked="0"/>
        <c:majorTickMark val="none"/>
        <c:minorTickMark val="none"/>
        <c:tickLblPos val="low"/>
        <c:txPr>
          <a:bodyPr/>
          <a:lstStyle/>
          <a:p>
            <a:pPr>
              <a:defRPr sz="1200">
                <a:latin typeface="Times New Roman" panose="02020603050405020304" pitchFamily="18" charset="0"/>
                <a:cs typeface="Times New Roman" panose="02020603050405020304" pitchFamily="18" charset="0"/>
              </a:defRPr>
            </a:pPr>
            <a:endParaRPr lang="en-US"/>
          </a:p>
        </c:txPr>
        <c:crossAx val="298335536"/>
        <c:crosses val="autoZero"/>
        <c:crossBetween val="midCat"/>
        <c:majorUnit val="2.0833300000000003E-2"/>
      </c:valAx>
      <c:valAx>
        <c:axId val="298335536"/>
        <c:scaling>
          <c:orientation val="minMax"/>
          <c:max val="2500"/>
          <c:min val="-2500"/>
        </c:scaling>
        <c:delete val="0"/>
        <c:axPos val="l"/>
        <c:title>
          <c:tx>
            <c:rich>
              <a:bodyPr rot="-5400000" vert="horz"/>
              <a:lstStyle/>
              <a:p>
                <a:pPr>
                  <a:defRPr sz="1200" b="0">
                    <a:latin typeface="Times New Roman" panose="02020603050405020304" pitchFamily="18" charset="0"/>
                    <a:cs typeface="Times New Roman" panose="02020603050405020304" pitchFamily="18" charset="0"/>
                  </a:defRPr>
                </a:pPr>
                <a:r>
                  <a:rPr lang="en-US" sz="1200" b="0">
                    <a:latin typeface="Times New Roman" panose="02020603050405020304" pitchFamily="18" charset="0"/>
                    <a:cs typeface="Times New Roman" panose="02020603050405020304" pitchFamily="18" charset="0"/>
                  </a:rPr>
                  <a:t>lateness (s)</a:t>
                </a:r>
              </a:p>
            </c:rich>
          </c:tx>
          <c:layout/>
          <c:overlay val="0"/>
        </c:title>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en-US"/>
          </a:p>
        </c:txPr>
        <c:crossAx val="298334360"/>
        <c:crosses val="autoZero"/>
        <c:crossBetween val="midCat"/>
        <c:majorUnit val="500"/>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Sheet1!$AA$1</c:f>
              <c:strCache>
                <c:ptCount val="1"/>
                <c:pt idx="0">
                  <c:v>Site 3 (North)</c:v>
                </c:pt>
              </c:strCache>
            </c:strRef>
          </c:tx>
          <c:spPr>
            <a:solidFill>
              <a:schemeClr val="tx1"/>
            </a:solidFill>
          </c:spPr>
          <c:invertIfNegative val="0"/>
          <c:cat>
            <c:numRef>
              <c:f>Sheet1!$Z$2:$Z$8</c:f>
              <c:numCache>
                <c:formatCode>General</c:formatCode>
                <c:ptCount val="7"/>
                <c:pt idx="0">
                  <c:v>1</c:v>
                </c:pt>
                <c:pt idx="1">
                  <c:v>2</c:v>
                </c:pt>
                <c:pt idx="2">
                  <c:v>3</c:v>
                </c:pt>
                <c:pt idx="3">
                  <c:v>4</c:v>
                </c:pt>
                <c:pt idx="4">
                  <c:v>5</c:v>
                </c:pt>
                <c:pt idx="5">
                  <c:v>6</c:v>
                </c:pt>
                <c:pt idx="6">
                  <c:v>7</c:v>
                </c:pt>
              </c:numCache>
            </c:numRef>
          </c:cat>
          <c:val>
            <c:numRef>
              <c:f>Sheet1!$AA$2:$AA$8</c:f>
              <c:numCache>
                <c:formatCode>0%</c:formatCode>
                <c:ptCount val="7"/>
                <c:pt idx="0">
                  <c:v>0.32288037166085948</c:v>
                </c:pt>
                <c:pt idx="1">
                  <c:v>0.21138211382113822</c:v>
                </c:pt>
                <c:pt idx="2">
                  <c:v>0.16260162601626016</c:v>
                </c:pt>
                <c:pt idx="3">
                  <c:v>9.1753774680603944E-2</c:v>
                </c:pt>
                <c:pt idx="4">
                  <c:v>7.6655052264808357E-2</c:v>
                </c:pt>
                <c:pt idx="5">
                  <c:v>5.3426248548199766E-2</c:v>
                </c:pt>
                <c:pt idx="6">
                  <c:v>8.1300813008130079E-2</c:v>
                </c:pt>
              </c:numCache>
            </c:numRef>
          </c:val>
        </c:ser>
        <c:ser>
          <c:idx val="1"/>
          <c:order val="1"/>
          <c:tx>
            <c:strRef>
              <c:f>Sheet1!$AB$1</c:f>
              <c:strCache>
                <c:ptCount val="1"/>
                <c:pt idx="0">
                  <c:v>Site 3 (South)</c:v>
                </c:pt>
              </c:strCache>
            </c:strRef>
          </c:tx>
          <c:spPr>
            <a:solidFill>
              <a:schemeClr val="tx1">
                <a:lumMod val="50000"/>
                <a:lumOff val="50000"/>
              </a:schemeClr>
            </a:solidFill>
          </c:spPr>
          <c:invertIfNegative val="0"/>
          <c:cat>
            <c:numRef>
              <c:f>Sheet1!$Z$2:$Z$8</c:f>
              <c:numCache>
                <c:formatCode>General</c:formatCode>
                <c:ptCount val="7"/>
                <c:pt idx="0">
                  <c:v>1</c:v>
                </c:pt>
                <c:pt idx="1">
                  <c:v>2</c:v>
                </c:pt>
                <c:pt idx="2">
                  <c:v>3</c:v>
                </c:pt>
                <c:pt idx="3">
                  <c:v>4</c:v>
                </c:pt>
                <c:pt idx="4">
                  <c:v>5</c:v>
                </c:pt>
                <c:pt idx="5">
                  <c:v>6</c:v>
                </c:pt>
                <c:pt idx="6">
                  <c:v>7</c:v>
                </c:pt>
              </c:numCache>
            </c:numRef>
          </c:cat>
          <c:val>
            <c:numRef>
              <c:f>Sheet1!$AB$2:$AB$8</c:f>
              <c:numCache>
                <c:formatCode>0%</c:formatCode>
                <c:ptCount val="7"/>
                <c:pt idx="0">
                  <c:v>0.25447042640990369</c:v>
                </c:pt>
                <c:pt idx="1">
                  <c:v>0.2200825309491059</c:v>
                </c:pt>
                <c:pt idx="2">
                  <c:v>0.17056396148555708</c:v>
                </c:pt>
                <c:pt idx="3">
                  <c:v>0.10729023383768914</c:v>
                </c:pt>
                <c:pt idx="4">
                  <c:v>7.7028885832187075E-2</c:v>
                </c:pt>
                <c:pt idx="5">
                  <c:v>5.0894085281980743E-2</c:v>
                </c:pt>
                <c:pt idx="6">
                  <c:v>0.11966987620357634</c:v>
                </c:pt>
              </c:numCache>
            </c:numRef>
          </c:val>
        </c:ser>
        <c:ser>
          <c:idx val="2"/>
          <c:order val="2"/>
          <c:tx>
            <c:strRef>
              <c:f>Sheet1!$AC$1</c:f>
              <c:strCache>
                <c:ptCount val="1"/>
                <c:pt idx="0">
                  <c:v>Site 5 (North)</c:v>
                </c:pt>
              </c:strCache>
            </c:strRef>
          </c:tx>
          <c:spPr>
            <a:solidFill>
              <a:schemeClr val="bg1">
                <a:lumMod val="65000"/>
              </a:schemeClr>
            </a:solidFill>
          </c:spPr>
          <c:invertIfNegative val="0"/>
          <c:cat>
            <c:numRef>
              <c:f>Sheet1!$Z$2:$Z$8</c:f>
              <c:numCache>
                <c:formatCode>General</c:formatCode>
                <c:ptCount val="7"/>
                <c:pt idx="0">
                  <c:v>1</c:v>
                </c:pt>
                <c:pt idx="1">
                  <c:v>2</c:v>
                </c:pt>
                <c:pt idx="2">
                  <c:v>3</c:v>
                </c:pt>
                <c:pt idx="3">
                  <c:v>4</c:v>
                </c:pt>
                <c:pt idx="4">
                  <c:v>5</c:v>
                </c:pt>
                <c:pt idx="5">
                  <c:v>6</c:v>
                </c:pt>
                <c:pt idx="6">
                  <c:v>7</c:v>
                </c:pt>
              </c:numCache>
            </c:numRef>
          </c:cat>
          <c:val>
            <c:numRef>
              <c:f>Sheet1!$AC$2:$AC$8</c:f>
              <c:numCache>
                <c:formatCode>0%</c:formatCode>
                <c:ptCount val="7"/>
                <c:pt idx="0">
                  <c:v>0.30817120622568095</c:v>
                </c:pt>
                <c:pt idx="1">
                  <c:v>0.21167315175097276</c:v>
                </c:pt>
                <c:pt idx="2">
                  <c:v>0.16186770428015565</c:v>
                </c:pt>
                <c:pt idx="3">
                  <c:v>9.8054474708171205E-2</c:v>
                </c:pt>
                <c:pt idx="4">
                  <c:v>7.8599221789883267E-2</c:v>
                </c:pt>
                <c:pt idx="5">
                  <c:v>4.2801556420233464E-2</c:v>
                </c:pt>
                <c:pt idx="6">
                  <c:v>9.883268482490272E-2</c:v>
                </c:pt>
              </c:numCache>
            </c:numRef>
          </c:val>
        </c:ser>
        <c:ser>
          <c:idx val="3"/>
          <c:order val="3"/>
          <c:tx>
            <c:strRef>
              <c:f>Sheet1!$AD$1</c:f>
              <c:strCache>
                <c:ptCount val="1"/>
                <c:pt idx="0">
                  <c:v>Site 5 (South)</c:v>
                </c:pt>
              </c:strCache>
            </c:strRef>
          </c:tx>
          <c:spPr>
            <a:pattFill prst="wdDnDiag">
              <a:fgClr>
                <a:schemeClr val="bg1">
                  <a:lumMod val="65000"/>
                </a:schemeClr>
              </a:fgClr>
              <a:bgClr>
                <a:schemeClr val="bg1"/>
              </a:bgClr>
            </a:pattFill>
            <a:ln>
              <a:solidFill>
                <a:schemeClr val="bg1">
                  <a:lumMod val="50000"/>
                </a:schemeClr>
              </a:solidFill>
            </a:ln>
          </c:spPr>
          <c:invertIfNegative val="0"/>
          <c:cat>
            <c:numRef>
              <c:f>Sheet1!$Z$2:$Z$8</c:f>
              <c:numCache>
                <c:formatCode>General</c:formatCode>
                <c:ptCount val="7"/>
                <c:pt idx="0">
                  <c:v>1</c:v>
                </c:pt>
                <c:pt idx="1">
                  <c:v>2</c:v>
                </c:pt>
                <c:pt idx="2">
                  <c:v>3</c:v>
                </c:pt>
                <c:pt idx="3">
                  <c:v>4</c:v>
                </c:pt>
                <c:pt idx="4">
                  <c:v>5</c:v>
                </c:pt>
                <c:pt idx="5">
                  <c:v>6</c:v>
                </c:pt>
                <c:pt idx="6">
                  <c:v>7</c:v>
                </c:pt>
              </c:numCache>
            </c:numRef>
          </c:cat>
          <c:val>
            <c:numRef>
              <c:f>Sheet1!$AD$2:$AD$8</c:f>
              <c:numCache>
                <c:formatCode>0%</c:formatCode>
                <c:ptCount val="7"/>
                <c:pt idx="0">
                  <c:v>0.25</c:v>
                </c:pt>
                <c:pt idx="1">
                  <c:v>0.21296296296296297</c:v>
                </c:pt>
                <c:pt idx="2">
                  <c:v>0.18518518518518517</c:v>
                </c:pt>
                <c:pt idx="3">
                  <c:v>0.11342592592592593</c:v>
                </c:pt>
                <c:pt idx="4">
                  <c:v>9.1435185185185189E-2</c:v>
                </c:pt>
                <c:pt idx="5">
                  <c:v>5.2083333333333336E-2</c:v>
                </c:pt>
                <c:pt idx="6">
                  <c:v>9.4907407407407413E-2</c:v>
                </c:pt>
              </c:numCache>
            </c:numRef>
          </c:val>
        </c:ser>
        <c:dLbls>
          <c:showLegendKey val="0"/>
          <c:showVal val="0"/>
          <c:showCatName val="0"/>
          <c:showSerName val="0"/>
          <c:showPercent val="0"/>
          <c:showBubbleSize val="0"/>
        </c:dLbls>
        <c:gapWidth val="150"/>
        <c:axId val="298329656"/>
        <c:axId val="298333968"/>
      </c:barChart>
      <c:catAx>
        <c:axId val="298329656"/>
        <c:scaling>
          <c:orientation val="minMax"/>
        </c:scaling>
        <c:delete val="0"/>
        <c:axPos val="b"/>
        <c:title>
          <c:tx>
            <c:rich>
              <a:bodyPr/>
              <a:lstStyle/>
              <a:p>
                <a:pPr>
                  <a:defRPr sz="1200" b="0">
                    <a:latin typeface="Times New Roman" panose="02020603050405020304" pitchFamily="18" charset="0"/>
                    <a:cs typeface="Times New Roman" panose="02020603050405020304" pitchFamily="18" charset="0"/>
                  </a:defRPr>
                </a:pPr>
                <a:r>
                  <a:rPr lang="en-US" sz="1200" b="0">
                    <a:latin typeface="Times New Roman" panose="02020603050405020304" pitchFamily="18" charset="0"/>
                    <a:cs typeface="Times New Roman" panose="02020603050405020304" pitchFamily="18" charset="0"/>
                  </a:rPr>
                  <a:t>Number of 4-month periods in which vehicle was regular</a:t>
                </a:r>
              </a:p>
            </c:rich>
          </c:tx>
          <c:layout/>
          <c:overlay val="0"/>
        </c:title>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en-US"/>
          </a:p>
        </c:txPr>
        <c:crossAx val="298333968"/>
        <c:crosses val="autoZero"/>
        <c:auto val="1"/>
        <c:lblAlgn val="ctr"/>
        <c:lblOffset val="100"/>
        <c:noMultiLvlLbl val="0"/>
      </c:catAx>
      <c:valAx>
        <c:axId val="298333968"/>
        <c:scaling>
          <c:orientation val="minMax"/>
        </c:scaling>
        <c:delete val="0"/>
        <c:axPos val="l"/>
        <c:majorGridlines/>
        <c:title>
          <c:tx>
            <c:rich>
              <a:bodyPr rot="-5400000" vert="horz"/>
              <a:lstStyle/>
              <a:p>
                <a:pPr>
                  <a:defRPr sz="1200" b="0">
                    <a:latin typeface="Times New Roman" panose="02020603050405020304" pitchFamily="18" charset="0"/>
                    <a:cs typeface="Times New Roman" panose="02020603050405020304" pitchFamily="18" charset="0"/>
                  </a:defRPr>
                </a:pPr>
                <a:r>
                  <a:rPr lang="en-US" sz="1200" b="0">
                    <a:latin typeface="Times New Roman" panose="02020603050405020304" pitchFamily="18" charset="0"/>
                    <a:cs typeface="Times New Roman" panose="02020603050405020304" pitchFamily="18" charset="0"/>
                  </a:rPr>
                  <a:t>Proportion of regular vehicles</a:t>
                </a:r>
              </a:p>
            </c:rich>
          </c:tx>
          <c:layout/>
          <c:overlay val="0"/>
        </c:title>
        <c:numFmt formatCode="0%"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en-US"/>
          </a:p>
        </c:txPr>
        <c:crossAx val="298329656"/>
        <c:crosses val="autoZero"/>
        <c:crossBetween val="between"/>
      </c:valAx>
    </c:plotArea>
    <c:legend>
      <c:legendPos val="r"/>
      <c:layout/>
      <c:overlay val="0"/>
      <c:txPr>
        <a:bodyPr/>
        <a:lstStyle/>
        <a:p>
          <a:pPr>
            <a:defRPr sz="12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DecayP1regulars!$K$4</c:f>
              <c:strCache>
                <c:ptCount val="1"/>
                <c:pt idx="0">
                  <c:v>Site 3 (North)</c:v>
                </c:pt>
              </c:strCache>
            </c:strRef>
          </c:tx>
          <c:spPr>
            <a:solidFill>
              <a:schemeClr val="tx1">
                <a:lumMod val="95000"/>
                <a:lumOff val="5000"/>
              </a:schemeClr>
            </a:solidFill>
          </c:spPr>
          <c:invertIfNegative val="0"/>
          <c:cat>
            <c:strRef>
              <c:f>DecayP1regulars!$L$3:$Q$3</c:f>
              <c:strCache>
                <c:ptCount val="6"/>
                <c:pt idx="0">
                  <c:v>May-Aug</c:v>
                </c:pt>
                <c:pt idx="1">
                  <c:v>Jun-Sep</c:v>
                </c:pt>
                <c:pt idx="2">
                  <c:v>Jul-Oct</c:v>
                </c:pt>
                <c:pt idx="3">
                  <c:v>Aug-Nov</c:v>
                </c:pt>
                <c:pt idx="4">
                  <c:v>Sep-Dec</c:v>
                </c:pt>
                <c:pt idx="5">
                  <c:v>Oct-Jan</c:v>
                </c:pt>
              </c:strCache>
            </c:strRef>
          </c:cat>
          <c:val>
            <c:numRef>
              <c:f>DecayP1regulars!$L$4:$Q$4</c:f>
              <c:numCache>
                <c:formatCode>0%</c:formatCode>
                <c:ptCount val="6"/>
                <c:pt idx="0">
                  <c:v>0.73463687150837986</c:v>
                </c:pt>
                <c:pt idx="1">
                  <c:v>0.55865921787709505</c:v>
                </c:pt>
                <c:pt idx="2">
                  <c:v>0.46648044692737434</c:v>
                </c:pt>
                <c:pt idx="3">
                  <c:v>0.33798882681564246</c:v>
                </c:pt>
                <c:pt idx="4">
                  <c:v>0.26815642458100564</c:v>
                </c:pt>
                <c:pt idx="5">
                  <c:v>0.24022346368715086</c:v>
                </c:pt>
              </c:numCache>
            </c:numRef>
          </c:val>
        </c:ser>
        <c:ser>
          <c:idx val="1"/>
          <c:order val="1"/>
          <c:tx>
            <c:strRef>
              <c:f>DecayP1regulars!$K$5</c:f>
              <c:strCache>
                <c:ptCount val="1"/>
                <c:pt idx="0">
                  <c:v>Site 3 (South)</c:v>
                </c:pt>
              </c:strCache>
            </c:strRef>
          </c:tx>
          <c:spPr>
            <a:solidFill>
              <a:schemeClr val="bg1">
                <a:lumMod val="50000"/>
              </a:schemeClr>
            </a:solidFill>
          </c:spPr>
          <c:invertIfNegative val="0"/>
          <c:cat>
            <c:strRef>
              <c:f>DecayP1regulars!$L$3:$Q$3</c:f>
              <c:strCache>
                <c:ptCount val="6"/>
                <c:pt idx="0">
                  <c:v>May-Aug</c:v>
                </c:pt>
                <c:pt idx="1">
                  <c:v>Jun-Sep</c:v>
                </c:pt>
                <c:pt idx="2">
                  <c:v>Jul-Oct</c:v>
                </c:pt>
                <c:pt idx="3">
                  <c:v>Aug-Nov</c:v>
                </c:pt>
                <c:pt idx="4">
                  <c:v>Sep-Dec</c:v>
                </c:pt>
                <c:pt idx="5">
                  <c:v>Oct-Jan</c:v>
                </c:pt>
              </c:strCache>
            </c:strRef>
          </c:cat>
          <c:val>
            <c:numRef>
              <c:f>DecayP1regulars!$L$5:$Q$5</c:f>
              <c:numCache>
                <c:formatCode>0%</c:formatCode>
                <c:ptCount val="6"/>
                <c:pt idx="0">
                  <c:v>0.73615635179153094</c:v>
                </c:pt>
                <c:pt idx="1">
                  <c:v>0.56026058631921827</c:v>
                </c:pt>
                <c:pt idx="2">
                  <c:v>0.51465798045602607</c:v>
                </c:pt>
                <c:pt idx="3">
                  <c:v>0.4104234527687296</c:v>
                </c:pt>
                <c:pt idx="4">
                  <c:v>0.39087947882736152</c:v>
                </c:pt>
                <c:pt idx="5">
                  <c:v>0.32573289902280134</c:v>
                </c:pt>
              </c:numCache>
            </c:numRef>
          </c:val>
        </c:ser>
        <c:ser>
          <c:idx val="2"/>
          <c:order val="2"/>
          <c:tx>
            <c:strRef>
              <c:f>DecayP1regulars!$K$6</c:f>
              <c:strCache>
                <c:ptCount val="1"/>
                <c:pt idx="0">
                  <c:v>Site 5 (North)</c:v>
                </c:pt>
              </c:strCache>
            </c:strRef>
          </c:tx>
          <c:spPr>
            <a:solidFill>
              <a:schemeClr val="bg1">
                <a:lumMod val="75000"/>
              </a:schemeClr>
            </a:solidFill>
          </c:spPr>
          <c:invertIfNegative val="0"/>
          <c:dPt>
            <c:idx val="0"/>
            <c:invertIfNegative val="0"/>
            <c:bubble3D val="0"/>
            <c:spPr>
              <a:solidFill>
                <a:schemeClr val="bg1">
                  <a:lumMod val="65000"/>
                </a:schemeClr>
              </a:solidFill>
            </c:spPr>
          </c:dPt>
          <c:cat>
            <c:strRef>
              <c:f>DecayP1regulars!$L$3:$Q$3</c:f>
              <c:strCache>
                <c:ptCount val="6"/>
                <c:pt idx="0">
                  <c:v>May-Aug</c:v>
                </c:pt>
                <c:pt idx="1">
                  <c:v>Jun-Sep</c:v>
                </c:pt>
                <c:pt idx="2">
                  <c:v>Jul-Oct</c:v>
                </c:pt>
                <c:pt idx="3">
                  <c:v>Aug-Nov</c:v>
                </c:pt>
                <c:pt idx="4">
                  <c:v>Sep-Dec</c:v>
                </c:pt>
                <c:pt idx="5">
                  <c:v>Oct-Jan</c:v>
                </c:pt>
              </c:strCache>
            </c:strRef>
          </c:cat>
          <c:val>
            <c:numRef>
              <c:f>DecayP1regulars!$L$6:$Q$6</c:f>
              <c:numCache>
                <c:formatCode>0%</c:formatCode>
                <c:ptCount val="6"/>
                <c:pt idx="0">
                  <c:v>0.69042316258351888</c:v>
                </c:pt>
                <c:pt idx="1">
                  <c:v>0.53674832962138086</c:v>
                </c:pt>
                <c:pt idx="2">
                  <c:v>0.45211581291759462</c:v>
                </c:pt>
                <c:pt idx="3">
                  <c:v>0.38752783964365256</c:v>
                </c:pt>
                <c:pt idx="4">
                  <c:v>0.34298440979955458</c:v>
                </c:pt>
                <c:pt idx="5">
                  <c:v>0.31625835189309581</c:v>
                </c:pt>
              </c:numCache>
            </c:numRef>
          </c:val>
        </c:ser>
        <c:ser>
          <c:idx val="3"/>
          <c:order val="3"/>
          <c:tx>
            <c:strRef>
              <c:f>DecayP1regulars!$K$7</c:f>
              <c:strCache>
                <c:ptCount val="1"/>
                <c:pt idx="0">
                  <c:v>Site 5 (South)</c:v>
                </c:pt>
              </c:strCache>
            </c:strRef>
          </c:tx>
          <c:spPr>
            <a:pattFill prst="wdDnDiag">
              <a:fgClr>
                <a:schemeClr val="bg1">
                  <a:lumMod val="65000"/>
                </a:schemeClr>
              </a:fgClr>
              <a:bgClr>
                <a:schemeClr val="bg1"/>
              </a:bgClr>
            </a:pattFill>
            <a:ln>
              <a:solidFill>
                <a:schemeClr val="bg1">
                  <a:lumMod val="50000"/>
                </a:schemeClr>
              </a:solidFill>
            </a:ln>
          </c:spPr>
          <c:invertIfNegative val="0"/>
          <c:cat>
            <c:strRef>
              <c:f>DecayP1regulars!$L$3:$Q$3</c:f>
              <c:strCache>
                <c:ptCount val="6"/>
                <c:pt idx="0">
                  <c:v>May-Aug</c:v>
                </c:pt>
                <c:pt idx="1">
                  <c:v>Jun-Sep</c:v>
                </c:pt>
                <c:pt idx="2">
                  <c:v>Jul-Oct</c:v>
                </c:pt>
                <c:pt idx="3">
                  <c:v>Aug-Nov</c:v>
                </c:pt>
                <c:pt idx="4">
                  <c:v>Sep-Dec</c:v>
                </c:pt>
                <c:pt idx="5">
                  <c:v>Oct-Jan</c:v>
                </c:pt>
              </c:strCache>
            </c:strRef>
          </c:cat>
          <c:val>
            <c:numRef>
              <c:f>DecayP1regulars!$L$7:$Q$7</c:f>
              <c:numCache>
                <c:formatCode>0%</c:formatCode>
                <c:ptCount val="6"/>
                <c:pt idx="0">
                  <c:v>0.73569482288828336</c:v>
                </c:pt>
                <c:pt idx="1">
                  <c:v>0.59400544959128065</c:v>
                </c:pt>
                <c:pt idx="2">
                  <c:v>0.49046321525885561</c:v>
                </c:pt>
                <c:pt idx="3">
                  <c:v>0.37874659400544963</c:v>
                </c:pt>
                <c:pt idx="4">
                  <c:v>0.33242506811989103</c:v>
                </c:pt>
                <c:pt idx="5">
                  <c:v>0.29700272479564027</c:v>
                </c:pt>
              </c:numCache>
            </c:numRef>
          </c:val>
        </c:ser>
        <c:dLbls>
          <c:showLegendKey val="0"/>
          <c:showVal val="0"/>
          <c:showCatName val="0"/>
          <c:showSerName val="0"/>
          <c:showPercent val="0"/>
          <c:showBubbleSize val="0"/>
        </c:dLbls>
        <c:gapWidth val="150"/>
        <c:axId val="298332400"/>
        <c:axId val="298330048"/>
      </c:barChart>
      <c:catAx>
        <c:axId val="298332400"/>
        <c:scaling>
          <c:orientation val="minMax"/>
        </c:scaling>
        <c:delete val="0"/>
        <c:axPos val="b"/>
        <c:title>
          <c:tx>
            <c:rich>
              <a:bodyPr/>
              <a:lstStyle/>
              <a:p>
                <a:pPr>
                  <a:defRPr sz="1200" b="0">
                    <a:latin typeface="Times New Roman" panose="02020603050405020304" pitchFamily="18" charset="0"/>
                    <a:cs typeface="Times New Roman" panose="02020603050405020304" pitchFamily="18" charset="0"/>
                  </a:defRPr>
                </a:pPr>
                <a:r>
                  <a:rPr lang="en-US" sz="1200" b="0">
                    <a:latin typeface="Times New Roman" panose="02020603050405020304" pitchFamily="18" charset="0"/>
                    <a:cs typeface="Times New Roman" panose="02020603050405020304" pitchFamily="18" charset="0"/>
                  </a:rPr>
                  <a:t>Time period</a:t>
                </a:r>
              </a:p>
            </c:rich>
          </c:tx>
          <c:layout/>
          <c:overlay val="0"/>
        </c:title>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en-US"/>
          </a:p>
        </c:txPr>
        <c:crossAx val="298330048"/>
        <c:crosses val="autoZero"/>
        <c:auto val="1"/>
        <c:lblAlgn val="ctr"/>
        <c:lblOffset val="100"/>
        <c:noMultiLvlLbl val="0"/>
      </c:catAx>
      <c:valAx>
        <c:axId val="298330048"/>
        <c:scaling>
          <c:orientation val="minMax"/>
        </c:scaling>
        <c:delete val="0"/>
        <c:axPos val="l"/>
        <c:majorGridlines/>
        <c:title>
          <c:tx>
            <c:rich>
              <a:bodyPr rot="-5400000" vert="horz"/>
              <a:lstStyle/>
              <a:p>
                <a:pPr>
                  <a:defRPr sz="1200" b="0">
                    <a:latin typeface="Times New Roman" panose="02020603050405020304" pitchFamily="18" charset="0"/>
                    <a:cs typeface="Times New Roman" panose="02020603050405020304" pitchFamily="18" charset="0"/>
                  </a:defRPr>
                </a:pPr>
                <a:r>
                  <a:rPr lang="en-US" sz="1200" b="0">
                    <a:latin typeface="Times New Roman" panose="02020603050405020304" pitchFamily="18" charset="0"/>
                    <a:cs typeface="Times New Roman" panose="02020603050405020304" pitchFamily="18" charset="0"/>
                  </a:rPr>
                  <a:t>Regulars remaining from original pool</a:t>
                </a:r>
              </a:p>
            </c:rich>
          </c:tx>
          <c:layout/>
          <c:overlay val="0"/>
        </c:title>
        <c:numFmt formatCode="0%" sourceLinked="1"/>
        <c:majorTickMark val="out"/>
        <c:minorTickMark val="none"/>
        <c:tickLblPos val="nextTo"/>
        <c:txPr>
          <a:bodyPr/>
          <a:lstStyle/>
          <a:p>
            <a:pPr>
              <a:defRPr sz="1200"/>
            </a:pPr>
            <a:endParaRPr lang="en-US"/>
          </a:p>
        </c:txPr>
        <c:crossAx val="298332400"/>
        <c:crosses val="autoZero"/>
        <c:crossBetween val="between"/>
      </c:valAx>
    </c:plotArea>
    <c:legend>
      <c:legendPos val="r"/>
      <c:layout/>
      <c:overlay val="0"/>
      <c:txPr>
        <a:bodyPr/>
        <a:lstStyle/>
        <a:p>
          <a:pPr>
            <a:defRPr sz="12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E5269-6C73-4E59-A014-1974A0154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7449</Words>
  <Characters>42464</Characters>
  <Application>Microsoft Office Word</Application>
  <DocSecurity>4</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49814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Mcleod F.N.</dc:creator>
  <cp:lastModifiedBy>Carter K.R.</cp:lastModifiedBy>
  <cp:revision>2</cp:revision>
  <cp:lastPrinted>2015-03-17T14:31:00Z</cp:lastPrinted>
  <dcterms:created xsi:type="dcterms:W3CDTF">2016-11-10T13:30:00Z</dcterms:created>
  <dcterms:modified xsi:type="dcterms:W3CDTF">2016-11-10T13:30:00Z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j.a.pritchard@soton.ac.uk@www.mendeley.com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