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86974" w14:textId="77777777" w:rsidR="00661045" w:rsidRDefault="00933148" w:rsidP="00967EAD">
      <w:pPr>
        <w:pStyle w:val="Articletitle"/>
        <w:jc w:val="center"/>
      </w:pPr>
      <w:bookmarkStart w:id="0" w:name="_GoBack"/>
      <w:r w:rsidRPr="00933148">
        <w:t>Using GIS to Assess the Potential for Centralised Planning of Bus Networks</w:t>
      </w:r>
    </w:p>
    <w:bookmarkEnd w:id="0"/>
    <w:p w14:paraId="713273C9" w14:textId="77777777" w:rsidR="00442B9C" w:rsidRDefault="00933148" w:rsidP="00120785">
      <w:pPr>
        <w:pStyle w:val="Authornames"/>
        <w:jc w:val="center"/>
      </w:pPr>
      <w:r>
        <w:t>Yuji Shi</w:t>
      </w:r>
      <w:r w:rsidR="00120785">
        <w:rPr>
          <w:rStyle w:val="FootnoteReference"/>
        </w:rPr>
        <w:footnoteReference w:customMarkFollows="1" w:id="1"/>
        <w:t>*</w:t>
      </w:r>
      <w:r>
        <w:t>,</w:t>
      </w:r>
      <w:r w:rsidRPr="00933148">
        <w:t xml:space="preserve"> </w:t>
      </w:r>
      <w:r>
        <w:t>Simon Blainey and Nick Hounsell</w:t>
      </w:r>
    </w:p>
    <w:p w14:paraId="3790CE65" w14:textId="4211EF91" w:rsidR="00997B0F" w:rsidRDefault="00933148" w:rsidP="00967EAD">
      <w:pPr>
        <w:pStyle w:val="Affiliation"/>
        <w:jc w:val="center"/>
      </w:pPr>
      <w:r>
        <w:t xml:space="preserve">Transportation Research Group, Faculty of Engineering and Environment, University of Southampton, </w:t>
      </w:r>
      <w:proofErr w:type="spellStart"/>
      <w:r>
        <w:t>Boldrewood</w:t>
      </w:r>
      <w:proofErr w:type="spellEnd"/>
      <w:r>
        <w:t>, Southampton, SO16 7QF, UK</w:t>
      </w:r>
    </w:p>
    <w:p w14:paraId="56A3BB44" w14:textId="04C90B74" w:rsidR="00120785" w:rsidRDefault="00AF01A0" w:rsidP="00AF01A0">
      <w:pPr>
        <w:pStyle w:val="Receiveddates"/>
        <w:jc w:val="center"/>
      </w:pPr>
      <w:r>
        <w:t>(Received 7 March 2016; accepted 29 July 2016</w:t>
      </w:r>
      <w:r w:rsidRPr="00AF01A0">
        <w:t>)</w:t>
      </w:r>
    </w:p>
    <w:p w14:paraId="4D61FB18" w14:textId="77777777" w:rsidR="00C246C5" w:rsidRDefault="00C14585" w:rsidP="003A051B">
      <w:pPr>
        <w:pStyle w:val="Articletitle"/>
        <w:jc w:val="center"/>
      </w:pPr>
      <w:r>
        <w:br w:type="page"/>
      </w:r>
      <w:r w:rsidR="003A051B" w:rsidRPr="003A051B">
        <w:lastRenderedPageBreak/>
        <w:t>Using GIS to Assess the Potential for Centralised Planning of Bus Networks</w:t>
      </w:r>
    </w:p>
    <w:p w14:paraId="42EAAEE5" w14:textId="3CD2D51A" w:rsidR="00665C05" w:rsidRPr="003B6ACE" w:rsidRDefault="003A051B" w:rsidP="003B6ACE">
      <w:pPr>
        <w:pStyle w:val="Abstract"/>
      </w:pPr>
      <w:r w:rsidRPr="003B6ACE">
        <w:t xml:space="preserve">The current regulatory and planning environment means that road-based public transport in UK urban areas (with the exception of London) tends to be planned on a piecemeal basis, and there are often conflicts between the needs and priorities of operators, passengers and planners. In consequence, several local authorities are considering adopting an alternative regulatory environment using quality contracts, with a consequent shift towards centralised service planning. There are though no tools readily available to ensure this centralised service planning will lead to a </w:t>
      </w:r>
      <w:proofErr w:type="gramStart"/>
      <w:r w:rsidRPr="003B6ACE">
        <w:t>situation which</w:t>
      </w:r>
      <w:proofErr w:type="gramEnd"/>
      <w:r w:rsidRPr="003B6ACE">
        <w:t xml:space="preserve"> provides a better balance between the interests of the different stakeholders. </w:t>
      </w:r>
      <w:r w:rsidR="00665C05" w:rsidRPr="003B6ACE">
        <w:t xml:space="preserve">This paper describes the development of a methodology to fill this gap, using Southampton as a case study to explore the corresponding improvement </w:t>
      </w:r>
      <w:proofErr w:type="gramStart"/>
      <w:r w:rsidR="00665C05" w:rsidRPr="003B6ACE">
        <w:t>methods which could be applied</w:t>
      </w:r>
      <w:proofErr w:type="gramEnd"/>
      <w:r w:rsidR="00665C05" w:rsidRPr="003B6ACE">
        <w:t xml:space="preserve"> based on the alternative regulatory environment. </w:t>
      </w:r>
      <w:r w:rsidR="003B6ACE" w:rsidRPr="003B6ACE">
        <w:t>The improvement methods, including both bus route design and frequenc</w:t>
      </w:r>
      <w:r w:rsidR="00DA04EC">
        <w:t>y</w:t>
      </w:r>
      <w:r w:rsidR="003B6ACE" w:rsidRPr="003B6ACE">
        <w:t xml:space="preserve"> setting, </w:t>
      </w:r>
      <w:proofErr w:type="gramStart"/>
      <w:r w:rsidR="003B6ACE" w:rsidRPr="003B6ACE">
        <w:t>are considered</w:t>
      </w:r>
      <w:proofErr w:type="gramEnd"/>
      <w:r w:rsidR="003B6ACE" w:rsidRPr="003B6ACE">
        <w:t xml:space="preserve"> in this paper</w:t>
      </w:r>
      <w:r w:rsidR="00DA04EC">
        <w:t>, which demonstrates how t</w:t>
      </w:r>
      <w:r w:rsidR="00665C05" w:rsidRPr="003B6ACE">
        <w:t xml:space="preserve">his service improvement problem </w:t>
      </w:r>
      <w:r w:rsidR="00DA04EC">
        <w:t>can</w:t>
      </w:r>
      <w:r w:rsidR="00665C05" w:rsidRPr="003B6ACE">
        <w:t xml:space="preserve"> be solved by making use of an optimisation technique, the tabu search algorithm, developed under the environment of ArcObjects for Java.</w:t>
      </w:r>
      <w:r w:rsidR="00DA04EC">
        <w:t xml:space="preserve"> While the methodology </w:t>
      </w:r>
      <w:proofErr w:type="gramStart"/>
      <w:r w:rsidR="00DA04EC">
        <w:t>is developed</w:t>
      </w:r>
      <w:proofErr w:type="gramEnd"/>
      <w:r w:rsidR="00DA04EC">
        <w:t xml:space="preserve"> in the UK context, the general principles used could be applied more widely to improve transit network planning.</w:t>
      </w:r>
    </w:p>
    <w:p w14:paraId="66EEF2B6" w14:textId="4DCADA68" w:rsidR="00FA2439" w:rsidRDefault="00997B0F" w:rsidP="00623D8D">
      <w:pPr>
        <w:pStyle w:val="Keywords"/>
      </w:pPr>
      <w:r w:rsidRPr="00F7028C">
        <w:rPr>
          <w:b/>
          <w:bCs/>
        </w:rPr>
        <w:t>Keywords</w:t>
      </w:r>
      <w:r>
        <w:t xml:space="preserve">: </w:t>
      </w:r>
      <w:r w:rsidR="0037000E" w:rsidRPr="003A051B">
        <w:t xml:space="preserve">transit network design problem; </w:t>
      </w:r>
      <w:r w:rsidR="0037000E">
        <w:t xml:space="preserve">network planning; </w:t>
      </w:r>
      <w:proofErr w:type="spellStart"/>
      <w:r w:rsidR="0037000E" w:rsidRPr="003A051B">
        <w:t>tabu</w:t>
      </w:r>
      <w:proofErr w:type="spellEnd"/>
      <w:r w:rsidR="0037000E" w:rsidRPr="003A051B">
        <w:t xml:space="preserve"> search algorithm; </w:t>
      </w:r>
      <w:r w:rsidR="0037000E">
        <w:t>geographical information systems</w:t>
      </w:r>
    </w:p>
    <w:p w14:paraId="1AFA99B1" w14:textId="44047C26" w:rsidR="00B140C5" w:rsidRDefault="00FA2439" w:rsidP="007B36C0">
      <w:pPr>
        <w:pStyle w:val="Newparagraph"/>
      </w:pPr>
      <w:r w:rsidRPr="007B36C0">
        <w:t xml:space="preserve">Words: </w:t>
      </w:r>
      <w:r w:rsidR="007B36C0" w:rsidRPr="007B36C0">
        <w:t>7</w:t>
      </w:r>
      <w:r w:rsidR="00142129">
        <w:t>597</w:t>
      </w:r>
      <w:r w:rsidR="00146B77">
        <w:t>/8000</w:t>
      </w:r>
    </w:p>
    <w:p w14:paraId="1AE6DF7D" w14:textId="5D92D46E" w:rsidR="00B140C5" w:rsidRDefault="00B140C5" w:rsidP="00B140C5">
      <w:pPr>
        <w:pStyle w:val="Heading1"/>
      </w:pPr>
      <w:r w:rsidRPr="00312BA2">
        <w:t xml:space="preserve">1. Introduction </w:t>
      </w:r>
      <w:r w:rsidR="00366674">
        <w:t>and Background</w:t>
      </w:r>
    </w:p>
    <w:p w14:paraId="32901C1A" w14:textId="5CC83C91" w:rsidR="00366674" w:rsidRPr="00366674" w:rsidRDefault="00366674" w:rsidP="00A614C9">
      <w:pPr>
        <w:pStyle w:val="Heading2"/>
      </w:pPr>
      <w:r>
        <w:t>1.1 Introduction</w:t>
      </w:r>
    </w:p>
    <w:p w14:paraId="400EB342" w14:textId="1059A77A" w:rsidR="00DB107E" w:rsidRDefault="00B140C5" w:rsidP="00B4597A">
      <w:pPr>
        <w:pStyle w:val="Newparagraph"/>
      </w:pPr>
      <w:r>
        <w:t>Urban growth is driving continued demand for transport within many cities, and the consequent growth in congestion together with environmental and fiscal pressures means that the provision of effective and efficient public transport services is of crucial importance in supporting urban economies and societies.</w:t>
      </w:r>
      <w:r w:rsidR="004D54B0">
        <w:t xml:space="preserve"> While rail-based metro </w:t>
      </w:r>
      <w:r w:rsidR="004D54B0">
        <w:lastRenderedPageBreak/>
        <w:t xml:space="preserve">systems </w:t>
      </w:r>
      <w:proofErr w:type="gramStart"/>
      <w:r w:rsidR="004D54B0">
        <w:t>are often seen</w:t>
      </w:r>
      <w:proofErr w:type="gramEnd"/>
      <w:r w:rsidR="004D54B0">
        <w:t xml:space="preserve"> as being a first choice option to enable such provision, the high cost of constructing and operating such systems mean that in the majority of cities there will be a continued role for extensive bus networks. Such networks </w:t>
      </w:r>
      <w:proofErr w:type="gramStart"/>
      <w:r w:rsidR="004D54B0">
        <w:t>can, in the right circumstances, be</w:t>
      </w:r>
      <w:proofErr w:type="gramEnd"/>
      <w:r w:rsidR="004D54B0">
        <w:t xml:space="preserve"> extremely effective in moving large numbers of people efficiently from one place to another. However, public perception of bus travel tends to </w:t>
      </w:r>
      <w:proofErr w:type="gramStart"/>
      <w:r w:rsidR="004D54B0">
        <w:t>be rather mixed</w:t>
      </w:r>
      <w:proofErr w:type="gramEnd"/>
      <w:r w:rsidR="004D54B0">
        <w:t xml:space="preserve">, with buses perceived as being an ‘inferior’ mode of transport in some areas and amongst certain social groups. This problem </w:t>
      </w:r>
      <w:proofErr w:type="gramStart"/>
      <w:r w:rsidR="004D54B0">
        <w:t>is exacerbated</w:t>
      </w:r>
      <w:proofErr w:type="gramEnd"/>
      <w:r w:rsidR="004D54B0">
        <w:t xml:space="preserve"> in some contexts by a lack of regulation or coordinated planning,</w:t>
      </w:r>
      <w:r w:rsidR="006F72A8">
        <w:t xml:space="preserve"> with bus routes planned and timetabled on a piecemeal basis with little consultation between different service providers. This can be compounded by the</w:t>
      </w:r>
      <w:r w:rsidR="004D54B0">
        <w:t xml:space="preserve"> conflicting motivations </w:t>
      </w:r>
      <w:r w:rsidR="006F72A8">
        <w:t xml:space="preserve">for operating bus </w:t>
      </w:r>
      <w:proofErr w:type="gramStart"/>
      <w:r w:rsidR="006F72A8">
        <w:t>services which</w:t>
      </w:r>
      <w:proofErr w:type="gramEnd"/>
      <w:r w:rsidR="006F72A8">
        <w:t xml:space="preserve"> exist in unregulated environments, with profit-making not always well-aligned with optimal service provision. Recognition of these issues has led to a renewed interest in integrated planning for public transport services in a number of areas around the world. However, methodologies to determine what a well-integrated customer-focused public transport network in a given area would look like are in short supply. This paper describes the development of a methodology to help fill this gap by optimising bus network structure to provide maximum accessibility to key services. While the application described here focuses on the British context, the general principles </w:t>
      </w:r>
      <w:proofErr w:type="gramStart"/>
      <w:r w:rsidR="006F72A8">
        <w:t>could be applied</w:t>
      </w:r>
      <w:proofErr w:type="gramEnd"/>
      <w:r w:rsidR="006F72A8">
        <w:t xml:space="preserve"> equally well in other contexts around the world.</w:t>
      </w:r>
      <w:r w:rsidR="00DB107E">
        <w:t xml:space="preserve"> </w:t>
      </w:r>
    </w:p>
    <w:p w14:paraId="610B2206" w14:textId="18ED5A75" w:rsidR="00366674" w:rsidRDefault="00366674" w:rsidP="00A614C9">
      <w:pPr>
        <w:pStyle w:val="Heading2"/>
      </w:pPr>
      <w:r>
        <w:t>1.2 Structure of British Bus Operations</w:t>
      </w:r>
    </w:p>
    <w:p w14:paraId="26187D21" w14:textId="18DFF532" w:rsidR="005B5B4A" w:rsidRDefault="00366674" w:rsidP="009320B2">
      <w:pPr>
        <w:pStyle w:val="Newparagraph"/>
      </w:pPr>
      <w:r>
        <w:t xml:space="preserve">Bus services in Great Britain outside Greater London were deregulated in October 1986, with the previous system of road service licensing (which imposed quantity control on bus service supply) replaced with a system where operators merely had to register their plans to operate </w:t>
      </w:r>
      <w:r w:rsidR="00E4213D">
        <w:t>a route 42 days (subsequently increased to</w:t>
      </w:r>
      <w:r>
        <w:t xml:space="preserve"> 56 days) before operations commenced. This permitted full inter-operator ‘on the road’ competition for passengers, which led to major changes in service patterns and frequencies in many areas. </w:t>
      </w:r>
      <w:r w:rsidR="00E4213D">
        <w:t xml:space="preserve">While deregulation drove some reductions in average costs, it also tended to lead to increased fares, and inadequate regulation for quality allowed poor quality operators to </w:t>
      </w:r>
      <w:proofErr w:type="gramStart"/>
      <w:r w:rsidR="00E4213D">
        <w:t>become established</w:t>
      </w:r>
      <w:proofErr w:type="gramEnd"/>
      <w:r w:rsidR="00E4213D">
        <w:t xml:space="preserve"> in some areas of the country (Hibbs </w:t>
      </w:r>
      <w:r w:rsidR="00593BD3">
        <w:t>and</w:t>
      </w:r>
      <w:r w:rsidR="00E4213D">
        <w:t xml:space="preserve"> Higginson 2013</w:t>
      </w:r>
      <w:r w:rsidR="004D54B0">
        <w:t>)</w:t>
      </w:r>
      <w:r w:rsidR="00E4213D">
        <w:t xml:space="preserve">. Deregulation also made it very difficult for transport planners to maintain coherent and integrated public transport systems within particular areas, with for example competition legislation limiting the potential </w:t>
      </w:r>
      <w:proofErr w:type="gramStart"/>
      <w:r w:rsidR="00E4213D">
        <w:t>for network-wide ticketing</w:t>
      </w:r>
      <w:proofErr w:type="gramEnd"/>
      <w:r w:rsidR="00E4213D">
        <w:t xml:space="preserve"> structures. In contrast with the regulated and integrated system in London, where bus patronage has grown strongly in recent years, levels of bus usage in most other ar</w:t>
      </w:r>
      <w:r w:rsidR="003735C8">
        <w:t xml:space="preserve">eas of Great Britain declined steadily in the years after deregulation. In order to try to arrest this decline, and the conflicts between the needs and priorities of bus operators, passengers and planners caused by deregulation, local authorities in many areas have introduced voluntary Quality Bus Partnerships (QBPs) on </w:t>
      </w:r>
      <w:r w:rsidR="003735C8" w:rsidRPr="00E01DF1">
        <w:t>particular corridors (Nelson</w:t>
      </w:r>
      <w:r w:rsidR="007C7548">
        <w:t xml:space="preserve"> </w:t>
      </w:r>
      <w:r w:rsidR="003735C8" w:rsidRPr="00E01DF1">
        <w:t xml:space="preserve">2013). </w:t>
      </w:r>
      <w:proofErr w:type="gramStart"/>
      <w:r w:rsidR="003735C8" w:rsidRPr="00E01DF1">
        <w:t>These involve operators and local government working together to improve the standard of bus services and facilities on these corridors, but while they were s</w:t>
      </w:r>
      <w:r w:rsidR="003735C8">
        <w:t>uccessful in some areas, there was always a risk that lower quality (and cost) operators would introduce competing services which took advantage of the improved fixed infrastructure but did not make corresponding improvements to the quality of their vehicles, undermining the principles of the partnership.</w:t>
      </w:r>
      <w:proofErr w:type="gramEnd"/>
      <w:r w:rsidR="003735C8">
        <w:t xml:space="preserve"> The limited success of QBPs together with a desire to increase bus usage levels as a means of dealing with congestion and pollution has in recent years led several British local authorities to consider a system of Quality Contracts for bus services (as permitted by the Transport Act 2000 and Local Transport Act 2008). This would involve the introduction of </w:t>
      </w:r>
      <w:r w:rsidR="00B140C5">
        <w:t>centralised</w:t>
      </w:r>
      <w:r w:rsidR="003735C8">
        <w:t xml:space="preserve"> planning for bus</w:t>
      </w:r>
      <w:r w:rsidR="00B140C5">
        <w:t xml:space="preserve"> service</w:t>
      </w:r>
      <w:r w:rsidR="003735C8">
        <w:t xml:space="preserve">s, effectively </w:t>
      </w:r>
      <w:r w:rsidR="00B140C5">
        <w:t>reproduc</w:t>
      </w:r>
      <w:r w:rsidR="003735C8">
        <w:t>ing</w:t>
      </w:r>
      <w:r w:rsidR="00B140C5">
        <w:t xml:space="preserve"> the structure that exists </w:t>
      </w:r>
      <w:r w:rsidR="003735C8">
        <w:t>in</w:t>
      </w:r>
      <w:r w:rsidR="00B140C5">
        <w:t xml:space="preserve"> London </w:t>
      </w:r>
      <w:r w:rsidR="003735C8">
        <w:t>across</w:t>
      </w:r>
      <w:r w:rsidR="00B140C5">
        <w:t xml:space="preserve"> the rest of the </w:t>
      </w:r>
      <w:r w:rsidR="003735C8">
        <w:t xml:space="preserve">country. With this </w:t>
      </w:r>
      <w:proofErr w:type="gramStart"/>
      <w:r w:rsidR="003735C8">
        <w:t>system</w:t>
      </w:r>
      <w:proofErr w:type="gramEnd"/>
      <w:r w:rsidR="00B140C5">
        <w:t xml:space="preserve"> the local authority would specify the services to be provided with the private bus companies </w:t>
      </w:r>
      <w:r w:rsidR="006F72A8">
        <w:t xml:space="preserve">then </w:t>
      </w:r>
      <w:r w:rsidR="00B140C5">
        <w:t>competing for the contract</w:t>
      </w:r>
      <w:r w:rsidR="006F72A8">
        <w:t>s</w:t>
      </w:r>
      <w:r w:rsidR="00B140C5">
        <w:t xml:space="preserve"> to provide them. Such Quality Contracts could attract positive </w:t>
      </w:r>
      <w:proofErr w:type="gramStart"/>
      <w:r w:rsidR="00B140C5">
        <w:t>bids which</w:t>
      </w:r>
      <w:proofErr w:type="gramEnd"/>
      <w:r w:rsidR="00B140C5">
        <w:t xml:space="preserve"> would permit the local authority to be recompensed for its quality investments, and would also allow for simple integrated ticketing</w:t>
      </w:r>
      <w:r w:rsidR="006F72A8">
        <w:t xml:space="preserve"> across the bus network</w:t>
      </w:r>
      <w:r w:rsidR="00B140C5">
        <w:t>, fares capping and enforceable standards for performance and quality (</w:t>
      </w:r>
      <w:r w:rsidR="00460E3B">
        <w:t>pteg</w:t>
      </w:r>
      <w:r w:rsidR="00B140C5" w:rsidRPr="00B140C5">
        <w:t xml:space="preserve"> 2014</w:t>
      </w:r>
      <w:r w:rsidR="00B140C5">
        <w:t xml:space="preserve">). So </w:t>
      </w:r>
      <w:proofErr w:type="gramStart"/>
      <w:r w:rsidR="00B140C5">
        <w:t>far</w:t>
      </w:r>
      <w:proofErr w:type="gramEnd"/>
      <w:r w:rsidR="00B140C5">
        <w:t xml:space="preserve"> only one authority, the North East Combined Authority, has submitted their proposal for a Quality Contract Scheme (QCS) for Tyne and Wear on October 21</w:t>
      </w:r>
      <w:r w:rsidR="00B140C5" w:rsidRPr="005B5B4A">
        <w:rPr>
          <w:vertAlign w:val="superscript"/>
        </w:rPr>
        <w:t xml:space="preserve">st </w:t>
      </w:r>
      <w:r w:rsidR="00B140C5">
        <w:t>2014 (</w:t>
      </w:r>
      <w:r w:rsidR="00460E3B">
        <w:t>Nexus</w:t>
      </w:r>
      <w:r w:rsidR="00B140C5" w:rsidRPr="00B140C5">
        <w:t xml:space="preserve"> 2014</w:t>
      </w:r>
      <w:r w:rsidR="00B140C5">
        <w:t>)</w:t>
      </w:r>
      <w:r w:rsidR="006F72A8">
        <w:t>, which was subsequently</w:t>
      </w:r>
      <w:r w:rsidR="00B140C5">
        <w:t xml:space="preserve"> rejected on 3</w:t>
      </w:r>
      <w:r w:rsidR="00B140C5" w:rsidRPr="005B5B4A">
        <w:rPr>
          <w:vertAlign w:val="superscript"/>
        </w:rPr>
        <w:t xml:space="preserve">rd </w:t>
      </w:r>
      <w:r w:rsidR="00B140C5">
        <w:t xml:space="preserve">November 2015. </w:t>
      </w:r>
      <w:r w:rsidR="006F72A8">
        <w:t>However, o</w:t>
      </w:r>
      <w:r w:rsidR="00B140C5">
        <w:t>n 3</w:t>
      </w:r>
      <w:r w:rsidR="00B140C5" w:rsidRPr="005B5B4A">
        <w:rPr>
          <w:vertAlign w:val="superscript"/>
        </w:rPr>
        <w:t>rd</w:t>
      </w:r>
      <w:r w:rsidR="00B140C5">
        <w:t xml:space="preserve"> November 2014, the Greater Manchester Combined Authority signed a deal with the </w:t>
      </w:r>
      <w:proofErr w:type="gramStart"/>
      <w:r w:rsidR="00B140C5">
        <w:t>government which</w:t>
      </w:r>
      <w:proofErr w:type="gramEnd"/>
      <w:r w:rsidR="00B140C5">
        <w:t xml:space="preserve"> stated that Transport for Greater Manchester (TfGM) would be able to bring forward a Quality Contract scheme following a consultation. Other </w:t>
      </w:r>
      <w:r w:rsidR="006F72A8">
        <w:t xml:space="preserve">UK </w:t>
      </w:r>
      <w:r w:rsidR="00B140C5">
        <w:t xml:space="preserve">Local Transport </w:t>
      </w:r>
      <w:proofErr w:type="gramStart"/>
      <w:r w:rsidR="00B140C5">
        <w:t>Authorities which</w:t>
      </w:r>
      <w:proofErr w:type="gramEnd"/>
      <w:r w:rsidR="00B140C5">
        <w:t xml:space="preserve"> are currently actively pursuing the Quality Contract option (but have not triggered the formal legislative process) include West Yorkshire and Merseyside (</w:t>
      </w:r>
      <w:r w:rsidR="00460E3B">
        <w:t>pteg</w:t>
      </w:r>
      <w:r w:rsidR="00B140C5" w:rsidRPr="00B140C5">
        <w:t xml:space="preserve"> 2014</w:t>
      </w:r>
      <w:r w:rsidR="00B140C5">
        <w:t xml:space="preserve">). </w:t>
      </w:r>
    </w:p>
    <w:p w14:paraId="14850FBE" w14:textId="55516E6C" w:rsidR="00B140C5" w:rsidRDefault="00125A72" w:rsidP="00022FF5">
      <w:pPr>
        <w:pStyle w:val="Newparagraph"/>
      </w:pPr>
      <w:r>
        <w:t>While Quality Contracts are often portrayed as a solution to the disadvantages of deregulation, t</w:t>
      </w:r>
      <w:r w:rsidR="00B140C5">
        <w:t xml:space="preserve">here are though no tools readily available to ensure that </w:t>
      </w:r>
      <w:r>
        <w:t>they</w:t>
      </w:r>
      <w:r w:rsidR="00B140C5">
        <w:t xml:space="preserve"> will lead to a </w:t>
      </w:r>
      <w:proofErr w:type="gramStart"/>
      <w:r w:rsidR="00B140C5">
        <w:t>situation which</w:t>
      </w:r>
      <w:proofErr w:type="gramEnd"/>
      <w:r w:rsidR="00B140C5">
        <w:t xml:space="preserve"> provides a better balance between the interests of the different stakeholders. </w:t>
      </w:r>
      <w:proofErr w:type="gramStart"/>
      <w:r w:rsidR="00B140C5" w:rsidRPr="00017C8E">
        <w:t xml:space="preserve">This paper describes the development of a methodology to fill this gap, using Southampton as a case study to explore </w:t>
      </w:r>
      <w:r w:rsidR="00022FF5">
        <w:t xml:space="preserve">what improvements in bus services could be obtained under </w:t>
      </w:r>
      <w:r w:rsidR="00B140C5" w:rsidRPr="00017C8E">
        <w:t xml:space="preserve">the alternative regulatory environment, and to compare the performance of bus networks under both </w:t>
      </w:r>
      <w:r w:rsidR="00022FF5">
        <w:t>regulatory</w:t>
      </w:r>
      <w:r w:rsidR="00022FF5" w:rsidRPr="00017C8E">
        <w:t xml:space="preserve"> </w:t>
      </w:r>
      <w:r w:rsidR="00B140C5" w:rsidRPr="00017C8E">
        <w:t xml:space="preserve">scenarios </w:t>
      </w:r>
      <w:r w:rsidR="00022FF5">
        <w:t xml:space="preserve">in order </w:t>
      </w:r>
      <w:r w:rsidR="00B140C5" w:rsidRPr="00017C8E">
        <w:t xml:space="preserve">to evaluate the potential of centralised service planning </w:t>
      </w:r>
      <w:r w:rsidR="00022FF5">
        <w:t>to improve</w:t>
      </w:r>
      <w:r w:rsidR="00022FF5" w:rsidRPr="00017C8E">
        <w:t xml:space="preserve"> </w:t>
      </w:r>
      <w:r w:rsidR="00B140C5" w:rsidRPr="00017C8E">
        <w:t>public transport in UK urban areas outside London.</w:t>
      </w:r>
      <w:proofErr w:type="gramEnd"/>
      <w:r w:rsidR="00B140C5" w:rsidRPr="00017C8E">
        <w:t xml:space="preserve"> </w:t>
      </w:r>
    </w:p>
    <w:p w14:paraId="4E93C4B1" w14:textId="20291A0D" w:rsidR="00366674" w:rsidRPr="00017C8E" w:rsidRDefault="00366674" w:rsidP="00A614C9">
      <w:pPr>
        <w:pStyle w:val="Heading2"/>
      </w:pPr>
      <w:r>
        <w:t>1.3 Transit Network Planning</w:t>
      </w:r>
    </w:p>
    <w:p w14:paraId="4FB99AB4" w14:textId="5711BF57" w:rsidR="00B140C5" w:rsidRDefault="00B140C5" w:rsidP="00022FF5">
      <w:pPr>
        <w:pStyle w:val="Newparagraph"/>
      </w:pPr>
      <w:proofErr w:type="gramStart"/>
      <w:r w:rsidRPr="0068770F">
        <w:t xml:space="preserve">According to </w:t>
      </w:r>
      <w:r w:rsidRPr="00B140C5">
        <w:t xml:space="preserve">Ceder (2007), </w:t>
      </w:r>
      <w:r w:rsidRPr="0068770F">
        <w:t>the process of public transport</w:t>
      </w:r>
      <w:r w:rsidR="00F70039">
        <w:t xml:space="preserve"> network planning, known as the</w:t>
      </w:r>
      <w:r w:rsidRPr="0068770F">
        <w:t xml:space="preserve"> Transit </w:t>
      </w:r>
      <w:r w:rsidR="00F70039">
        <w:t>Network Planning (TNP) problem,</w:t>
      </w:r>
      <w:r w:rsidRPr="0068770F">
        <w:t xml:space="preserve"> can be decomposed into four stages: network route design, network scheduling (includes frequenc</w:t>
      </w:r>
      <w:r>
        <w:t>y</w:t>
      </w:r>
      <w:r w:rsidRPr="0068770F">
        <w:t xml:space="preserve"> setting and timetable development), vehicle scheduling and crew scheduling</w:t>
      </w:r>
      <w:r w:rsidR="00022FF5">
        <w:t>, which are sometimes alternatively termed</w:t>
      </w:r>
      <w:r w:rsidRPr="0068770F">
        <w:t xml:space="preserve"> strategic (step 1), tactical (step 2) and operational (step 3 and 4) planning, respectively (</w:t>
      </w:r>
      <w:r w:rsidR="00460E3B">
        <w:t>Desaulniers and Hickman</w:t>
      </w:r>
      <w:r w:rsidRPr="00B140C5">
        <w:t xml:space="preserve"> 2007</w:t>
      </w:r>
      <w:r w:rsidRPr="0068770F">
        <w:t>).</w:t>
      </w:r>
      <w:proofErr w:type="gramEnd"/>
      <w:r>
        <w:t xml:space="preserve"> </w:t>
      </w:r>
      <w:r w:rsidRPr="0068770F">
        <w:t>Network route design (or strategic planning) is the single most important planning step among this four-step network planning process</w:t>
      </w:r>
      <w:r w:rsidR="00022FF5">
        <w:t>,</w:t>
      </w:r>
      <w:r w:rsidRPr="0068770F">
        <w:t xml:space="preserve"> because it will invariably affect frequency setting</w:t>
      </w:r>
      <w:r w:rsidR="00022FF5">
        <w:t xml:space="preserve"> and </w:t>
      </w:r>
      <w:r w:rsidRPr="0068770F">
        <w:t>bus and crew scheduling (</w:t>
      </w:r>
      <w:r w:rsidR="00C66E1E">
        <w:t>Ceder and Wilson 1986, Pattnaik et al.</w:t>
      </w:r>
      <w:r w:rsidRPr="00B140C5">
        <w:t xml:space="preserve"> 1998</w:t>
      </w:r>
      <w:r w:rsidRPr="0068770F">
        <w:t xml:space="preserve">). </w:t>
      </w:r>
      <w:r w:rsidR="00022FF5">
        <w:t>T</w:t>
      </w:r>
      <w:r>
        <w:t xml:space="preserve">his paper </w:t>
      </w:r>
      <w:r w:rsidR="00022FF5">
        <w:t>therefore focuses on</w:t>
      </w:r>
      <w:r w:rsidRPr="0068770F">
        <w:t xml:space="preserve"> the problem of designing</w:t>
      </w:r>
      <w:r w:rsidR="00022FF5">
        <w:t xml:space="preserve"> a system of</w:t>
      </w:r>
      <w:r w:rsidRPr="0068770F">
        <w:t xml:space="preserve"> bus routes and their corresponding frequencies, </w:t>
      </w:r>
      <w:r w:rsidR="00022FF5">
        <w:t xml:space="preserve">which </w:t>
      </w:r>
      <w:proofErr w:type="gramStart"/>
      <w:r w:rsidR="00022FF5">
        <w:t xml:space="preserve">is </w:t>
      </w:r>
      <w:r w:rsidRPr="0068770F">
        <w:t>also known</w:t>
      </w:r>
      <w:proofErr w:type="gramEnd"/>
      <w:r w:rsidRPr="0068770F">
        <w:t xml:space="preserve"> as the Transit Network Design Problem (TNDP). </w:t>
      </w:r>
    </w:p>
    <w:p w14:paraId="22400AB6" w14:textId="727F38FD" w:rsidR="00A97073" w:rsidRDefault="00022FF5" w:rsidP="00B27385">
      <w:pPr>
        <w:pStyle w:val="Newparagraph"/>
      </w:pPr>
      <w:r>
        <w:t xml:space="preserve">The </w:t>
      </w:r>
      <w:r w:rsidR="00B140C5">
        <w:t xml:space="preserve">TNDP is usually </w:t>
      </w:r>
      <w:r w:rsidR="00B140C5" w:rsidRPr="0068770F">
        <w:t>formulated as</w:t>
      </w:r>
      <w:r w:rsidR="00B140C5">
        <w:t xml:space="preserve"> a</w:t>
      </w:r>
      <w:r w:rsidR="00B140C5" w:rsidRPr="0068770F">
        <w:t xml:space="preserve"> non-linear </w:t>
      </w:r>
      <w:r>
        <w:t>optimisation</w:t>
      </w:r>
      <w:r w:rsidR="00B140C5" w:rsidRPr="0068770F">
        <w:t xml:space="preserve"> problem</w:t>
      </w:r>
      <w:r w:rsidR="00B140C5">
        <w:t xml:space="preserve"> by minimising (or maximising)</w:t>
      </w:r>
      <w:r w:rsidR="00B140C5" w:rsidRPr="00A47480">
        <w:t xml:space="preserve"> </w:t>
      </w:r>
      <w:r w:rsidR="00B140C5">
        <w:t xml:space="preserve">intended objectives </w:t>
      </w:r>
      <w:r w:rsidR="00B140C5" w:rsidRPr="00A47480">
        <w:t xml:space="preserve">subject to a variety of </w:t>
      </w:r>
      <w:proofErr w:type="gramStart"/>
      <w:r w:rsidR="00B140C5" w:rsidRPr="00A47480">
        <w:t>constraints which</w:t>
      </w:r>
      <w:proofErr w:type="gramEnd"/>
      <w:r w:rsidR="00B140C5" w:rsidRPr="00A47480">
        <w:t xml:space="preserve"> reflect system performance and/or resource limitations.</w:t>
      </w:r>
      <w:r w:rsidR="00B140C5">
        <w:t xml:space="preserve"> </w:t>
      </w:r>
      <w:r>
        <w:t xml:space="preserve">The </w:t>
      </w:r>
      <w:r w:rsidR="00B140C5" w:rsidRPr="0068770F">
        <w:t xml:space="preserve">TNDP </w:t>
      </w:r>
      <w:proofErr w:type="gramStart"/>
      <w:r w:rsidR="00B140C5" w:rsidRPr="0068770F">
        <w:t xml:space="preserve">is </w:t>
      </w:r>
      <w:r w:rsidR="00B140C5">
        <w:t xml:space="preserve">also </w:t>
      </w:r>
      <w:r w:rsidR="00B140C5" w:rsidRPr="0068770F">
        <w:t>known</w:t>
      </w:r>
      <w:proofErr w:type="gramEnd"/>
      <w:r w:rsidR="00B140C5" w:rsidRPr="0068770F">
        <w:t xml:space="preserve"> to be NP-hard, which</w:t>
      </w:r>
      <w:r w:rsidR="00B140C5">
        <w:t xml:space="preserve"> means that it</w:t>
      </w:r>
      <w:r w:rsidR="00B140C5" w:rsidRPr="0068770F">
        <w:t xml:space="preserve"> is impossible to find a definitive optimal solution. Instead, some reasonably </w:t>
      </w:r>
      <w:r w:rsidR="00B140C5">
        <w:t>‘</w:t>
      </w:r>
      <w:r w:rsidR="00B140C5" w:rsidRPr="0068770F">
        <w:t>good</w:t>
      </w:r>
      <w:r w:rsidR="00B140C5">
        <w:t>’</w:t>
      </w:r>
      <w:r w:rsidR="00B140C5" w:rsidRPr="0068770F">
        <w:t xml:space="preserve"> solutions </w:t>
      </w:r>
      <w:proofErr w:type="gramStart"/>
      <w:r w:rsidR="00B140C5" w:rsidRPr="0068770F">
        <w:t>can be obtained</w:t>
      </w:r>
      <w:proofErr w:type="gramEnd"/>
      <w:r w:rsidR="00B140C5" w:rsidRPr="0068770F">
        <w:t xml:space="preserve"> by algorithms in a reasonable length of calculation time</w:t>
      </w:r>
      <w:r>
        <w:t>, which should provide a significant improvement on an initial or random solution</w:t>
      </w:r>
      <w:r w:rsidR="00B140C5" w:rsidRPr="0068770F">
        <w:t xml:space="preserve">. </w:t>
      </w:r>
      <w:r>
        <w:t>T</w:t>
      </w:r>
      <w:r w:rsidR="00B140C5" w:rsidRPr="0068770F">
        <w:t>he NP-hard intractability is due to the need to search for optimal solutions from a large search space made up by all possible solution</w:t>
      </w:r>
      <w:r>
        <w:t>s (i.e. the set of theoretically possible transit routes)</w:t>
      </w:r>
      <w:r w:rsidR="00B140C5" w:rsidRPr="0068770F">
        <w:t>, and it causes difficult</w:t>
      </w:r>
      <w:r w:rsidR="00B140C5">
        <w:t>ies</w:t>
      </w:r>
      <w:r w:rsidR="00B140C5" w:rsidRPr="0068770F">
        <w:t xml:space="preserve"> in developing efficient </w:t>
      </w:r>
      <w:r>
        <w:t>optimisation</w:t>
      </w:r>
      <w:r w:rsidR="00B140C5" w:rsidRPr="0068770F">
        <w:t xml:space="preserve"> methods with traditional mathematical programming techniques (</w:t>
      </w:r>
      <w:r w:rsidR="004C58C7">
        <w:t>Zhao 2006, Desaulniers and Hickman 2007, Guihaire and Hao, 2008, Ibrra-Rojas et al. 2015</w:t>
      </w:r>
      <w:r w:rsidR="00B140C5" w:rsidRPr="0068770F">
        <w:t>). As a result, TNDP heavily relies on heuristic</w:t>
      </w:r>
      <w:r w:rsidR="00B140C5">
        <w:t xml:space="preserve"> and meta-heuristic techniques, </w:t>
      </w:r>
      <w:r>
        <w:t>with</w:t>
      </w:r>
      <w:r w:rsidRPr="0068770F">
        <w:t xml:space="preserve"> </w:t>
      </w:r>
      <w:r w:rsidR="00B140C5" w:rsidRPr="0068770F">
        <w:t xml:space="preserve">the most widely used example </w:t>
      </w:r>
      <w:r>
        <w:t>being</w:t>
      </w:r>
      <w:r w:rsidRPr="0068770F">
        <w:t xml:space="preserve"> </w:t>
      </w:r>
      <w:r w:rsidR="00B140C5" w:rsidRPr="0068770F">
        <w:t>the genetic algorithm (</w:t>
      </w:r>
      <w:r w:rsidR="00F70039">
        <w:t>Pattnaik et al. 1998;</w:t>
      </w:r>
      <w:r w:rsidR="004C58C7">
        <w:t xml:space="preserve"> Fan and Machemehl 2004, 2006a, </w:t>
      </w:r>
      <w:r w:rsidR="00F70039">
        <w:t>2011; Huang et al. 2010; Cipriani et al. 2012;</w:t>
      </w:r>
      <w:r w:rsidR="004C58C7">
        <w:t xml:space="preserve"> Camporeale et al.</w:t>
      </w:r>
      <w:r w:rsidR="00B140C5" w:rsidRPr="00B140C5">
        <w:t xml:space="preserve"> 2016</w:t>
      </w:r>
      <w:r w:rsidR="00B140C5" w:rsidRPr="0068770F">
        <w:t xml:space="preserve">). </w:t>
      </w:r>
      <w:r w:rsidR="00B140C5" w:rsidRPr="00B140C5">
        <w:t>The simplicity of the calculations and the ability to find good solutions</w:t>
      </w:r>
      <w:r>
        <w:t xml:space="preserve"> within a reasonable </w:t>
      </w:r>
      <w:proofErr w:type="gramStart"/>
      <w:r>
        <w:t>period of time</w:t>
      </w:r>
      <w:proofErr w:type="gramEnd"/>
      <w:r w:rsidR="00B140C5" w:rsidRPr="00B140C5">
        <w:t xml:space="preserve"> are two characteristics that make the </w:t>
      </w:r>
      <w:r w:rsidR="00B83853" w:rsidRPr="0068770F">
        <w:t xml:space="preserve">genetic algorithm </w:t>
      </w:r>
      <w:r w:rsidR="00B140C5" w:rsidRPr="00B140C5">
        <w:t xml:space="preserve">approach very attractive. However, </w:t>
      </w:r>
      <w:r>
        <w:t>a key</w:t>
      </w:r>
      <w:r w:rsidR="00B140C5" w:rsidRPr="00B140C5">
        <w:t xml:space="preserve"> limitation of </w:t>
      </w:r>
      <w:r>
        <w:t xml:space="preserve">this approach </w:t>
      </w:r>
      <w:r w:rsidR="00B140C5" w:rsidRPr="00B140C5">
        <w:t>is that it only outputs locally optimal solutions that may be far from the</w:t>
      </w:r>
      <w:r>
        <w:t xml:space="preserve"> theoretical</w:t>
      </w:r>
      <w:r w:rsidR="00B140C5" w:rsidRPr="00B140C5">
        <w:t xml:space="preserve"> global optimum. In order to overcome the limitations of the </w:t>
      </w:r>
      <w:r w:rsidR="00B83853" w:rsidRPr="0068770F">
        <w:t xml:space="preserve">genetic algorithm </w:t>
      </w:r>
      <w:r w:rsidR="00B140C5" w:rsidRPr="00B140C5">
        <w:t xml:space="preserve">approach, the tabu search algorithm </w:t>
      </w:r>
      <w:proofErr w:type="gramStart"/>
      <w:r w:rsidR="00B140C5" w:rsidRPr="00B140C5">
        <w:t>was designed</w:t>
      </w:r>
      <w:proofErr w:type="gramEnd"/>
      <w:r w:rsidR="00B140C5" w:rsidRPr="00B140C5">
        <w:t xml:space="preserve"> by Glover (1977), and it is now one of the most successful meta-heuristic algorithms used for solving </w:t>
      </w:r>
      <w:r>
        <w:t>optimisation</w:t>
      </w:r>
      <w:r w:rsidR="00B140C5" w:rsidRPr="00B140C5">
        <w:t xml:space="preserve"> problems. Although the </w:t>
      </w:r>
      <w:r w:rsidR="00B83853" w:rsidRPr="00B140C5">
        <w:t xml:space="preserve">tabu search </w:t>
      </w:r>
      <w:r w:rsidR="00B140C5" w:rsidRPr="00B140C5">
        <w:t xml:space="preserve">algorithm has </w:t>
      </w:r>
      <w:r>
        <w:t xml:space="preserve">a number of </w:t>
      </w:r>
      <w:r w:rsidR="00B140C5" w:rsidRPr="00B140C5">
        <w:t>relative theoretical advantages compared to</w:t>
      </w:r>
      <w:r w:rsidR="008F0C07">
        <w:t xml:space="preserve"> </w:t>
      </w:r>
      <w:r w:rsidR="00B83853" w:rsidRPr="0068770F">
        <w:t>genetic algorithm</w:t>
      </w:r>
      <w:r w:rsidR="0007032D">
        <w:t>s</w:t>
      </w:r>
      <w:r w:rsidR="00B140C5" w:rsidRPr="00B140C5">
        <w:t xml:space="preserve">, it has seldom been used in published studies on </w:t>
      </w:r>
      <w:r>
        <w:t xml:space="preserve">the </w:t>
      </w:r>
      <w:r w:rsidR="00B140C5" w:rsidRPr="00B140C5">
        <w:t>TNDP</w:t>
      </w:r>
      <w:r>
        <w:t>, with</w:t>
      </w:r>
      <w:r w:rsidR="00B140C5" w:rsidRPr="00B140C5">
        <w:t xml:space="preserve"> </w:t>
      </w:r>
      <w:r>
        <w:t>t</w:t>
      </w:r>
      <w:r w:rsidR="00B140C5" w:rsidRPr="00B140C5">
        <w:t xml:space="preserve">he </w:t>
      </w:r>
      <w:r>
        <w:t xml:space="preserve">papers by </w:t>
      </w:r>
      <w:r w:rsidR="00B140C5" w:rsidRPr="00B140C5">
        <w:t>Fan and Machemehl (2004</w:t>
      </w:r>
      <w:r w:rsidR="00A97073">
        <w:t xml:space="preserve">, </w:t>
      </w:r>
      <w:r w:rsidR="00B140C5" w:rsidRPr="00B140C5">
        <w:t>2008</w:t>
      </w:r>
      <w:r w:rsidR="00A97073">
        <w:t>a, 2008b</w:t>
      </w:r>
      <w:r w:rsidR="00B140C5" w:rsidRPr="00B140C5">
        <w:t>)</w:t>
      </w:r>
      <w:r>
        <w:t xml:space="preserve"> the only ones which are known to the authors</w:t>
      </w:r>
      <w:r w:rsidR="00B140C5" w:rsidRPr="00B140C5">
        <w:t xml:space="preserve">. </w:t>
      </w:r>
      <w:r w:rsidR="00B27385">
        <w:t xml:space="preserve">The numerical results from the research of Fan and Machemehl clearly indicate that the tabu search algorithm outperforms the genetic algorithm in solving the TNDP. </w:t>
      </w:r>
    </w:p>
    <w:p w14:paraId="6839CF5F" w14:textId="407100C5" w:rsidR="00B140C5" w:rsidRPr="00B140C5" w:rsidRDefault="00461A01" w:rsidP="00022FF5">
      <w:pPr>
        <w:pStyle w:val="Newparagraph"/>
      </w:pPr>
      <w:r>
        <w:t>P</w:t>
      </w:r>
      <w:r w:rsidR="00022FF5">
        <w:t>otential</w:t>
      </w:r>
      <w:r w:rsidR="00B140C5" w:rsidRPr="00B140C5">
        <w:t xml:space="preserve"> approaches to solve</w:t>
      </w:r>
      <w:r w:rsidR="00022FF5">
        <w:t xml:space="preserve"> the</w:t>
      </w:r>
      <w:r w:rsidR="00B140C5" w:rsidRPr="00B140C5">
        <w:t xml:space="preserve"> TNDP </w:t>
      </w:r>
      <w:proofErr w:type="gramStart"/>
      <w:r w:rsidR="00B140C5" w:rsidRPr="00B140C5">
        <w:t>are proposed</w:t>
      </w:r>
      <w:proofErr w:type="gramEnd"/>
      <w:r w:rsidR="00B140C5" w:rsidRPr="00B140C5">
        <w:t xml:space="preserve"> </w:t>
      </w:r>
      <w:r w:rsidR="00B140C5" w:rsidRPr="0068770F">
        <w:t xml:space="preserve">by </w:t>
      </w:r>
      <w:r w:rsidR="008F0C07">
        <w:t xml:space="preserve">literature reviews, such as </w:t>
      </w:r>
      <w:r w:rsidR="00B140C5" w:rsidRPr="00B140C5">
        <w:t xml:space="preserve">Desaulniers and Hickman (2007), Guihaire and Hao (2008), and Ibrra-Rojas et al. (2015), </w:t>
      </w:r>
      <w:r w:rsidR="00022FF5">
        <w:t>but</w:t>
      </w:r>
      <w:r w:rsidR="00022FF5" w:rsidRPr="001316E2">
        <w:t xml:space="preserve"> </w:t>
      </w:r>
      <w:r w:rsidR="00B140C5" w:rsidRPr="0068770F">
        <w:t xml:space="preserve">these approaches have </w:t>
      </w:r>
      <w:r w:rsidR="00B140C5">
        <w:t xml:space="preserve">the </w:t>
      </w:r>
      <w:r w:rsidR="00B140C5" w:rsidRPr="0068770F">
        <w:t>following shortcomings:</w:t>
      </w:r>
    </w:p>
    <w:p w14:paraId="0CD54C20" w14:textId="4438601F" w:rsidR="00B140C5" w:rsidRPr="00B140C5" w:rsidRDefault="00B140C5" w:rsidP="00D86EE6">
      <w:pPr>
        <w:pStyle w:val="Bulletedlist"/>
      </w:pPr>
      <w:r w:rsidRPr="00B140C5">
        <w:t xml:space="preserve">Complicated but impractical methodologies: </w:t>
      </w:r>
      <w:r w:rsidRPr="0068770F">
        <w:t>Many studies focus on</w:t>
      </w:r>
      <w:r w:rsidR="00D86EE6">
        <w:t xml:space="preserve"> using </w:t>
      </w:r>
      <w:r w:rsidR="00D86EE6" w:rsidRPr="0068770F">
        <w:t xml:space="preserve">complicated methodologies </w:t>
      </w:r>
      <w:r w:rsidR="00D86EE6">
        <w:t xml:space="preserve">to </w:t>
      </w:r>
      <w:r w:rsidR="00D86EE6" w:rsidRPr="0068770F">
        <w:t>improv</w:t>
      </w:r>
      <w:r w:rsidR="00D86EE6">
        <w:t>e</w:t>
      </w:r>
      <w:r w:rsidR="00D86EE6" w:rsidRPr="0068770F">
        <w:t xml:space="preserve"> </w:t>
      </w:r>
      <w:r w:rsidRPr="0068770F">
        <w:t xml:space="preserve">small-scale networks. For example, </w:t>
      </w:r>
      <w:r w:rsidRPr="00B140C5">
        <w:t xml:space="preserve">Pattnaik et al. (1998) </w:t>
      </w:r>
      <w:r w:rsidR="00D86EE6" w:rsidRPr="0068770F">
        <w:t>appl</w:t>
      </w:r>
      <w:r w:rsidR="00D86EE6">
        <w:t>y</w:t>
      </w:r>
      <w:r w:rsidR="00D86EE6" w:rsidRPr="0068770F">
        <w:t xml:space="preserve"> </w:t>
      </w:r>
      <w:r w:rsidRPr="0068770F">
        <w:t>the</w:t>
      </w:r>
      <w:r w:rsidR="00D86EE6">
        <w:t>ir</w:t>
      </w:r>
      <w:r w:rsidRPr="0068770F">
        <w:t xml:space="preserve"> methodology to a case study network, </w:t>
      </w:r>
      <w:r w:rsidR="00D86EE6">
        <w:t>made up of</w:t>
      </w:r>
      <w:r w:rsidRPr="0068770F">
        <w:t xml:space="preserve"> 25 road nodes and 39 links. </w:t>
      </w:r>
      <w:r w:rsidR="00D86EE6">
        <w:t>Similarly, t</w:t>
      </w:r>
      <w:r w:rsidRPr="0068770F">
        <w:t xml:space="preserve">he network used in </w:t>
      </w:r>
      <w:r w:rsidR="00D86EE6">
        <w:t xml:space="preserve">the </w:t>
      </w:r>
      <w:r w:rsidRPr="0068770F">
        <w:t xml:space="preserve">studies of </w:t>
      </w:r>
      <w:r w:rsidRPr="00B140C5">
        <w:t>Fan and Machemehl (2004, 2006a, 2006b, 2008</w:t>
      </w:r>
      <w:r w:rsidR="00A97073">
        <w:t>a</w:t>
      </w:r>
      <w:r w:rsidRPr="00B140C5">
        <w:t>,</w:t>
      </w:r>
      <w:r w:rsidR="00A97073">
        <w:t xml:space="preserve"> 2008b,</w:t>
      </w:r>
      <w:r w:rsidRPr="00B140C5">
        <w:t xml:space="preserve"> 2011) </w:t>
      </w:r>
      <w:r w:rsidRPr="0068770F">
        <w:t>include</w:t>
      </w:r>
      <w:r w:rsidR="00D86EE6">
        <w:t>d</w:t>
      </w:r>
      <w:r w:rsidRPr="0068770F">
        <w:t xml:space="preserve"> 28 travel demand zones and 65 road nodes</w:t>
      </w:r>
      <w:r w:rsidR="00D86EE6">
        <w:t>, while</w:t>
      </w:r>
      <w:r w:rsidRPr="0068770F">
        <w:t xml:space="preserve"> </w:t>
      </w:r>
      <w:r w:rsidRPr="00B140C5">
        <w:t>Camporeale et al. (2016)</w:t>
      </w:r>
      <w:r w:rsidRPr="0068770F">
        <w:t xml:space="preserve"> implement</w:t>
      </w:r>
      <w:r w:rsidR="00D86EE6">
        <w:t>ed</w:t>
      </w:r>
      <w:r w:rsidRPr="0068770F">
        <w:t xml:space="preserve"> the</w:t>
      </w:r>
      <w:r w:rsidR="00D86EE6">
        <w:t>ir</w:t>
      </w:r>
      <w:r w:rsidRPr="0068770F">
        <w:t xml:space="preserve"> methodology in a test network with 5 demand zones, 10 nodes and 19 links. </w:t>
      </w:r>
      <w:r w:rsidR="00D86EE6">
        <w:t>These networks are an order of magnitude smaller than a real life bus network in anything other than the smallest of urban areas, and therefore the approaches described in these papers</w:t>
      </w:r>
      <w:r w:rsidRPr="0068770F">
        <w:t xml:space="preserve"> </w:t>
      </w:r>
      <w:proofErr w:type="gramStart"/>
      <w:r w:rsidRPr="0068770F">
        <w:t>could not be directly applied</w:t>
      </w:r>
      <w:proofErr w:type="gramEnd"/>
      <w:r w:rsidRPr="0068770F">
        <w:t xml:space="preserve"> </w:t>
      </w:r>
      <w:r w:rsidR="00D86EE6">
        <w:t xml:space="preserve">to the city-scale bus network being considered in this paper.  </w:t>
      </w:r>
    </w:p>
    <w:p w14:paraId="6DD62E94" w14:textId="2E2578ED" w:rsidR="00B140C5" w:rsidRPr="00B140C5" w:rsidRDefault="00B140C5" w:rsidP="00D86EE6">
      <w:pPr>
        <w:pStyle w:val="Bulletedlist"/>
      </w:pPr>
      <w:r w:rsidRPr="00B140C5">
        <w:t xml:space="preserve">Data demanding: </w:t>
      </w:r>
      <w:r w:rsidR="00D86EE6">
        <w:t xml:space="preserve">An </w:t>
      </w:r>
      <w:r w:rsidRPr="00B140C5">
        <w:t xml:space="preserve">OD matrix is used </w:t>
      </w:r>
      <w:r w:rsidR="00D86EE6">
        <w:t>to provide the</w:t>
      </w:r>
      <w:r w:rsidRPr="00B140C5">
        <w:t xml:space="preserve"> input demand data for most studies, and is essential for</w:t>
      </w:r>
      <w:r w:rsidR="00D86EE6">
        <w:t xml:space="preserve"> the</w:t>
      </w:r>
      <w:r w:rsidRPr="00B140C5">
        <w:t xml:space="preserve"> route planning and frequency setting associated with</w:t>
      </w:r>
      <w:r w:rsidR="00D86EE6">
        <w:t xml:space="preserve"> the</w:t>
      </w:r>
      <w:r w:rsidRPr="00B140C5">
        <w:t xml:space="preserve"> assignment sub-model</w:t>
      </w:r>
      <w:r w:rsidR="00D86EE6">
        <w:t xml:space="preserve"> of studies which take a four-stage modelling approach</w:t>
      </w:r>
      <w:r w:rsidRPr="00B140C5">
        <w:t xml:space="preserve">. </w:t>
      </w:r>
      <w:r w:rsidRPr="0068770F">
        <w:t xml:space="preserve">However, </w:t>
      </w:r>
      <w:r w:rsidR="00D86EE6">
        <w:t xml:space="preserve">comprehensive </w:t>
      </w:r>
      <w:r w:rsidRPr="0068770F">
        <w:t>OD matri</w:t>
      </w:r>
      <w:r>
        <w:t>ces</w:t>
      </w:r>
      <w:r w:rsidRPr="0068770F">
        <w:t xml:space="preserve"> </w:t>
      </w:r>
      <w:r w:rsidRPr="00B140C5">
        <w:t xml:space="preserve">are unavailable for British bus networks </w:t>
      </w:r>
      <w:r w:rsidR="00D86EE6">
        <w:t xml:space="preserve">outside London </w:t>
      </w:r>
      <w:r w:rsidRPr="00B140C5">
        <w:t>due to commercial confidentiality under the current deregulated environment</w:t>
      </w:r>
      <w:r w:rsidR="00D86EE6">
        <w:t xml:space="preserve"> where multiple operators run (or could in theory run) services in a particular urban area</w:t>
      </w:r>
      <w:r w:rsidRPr="00B140C5">
        <w:t xml:space="preserve">. </w:t>
      </w:r>
      <w:r w:rsidR="00D86EE6">
        <w:t xml:space="preserve">While mode-specific </w:t>
      </w:r>
      <w:r w:rsidRPr="00B140C5">
        <w:t>OD data is</w:t>
      </w:r>
      <w:r w:rsidR="00D86EE6">
        <w:t xml:space="preserve"> available</w:t>
      </w:r>
      <w:r w:rsidRPr="00B140C5">
        <w:t xml:space="preserve"> from the 2011 Census for </w:t>
      </w:r>
      <w:r w:rsidR="00D86EE6">
        <w:t>commuting trips</w:t>
      </w:r>
      <w:r w:rsidRPr="00B140C5">
        <w:t xml:space="preserve">, </w:t>
      </w:r>
      <w:r w:rsidR="00D86EE6">
        <w:t xml:space="preserve">there is no corresponding </w:t>
      </w:r>
      <w:r w:rsidRPr="00B140C5">
        <w:t xml:space="preserve">demand data for other travel purposes </w:t>
      </w:r>
      <w:r w:rsidR="00D86EE6">
        <w:t>making it impossible to construct a comprehensive OD matrix without carrying out extensive survey work</w:t>
      </w:r>
      <w:r w:rsidRPr="00B140C5">
        <w:t xml:space="preserve">.  </w:t>
      </w:r>
    </w:p>
    <w:p w14:paraId="4CC5E47E" w14:textId="7C5C11E8" w:rsidR="00B140C5" w:rsidRPr="00B140C5" w:rsidRDefault="00D86EE6" w:rsidP="00B140C5">
      <w:pPr>
        <w:pStyle w:val="Bulletedlist"/>
      </w:pPr>
      <w:r>
        <w:t xml:space="preserve">Limited range of methodologies: </w:t>
      </w:r>
      <w:r w:rsidR="00B140C5" w:rsidRPr="00B140C5">
        <w:t>Previous studies mainly focus on G</w:t>
      </w:r>
      <w:r>
        <w:t xml:space="preserve">enetic </w:t>
      </w:r>
      <w:r w:rsidR="00B140C5" w:rsidRPr="00B140C5">
        <w:t>A</w:t>
      </w:r>
      <w:r>
        <w:t>lgorithms, despite their known shortcomings,</w:t>
      </w:r>
      <w:r w:rsidR="00B140C5" w:rsidRPr="00B140C5">
        <w:t xml:space="preserve"> whereas other potential meta-heuristic algorithms, such as T</w:t>
      </w:r>
      <w:r>
        <w:t xml:space="preserve">abu </w:t>
      </w:r>
      <w:r w:rsidR="00B140C5" w:rsidRPr="00B140C5">
        <w:t>S</w:t>
      </w:r>
      <w:r>
        <w:t>earch</w:t>
      </w:r>
      <w:r w:rsidR="00B140C5" w:rsidRPr="00B140C5">
        <w:t xml:space="preserve">, </w:t>
      </w:r>
      <w:proofErr w:type="gramStart"/>
      <w:r w:rsidR="00B140C5" w:rsidRPr="00B140C5">
        <w:t>are seldom used</w:t>
      </w:r>
      <w:proofErr w:type="gramEnd"/>
      <w:r w:rsidR="00B140C5" w:rsidRPr="00B140C5">
        <w:t xml:space="preserve"> to solve the TNDP. </w:t>
      </w:r>
    </w:p>
    <w:p w14:paraId="5EDB9202" w14:textId="5C725656" w:rsidR="00B140C5" w:rsidRPr="00B140C5" w:rsidRDefault="00D86EE6" w:rsidP="00B140C5">
      <w:pPr>
        <w:pStyle w:val="Bulletedlist"/>
      </w:pPr>
      <w:r>
        <w:t xml:space="preserve">Lack of intermodal integration: </w:t>
      </w:r>
      <w:r w:rsidR="00B140C5" w:rsidRPr="00B140C5">
        <w:t>The published studies only focus on the improvements of single</w:t>
      </w:r>
      <w:r>
        <w:t xml:space="preserve"> </w:t>
      </w:r>
      <w:r w:rsidR="00B140C5" w:rsidRPr="00B140C5">
        <w:t>mod</w:t>
      </w:r>
      <w:r>
        <w:t>e</w:t>
      </w:r>
      <w:r w:rsidR="00B140C5" w:rsidRPr="00B140C5">
        <w:t xml:space="preserve"> transit networks, and there is less consideration of integrated improvements of multi-modal public transport networks</w:t>
      </w:r>
      <w:r>
        <w:t xml:space="preserve">, which might in </w:t>
      </w:r>
      <w:proofErr w:type="gramStart"/>
      <w:r>
        <w:t>practice</w:t>
      </w:r>
      <w:proofErr w:type="gramEnd"/>
      <w:r>
        <w:t xml:space="preserve"> be expected to form the basis of a regulated transit system</w:t>
      </w:r>
      <w:r w:rsidR="00B140C5" w:rsidRPr="00B140C5">
        <w:t xml:space="preserve">. </w:t>
      </w:r>
    </w:p>
    <w:p w14:paraId="287D4792" w14:textId="0677247D" w:rsidR="00B140C5" w:rsidRPr="00B140C5" w:rsidRDefault="00D86EE6" w:rsidP="00D86EE6">
      <w:pPr>
        <w:pStyle w:val="Newparagraph"/>
      </w:pPr>
      <w:r>
        <w:t xml:space="preserve">In order to overcome these shortcomings, </w:t>
      </w:r>
      <w:r w:rsidR="00B140C5" w:rsidRPr="00B140C5">
        <w:t xml:space="preserve">this paper </w:t>
      </w:r>
      <w:r>
        <w:t xml:space="preserve">therefore describes the development of </w:t>
      </w:r>
      <w:r w:rsidR="00B140C5" w:rsidRPr="00B140C5">
        <w:t xml:space="preserve">a practical </w:t>
      </w:r>
      <w:r w:rsidR="00022FF5">
        <w:t>optimisation</w:t>
      </w:r>
      <w:r w:rsidR="00B140C5" w:rsidRPr="00B140C5">
        <w:t xml:space="preserve"> model with the following characteristics:</w:t>
      </w:r>
    </w:p>
    <w:p w14:paraId="692F74A4" w14:textId="384537B0" w:rsidR="00B140C5" w:rsidRDefault="00B140C5" w:rsidP="005D086C">
      <w:pPr>
        <w:pStyle w:val="Bulletedlist"/>
      </w:pPr>
      <w:r w:rsidRPr="0068770F">
        <w:t xml:space="preserve">Using possible OD pairs instead of </w:t>
      </w:r>
      <w:r w:rsidR="00D86EE6">
        <w:t xml:space="preserve">an </w:t>
      </w:r>
      <w:r w:rsidRPr="0068770F">
        <w:t xml:space="preserve">OD matrix </w:t>
      </w:r>
      <w:r w:rsidR="00D86EE6">
        <w:t>to calculate</w:t>
      </w:r>
      <w:r w:rsidRPr="0068770F">
        <w:t xml:space="preserve"> user cost:  </w:t>
      </w:r>
      <w:r w:rsidR="00D86EE6">
        <w:t xml:space="preserve">Because of the difficulties in obtaining OD matrices for British urban areas, alternative ways of estimating user cost across a network </w:t>
      </w:r>
      <w:proofErr w:type="gramStart"/>
      <w:r w:rsidR="00D86EE6">
        <w:t>were considered</w:t>
      </w:r>
      <w:proofErr w:type="gramEnd"/>
      <w:r w:rsidR="00D86EE6">
        <w:t xml:space="preserve">.  </w:t>
      </w:r>
    </w:p>
    <w:p w14:paraId="5C9AB827" w14:textId="60074F37" w:rsidR="00B140C5" w:rsidRPr="0068770F" w:rsidRDefault="00B140C5" w:rsidP="00247764">
      <w:pPr>
        <w:pStyle w:val="Bulletedlist"/>
      </w:pPr>
      <w:r w:rsidRPr="0068770F">
        <w:t xml:space="preserve">Real-world size network: The </w:t>
      </w:r>
      <w:r w:rsidR="00247764">
        <w:t xml:space="preserve">methodology </w:t>
      </w:r>
      <w:proofErr w:type="gramStart"/>
      <w:r w:rsidR="00247764">
        <w:t>was designed</w:t>
      </w:r>
      <w:proofErr w:type="gramEnd"/>
      <w:r w:rsidR="00247764">
        <w:t xml:space="preserve"> for us with city scale bus networks, with the case study for implementation being </w:t>
      </w:r>
      <w:r w:rsidRPr="0068770F">
        <w:t xml:space="preserve">the current Southampton bus network, </w:t>
      </w:r>
      <w:r w:rsidR="00247764">
        <w:t xml:space="preserve">which </w:t>
      </w:r>
      <w:r w:rsidRPr="0068770F">
        <w:t>includ</w:t>
      </w:r>
      <w:r w:rsidR="00247764">
        <w:t>es</w:t>
      </w:r>
      <w:r w:rsidRPr="0068770F">
        <w:t xml:space="preserve"> 686 bus stops</w:t>
      </w:r>
      <w:r w:rsidR="005D086C">
        <w:t xml:space="preserve">, </w:t>
      </w:r>
      <w:r w:rsidR="00DB238C">
        <w:t xml:space="preserve">3143 </w:t>
      </w:r>
      <w:r w:rsidR="005D086C">
        <w:t xml:space="preserve">links </w:t>
      </w:r>
      <w:r w:rsidRPr="0068770F">
        <w:t xml:space="preserve">and </w:t>
      </w:r>
      <w:r w:rsidR="005D086C">
        <w:t>7</w:t>
      </w:r>
      <w:r w:rsidRPr="0068770F">
        <w:t>2 routes</w:t>
      </w:r>
      <w:r>
        <w:t xml:space="preserve"> in the base case</w:t>
      </w:r>
      <w:r w:rsidRPr="0068770F">
        <w:t xml:space="preserve">. </w:t>
      </w:r>
    </w:p>
    <w:p w14:paraId="3697A4AF" w14:textId="4C932AB0" w:rsidR="00B140C5" w:rsidRPr="0068770F" w:rsidRDefault="00B140C5" w:rsidP="00247764">
      <w:pPr>
        <w:pStyle w:val="Bulletedlist"/>
      </w:pPr>
      <w:proofErr w:type="gramStart"/>
      <w:r w:rsidRPr="0068770F">
        <w:t>Complex road network topology</w:t>
      </w:r>
      <w:proofErr w:type="gramEnd"/>
      <w:r w:rsidRPr="0068770F">
        <w:t xml:space="preserve">: the model </w:t>
      </w:r>
      <w:r w:rsidR="00247764">
        <w:t>was</w:t>
      </w:r>
      <w:r w:rsidRPr="0068770F">
        <w:t xml:space="preserve"> built </w:t>
      </w:r>
      <w:r w:rsidR="00247764">
        <w:t xml:space="preserve">using GIS and </w:t>
      </w:r>
      <w:r w:rsidRPr="0068770F">
        <w:t xml:space="preserve">based on </w:t>
      </w:r>
      <w:r>
        <w:t xml:space="preserve">the </w:t>
      </w:r>
      <w:r w:rsidRPr="0068770F">
        <w:t xml:space="preserve">real </w:t>
      </w:r>
      <w:r w:rsidR="00247764">
        <w:t xml:space="preserve">world </w:t>
      </w:r>
      <w:r w:rsidRPr="0068770F">
        <w:t>network topology, not</w:t>
      </w:r>
      <w:r>
        <w:t xml:space="preserve"> the</w:t>
      </w:r>
      <w:r w:rsidRPr="0068770F">
        <w:t xml:space="preserve"> straight lines modelled in most studies. </w:t>
      </w:r>
    </w:p>
    <w:p w14:paraId="7295925B" w14:textId="5CD29AC5" w:rsidR="00B140C5" w:rsidRDefault="00B140C5" w:rsidP="00247764">
      <w:pPr>
        <w:pStyle w:val="Bulletedlist"/>
      </w:pPr>
      <w:r w:rsidRPr="0068770F">
        <w:t xml:space="preserve">Multimodal public transport system: rail services </w:t>
      </w:r>
      <w:proofErr w:type="gramStart"/>
      <w:r w:rsidR="00247764">
        <w:t>were</w:t>
      </w:r>
      <w:r w:rsidRPr="0068770F">
        <w:t xml:space="preserve"> considered</w:t>
      </w:r>
      <w:proofErr w:type="gramEnd"/>
      <w:r w:rsidRPr="0068770F">
        <w:t xml:space="preserve"> in </w:t>
      </w:r>
      <w:r w:rsidR="00247764">
        <w:t>the</w:t>
      </w:r>
      <w:r w:rsidR="00247764" w:rsidRPr="0068770F">
        <w:t xml:space="preserve"> </w:t>
      </w:r>
      <w:r w:rsidRPr="0068770F">
        <w:t xml:space="preserve">model </w:t>
      </w:r>
      <w:r w:rsidR="00247764">
        <w:t xml:space="preserve">alongside bus and walk options in order </w:t>
      </w:r>
      <w:r w:rsidRPr="0068770F">
        <w:t xml:space="preserve">to </w:t>
      </w:r>
      <w:r w:rsidR="00247764">
        <w:t>develop</w:t>
      </w:r>
      <w:r w:rsidR="00247764" w:rsidRPr="0068770F">
        <w:t xml:space="preserve"> </w:t>
      </w:r>
      <w:r w:rsidR="00247764">
        <w:t>an</w:t>
      </w:r>
      <w:r w:rsidR="00247764" w:rsidRPr="0068770F">
        <w:t xml:space="preserve"> </w:t>
      </w:r>
      <w:r w:rsidRPr="0068770F">
        <w:t xml:space="preserve">integrated improvement </w:t>
      </w:r>
      <w:r>
        <w:t>of the</w:t>
      </w:r>
      <w:r w:rsidRPr="0068770F">
        <w:t xml:space="preserve"> public transport network. </w:t>
      </w:r>
    </w:p>
    <w:p w14:paraId="6F1CA385" w14:textId="4FFD0879" w:rsidR="00B140C5" w:rsidRPr="00017C8E" w:rsidRDefault="00B140C5" w:rsidP="00B83853">
      <w:pPr>
        <w:pStyle w:val="Bulletedlist"/>
      </w:pPr>
      <w:r>
        <w:t>T</w:t>
      </w:r>
      <w:r w:rsidR="00247764">
        <w:t xml:space="preserve">abu </w:t>
      </w:r>
      <w:r>
        <w:t>S</w:t>
      </w:r>
      <w:r w:rsidR="00247764">
        <w:t>earch</w:t>
      </w:r>
      <w:r>
        <w:t xml:space="preserve">-based methodology: an adapted </w:t>
      </w:r>
      <w:r w:rsidR="00B83853" w:rsidRPr="00B140C5">
        <w:t xml:space="preserve">tabu search </w:t>
      </w:r>
      <w:r>
        <w:t xml:space="preserve">algorithm </w:t>
      </w:r>
      <w:proofErr w:type="gramStart"/>
      <w:r w:rsidR="00EB5BC7">
        <w:t xml:space="preserve">was </w:t>
      </w:r>
      <w:r>
        <w:t>applied</w:t>
      </w:r>
      <w:proofErr w:type="gramEnd"/>
      <w:r>
        <w:t xml:space="preserve"> </w:t>
      </w:r>
      <w:r w:rsidR="00EB5BC7">
        <w:t xml:space="preserve">to solve the </w:t>
      </w:r>
      <w:r w:rsidR="00022FF5">
        <w:t>optimisation</w:t>
      </w:r>
      <w:r>
        <w:t xml:space="preserve"> model. </w:t>
      </w:r>
    </w:p>
    <w:p w14:paraId="38BA05E6" w14:textId="7D9E5DBE" w:rsidR="00B140C5" w:rsidRPr="00D441A5" w:rsidRDefault="00B140C5" w:rsidP="00EB5BC7">
      <w:pPr>
        <w:ind w:firstLine="720"/>
      </w:pPr>
      <w:r w:rsidRPr="00D441A5">
        <w:t xml:space="preserve">The remainder of the paper </w:t>
      </w:r>
      <w:proofErr w:type="gramStart"/>
      <w:r w:rsidRPr="00D441A5">
        <w:t>is divided</w:t>
      </w:r>
      <w:proofErr w:type="gramEnd"/>
      <w:r w:rsidRPr="00D441A5">
        <w:t xml:space="preserve"> into </w:t>
      </w:r>
      <w:r w:rsidR="00EB5BC7">
        <w:t>four</w:t>
      </w:r>
      <w:r w:rsidRPr="00D441A5">
        <w:t xml:space="preserve"> sections. Section 2 lists the mathematical formulation of the research problem. A detailed methodology follows in section </w:t>
      </w:r>
      <w:proofErr w:type="gramStart"/>
      <w:r w:rsidRPr="00D441A5">
        <w:t>3</w:t>
      </w:r>
      <w:proofErr w:type="gramEnd"/>
      <w:r w:rsidRPr="00D441A5">
        <w:t>, consist</w:t>
      </w:r>
      <w:r w:rsidR="00EB5BC7">
        <w:t>ing</w:t>
      </w:r>
      <w:r w:rsidRPr="00D441A5">
        <w:t xml:space="preserve"> of three main components: </w:t>
      </w:r>
      <w:r w:rsidR="00EB5BC7">
        <w:t xml:space="preserve">the </w:t>
      </w:r>
      <w:r w:rsidRPr="00D441A5">
        <w:t xml:space="preserve">candidate route set generation procedure, </w:t>
      </w:r>
      <w:r w:rsidR="00EB5BC7">
        <w:t xml:space="preserve">the </w:t>
      </w:r>
      <w:r w:rsidRPr="00D441A5">
        <w:t xml:space="preserve">solution evaluation procedure and </w:t>
      </w:r>
      <w:r w:rsidR="00EB5BC7">
        <w:t xml:space="preserve">the </w:t>
      </w:r>
      <w:r w:rsidRPr="00D441A5">
        <w:t>optimal solution search procedure. Section 4 focuses on</w:t>
      </w:r>
      <w:r w:rsidR="00EB5BC7">
        <w:t xml:space="preserve"> the process of</w:t>
      </w:r>
      <w:r w:rsidRPr="00D441A5">
        <w:t xml:space="preserve"> implement</w:t>
      </w:r>
      <w:r w:rsidR="00EB5BC7">
        <w:t>ing</w:t>
      </w:r>
      <w:r w:rsidRPr="00D441A5">
        <w:t xml:space="preserve"> process of the methodology, including both the sensitivity tests and output results from the Southampton case study. The final section summarises and discusses the results obtained so far, and </w:t>
      </w:r>
      <w:r w:rsidR="00EB5BC7">
        <w:t>highlights some priorities for</w:t>
      </w:r>
      <w:r w:rsidRPr="00D441A5">
        <w:t xml:space="preserve"> further research. </w:t>
      </w:r>
    </w:p>
    <w:p w14:paraId="538127A3" w14:textId="77777777" w:rsidR="0017370B" w:rsidRPr="0017370B" w:rsidRDefault="0017370B" w:rsidP="0017370B">
      <w:pPr>
        <w:pStyle w:val="Heading1"/>
      </w:pPr>
      <w:r>
        <w:t>2</w:t>
      </w:r>
      <w:r w:rsidRPr="00BD3548">
        <w:t xml:space="preserve">. Mathematical formulation </w:t>
      </w:r>
    </w:p>
    <w:p w14:paraId="1CDA8550" w14:textId="3F7F2B99" w:rsidR="0017370B" w:rsidRPr="0017370B" w:rsidRDefault="0017370B" w:rsidP="0017370B">
      <w:pPr>
        <w:pStyle w:val="Heading2"/>
      </w:pPr>
      <w:r>
        <w:t>2</w:t>
      </w:r>
      <w:r w:rsidRPr="00BD3548">
        <w:t>.</w:t>
      </w:r>
      <w:r>
        <w:t>1</w:t>
      </w:r>
      <w:r w:rsidRPr="00BD3548">
        <w:t xml:space="preserve"> Basic concepts, assumptions and notation </w:t>
      </w:r>
    </w:p>
    <w:p w14:paraId="56AEBDC4" w14:textId="71793650" w:rsidR="0017370B" w:rsidRPr="009E5DE4" w:rsidRDefault="00A255D1" w:rsidP="00C0169C">
      <w:pPr>
        <w:pStyle w:val="Newparagraph"/>
      </w:pPr>
      <w:r>
        <w:t xml:space="preserve">Before describing the composition of the methodology, it is necessary to set out the basic concepts and </w:t>
      </w:r>
      <w:proofErr w:type="gramStart"/>
      <w:r>
        <w:t>assumptions which</w:t>
      </w:r>
      <w:proofErr w:type="gramEnd"/>
      <w:r>
        <w:t xml:space="preserve"> underpin the research. </w:t>
      </w:r>
      <w:r w:rsidR="0017370B" w:rsidRPr="0068770F">
        <w:t xml:space="preserve">The road network is represented as a directed graph G = {N, A}, where N is the set of nodes and A is the set of links representing connections between nodes.  A bus route is </w:t>
      </w:r>
      <w:r w:rsidR="0017370B">
        <w:t xml:space="preserve">a </w:t>
      </w:r>
      <w:r w:rsidR="0017370B" w:rsidRPr="0068770F">
        <w:t>sequence of adjacent links in G. A solution S for the TNDP is a pair (R, F) where R = {r</w:t>
      </w:r>
      <w:r w:rsidR="0017370B" w:rsidRPr="009A0D9B">
        <w:rPr>
          <w:vertAlign w:val="subscript"/>
        </w:rPr>
        <w:t>1</w:t>
      </w:r>
      <w:r w:rsidR="0017370B" w:rsidRPr="0068770F">
        <w:t>, r</w:t>
      </w:r>
      <w:r w:rsidR="0017370B" w:rsidRPr="009A0D9B">
        <w:rPr>
          <w:vertAlign w:val="subscript"/>
        </w:rPr>
        <w:t>2</w:t>
      </w:r>
      <w:proofErr w:type="gramStart"/>
      <w:r w:rsidR="0017370B" w:rsidRPr="0068770F">
        <w:t>, …,</w:t>
      </w:r>
      <w:proofErr w:type="gramEnd"/>
      <w:r w:rsidR="0017370B" w:rsidRPr="0068770F">
        <w:t xml:space="preserve"> r</w:t>
      </w:r>
      <w:r w:rsidR="0017370B" w:rsidRPr="009A0D9B">
        <w:rPr>
          <w:vertAlign w:val="subscript"/>
        </w:rPr>
        <w:t>n</w:t>
      </w:r>
      <w:r w:rsidR="0017370B" w:rsidRPr="0068770F">
        <w:t xml:space="preserve">} is </w:t>
      </w:r>
      <w:r w:rsidR="004D2D23">
        <w:t>the</w:t>
      </w:r>
      <w:r w:rsidR="004D2D23" w:rsidRPr="0068770F">
        <w:t xml:space="preserve"> </w:t>
      </w:r>
      <w:r w:rsidR="0017370B" w:rsidRPr="0068770F">
        <w:t xml:space="preserve">set of routes and F </w:t>
      </w:r>
      <w:r w:rsidR="007B36C0" w:rsidRPr="0068770F">
        <w:t>= {</w:t>
      </w:r>
      <w:r w:rsidR="0017370B" w:rsidRPr="0068770F">
        <w:t>f</w:t>
      </w:r>
      <w:r w:rsidR="0017370B" w:rsidRPr="009A0D9B">
        <w:rPr>
          <w:vertAlign w:val="subscript"/>
        </w:rPr>
        <w:t>1</w:t>
      </w:r>
      <w:r w:rsidR="0017370B" w:rsidRPr="0068770F">
        <w:t>, f</w:t>
      </w:r>
      <w:r w:rsidR="0017370B" w:rsidRPr="009A0D9B">
        <w:rPr>
          <w:vertAlign w:val="subscript"/>
        </w:rPr>
        <w:t>2</w:t>
      </w:r>
      <w:r w:rsidR="0017370B" w:rsidRPr="0068770F">
        <w:t>, …, f</w:t>
      </w:r>
      <w:r w:rsidR="0017370B" w:rsidRPr="009A0D9B">
        <w:rPr>
          <w:vertAlign w:val="subscript"/>
        </w:rPr>
        <w:t>n</w:t>
      </w:r>
      <w:r w:rsidR="0017370B" w:rsidRPr="0068770F">
        <w:t>} is the set of frequencies. The set of origin-destination (OD) pairs</w:t>
      </w:r>
      <w:r w:rsidR="0017370B">
        <w:t xml:space="preserve"> is</w:t>
      </w:r>
      <w:r w:rsidR="0017370B" w:rsidRPr="0068770F">
        <w:t xml:space="preserve"> defined as OD = {od</w:t>
      </w:r>
      <w:r w:rsidR="0017370B" w:rsidRPr="009A0D9B">
        <w:rPr>
          <w:vertAlign w:val="subscript"/>
        </w:rPr>
        <w:t>ij</w:t>
      </w:r>
      <w:r w:rsidR="0017370B" w:rsidRPr="0068770F">
        <w:t xml:space="preserve">} where </w:t>
      </w:r>
      <w:proofErr w:type="gramStart"/>
      <w:r w:rsidR="0017370B" w:rsidRPr="0068770F">
        <w:t>i and j</w:t>
      </w:r>
      <w:proofErr w:type="gramEnd"/>
      <w:r w:rsidR="0017370B" w:rsidRPr="0068770F">
        <w:t xml:space="preserve"> are </w:t>
      </w:r>
      <w:r w:rsidR="004D2D23">
        <w:t xml:space="preserve">the </w:t>
      </w:r>
      <w:r w:rsidR="0017370B" w:rsidRPr="0068770F">
        <w:t xml:space="preserve">origin and destination point respectively. </w:t>
      </w:r>
      <w:r w:rsidR="0017370B" w:rsidRPr="009E5DE4">
        <w:t xml:space="preserve">For simplicity, the following assumptions </w:t>
      </w:r>
      <w:proofErr w:type="gramStart"/>
      <w:r w:rsidR="0017370B" w:rsidRPr="009E5DE4">
        <w:t>were made</w:t>
      </w:r>
      <w:proofErr w:type="gramEnd"/>
      <w:r w:rsidR="0017370B" w:rsidRPr="009E5DE4">
        <w:t xml:space="preserve"> in this study:</w:t>
      </w:r>
    </w:p>
    <w:p w14:paraId="08B2E9FD" w14:textId="18DC534E" w:rsidR="0017370B" w:rsidRPr="0068770F" w:rsidRDefault="0017370B" w:rsidP="004D2D23">
      <w:pPr>
        <w:pStyle w:val="Bulletedlist"/>
      </w:pPr>
      <w:r w:rsidRPr="0068770F">
        <w:t xml:space="preserve">The </w:t>
      </w:r>
      <w:proofErr w:type="gramStart"/>
      <w:r w:rsidR="004D2D23">
        <w:t xml:space="preserve">bus network </w:t>
      </w:r>
      <w:r w:rsidRPr="0068770F">
        <w:t>improvement methods</w:t>
      </w:r>
      <w:proofErr w:type="gramEnd"/>
      <w:r w:rsidRPr="0068770F">
        <w:t xml:space="preserve"> only include route planning and frequency setting, while</w:t>
      </w:r>
      <w:r w:rsidR="004D2D23">
        <w:t xml:space="preserve"> the</w:t>
      </w:r>
      <w:r w:rsidRPr="0068770F">
        <w:t xml:space="preserve"> fare system and quality of services and facilities remain at current level</w:t>
      </w:r>
      <w:r>
        <w:t>s</w:t>
      </w:r>
      <w:r w:rsidRPr="0068770F">
        <w:t xml:space="preserve">. </w:t>
      </w:r>
    </w:p>
    <w:p w14:paraId="52C743F5" w14:textId="7B1D342B" w:rsidR="0017370B" w:rsidRPr="0068770F" w:rsidRDefault="0017370B" w:rsidP="004D2D23">
      <w:pPr>
        <w:pStyle w:val="Bulletedlist"/>
      </w:pPr>
      <w:r w:rsidRPr="0068770F">
        <w:t xml:space="preserve">Bus speed is constant on all routes, </w:t>
      </w:r>
      <w:r w:rsidR="004D2D23">
        <w:t xml:space="preserve">and is </w:t>
      </w:r>
      <w:r w:rsidRPr="0068770F">
        <w:t xml:space="preserve">not subject to congestion effects. Based on the current bus timetable data from the </w:t>
      </w:r>
      <w:r w:rsidRPr="0017370B">
        <w:t>National Public Transport Data Repository</w:t>
      </w:r>
      <w:r w:rsidRPr="0068770F">
        <w:t xml:space="preserve">, the average bus speed is 18 km/h within the Southampton boundary. </w:t>
      </w:r>
    </w:p>
    <w:p w14:paraId="4186FEEC" w14:textId="2A67438B" w:rsidR="0017370B" w:rsidRDefault="0017370B" w:rsidP="0017370B">
      <w:pPr>
        <w:pStyle w:val="Bulletedlist"/>
      </w:pPr>
      <w:r>
        <w:t>There is n</w:t>
      </w:r>
      <w:r w:rsidRPr="0068770F">
        <w:t>o consideration of vehicle overcrowding and capacity constraints</w:t>
      </w:r>
      <w:r w:rsidR="004D2D23">
        <w:t xml:space="preserve">, so it is assumed that </w:t>
      </w:r>
      <w:r w:rsidRPr="0068770F">
        <w:t xml:space="preserve">all passengers </w:t>
      </w:r>
      <w:r w:rsidR="004D2D23">
        <w:t xml:space="preserve">can and </w:t>
      </w:r>
      <w:r w:rsidRPr="0068770F">
        <w:t xml:space="preserve">will board the first bus to arrive. </w:t>
      </w:r>
    </w:p>
    <w:p w14:paraId="72EE734E" w14:textId="5696F0F4" w:rsidR="0017370B" w:rsidRPr="0068770F" w:rsidRDefault="0017370B" w:rsidP="0017370B">
      <w:pPr>
        <w:pStyle w:val="Bulletedlist"/>
      </w:pPr>
      <w:r w:rsidRPr="004A3BD9">
        <w:t xml:space="preserve">The </w:t>
      </w:r>
      <w:r>
        <w:t>assignment sub-</w:t>
      </w:r>
      <w:r w:rsidRPr="004A3BD9">
        <w:t>model assume</w:t>
      </w:r>
      <w:r w:rsidR="004D2D23">
        <w:t>s</w:t>
      </w:r>
      <w:r w:rsidRPr="004A3BD9">
        <w:t xml:space="preserve"> that all passengers share a perfect and equal perception of the travel cost to their destinations and</w:t>
      </w:r>
      <w:r>
        <w:t xml:space="preserve"> </w:t>
      </w:r>
      <w:r w:rsidR="004D2D23">
        <w:t xml:space="preserve">that </w:t>
      </w:r>
      <w:r>
        <w:t>all choose the cheapest option</w:t>
      </w:r>
      <w:r w:rsidR="004D2D23">
        <w:t xml:space="preserve"> in terms of total travel cost</w:t>
      </w:r>
      <w:r>
        <w:t xml:space="preserve"> (all-or-nothing assignment model). </w:t>
      </w:r>
    </w:p>
    <w:p w14:paraId="40CA73CB" w14:textId="70184F33" w:rsidR="0017370B" w:rsidRPr="0068770F" w:rsidRDefault="0017370B" w:rsidP="00A614C9">
      <w:pPr>
        <w:pStyle w:val="Newparagraph"/>
        <w:ind w:firstLine="0"/>
      </w:pPr>
      <w:r>
        <w:t xml:space="preserve">The </w:t>
      </w:r>
      <w:r w:rsidRPr="0068770F">
        <w:t xml:space="preserve">notation used in the mathematical formulation is </w:t>
      </w:r>
      <w:r w:rsidR="004D2D23">
        <w:t>as follows</w:t>
      </w:r>
      <w:r w:rsidRPr="0068770F">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865"/>
        <w:gridCol w:w="6634"/>
      </w:tblGrid>
      <w:tr w:rsidR="0017370B" w:rsidRPr="0056190B" w14:paraId="0FA2210D" w14:textId="77777777" w:rsidTr="00FB5EF8">
        <w:tc>
          <w:tcPr>
            <w:tcW w:w="2093" w:type="dxa"/>
          </w:tcPr>
          <w:p w14:paraId="31C90159" w14:textId="77777777" w:rsidR="0017370B" w:rsidRPr="0056190B" w:rsidRDefault="002E0A5E" w:rsidP="00FB5EF8">
            <w:pPr>
              <w:rPr>
                <w:rFonts w:asciiTheme="majorBidi" w:hAnsiTheme="majorBidi" w:cstheme="majorBidi"/>
              </w:rPr>
            </w:pPr>
            <m:oMathPara>
              <m:oMath>
                <m:sSub>
                  <m:sSubPr>
                    <m:ctrlPr>
                      <w:rPr>
                        <w:rFonts w:ascii="Cambria Math" w:hAnsi="Cambria Math" w:cstheme="majorBidi"/>
                        <w:i/>
                      </w:rPr>
                    </m:ctrlPr>
                  </m:sSubPr>
                  <m:e>
                    <m:r>
                      <w:rPr>
                        <w:rFonts w:ascii="Cambria Math" w:hAnsi="Cambria Math" w:cstheme="majorBidi"/>
                      </w:rPr>
                      <m:t>γ</m:t>
                    </m:r>
                  </m:e>
                  <m:sub>
                    <m:r>
                      <w:rPr>
                        <w:rFonts w:ascii="Cambria Math" w:hAnsi="Cambria Math" w:cstheme="majorBidi"/>
                      </w:rPr>
                      <m:t>1</m:t>
                    </m:r>
                  </m:sub>
                </m:sSub>
                <m:sSub>
                  <m:sSubPr>
                    <m:ctrlPr>
                      <w:rPr>
                        <w:rFonts w:ascii="Cambria Math" w:hAnsi="Cambria Math" w:cstheme="majorBidi"/>
                        <w:i/>
                      </w:rPr>
                    </m:ctrlPr>
                  </m:sSubPr>
                  <m:e>
                    <m:r>
                      <w:rPr>
                        <w:rFonts w:ascii="Cambria Math" w:hAnsi="Cambria Math" w:cstheme="majorBidi"/>
                      </w:rPr>
                      <m:t>, γ</m:t>
                    </m:r>
                  </m:e>
                  <m:sub>
                    <m:r>
                      <w:rPr>
                        <w:rFonts w:ascii="Cambria Math" w:hAnsi="Cambria Math" w:cstheme="majorBidi"/>
                      </w:rPr>
                      <m:t>2</m:t>
                    </m:r>
                  </m:sub>
                </m:sSub>
                <m:r>
                  <w:rPr>
                    <w:rFonts w:ascii="Cambria Math" w:hAnsi="Cambria Math" w:cstheme="majorBidi"/>
                  </w:rPr>
                  <m:t xml:space="preserve">, </m:t>
                </m:r>
                <m:sSub>
                  <m:sSubPr>
                    <m:ctrlPr>
                      <w:rPr>
                        <w:rFonts w:ascii="Cambria Math" w:hAnsi="Cambria Math" w:cstheme="majorBidi"/>
                        <w:i/>
                      </w:rPr>
                    </m:ctrlPr>
                  </m:sSubPr>
                  <m:e>
                    <m:r>
                      <w:rPr>
                        <w:rFonts w:ascii="Cambria Math" w:hAnsi="Cambria Math" w:cstheme="majorBidi"/>
                      </w:rPr>
                      <m:t>γ</m:t>
                    </m:r>
                  </m:e>
                  <m:sub>
                    <m:r>
                      <w:rPr>
                        <w:rFonts w:ascii="Cambria Math" w:hAnsi="Cambria Math" w:cstheme="majorBidi"/>
                      </w:rPr>
                      <m:t>3</m:t>
                    </m:r>
                  </m:sub>
                </m:sSub>
              </m:oMath>
            </m:oMathPara>
          </w:p>
        </w:tc>
        <w:tc>
          <w:tcPr>
            <w:tcW w:w="7149" w:type="dxa"/>
          </w:tcPr>
          <w:p w14:paraId="07457B91" w14:textId="5FD693E8" w:rsidR="0017370B" w:rsidRPr="0056190B" w:rsidRDefault="0017370B" w:rsidP="004D2D23">
            <w:pPr>
              <w:rPr>
                <w:rFonts w:asciiTheme="majorBidi" w:hAnsiTheme="majorBidi" w:cstheme="majorBidi"/>
              </w:rPr>
            </w:pPr>
            <w:r w:rsidRPr="0056190B">
              <w:rPr>
                <w:rFonts w:asciiTheme="majorBidi" w:hAnsiTheme="majorBidi" w:cstheme="majorBidi"/>
              </w:rPr>
              <w:t>Weights of operator cost, user cost and external cost</w:t>
            </w:r>
            <w:r w:rsidR="004D2D23">
              <w:rPr>
                <w:rFonts w:asciiTheme="majorBidi" w:hAnsiTheme="majorBidi" w:cstheme="majorBidi"/>
              </w:rPr>
              <w:t>, which must sum to equal 1</w:t>
            </w:r>
            <w:r w:rsidR="0033799B">
              <w:rPr>
                <w:rFonts w:asciiTheme="majorBidi" w:hAnsiTheme="majorBidi" w:cstheme="majorBidi"/>
              </w:rPr>
              <w:t xml:space="preserve"> </w:t>
            </w:r>
            <w:r w:rsidRPr="0056190B">
              <w:rPr>
                <w:rFonts w:asciiTheme="majorBidi" w:hAnsiTheme="majorBidi" w:cstheme="majorBidi"/>
              </w:rPr>
              <w:t xml:space="preserve"> </w:t>
            </w:r>
          </w:p>
        </w:tc>
      </w:tr>
      <w:tr w:rsidR="0017370B" w:rsidRPr="0056190B" w14:paraId="51C38FE8" w14:textId="77777777" w:rsidTr="00FB5EF8">
        <w:tc>
          <w:tcPr>
            <w:tcW w:w="2093" w:type="dxa"/>
          </w:tcPr>
          <w:p w14:paraId="59DAAC1D" w14:textId="77777777" w:rsidR="0017370B" w:rsidRPr="0056190B" w:rsidRDefault="002E0A5E" w:rsidP="00FB5EF8">
            <w:pPr>
              <w:rPr>
                <w:rFonts w:asciiTheme="majorBidi" w:hAnsiTheme="majorBidi" w:cstheme="majorBidi"/>
              </w:rPr>
            </w:pPr>
            <m:oMathPara>
              <m:oMath>
                <m:sSub>
                  <m:sSubPr>
                    <m:ctrlPr>
                      <w:rPr>
                        <w:rFonts w:ascii="Cambria Math" w:hAnsi="Cambria Math" w:cstheme="majorBidi"/>
                        <w:i/>
                      </w:rPr>
                    </m:ctrlPr>
                  </m:sSubPr>
                  <m:e>
                    <m:r>
                      <w:rPr>
                        <w:rFonts w:ascii="Cambria Math" w:hAnsi="Cambria Math" w:cstheme="majorBidi"/>
                      </w:rPr>
                      <m:t>C</m:t>
                    </m:r>
                  </m:e>
                  <m:sub>
                    <m:r>
                      <w:rPr>
                        <w:rFonts w:ascii="Cambria Math" w:hAnsi="Cambria Math" w:cstheme="majorBidi"/>
                      </w:rPr>
                      <m:t>vkm</m:t>
                    </m:r>
                  </m:sub>
                </m:sSub>
              </m:oMath>
            </m:oMathPara>
          </w:p>
        </w:tc>
        <w:tc>
          <w:tcPr>
            <w:tcW w:w="7149" w:type="dxa"/>
          </w:tcPr>
          <w:p w14:paraId="3509BDCF" w14:textId="77777777" w:rsidR="0017370B" w:rsidRPr="0056190B" w:rsidRDefault="0017370B" w:rsidP="00FB5EF8">
            <w:pPr>
              <w:rPr>
                <w:rFonts w:asciiTheme="majorBidi" w:hAnsiTheme="majorBidi" w:cstheme="majorBidi"/>
              </w:rPr>
            </w:pPr>
            <w:r w:rsidRPr="0056190B">
              <w:rPr>
                <w:rFonts w:asciiTheme="majorBidi" w:hAnsiTheme="majorBidi" w:cstheme="majorBidi"/>
              </w:rPr>
              <w:t xml:space="preserve">Unit operation cost, distance related (£ per vehicle-kilometre) </w:t>
            </w:r>
          </w:p>
        </w:tc>
      </w:tr>
      <w:tr w:rsidR="0017370B" w:rsidRPr="0056190B" w14:paraId="23D19917" w14:textId="77777777" w:rsidTr="00FB5EF8">
        <w:tc>
          <w:tcPr>
            <w:tcW w:w="2093" w:type="dxa"/>
          </w:tcPr>
          <w:p w14:paraId="56748BB9" w14:textId="77777777" w:rsidR="0017370B" w:rsidRPr="0056190B" w:rsidRDefault="002E0A5E" w:rsidP="00FB5EF8">
            <w:pPr>
              <w:rPr>
                <w:rFonts w:asciiTheme="majorBidi" w:hAnsiTheme="majorBidi" w:cstheme="majorBidi"/>
              </w:rPr>
            </w:pPr>
            <m:oMathPara>
              <m:oMath>
                <m:sSub>
                  <m:sSubPr>
                    <m:ctrlPr>
                      <w:rPr>
                        <w:rFonts w:ascii="Cambria Math" w:hAnsi="Cambria Math" w:cstheme="majorBidi"/>
                        <w:i/>
                      </w:rPr>
                    </m:ctrlPr>
                  </m:sSubPr>
                  <m:e>
                    <m:r>
                      <w:rPr>
                        <w:rFonts w:ascii="Cambria Math" w:hAnsi="Cambria Math" w:cstheme="majorBidi"/>
                      </w:rPr>
                      <m:t>C</m:t>
                    </m:r>
                  </m:e>
                  <m:sub>
                    <m:r>
                      <w:rPr>
                        <w:rFonts w:ascii="Cambria Math" w:hAnsi="Cambria Math" w:cstheme="majorBidi"/>
                      </w:rPr>
                      <m:t>vh</m:t>
                    </m:r>
                  </m:sub>
                </m:sSub>
              </m:oMath>
            </m:oMathPara>
          </w:p>
        </w:tc>
        <w:tc>
          <w:tcPr>
            <w:tcW w:w="7149" w:type="dxa"/>
          </w:tcPr>
          <w:p w14:paraId="50212D3F" w14:textId="77777777" w:rsidR="0017370B" w:rsidRPr="0056190B" w:rsidRDefault="0017370B" w:rsidP="00FB5EF8">
            <w:pPr>
              <w:rPr>
                <w:rFonts w:asciiTheme="majorBidi" w:hAnsiTheme="majorBidi" w:cstheme="majorBidi"/>
              </w:rPr>
            </w:pPr>
            <w:r w:rsidRPr="0056190B">
              <w:rPr>
                <w:rFonts w:asciiTheme="majorBidi" w:hAnsiTheme="majorBidi" w:cstheme="majorBidi"/>
              </w:rPr>
              <w:t xml:space="preserve">Unit operation cost, time related (£ per vehicle-hour) </w:t>
            </w:r>
          </w:p>
        </w:tc>
      </w:tr>
      <w:tr w:rsidR="0017370B" w:rsidRPr="0056190B" w14:paraId="27284171" w14:textId="77777777" w:rsidTr="00FB5EF8">
        <w:tc>
          <w:tcPr>
            <w:tcW w:w="2093" w:type="dxa"/>
          </w:tcPr>
          <w:p w14:paraId="3AEABA9B" w14:textId="77777777" w:rsidR="0017370B" w:rsidRPr="0056190B" w:rsidRDefault="002E0A5E" w:rsidP="00FB5EF8">
            <w:pPr>
              <w:rPr>
                <w:rFonts w:asciiTheme="majorBidi" w:hAnsiTheme="majorBidi" w:cstheme="majorBidi"/>
              </w:rPr>
            </w:pPr>
            <m:oMathPara>
              <m:oMath>
                <m:sSub>
                  <m:sSubPr>
                    <m:ctrlPr>
                      <w:rPr>
                        <w:rFonts w:ascii="Cambria Math" w:hAnsi="Cambria Math" w:cstheme="majorBidi"/>
                        <w:i/>
                      </w:rPr>
                    </m:ctrlPr>
                  </m:sSubPr>
                  <m:e>
                    <m:r>
                      <w:rPr>
                        <w:rFonts w:ascii="Cambria Math" w:hAnsi="Cambria Math" w:cstheme="majorBidi"/>
                      </w:rPr>
                      <m:t>L</m:t>
                    </m:r>
                  </m:e>
                  <m:sub>
                    <m:sSub>
                      <m:sSubPr>
                        <m:ctrlPr>
                          <w:rPr>
                            <w:rFonts w:ascii="Cambria Math" w:hAnsi="Cambria Math" w:cstheme="majorBidi"/>
                            <w:i/>
                          </w:rPr>
                        </m:ctrlPr>
                      </m:sSubPr>
                      <m:e>
                        <m:r>
                          <w:rPr>
                            <w:rFonts w:ascii="Cambria Math" w:hAnsi="Cambria Math" w:cstheme="majorBidi"/>
                          </w:rPr>
                          <m:t>r</m:t>
                        </m:r>
                      </m:e>
                      <m:sub>
                        <m:r>
                          <w:rPr>
                            <w:rFonts w:ascii="Cambria Math" w:hAnsi="Cambria Math" w:cstheme="majorBidi"/>
                          </w:rPr>
                          <m:t>k</m:t>
                        </m:r>
                      </m:sub>
                    </m:sSub>
                  </m:sub>
                </m:sSub>
              </m:oMath>
            </m:oMathPara>
          </w:p>
        </w:tc>
        <w:tc>
          <w:tcPr>
            <w:tcW w:w="7149" w:type="dxa"/>
          </w:tcPr>
          <w:p w14:paraId="5A05AF70" w14:textId="77777777" w:rsidR="0017370B" w:rsidRPr="0056190B" w:rsidRDefault="0017370B" w:rsidP="00FB5EF8">
            <w:pPr>
              <w:rPr>
                <w:rFonts w:asciiTheme="majorBidi" w:hAnsiTheme="majorBidi" w:cstheme="majorBidi"/>
              </w:rPr>
            </w:pPr>
            <w:r w:rsidRPr="0056190B">
              <w:rPr>
                <w:rFonts w:asciiTheme="majorBidi" w:hAnsiTheme="majorBidi" w:cstheme="majorBidi"/>
              </w:rPr>
              <w:t>Length of route k (km)</w:t>
            </w:r>
          </w:p>
        </w:tc>
      </w:tr>
      <w:tr w:rsidR="0017370B" w:rsidRPr="0056190B" w14:paraId="02728F7B" w14:textId="77777777" w:rsidTr="00FB5EF8">
        <w:tc>
          <w:tcPr>
            <w:tcW w:w="2093" w:type="dxa"/>
          </w:tcPr>
          <w:p w14:paraId="4E635927" w14:textId="77777777" w:rsidR="0017370B" w:rsidRPr="0056190B" w:rsidRDefault="002E0A5E" w:rsidP="00FB5EF8">
            <w:pPr>
              <w:rPr>
                <w:rFonts w:asciiTheme="majorBidi" w:hAnsiTheme="majorBidi" w:cstheme="majorBidi"/>
              </w:rPr>
            </w:pPr>
            <m:oMathPara>
              <m:oMath>
                <m:sSub>
                  <m:sSubPr>
                    <m:ctrlPr>
                      <w:rPr>
                        <w:rFonts w:ascii="Cambria Math" w:hAnsi="Cambria Math" w:cstheme="majorBidi"/>
                        <w:i/>
                      </w:rPr>
                    </m:ctrlPr>
                  </m:sSubPr>
                  <m:e>
                    <m:r>
                      <w:rPr>
                        <w:rFonts w:ascii="Cambria Math" w:hAnsi="Cambria Math" w:cstheme="majorBidi"/>
                      </w:rPr>
                      <m:t>f</m:t>
                    </m:r>
                  </m:e>
                  <m:sub>
                    <m:sSub>
                      <m:sSubPr>
                        <m:ctrlPr>
                          <w:rPr>
                            <w:rFonts w:ascii="Cambria Math" w:hAnsi="Cambria Math" w:cstheme="majorBidi"/>
                            <w:i/>
                          </w:rPr>
                        </m:ctrlPr>
                      </m:sSubPr>
                      <m:e>
                        <m:r>
                          <w:rPr>
                            <w:rFonts w:ascii="Cambria Math" w:hAnsi="Cambria Math" w:cstheme="majorBidi"/>
                          </w:rPr>
                          <m:t>r</m:t>
                        </m:r>
                      </m:e>
                      <m:sub>
                        <m:r>
                          <w:rPr>
                            <w:rFonts w:ascii="Cambria Math" w:hAnsi="Cambria Math" w:cstheme="majorBidi"/>
                          </w:rPr>
                          <m:t>k</m:t>
                        </m:r>
                      </m:sub>
                    </m:sSub>
                  </m:sub>
                </m:sSub>
              </m:oMath>
            </m:oMathPara>
          </w:p>
        </w:tc>
        <w:tc>
          <w:tcPr>
            <w:tcW w:w="7149" w:type="dxa"/>
          </w:tcPr>
          <w:p w14:paraId="5460037C" w14:textId="77777777" w:rsidR="0017370B" w:rsidRPr="0056190B" w:rsidRDefault="0017370B" w:rsidP="00FB5EF8">
            <w:pPr>
              <w:rPr>
                <w:rFonts w:asciiTheme="majorBidi" w:hAnsiTheme="majorBidi" w:cstheme="majorBidi"/>
              </w:rPr>
            </w:pPr>
            <w:r w:rsidRPr="0056190B">
              <w:rPr>
                <w:rFonts w:asciiTheme="majorBidi" w:hAnsiTheme="majorBidi" w:cstheme="majorBidi"/>
              </w:rPr>
              <w:t xml:space="preserve">Frequency of route k </w:t>
            </w:r>
          </w:p>
        </w:tc>
      </w:tr>
      <w:tr w:rsidR="0017370B" w:rsidRPr="0056190B" w14:paraId="7F4461FD" w14:textId="77777777" w:rsidTr="00FB5EF8">
        <w:tc>
          <w:tcPr>
            <w:tcW w:w="2093" w:type="dxa"/>
          </w:tcPr>
          <w:p w14:paraId="7FF71694" w14:textId="77777777" w:rsidR="0017370B" w:rsidRPr="0056190B" w:rsidRDefault="002E0A5E" w:rsidP="00FB5EF8">
            <w:pPr>
              <w:rPr>
                <w:rFonts w:asciiTheme="majorBidi" w:eastAsia="SimSun" w:hAnsiTheme="majorBidi" w:cstheme="majorBidi"/>
              </w:rPr>
            </w:pPr>
            <m:oMathPara>
              <m:oMath>
                <m:sSub>
                  <m:sSubPr>
                    <m:ctrlPr>
                      <w:rPr>
                        <w:rFonts w:ascii="Cambria Math" w:eastAsia="SimSun" w:hAnsi="Cambria Math" w:cstheme="majorBidi"/>
                        <w:i/>
                      </w:rPr>
                    </m:ctrlPr>
                  </m:sSubPr>
                  <m:e>
                    <m:r>
                      <w:rPr>
                        <w:rFonts w:ascii="Cambria Math" w:eastAsia="SimSun" w:hAnsi="Cambria Math" w:cstheme="majorBidi"/>
                      </w:rPr>
                      <m:t>h</m:t>
                    </m:r>
                  </m:e>
                  <m:sub>
                    <m:sSub>
                      <m:sSubPr>
                        <m:ctrlPr>
                          <w:rPr>
                            <w:rFonts w:ascii="Cambria Math" w:eastAsia="SimSun" w:hAnsi="Cambria Math" w:cstheme="majorBidi"/>
                            <w:i/>
                          </w:rPr>
                        </m:ctrlPr>
                      </m:sSubPr>
                      <m:e>
                        <m:r>
                          <w:rPr>
                            <w:rFonts w:ascii="Cambria Math" w:eastAsia="SimSun" w:hAnsi="Cambria Math" w:cstheme="majorBidi"/>
                          </w:rPr>
                          <m:t>r</m:t>
                        </m:r>
                      </m:e>
                      <m:sub>
                        <m:r>
                          <w:rPr>
                            <w:rFonts w:ascii="Cambria Math" w:eastAsia="SimSun" w:hAnsi="Cambria Math" w:cstheme="majorBidi"/>
                          </w:rPr>
                          <m:t>k</m:t>
                        </m:r>
                      </m:sub>
                    </m:sSub>
                  </m:sub>
                </m:sSub>
              </m:oMath>
            </m:oMathPara>
          </w:p>
        </w:tc>
        <w:tc>
          <w:tcPr>
            <w:tcW w:w="7149" w:type="dxa"/>
          </w:tcPr>
          <w:p w14:paraId="452A351D" w14:textId="77777777" w:rsidR="0017370B" w:rsidRPr="0056190B" w:rsidRDefault="0017370B" w:rsidP="00FB5EF8">
            <w:pPr>
              <w:rPr>
                <w:rFonts w:asciiTheme="majorBidi" w:hAnsiTheme="majorBidi" w:cstheme="majorBidi"/>
              </w:rPr>
            </w:pPr>
            <w:r w:rsidRPr="0056190B">
              <w:rPr>
                <w:rFonts w:asciiTheme="majorBidi" w:hAnsiTheme="majorBidi" w:cstheme="majorBidi"/>
              </w:rPr>
              <w:t xml:space="preserve">Headway of route k </w:t>
            </w:r>
          </w:p>
        </w:tc>
      </w:tr>
      <w:tr w:rsidR="0017370B" w:rsidRPr="0056190B" w14:paraId="67A38D3F" w14:textId="77777777" w:rsidTr="00FB5EF8">
        <w:tc>
          <w:tcPr>
            <w:tcW w:w="2093" w:type="dxa"/>
          </w:tcPr>
          <w:p w14:paraId="7D70198C" w14:textId="77777777" w:rsidR="0017370B" w:rsidRPr="0056190B" w:rsidRDefault="002E0A5E" w:rsidP="00FB5EF8">
            <w:pPr>
              <w:rPr>
                <w:rFonts w:asciiTheme="majorBidi" w:eastAsia="SimSun" w:hAnsiTheme="majorBidi" w:cstheme="majorBidi"/>
              </w:rPr>
            </w:pPr>
            <m:oMathPara>
              <m:oMath>
                <m:sSub>
                  <m:sSubPr>
                    <m:ctrlPr>
                      <w:rPr>
                        <w:rFonts w:ascii="Cambria Math" w:eastAsia="SimSun" w:hAnsi="Cambria Math" w:cstheme="majorBidi"/>
                        <w:i/>
                      </w:rPr>
                    </m:ctrlPr>
                  </m:sSubPr>
                  <m:e>
                    <m:r>
                      <w:rPr>
                        <w:rFonts w:ascii="Cambria Math" w:eastAsia="SimSun" w:hAnsi="Cambria Math" w:cstheme="majorBidi"/>
                      </w:rPr>
                      <m:t>T</m:t>
                    </m:r>
                  </m:e>
                  <m:sub>
                    <m:sSub>
                      <m:sSubPr>
                        <m:ctrlPr>
                          <w:rPr>
                            <w:rFonts w:ascii="Cambria Math" w:eastAsia="SimSun" w:hAnsi="Cambria Math" w:cstheme="majorBidi"/>
                            <w:i/>
                          </w:rPr>
                        </m:ctrlPr>
                      </m:sSubPr>
                      <m:e>
                        <m:r>
                          <w:rPr>
                            <w:rFonts w:ascii="Cambria Math" w:eastAsia="SimSun" w:hAnsi="Cambria Math" w:cstheme="majorBidi"/>
                          </w:rPr>
                          <m:t>r</m:t>
                        </m:r>
                      </m:e>
                      <m:sub>
                        <m:r>
                          <w:rPr>
                            <w:rFonts w:ascii="Cambria Math" w:eastAsia="SimSun" w:hAnsi="Cambria Math" w:cstheme="majorBidi"/>
                          </w:rPr>
                          <m:t>k</m:t>
                        </m:r>
                      </m:sub>
                    </m:sSub>
                  </m:sub>
                </m:sSub>
              </m:oMath>
            </m:oMathPara>
          </w:p>
        </w:tc>
        <w:tc>
          <w:tcPr>
            <w:tcW w:w="7149" w:type="dxa"/>
          </w:tcPr>
          <w:p w14:paraId="50910CC4" w14:textId="77777777" w:rsidR="0017370B" w:rsidRPr="0056190B" w:rsidRDefault="0017370B" w:rsidP="00FB5EF8">
            <w:pPr>
              <w:rPr>
                <w:rFonts w:asciiTheme="majorBidi" w:hAnsiTheme="majorBidi" w:cstheme="majorBidi"/>
              </w:rPr>
            </w:pPr>
            <w:r w:rsidRPr="0056190B">
              <w:rPr>
                <w:rFonts w:asciiTheme="majorBidi" w:hAnsiTheme="majorBidi" w:cstheme="majorBidi"/>
              </w:rPr>
              <w:t>Round trip time of route k (minutes)</w:t>
            </w:r>
          </w:p>
        </w:tc>
      </w:tr>
      <w:tr w:rsidR="0017370B" w:rsidRPr="0056190B" w14:paraId="2DE027BB" w14:textId="77777777" w:rsidTr="00FB5EF8">
        <w:tc>
          <w:tcPr>
            <w:tcW w:w="2093" w:type="dxa"/>
          </w:tcPr>
          <w:p w14:paraId="086EA61F" w14:textId="77777777" w:rsidR="0017370B" w:rsidRPr="0056190B" w:rsidRDefault="002E0A5E" w:rsidP="00FB5EF8">
            <w:pPr>
              <w:rPr>
                <w:rFonts w:asciiTheme="majorBidi" w:eastAsia="SimSun" w:hAnsiTheme="majorBidi" w:cstheme="majorBidi"/>
              </w:rPr>
            </w:pPr>
            <m:oMathPara>
              <m:oMath>
                <m:sSub>
                  <m:sSubPr>
                    <m:ctrlPr>
                      <w:rPr>
                        <w:rFonts w:ascii="Cambria Math" w:eastAsia="SimSun" w:hAnsi="Cambria Math" w:cstheme="majorBidi"/>
                        <w:i/>
                      </w:rPr>
                    </m:ctrlPr>
                  </m:sSubPr>
                  <m:e>
                    <m:r>
                      <w:rPr>
                        <w:rFonts w:ascii="Cambria Math" w:eastAsia="SimSun" w:hAnsi="Cambria Math" w:cstheme="majorBidi"/>
                      </w:rPr>
                      <m:t>f</m:t>
                    </m:r>
                  </m:e>
                  <m:sub>
                    <m:r>
                      <w:rPr>
                        <w:rFonts w:ascii="Cambria Math" w:eastAsia="SimSun" w:hAnsi="Cambria Math" w:cstheme="majorBidi"/>
                      </w:rPr>
                      <m:t>min</m:t>
                    </m:r>
                  </m:sub>
                </m:sSub>
              </m:oMath>
            </m:oMathPara>
          </w:p>
        </w:tc>
        <w:tc>
          <w:tcPr>
            <w:tcW w:w="7149" w:type="dxa"/>
          </w:tcPr>
          <w:p w14:paraId="17E7ACE2" w14:textId="45F5239E" w:rsidR="0017370B" w:rsidRPr="0056190B" w:rsidRDefault="0017370B" w:rsidP="004D2D23">
            <w:pPr>
              <w:rPr>
                <w:rFonts w:asciiTheme="majorBidi" w:hAnsiTheme="majorBidi" w:cstheme="majorBidi"/>
              </w:rPr>
            </w:pPr>
            <w:r w:rsidRPr="0056190B">
              <w:rPr>
                <w:rFonts w:asciiTheme="majorBidi" w:hAnsiTheme="majorBidi" w:cstheme="majorBidi"/>
              </w:rPr>
              <w:t xml:space="preserve">Minimum frequency </w:t>
            </w:r>
            <w:r w:rsidR="004D2D23">
              <w:rPr>
                <w:rFonts w:asciiTheme="majorBidi" w:hAnsiTheme="majorBidi" w:cstheme="majorBidi"/>
              </w:rPr>
              <w:t>permitted</w:t>
            </w:r>
            <w:r w:rsidR="004D2D23" w:rsidRPr="0056190B">
              <w:rPr>
                <w:rFonts w:asciiTheme="majorBidi" w:hAnsiTheme="majorBidi" w:cstheme="majorBidi"/>
              </w:rPr>
              <w:t xml:space="preserve"> </w:t>
            </w:r>
            <w:r w:rsidRPr="0056190B">
              <w:rPr>
                <w:rFonts w:asciiTheme="majorBidi" w:hAnsiTheme="majorBidi" w:cstheme="majorBidi"/>
              </w:rPr>
              <w:t xml:space="preserve">for any route </w:t>
            </w:r>
          </w:p>
        </w:tc>
      </w:tr>
      <w:tr w:rsidR="0017370B" w:rsidRPr="0056190B" w14:paraId="662E7641" w14:textId="77777777" w:rsidTr="00FB5EF8">
        <w:tc>
          <w:tcPr>
            <w:tcW w:w="2093" w:type="dxa"/>
          </w:tcPr>
          <w:p w14:paraId="0B60EB4E" w14:textId="77777777" w:rsidR="0017370B" w:rsidRPr="0056190B" w:rsidRDefault="002E0A5E" w:rsidP="00FB5EF8">
            <w:pPr>
              <w:rPr>
                <w:rFonts w:asciiTheme="majorBidi" w:eastAsia="SimSun" w:hAnsiTheme="majorBidi" w:cstheme="majorBidi"/>
              </w:rPr>
            </w:pPr>
            <m:oMathPara>
              <m:oMath>
                <m:sSub>
                  <m:sSubPr>
                    <m:ctrlPr>
                      <w:rPr>
                        <w:rFonts w:ascii="Cambria Math" w:eastAsia="SimSun" w:hAnsi="Cambria Math" w:cstheme="majorBidi"/>
                        <w:i/>
                      </w:rPr>
                    </m:ctrlPr>
                  </m:sSubPr>
                  <m:e>
                    <m:r>
                      <w:rPr>
                        <w:rFonts w:ascii="Cambria Math" w:eastAsia="SimSun" w:hAnsi="Cambria Math" w:cstheme="majorBidi"/>
                      </w:rPr>
                      <m:t>f</m:t>
                    </m:r>
                  </m:e>
                  <m:sub>
                    <m:r>
                      <w:rPr>
                        <w:rFonts w:ascii="Cambria Math" w:eastAsia="SimSun" w:hAnsi="Cambria Math" w:cstheme="majorBidi"/>
                      </w:rPr>
                      <m:t>max</m:t>
                    </m:r>
                  </m:sub>
                </m:sSub>
              </m:oMath>
            </m:oMathPara>
          </w:p>
        </w:tc>
        <w:tc>
          <w:tcPr>
            <w:tcW w:w="7149" w:type="dxa"/>
          </w:tcPr>
          <w:p w14:paraId="202FD5EC" w14:textId="6864334C" w:rsidR="0017370B" w:rsidRPr="0056190B" w:rsidRDefault="0017370B" w:rsidP="004D2D23">
            <w:pPr>
              <w:rPr>
                <w:rFonts w:asciiTheme="majorBidi" w:hAnsiTheme="majorBidi" w:cstheme="majorBidi"/>
              </w:rPr>
            </w:pPr>
            <w:r w:rsidRPr="0056190B">
              <w:rPr>
                <w:rFonts w:asciiTheme="majorBidi" w:hAnsiTheme="majorBidi" w:cstheme="majorBidi"/>
              </w:rPr>
              <w:t xml:space="preserve">Maximum frequency </w:t>
            </w:r>
            <w:r w:rsidR="004D2D23">
              <w:rPr>
                <w:rFonts w:asciiTheme="majorBidi" w:hAnsiTheme="majorBidi" w:cstheme="majorBidi"/>
              </w:rPr>
              <w:t>permitted</w:t>
            </w:r>
            <w:r w:rsidR="004D2D23" w:rsidRPr="0056190B">
              <w:rPr>
                <w:rFonts w:asciiTheme="majorBidi" w:hAnsiTheme="majorBidi" w:cstheme="majorBidi"/>
              </w:rPr>
              <w:t xml:space="preserve"> </w:t>
            </w:r>
            <w:r w:rsidRPr="0056190B">
              <w:rPr>
                <w:rFonts w:asciiTheme="majorBidi" w:hAnsiTheme="majorBidi" w:cstheme="majorBidi"/>
              </w:rPr>
              <w:t xml:space="preserve">for any route </w:t>
            </w:r>
          </w:p>
        </w:tc>
      </w:tr>
      <w:tr w:rsidR="0017370B" w:rsidRPr="0056190B" w14:paraId="7AEA919A" w14:textId="77777777" w:rsidTr="00FB5EF8">
        <w:tc>
          <w:tcPr>
            <w:tcW w:w="2093" w:type="dxa"/>
          </w:tcPr>
          <w:p w14:paraId="1F7B8C4F" w14:textId="77777777" w:rsidR="0017370B" w:rsidRPr="0056190B" w:rsidRDefault="002E0A5E" w:rsidP="00FB5EF8">
            <w:pPr>
              <w:rPr>
                <w:rFonts w:asciiTheme="majorBidi" w:eastAsia="SimSun" w:hAnsiTheme="majorBidi" w:cstheme="majorBidi"/>
              </w:rPr>
            </w:pPr>
            <m:oMathPara>
              <m:oMath>
                <m:sSub>
                  <m:sSubPr>
                    <m:ctrlPr>
                      <w:rPr>
                        <w:rFonts w:ascii="Cambria Math" w:eastAsia="SimSun" w:hAnsi="Cambria Math" w:cstheme="majorBidi"/>
                        <w:i/>
                      </w:rPr>
                    </m:ctrlPr>
                  </m:sSubPr>
                  <m:e>
                    <m:r>
                      <w:rPr>
                        <w:rFonts w:ascii="Cambria Math" w:eastAsia="SimSun" w:hAnsi="Cambria Math" w:cstheme="majorBidi"/>
                      </w:rPr>
                      <m:t>FS</m:t>
                    </m:r>
                  </m:e>
                  <m:sub>
                    <m:sSub>
                      <m:sSubPr>
                        <m:ctrlPr>
                          <w:rPr>
                            <w:rFonts w:ascii="Cambria Math" w:eastAsia="SimSun" w:hAnsi="Cambria Math" w:cstheme="majorBidi"/>
                            <w:i/>
                          </w:rPr>
                        </m:ctrlPr>
                      </m:sSubPr>
                      <m:e>
                        <m:r>
                          <w:rPr>
                            <w:rFonts w:ascii="Cambria Math" w:eastAsia="SimSun" w:hAnsi="Cambria Math" w:cstheme="majorBidi"/>
                          </w:rPr>
                          <m:t>r</m:t>
                        </m:r>
                      </m:e>
                      <m:sub>
                        <m:r>
                          <w:rPr>
                            <w:rFonts w:ascii="Cambria Math" w:eastAsia="SimSun" w:hAnsi="Cambria Math" w:cstheme="majorBidi"/>
                          </w:rPr>
                          <m:t>k</m:t>
                        </m:r>
                      </m:sub>
                    </m:sSub>
                  </m:sub>
                </m:sSub>
              </m:oMath>
            </m:oMathPara>
          </w:p>
        </w:tc>
        <w:tc>
          <w:tcPr>
            <w:tcW w:w="7149" w:type="dxa"/>
          </w:tcPr>
          <w:p w14:paraId="61C26D5E" w14:textId="6710CEB6" w:rsidR="0017370B" w:rsidRPr="0056190B" w:rsidRDefault="004D2D23" w:rsidP="004D2D23">
            <w:pPr>
              <w:autoSpaceDE w:val="0"/>
              <w:autoSpaceDN w:val="0"/>
              <w:adjustRightInd w:val="0"/>
              <w:rPr>
                <w:rFonts w:asciiTheme="majorBidi" w:hAnsiTheme="majorBidi" w:cstheme="majorBidi"/>
              </w:rPr>
            </w:pPr>
            <w:r>
              <w:rPr>
                <w:rFonts w:asciiTheme="majorBidi" w:hAnsiTheme="majorBidi" w:cstheme="majorBidi"/>
              </w:rPr>
              <w:t xml:space="preserve">Number of buses required to operate </w:t>
            </w:r>
            <w:r w:rsidR="0017370B" w:rsidRPr="0056190B">
              <w:rPr>
                <w:rFonts w:asciiTheme="majorBidi" w:hAnsiTheme="majorBidi" w:cstheme="majorBidi"/>
              </w:rPr>
              <w:t xml:space="preserve">route k </w:t>
            </w:r>
          </w:p>
        </w:tc>
      </w:tr>
      <w:tr w:rsidR="0017370B" w:rsidRPr="0056190B" w14:paraId="15931994" w14:textId="77777777" w:rsidTr="00FB5EF8">
        <w:tc>
          <w:tcPr>
            <w:tcW w:w="2093" w:type="dxa"/>
          </w:tcPr>
          <w:p w14:paraId="13E0B4B6" w14:textId="77777777" w:rsidR="0017370B" w:rsidRPr="0056190B" w:rsidRDefault="002E0A5E" w:rsidP="00FB5EF8">
            <w:pPr>
              <w:rPr>
                <w:rFonts w:asciiTheme="majorBidi" w:hAnsiTheme="majorBidi" w:cstheme="majorBidi"/>
              </w:rPr>
            </w:pPr>
            <m:oMathPara>
              <m:oMath>
                <m:sSub>
                  <m:sSubPr>
                    <m:ctrlPr>
                      <w:rPr>
                        <w:rFonts w:ascii="Cambria Math" w:eastAsia="SimSun" w:hAnsi="Cambria Math" w:cstheme="majorBidi"/>
                        <w:i/>
                      </w:rPr>
                    </m:ctrlPr>
                  </m:sSubPr>
                  <m:e>
                    <m:r>
                      <w:rPr>
                        <w:rFonts w:ascii="Cambria Math" w:eastAsia="SimSun" w:hAnsi="Cambria Math" w:cstheme="majorBidi"/>
                      </w:rPr>
                      <m:t>f</m:t>
                    </m:r>
                  </m:e>
                  <m:sub>
                    <m:r>
                      <w:rPr>
                        <w:rFonts w:ascii="Cambria Math" w:eastAsia="SimSun" w:hAnsi="Cambria Math" w:cstheme="majorBidi"/>
                      </w:rPr>
                      <m:t>crossboundary</m:t>
                    </m:r>
                  </m:sub>
                </m:sSub>
              </m:oMath>
            </m:oMathPara>
          </w:p>
          <w:p w14:paraId="2E817605" w14:textId="77777777" w:rsidR="0017370B" w:rsidRPr="0056190B" w:rsidRDefault="0017370B" w:rsidP="00FB5EF8">
            <w:pPr>
              <w:rPr>
                <w:rFonts w:asciiTheme="majorBidi" w:hAnsiTheme="majorBidi" w:cstheme="majorBidi"/>
              </w:rPr>
            </w:pPr>
          </w:p>
        </w:tc>
        <w:tc>
          <w:tcPr>
            <w:tcW w:w="7149" w:type="dxa"/>
          </w:tcPr>
          <w:p w14:paraId="1C991874" w14:textId="4EE55A87" w:rsidR="004D2D23" w:rsidRDefault="0017370B" w:rsidP="0033799B">
            <w:pPr>
              <w:autoSpaceDE w:val="0"/>
              <w:autoSpaceDN w:val="0"/>
              <w:adjustRightInd w:val="0"/>
              <w:rPr>
                <w:rFonts w:asciiTheme="majorBidi" w:hAnsiTheme="majorBidi" w:cstheme="majorBidi"/>
              </w:rPr>
            </w:pPr>
            <w:r w:rsidRPr="0056190B">
              <w:rPr>
                <w:rFonts w:asciiTheme="majorBidi" w:hAnsiTheme="majorBidi" w:cstheme="majorBidi"/>
              </w:rPr>
              <w:t>Total bus frequencies linking</w:t>
            </w:r>
            <w:r w:rsidR="004D2D23">
              <w:rPr>
                <w:rFonts w:asciiTheme="majorBidi" w:hAnsiTheme="majorBidi" w:cstheme="majorBidi"/>
              </w:rPr>
              <w:t xml:space="preserve"> Southampton with</w:t>
            </w:r>
            <w:r w:rsidRPr="0056190B">
              <w:rPr>
                <w:rFonts w:asciiTheme="majorBidi" w:hAnsiTheme="majorBidi" w:cstheme="majorBidi"/>
              </w:rPr>
              <w:t xml:space="preserve"> nearby towns and cities</w:t>
            </w:r>
            <w:r w:rsidR="0033799B">
              <w:rPr>
                <w:rFonts w:asciiTheme="majorBidi" w:hAnsiTheme="majorBidi" w:cstheme="majorBidi"/>
              </w:rPr>
              <w:t xml:space="preserve"> based on </w:t>
            </w:r>
            <w:r w:rsidR="004D2D23">
              <w:rPr>
                <w:rFonts w:asciiTheme="majorBidi" w:hAnsiTheme="majorBidi" w:cstheme="majorBidi"/>
              </w:rPr>
              <w:t xml:space="preserve">the </w:t>
            </w:r>
            <w:r w:rsidR="0033799B">
              <w:rPr>
                <w:rFonts w:asciiTheme="majorBidi" w:hAnsiTheme="majorBidi" w:cstheme="majorBidi"/>
              </w:rPr>
              <w:t>current bus network</w:t>
            </w:r>
            <w:r w:rsidRPr="0056190B">
              <w:rPr>
                <w:rFonts w:asciiTheme="majorBidi" w:hAnsiTheme="majorBidi" w:cstheme="majorBidi"/>
              </w:rPr>
              <w:t>, including</w:t>
            </w:r>
            <w:r w:rsidR="004D2D23">
              <w:rPr>
                <w:rFonts w:asciiTheme="majorBidi" w:hAnsiTheme="majorBidi" w:cstheme="majorBidi"/>
              </w:rPr>
              <w:t>:</w:t>
            </w:r>
          </w:p>
          <w:p w14:paraId="379977BB" w14:textId="384BCC32" w:rsidR="0017370B" w:rsidRPr="0056190B" w:rsidRDefault="0017370B" w:rsidP="0033799B">
            <w:pPr>
              <w:autoSpaceDE w:val="0"/>
              <w:autoSpaceDN w:val="0"/>
              <w:adjustRightInd w:val="0"/>
              <w:rPr>
                <w:rFonts w:asciiTheme="majorBidi" w:hAnsiTheme="majorBidi" w:cstheme="majorBidi"/>
              </w:rPr>
            </w:pPr>
            <m:oMath>
              <m:r>
                <m:rPr>
                  <m:sty m:val="p"/>
                </m:rPr>
                <w:rPr>
                  <w:rFonts w:ascii="Cambria Math" w:hAnsi="Cambria Math" w:cstheme="majorBidi"/>
                </w:rPr>
                <m:t xml:space="preserve"> </m:t>
              </m:r>
              <m:sSub>
                <m:sSubPr>
                  <m:ctrlPr>
                    <w:rPr>
                      <w:rFonts w:ascii="Cambria Math" w:hAnsi="Cambria Math" w:cstheme="majorBidi"/>
                    </w:rPr>
                  </m:ctrlPr>
                </m:sSubPr>
                <m:e>
                  <m:r>
                    <m:rPr>
                      <m:sty m:val="p"/>
                    </m:rPr>
                    <w:rPr>
                      <w:rFonts w:ascii="Cambria Math" w:hAnsi="Cambria Math" w:cstheme="majorBidi"/>
                    </w:rPr>
                    <m:t>f</m:t>
                  </m:r>
                </m:e>
                <m:sub>
                  <m:r>
                    <m:rPr>
                      <m:sty m:val="p"/>
                    </m:rPr>
                    <w:rPr>
                      <w:rFonts w:ascii="Cambria Math" w:hAnsi="Cambria Math" w:cstheme="majorBidi"/>
                    </w:rPr>
                    <m:t>Avenue</m:t>
                  </m:r>
                </m:sub>
              </m:sSub>
              <m:r>
                <m:rPr>
                  <m:sty m:val="p"/>
                </m:rPr>
                <w:rPr>
                  <w:rFonts w:ascii="Cambria Math" w:hAnsi="Cambria Math" w:cstheme="majorBidi"/>
                </w:rPr>
                <m:t>,</m:t>
              </m:r>
              <m:sSub>
                <m:sSubPr>
                  <m:ctrlPr>
                    <w:rPr>
                      <w:rFonts w:ascii="Cambria Math" w:hAnsi="Cambria Math" w:cstheme="majorBidi"/>
                    </w:rPr>
                  </m:ctrlPr>
                </m:sSubPr>
                <m:e>
                  <m:r>
                    <m:rPr>
                      <m:sty m:val="p"/>
                    </m:rPr>
                    <w:rPr>
                      <w:rFonts w:ascii="Cambria Math" w:hAnsi="Cambria Math" w:cstheme="majorBidi"/>
                    </w:rPr>
                    <m:t>f</m:t>
                  </m:r>
                </m:e>
                <m:sub>
                  <m:r>
                    <m:rPr>
                      <m:sty m:val="p"/>
                    </m:rPr>
                    <w:rPr>
                      <w:rFonts w:ascii="Cambria Math" w:hAnsi="Cambria Math" w:cstheme="majorBidi"/>
                    </w:rPr>
                    <m:t>Bevois Valley</m:t>
                  </m:r>
                </m:sub>
              </m:sSub>
              <m:r>
                <m:rPr>
                  <m:sty m:val="p"/>
                </m:rPr>
                <w:rPr>
                  <w:rFonts w:ascii="Cambria Math" w:hAnsi="Cambria Math" w:cstheme="majorBidi"/>
                </w:rPr>
                <m:t>,</m:t>
              </m:r>
              <m:sSub>
                <m:sSubPr>
                  <m:ctrlPr>
                    <w:rPr>
                      <w:rFonts w:ascii="Cambria Math" w:hAnsi="Cambria Math" w:cstheme="majorBidi"/>
                    </w:rPr>
                  </m:ctrlPr>
                </m:sSubPr>
                <m:e>
                  <m:r>
                    <m:rPr>
                      <m:sty m:val="p"/>
                    </m:rPr>
                    <w:rPr>
                      <w:rFonts w:ascii="Cambria Math" w:hAnsi="Cambria Math" w:cstheme="majorBidi"/>
                    </w:rPr>
                    <m:t>f</m:t>
                  </m:r>
                </m:e>
                <m:sub>
                  <m:r>
                    <m:rPr>
                      <m:sty m:val="p"/>
                    </m:rPr>
                    <w:rPr>
                      <w:rFonts w:ascii="Cambria Math" w:hAnsi="Cambria Math" w:cstheme="majorBidi"/>
                    </w:rPr>
                    <m:t>Itchen Bridge</m:t>
                  </m:r>
                </m:sub>
              </m:sSub>
              <m:r>
                <m:rPr>
                  <m:sty m:val="p"/>
                </m:rPr>
                <w:rPr>
                  <w:rFonts w:ascii="Cambria Math" w:hAnsi="Cambria Math" w:cstheme="majorBidi"/>
                </w:rPr>
                <m:t>,</m:t>
              </m:r>
              <m:sSub>
                <m:sSubPr>
                  <m:ctrlPr>
                    <w:rPr>
                      <w:rFonts w:ascii="Cambria Math" w:hAnsi="Cambria Math" w:cstheme="majorBidi"/>
                    </w:rPr>
                  </m:ctrlPr>
                </m:sSubPr>
                <m:e>
                  <m:r>
                    <m:rPr>
                      <m:sty m:val="p"/>
                    </m:rPr>
                    <w:rPr>
                      <w:rFonts w:ascii="Cambria Math" w:hAnsi="Cambria Math" w:cstheme="majorBidi"/>
                    </w:rPr>
                    <m:t>f</m:t>
                  </m:r>
                </m:e>
                <m:sub>
                  <m:r>
                    <m:rPr>
                      <m:sty m:val="p"/>
                    </m:rPr>
                    <w:rPr>
                      <w:rFonts w:ascii="Cambria Math" w:hAnsi="Cambria Math" w:cstheme="majorBidi"/>
                    </w:rPr>
                    <m:t>Northam</m:t>
                  </m:r>
                </m:sub>
              </m:sSub>
              <m:r>
                <m:rPr>
                  <m:sty m:val="p"/>
                </m:rPr>
                <w:rPr>
                  <w:rFonts w:ascii="Cambria Math" w:hAnsi="Cambria Math" w:cstheme="majorBidi"/>
                </w:rPr>
                <m:t>,</m:t>
              </m:r>
              <m:sSub>
                <m:sSubPr>
                  <m:ctrlPr>
                    <w:rPr>
                      <w:rFonts w:ascii="Cambria Math" w:hAnsi="Cambria Math" w:cstheme="majorBidi"/>
                    </w:rPr>
                  </m:ctrlPr>
                </m:sSubPr>
                <m:e>
                  <m:r>
                    <m:rPr>
                      <m:sty m:val="p"/>
                    </m:rPr>
                    <w:rPr>
                      <w:rFonts w:ascii="Cambria Math" w:hAnsi="Cambria Math" w:cstheme="majorBidi"/>
                    </w:rPr>
                    <m:t>f</m:t>
                  </m:r>
                </m:e>
                <m:sub>
                  <m:r>
                    <m:rPr>
                      <m:sty m:val="p"/>
                    </m:rPr>
                    <w:rPr>
                      <w:rFonts w:ascii="Cambria Math" w:hAnsi="Cambria Math" w:cstheme="majorBidi"/>
                    </w:rPr>
                    <m:t>Shirley</m:t>
                  </m:r>
                </m:sub>
              </m:sSub>
              <m:r>
                <m:rPr>
                  <m:sty m:val="p"/>
                </m:rPr>
                <w:rPr>
                  <w:rFonts w:ascii="Cambria Math" w:hAnsi="Cambria Math" w:cstheme="majorBidi"/>
                </w:rPr>
                <m:t>,</m:t>
              </m:r>
              <m:sSub>
                <m:sSubPr>
                  <m:ctrlPr>
                    <w:rPr>
                      <w:rFonts w:ascii="Cambria Math" w:hAnsi="Cambria Math" w:cstheme="majorBidi"/>
                    </w:rPr>
                  </m:ctrlPr>
                </m:sSubPr>
                <m:e>
                  <m:r>
                    <m:rPr>
                      <m:sty m:val="p"/>
                    </m:rPr>
                    <w:rPr>
                      <w:rFonts w:ascii="Cambria Math" w:hAnsi="Cambria Math" w:cstheme="majorBidi"/>
                    </w:rPr>
                    <m:t>f</m:t>
                  </m:r>
                </m:e>
                <m:sub>
                  <m:r>
                    <m:rPr>
                      <m:sty m:val="p"/>
                    </m:rPr>
                    <w:rPr>
                      <w:rFonts w:ascii="Cambria Math" w:hAnsi="Cambria Math" w:cstheme="majorBidi"/>
                    </w:rPr>
                    <m:t>Western</m:t>
                  </m:r>
                </m:sub>
              </m:sSub>
            </m:oMath>
            <w:r w:rsidR="0033799B">
              <w:rPr>
                <w:rFonts w:asciiTheme="majorBidi" w:hAnsiTheme="majorBidi" w:cstheme="majorBidi"/>
              </w:rPr>
              <w:t xml:space="preserve"> </w:t>
            </w:r>
          </w:p>
        </w:tc>
      </w:tr>
      <w:tr w:rsidR="0017370B" w:rsidRPr="0056190B" w14:paraId="53646E39" w14:textId="77777777" w:rsidTr="00FB5EF8">
        <w:tc>
          <w:tcPr>
            <w:tcW w:w="2093" w:type="dxa"/>
          </w:tcPr>
          <w:p w14:paraId="4748F1AC" w14:textId="77777777" w:rsidR="0017370B" w:rsidRPr="0056190B" w:rsidRDefault="0017370B" w:rsidP="00FB5EF8">
            <w:pPr>
              <w:rPr>
                <w:rFonts w:asciiTheme="majorBidi" w:hAnsiTheme="majorBidi" w:cstheme="majorBidi"/>
              </w:rPr>
            </w:pPr>
            <m:oMathPara>
              <m:oMath>
                <m:r>
                  <w:rPr>
                    <w:rFonts w:ascii="Cambria Math" w:hAnsi="Cambria Math" w:cstheme="majorBidi"/>
                  </w:rPr>
                  <m:t>v</m:t>
                </m:r>
              </m:oMath>
            </m:oMathPara>
          </w:p>
        </w:tc>
        <w:tc>
          <w:tcPr>
            <w:tcW w:w="7149" w:type="dxa"/>
          </w:tcPr>
          <w:p w14:paraId="546C2215" w14:textId="77777777" w:rsidR="0017370B" w:rsidRPr="0056190B" w:rsidRDefault="0017370B" w:rsidP="00FB5EF8">
            <w:pPr>
              <w:rPr>
                <w:rFonts w:asciiTheme="majorBidi" w:hAnsiTheme="majorBidi" w:cstheme="majorBidi"/>
              </w:rPr>
            </w:pPr>
            <w:r w:rsidRPr="0056190B">
              <w:rPr>
                <w:rFonts w:asciiTheme="majorBidi" w:hAnsiTheme="majorBidi" w:cstheme="majorBidi"/>
              </w:rPr>
              <w:t>Average bus speed (km/h)</w:t>
            </w:r>
          </w:p>
        </w:tc>
      </w:tr>
      <w:tr w:rsidR="0017370B" w:rsidRPr="0056190B" w14:paraId="4C83831C" w14:textId="77777777" w:rsidTr="00FB5EF8">
        <w:tc>
          <w:tcPr>
            <w:tcW w:w="2093" w:type="dxa"/>
          </w:tcPr>
          <w:p w14:paraId="4EE55E71" w14:textId="77777777" w:rsidR="0017370B" w:rsidRPr="0056190B" w:rsidRDefault="002E0A5E" w:rsidP="00FB5EF8">
            <w:pPr>
              <w:rPr>
                <w:rFonts w:asciiTheme="majorBidi" w:hAnsiTheme="majorBidi" w:cstheme="majorBidi"/>
              </w:rPr>
            </w:pPr>
            <m:oMathPara>
              <m:oMath>
                <m:sSub>
                  <m:sSubPr>
                    <m:ctrlPr>
                      <w:rPr>
                        <w:rFonts w:ascii="Cambria Math" w:hAnsi="Cambria Math" w:cstheme="majorBidi"/>
                        <w:i/>
                      </w:rPr>
                    </m:ctrlPr>
                  </m:sSubPr>
                  <m:e>
                    <m:r>
                      <w:rPr>
                        <w:rFonts w:ascii="Cambria Math" w:hAnsi="Cambria Math" w:cstheme="majorBidi"/>
                      </w:rPr>
                      <m:t>W</m:t>
                    </m:r>
                  </m:e>
                  <m:sub>
                    <m:r>
                      <w:rPr>
                        <w:rFonts w:ascii="Cambria Math" w:hAnsi="Cambria Math" w:cstheme="majorBidi"/>
                      </w:rPr>
                      <m:t>wkt</m:t>
                    </m:r>
                  </m:sub>
                </m:sSub>
              </m:oMath>
            </m:oMathPara>
          </w:p>
        </w:tc>
        <w:tc>
          <w:tcPr>
            <w:tcW w:w="7149" w:type="dxa"/>
          </w:tcPr>
          <w:p w14:paraId="5064F7CE" w14:textId="1DD09490" w:rsidR="0017370B" w:rsidRPr="004D2D23" w:rsidRDefault="0017370B" w:rsidP="004D2D23">
            <w:pPr>
              <w:rPr>
                <w:rFonts w:asciiTheme="majorBidi" w:hAnsiTheme="majorBidi" w:cstheme="majorBidi"/>
              </w:rPr>
            </w:pPr>
            <w:r w:rsidRPr="0056190B">
              <w:rPr>
                <w:rFonts w:asciiTheme="majorBidi" w:hAnsiTheme="majorBidi" w:cstheme="majorBidi"/>
              </w:rPr>
              <w:t xml:space="preserve">Perception of </w:t>
            </w:r>
            <w:r w:rsidR="004D2D23">
              <w:rPr>
                <w:rFonts w:asciiTheme="majorBidi" w:hAnsiTheme="majorBidi" w:cstheme="majorBidi"/>
              </w:rPr>
              <w:t xml:space="preserve">a given unit of </w:t>
            </w:r>
            <w:r w:rsidRPr="0056190B">
              <w:rPr>
                <w:rFonts w:asciiTheme="majorBidi" w:hAnsiTheme="majorBidi" w:cstheme="majorBidi"/>
              </w:rPr>
              <w:t xml:space="preserve">walking time </w:t>
            </w:r>
            <w:r w:rsidR="004D2D23">
              <w:rPr>
                <w:rFonts w:asciiTheme="majorBidi" w:hAnsiTheme="majorBidi" w:cstheme="majorBidi"/>
              </w:rPr>
              <w:t>compared to the same unit of</w:t>
            </w:r>
            <w:r w:rsidRPr="0056190B">
              <w:rPr>
                <w:rFonts w:asciiTheme="majorBidi" w:hAnsiTheme="majorBidi" w:cstheme="majorBidi"/>
              </w:rPr>
              <w:t xml:space="preserve"> in vehicle time</w:t>
            </w:r>
            <w:r w:rsidR="004D2D23">
              <w:rPr>
                <w:rFonts w:asciiTheme="majorBidi" w:hAnsiTheme="majorBidi" w:cstheme="majorBidi"/>
              </w:rPr>
              <w:t xml:space="preserve"> (</w:t>
            </w:r>
            <w:r w:rsidR="007B36C0">
              <w:rPr>
                <w:rFonts w:asciiTheme="majorBidi" w:hAnsiTheme="majorBidi" w:cstheme="majorBidi"/>
              </w:rPr>
              <w:t>e.g.</w:t>
            </w:r>
            <w:r w:rsidR="004D2D23">
              <w:rPr>
                <w:rFonts w:asciiTheme="majorBidi" w:hAnsiTheme="majorBidi" w:cstheme="majorBidi"/>
              </w:rPr>
              <w:t xml:space="preserve"> if </w:t>
            </w:r>
            <w:r w:rsidR="004D2D23">
              <w:rPr>
                <w:rFonts w:asciiTheme="majorBidi" w:hAnsiTheme="majorBidi" w:cstheme="majorBidi"/>
                <w:i/>
                <w:iCs/>
              </w:rPr>
              <w:t>W</w:t>
            </w:r>
            <w:r w:rsidR="004D2D23">
              <w:rPr>
                <w:rFonts w:asciiTheme="majorBidi" w:hAnsiTheme="majorBidi" w:cstheme="majorBidi"/>
                <w:i/>
                <w:iCs/>
                <w:vertAlign w:val="subscript"/>
              </w:rPr>
              <w:t>wkt</w:t>
            </w:r>
            <w:r w:rsidR="004D2D23">
              <w:rPr>
                <w:rFonts w:asciiTheme="majorBidi" w:hAnsiTheme="majorBidi" w:cstheme="majorBidi"/>
              </w:rPr>
              <w:t xml:space="preserve"> = 2 then walking time is given double the weight of in vehicle time when calculating travel cost)</w:t>
            </w:r>
          </w:p>
        </w:tc>
      </w:tr>
      <w:tr w:rsidR="0017370B" w:rsidRPr="0056190B" w14:paraId="221D2FD3" w14:textId="77777777" w:rsidTr="00FB5EF8">
        <w:tc>
          <w:tcPr>
            <w:tcW w:w="2093" w:type="dxa"/>
          </w:tcPr>
          <w:p w14:paraId="6C49AAE0" w14:textId="77777777" w:rsidR="0017370B" w:rsidRPr="0056190B" w:rsidRDefault="002E0A5E" w:rsidP="00FB5EF8">
            <w:pPr>
              <w:rPr>
                <w:rFonts w:asciiTheme="majorBidi" w:hAnsiTheme="majorBidi" w:cstheme="majorBidi"/>
              </w:rPr>
            </w:pPr>
            <m:oMathPara>
              <m:oMath>
                <m:sSub>
                  <m:sSubPr>
                    <m:ctrlPr>
                      <w:rPr>
                        <w:rFonts w:ascii="Cambria Math" w:hAnsi="Cambria Math" w:cstheme="majorBidi"/>
                        <w:i/>
                      </w:rPr>
                    </m:ctrlPr>
                  </m:sSubPr>
                  <m:e>
                    <m:r>
                      <w:rPr>
                        <w:rFonts w:ascii="Cambria Math" w:hAnsi="Cambria Math" w:cstheme="majorBidi"/>
                      </w:rPr>
                      <m:t>W</m:t>
                    </m:r>
                  </m:e>
                  <m:sub>
                    <m:r>
                      <w:rPr>
                        <w:rFonts w:ascii="Cambria Math" w:hAnsi="Cambria Math" w:cstheme="majorBidi"/>
                      </w:rPr>
                      <m:t>wtt</m:t>
                    </m:r>
                  </m:sub>
                </m:sSub>
              </m:oMath>
            </m:oMathPara>
          </w:p>
        </w:tc>
        <w:tc>
          <w:tcPr>
            <w:tcW w:w="7149" w:type="dxa"/>
          </w:tcPr>
          <w:p w14:paraId="612D4E2E" w14:textId="77835D2F" w:rsidR="0017370B" w:rsidRPr="0056190B" w:rsidRDefault="0017370B" w:rsidP="004D2D23">
            <w:pPr>
              <w:rPr>
                <w:rFonts w:asciiTheme="majorBidi" w:hAnsiTheme="majorBidi" w:cstheme="majorBidi"/>
              </w:rPr>
            </w:pPr>
            <w:r w:rsidRPr="0056190B">
              <w:rPr>
                <w:rFonts w:asciiTheme="majorBidi" w:hAnsiTheme="majorBidi" w:cstheme="majorBidi"/>
              </w:rPr>
              <w:t xml:space="preserve">Perception of </w:t>
            </w:r>
            <w:r w:rsidR="004D2D23">
              <w:rPr>
                <w:rFonts w:asciiTheme="majorBidi" w:hAnsiTheme="majorBidi" w:cstheme="majorBidi"/>
              </w:rPr>
              <w:t xml:space="preserve">a given unit </w:t>
            </w:r>
            <w:r w:rsidRPr="0056190B">
              <w:rPr>
                <w:rFonts w:asciiTheme="majorBidi" w:hAnsiTheme="majorBidi" w:cstheme="majorBidi"/>
              </w:rPr>
              <w:t xml:space="preserve">waiting time </w:t>
            </w:r>
            <w:r w:rsidR="004D2D23">
              <w:rPr>
                <w:rFonts w:asciiTheme="majorBidi" w:hAnsiTheme="majorBidi" w:cstheme="majorBidi"/>
              </w:rPr>
              <w:t>compared to the same unit of</w:t>
            </w:r>
            <w:r w:rsidR="004D2D23" w:rsidRPr="0056190B">
              <w:rPr>
                <w:rFonts w:asciiTheme="majorBidi" w:hAnsiTheme="majorBidi" w:cstheme="majorBidi"/>
              </w:rPr>
              <w:t xml:space="preserve"> </w:t>
            </w:r>
            <w:r w:rsidRPr="0056190B">
              <w:rPr>
                <w:rFonts w:asciiTheme="majorBidi" w:hAnsiTheme="majorBidi" w:cstheme="majorBidi"/>
              </w:rPr>
              <w:t>in vehicle time</w:t>
            </w:r>
          </w:p>
        </w:tc>
      </w:tr>
      <w:tr w:rsidR="0017370B" w:rsidRPr="0056190B" w14:paraId="7585D428" w14:textId="77777777" w:rsidTr="00FB5EF8">
        <w:tc>
          <w:tcPr>
            <w:tcW w:w="2093" w:type="dxa"/>
          </w:tcPr>
          <w:p w14:paraId="54C087D2" w14:textId="77777777" w:rsidR="0017370B" w:rsidRPr="0056190B" w:rsidRDefault="002E0A5E" w:rsidP="00FB5EF8">
            <w:pPr>
              <w:rPr>
                <w:rFonts w:asciiTheme="majorBidi" w:eastAsia="SimSun" w:hAnsiTheme="majorBidi" w:cstheme="majorBidi"/>
              </w:rPr>
            </w:pPr>
            <m:oMathPara>
              <m:oMath>
                <m:sSub>
                  <m:sSubPr>
                    <m:ctrlPr>
                      <w:rPr>
                        <w:rFonts w:ascii="Cambria Math" w:eastAsia="SimSun" w:hAnsi="Cambria Math" w:cstheme="majorBidi"/>
                        <w:i/>
                      </w:rPr>
                    </m:ctrlPr>
                  </m:sSubPr>
                  <m:e>
                    <m:r>
                      <w:rPr>
                        <w:rFonts w:ascii="Cambria Math" w:eastAsia="SimSun" w:hAnsi="Cambria Math" w:cstheme="majorBidi"/>
                      </w:rPr>
                      <m:t>T</m:t>
                    </m:r>
                  </m:e>
                  <m:sub>
                    <m:r>
                      <w:rPr>
                        <w:rFonts w:ascii="Cambria Math" w:eastAsia="SimSun" w:hAnsi="Cambria Math" w:cstheme="majorBidi"/>
                      </w:rPr>
                      <m:t>penalty</m:t>
                    </m:r>
                  </m:sub>
                </m:sSub>
              </m:oMath>
            </m:oMathPara>
          </w:p>
        </w:tc>
        <w:tc>
          <w:tcPr>
            <w:tcW w:w="7149" w:type="dxa"/>
          </w:tcPr>
          <w:p w14:paraId="792758C7" w14:textId="6FC215FD" w:rsidR="0017370B" w:rsidRPr="0056190B" w:rsidRDefault="0017370B" w:rsidP="00FB5EF8">
            <w:pPr>
              <w:rPr>
                <w:rFonts w:asciiTheme="majorBidi" w:hAnsiTheme="majorBidi" w:cstheme="majorBidi"/>
              </w:rPr>
            </w:pPr>
            <w:r w:rsidRPr="0056190B">
              <w:rPr>
                <w:rFonts w:asciiTheme="majorBidi" w:hAnsiTheme="majorBidi" w:cstheme="majorBidi"/>
              </w:rPr>
              <w:t xml:space="preserve">Transfer penalty </w:t>
            </w:r>
            <w:r w:rsidR="004D2D23">
              <w:rPr>
                <w:rFonts w:asciiTheme="majorBidi" w:hAnsiTheme="majorBidi" w:cstheme="majorBidi"/>
              </w:rPr>
              <w:t>(in minutes)</w:t>
            </w:r>
          </w:p>
        </w:tc>
      </w:tr>
      <w:tr w:rsidR="0017370B" w:rsidRPr="0056190B" w14:paraId="2C21B21C" w14:textId="77777777" w:rsidTr="00FB5EF8">
        <w:tc>
          <w:tcPr>
            <w:tcW w:w="2093" w:type="dxa"/>
          </w:tcPr>
          <w:p w14:paraId="2A290B21" w14:textId="77777777" w:rsidR="0017370B" w:rsidRPr="0056190B" w:rsidRDefault="002E0A5E" w:rsidP="00FB5EF8">
            <w:pPr>
              <w:rPr>
                <w:rFonts w:asciiTheme="majorBidi" w:eastAsia="SimSun" w:hAnsiTheme="majorBidi" w:cstheme="majorBidi"/>
              </w:rPr>
            </w:pPr>
            <m:oMathPara>
              <m:oMath>
                <m:sSub>
                  <m:sSubPr>
                    <m:ctrlPr>
                      <w:rPr>
                        <w:rFonts w:ascii="Cambria Math" w:eastAsia="SimSun" w:hAnsi="Cambria Math" w:cstheme="majorBidi"/>
                        <w:i/>
                      </w:rPr>
                    </m:ctrlPr>
                  </m:sSubPr>
                  <m:e>
                    <m:r>
                      <w:rPr>
                        <w:rFonts w:ascii="Cambria Math" w:eastAsia="SimSun" w:hAnsi="Cambria Math" w:cstheme="majorBidi"/>
                      </w:rPr>
                      <m:t>W</m:t>
                    </m:r>
                  </m:e>
                  <m:sub>
                    <m:r>
                      <w:rPr>
                        <w:rFonts w:ascii="Cambria Math" w:eastAsia="SimSun" w:hAnsi="Cambria Math" w:cstheme="majorBidi"/>
                      </w:rPr>
                      <m:t>j</m:t>
                    </m:r>
                  </m:sub>
                </m:sSub>
              </m:oMath>
            </m:oMathPara>
          </w:p>
        </w:tc>
        <w:tc>
          <w:tcPr>
            <w:tcW w:w="7149" w:type="dxa"/>
          </w:tcPr>
          <w:p w14:paraId="039CA990" w14:textId="21095804" w:rsidR="0017370B" w:rsidRPr="0056190B" w:rsidRDefault="0017370B" w:rsidP="00CE1E1F">
            <w:pPr>
              <w:rPr>
                <w:rFonts w:asciiTheme="majorBidi" w:hAnsiTheme="majorBidi" w:cstheme="majorBidi"/>
              </w:rPr>
            </w:pPr>
            <w:r w:rsidRPr="0056190B">
              <w:rPr>
                <w:rFonts w:asciiTheme="majorBidi" w:hAnsiTheme="majorBidi" w:cstheme="majorBidi"/>
              </w:rPr>
              <w:t>Weight of destination type</w:t>
            </w:r>
            <w:r w:rsidR="00B67213">
              <w:rPr>
                <w:rFonts w:asciiTheme="majorBidi" w:hAnsiTheme="majorBidi" w:cstheme="majorBidi"/>
              </w:rPr>
              <w:t>,</w:t>
            </w:r>
            <w:r w:rsidR="00CE1E1F">
              <w:rPr>
                <w:rFonts w:asciiTheme="majorBidi" w:hAnsiTheme="majorBidi" w:cstheme="majorBidi"/>
              </w:rPr>
              <w:t xml:space="preserve"> where</w:t>
            </w:r>
            <w:r w:rsidR="00B67213">
              <w:rPr>
                <w:rFonts w:asciiTheme="majorBidi" w:hAnsiTheme="majorBidi" w:cstheme="majorBidi"/>
              </w:rPr>
              <w:t xml:space="preserve"> the sum of weights across all destination type</w:t>
            </w:r>
            <w:r w:rsidR="00CE1E1F">
              <w:rPr>
                <w:rFonts w:asciiTheme="majorBidi" w:hAnsiTheme="majorBidi" w:cstheme="majorBidi"/>
              </w:rPr>
              <w:t>s must equal</w:t>
            </w:r>
            <w:r w:rsidR="00B67213">
              <w:rPr>
                <w:rFonts w:asciiTheme="majorBidi" w:hAnsiTheme="majorBidi" w:cstheme="majorBidi"/>
              </w:rPr>
              <w:t xml:space="preserve"> 1</w:t>
            </w:r>
            <w:r w:rsidRPr="0056190B">
              <w:rPr>
                <w:rFonts w:asciiTheme="majorBidi" w:hAnsiTheme="majorBidi" w:cstheme="majorBidi"/>
              </w:rPr>
              <w:t xml:space="preserve"> </w:t>
            </w:r>
          </w:p>
        </w:tc>
      </w:tr>
      <w:tr w:rsidR="0017370B" w:rsidRPr="0056190B" w14:paraId="4E7BA9F1" w14:textId="77777777" w:rsidTr="00FB5EF8">
        <w:tc>
          <w:tcPr>
            <w:tcW w:w="2093" w:type="dxa"/>
          </w:tcPr>
          <w:p w14:paraId="23BAA9E0" w14:textId="77777777" w:rsidR="0017370B" w:rsidRPr="0056190B" w:rsidRDefault="002E0A5E" w:rsidP="00FB5EF8">
            <w:pPr>
              <w:rPr>
                <w:rFonts w:asciiTheme="majorBidi" w:eastAsia="SimSun" w:hAnsiTheme="majorBidi" w:cstheme="majorBidi"/>
              </w:rPr>
            </w:pPr>
            <m:oMathPara>
              <m:oMath>
                <m:sSub>
                  <m:sSubPr>
                    <m:ctrlPr>
                      <w:rPr>
                        <w:rFonts w:ascii="Cambria Math" w:eastAsia="SimSun" w:hAnsi="Cambria Math" w:cstheme="majorBidi"/>
                        <w:i/>
                      </w:rPr>
                    </m:ctrlPr>
                  </m:sSubPr>
                  <m:e>
                    <m:r>
                      <w:rPr>
                        <w:rFonts w:ascii="Cambria Math" w:eastAsia="SimSun" w:hAnsi="Cambria Math" w:cstheme="majorBidi"/>
                      </w:rPr>
                      <m:t>T</m:t>
                    </m:r>
                  </m:e>
                  <m:sub>
                    <m:r>
                      <w:rPr>
                        <w:rFonts w:ascii="Cambria Math" w:eastAsia="SimSun" w:hAnsi="Cambria Math" w:cstheme="majorBidi"/>
                      </w:rPr>
                      <m:t>n</m:t>
                    </m:r>
                  </m:sub>
                </m:sSub>
              </m:oMath>
            </m:oMathPara>
          </w:p>
        </w:tc>
        <w:tc>
          <w:tcPr>
            <w:tcW w:w="7149" w:type="dxa"/>
          </w:tcPr>
          <w:p w14:paraId="4B13B7B6" w14:textId="059AD5A1" w:rsidR="0017370B" w:rsidRPr="0056190B" w:rsidRDefault="0017370B" w:rsidP="004D2D23">
            <w:pPr>
              <w:rPr>
                <w:rFonts w:asciiTheme="majorBidi" w:hAnsiTheme="majorBidi" w:cstheme="majorBidi"/>
              </w:rPr>
            </w:pPr>
            <w:r w:rsidRPr="0056190B">
              <w:rPr>
                <w:rFonts w:asciiTheme="majorBidi" w:hAnsiTheme="majorBidi" w:cstheme="majorBidi"/>
              </w:rPr>
              <w:t>Number of transfers within OD journey</w:t>
            </w:r>
            <w:r w:rsidR="004D2D23">
              <w:rPr>
                <w:rFonts w:asciiTheme="majorBidi" w:hAnsiTheme="majorBidi" w:cstheme="majorBidi"/>
              </w:rPr>
              <w:t xml:space="preserve"> </w:t>
            </w:r>
            <w:r w:rsidR="004D2D23">
              <w:rPr>
                <w:rFonts w:asciiTheme="majorBidi" w:hAnsiTheme="majorBidi" w:cstheme="majorBidi"/>
                <w:i/>
                <w:iCs/>
              </w:rPr>
              <w:t>n</w:t>
            </w:r>
            <w:r w:rsidRPr="0056190B">
              <w:rPr>
                <w:rFonts w:asciiTheme="majorBidi" w:hAnsiTheme="majorBidi" w:cstheme="majorBidi"/>
              </w:rPr>
              <w:t xml:space="preserve"> </w:t>
            </w:r>
          </w:p>
        </w:tc>
      </w:tr>
      <w:tr w:rsidR="0017370B" w:rsidRPr="0056190B" w14:paraId="37345304" w14:textId="77777777" w:rsidTr="00FB5EF8">
        <w:tc>
          <w:tcPr>
            <w:tcW w:w="2093" w:type="dxa"/>
          </w:tcPr>
          <w:p w14:paraId="793360CF" w14:textId="77777777" w:rsidR="0017370B" w:rsidRPr="0056190B" w:rsidRDefault="002E0A5E" w:rsidP="00FB5EF8">
            <w:pPr>
              <w:rPr>
                <w:rFonts w:asciiTheme="majorBidi" w:eastAsia="SimSun" w:hAnsiTheme="majorBidi" w:cstheme="majorBidi"/>
              </w:rPr>
            </w:pPr>
            <m:oMathPara>
              <m:oMath>
                <m:sSub>
                  <m:sSubPr>
                    <m:ctrlPr>
                      <w:rPr>
                        <w:rFonts w:ascii="Cambria Math" w:eastAsia="SimSun" w:hAnsi="Cambria Math" w:cstheme="majorBidi"/>
                        <w:i/>
                      </w:rPr>
                    </m:ctrlPr>
                  </m:sSubPr>
                  <m:e>
                    <m:r>
                      <w:rPr>
                        <w:rFonts w:ascii="Cambria Math" w:eastAsia="SimSun" w:hAnsi="Cambria Math" w:cstheme="majorBidi"/>
                      </w:rPr>
                      <m:t>C</m:t>
                    </m:r>
                  </m:e>
                  <m:sub>
                    <m:r>
                      <w:rPr>
                        <w:rFonts w:ascii="Cambria Math" w:eastAsia="SimSun" w:hAnsi="Cambria Math" w:cstheme="majorBidi"/>
                      </w:rPr>
                      <m:t>ivt</m:t>
                    </m:r>
                  </m:sub>
                </m:sSub>
              </m:oMath>
            </m:oMathPara>
          </w:p>
        </w:tc>
        <w:tc>
          <w:tcPr>
            <w:tcW w:w="7149" w:type="dxa"/>
          </w:tcPr>
          <w:p w14:paraId="4315D25F" w14:textId="77777777" w:rsidR="0017370B" w:rsidRPr="0056190B" w:rsidRDefault="0017370B" w:rsidP="00FB5EF8">
            <w:pPr>
              <w:autoSpaceDE w:val="0"/>
              <w:autoSpaceDN w:val="0"/>
              <w:adjustRightInd w:val="0"/>
              <w:rPr>
                <w:rFonts w:asciiTheme="majorBidi" w:hAnsiTheme="majorBidi" w:cstheme="majorBidi"/>
              </w:rPr>
            </w:pPr>
            <w:r w:rsidRPr="0056190B">
              <w:rPr>
                <w:rFonts w:asciiTheme="majorBidi" w:hAnsiTheme="majorBidi" w:cstheme="majorBidi"/>
              </w:rPr>
              <w:t xml:space="preserve">Value of passenger time (£ per in-vehicle hour) </w:t>
            </w:r>
          </w:p>
        </w:tc>
      </w:tr>
      <w:tr w:rsidR="0017370B" w:rsidRPr="0056190B" w14:paraId="2C97A958" w14:textId="77777777" w:rsidTr="00FB5EF8">
        <w:tc>
          <w:tcPr>
            <w:tcW w:w="2093" w:type="dxa"/>
          </w:tcPr>
          <w:p w14:paraId="6D618562" w14:textId="77777777" w:rsidR="0017370B" w:rsidRPr="0056190B" w:rsidRDefault="002E0A5E" w:rsidP="00FB5EF8">
            <w:pPr>
              <w:rPr>
                <w:rFonts w:asciiTheme="majorBidi" w:eastAsia="SimSun" w:hAnsiTheme="majorBidi" w:cstheme="majorBidi"/>
              </w:rPr>
            </w:pPr>
            <m:oMathPara>
              <m:oMath>
                <m:sSub>
                  <m:sSubPr>
                    <m:ctrlPr>
                      <w:rPr>
                        <w:rFonts w:ascii="Cambria Math" w:eastAsia="SimSun" w:hAnsi="Cambria Math" w:cstheme="majorBidi"/>
                        <w:i/>
                      </w:rPr>
                    </m:ctrlPr>
                  </m:sSubPr>
                  <m:e>
                    <m:r>
                      <w:rPr>
                        <w:rFonts w:ascii="Cambria Math" w:eastAsia="SimSun" w:hAnsi="Cambria Math" w:cstheme="majorBidi"/>
                      </w:rPr>
                      <m:t>C</m:t>
                    </m:r>
                  </m:e>
                  <m:sub>
                    <m:r>
                      <w:rPr>
                        <w:rFonts w:ascii="Cambria Math" w:eastAsia="SimSun" w:hAnsi="Cambria Math" w:cstheme="majorBidi"/>
                      </w:rPr>
                      <m:t>air</m:t>
                    </m:r>
                  </m:sub>
                </m:sSub>
              </m:oMath>
            </m:oMathPara>
          </w:p>
        </w:tc>
        <w:tc>
          <w:tcPr>
            <w:tcW w:w="7149" w:type="dxa"/>
          </w:tcPr>
          <w:p w14:paraId="51470500" w14:textId="77777777" w:rsidR="0017370B" w:rsidRPr="0056190B" w:rsidRDefault="0017370B" w:rsidP="00FB5EF8">
            <w:pPr>
              <w:autoSpaceDE w:val="0"/>
              <w:autoSpaceDN w:val="0"/>
              <w:adjustRightInd w:val="0"/>
              <w:rPr>
                <w:rFonts w:asciiTheme="majorBidi" w:hAnsiTheme="majorBidi" w:cstheme="majorBidi"/>
              </w:rPr>
            </w:pPr>
            <w:r w:rsidRPr="0056190B">
              <w:rPr>
                <w:rFonts w:asciiTheme="majorBidi" w:hAnsiTheme="majorBidi" w:cstheme="majorBidi"/>
              </w:rPr>
              <w:t>Unit air pollution cost (£ per vehicle-kilometre)</w:t>
            </w:r>
          </w:p>
        </w:tc>
      </w:tr>
      <w:tr w:rsidR="0017370B" w:rsidRPr="0056190B" w14:paraId="53DA45BE" w14:textId="77777777" w:rsidTr="00FB5EF8">
        <w:tc>
          <w:tcPr>
            <w:tcW w:w="2093" w:type="dxa"/>
          </w:tcPr>
          <w:p w14:paraId="51484E5D" w14:textId="77777777" w:rsidR="0017370B" w:rsidRPr="0056190B" w:rsidRDefault="002E0A5E" w:rsidP="00FB5EF8">
            <w:pPr>
              <w:rPr>
                <w:rFonts w:asciiTheme="majorBidi" w:eastAsia="SimSun" w:hAnsiTheme="majorBidi" w:cstheme="majorBidi"/>
              </w:rPr>
            </w:pPr>
            <m:oMathPara>
              <m:oMath>
                <m:sSub>
                  <m:sSubPr>
                    <m:ctrlPr>
                      <w:rPr>
                        <w:rFonts w:ascii="Cambria Math" w:eastAsia="SimSun" w:hAnsi="Cambria Math" w:cstheme="majorBidi"/>
                        <w:i/>
                      </w:rPr>
                    </m:ctrlPr>
                  </m:sSubPr>
                  <m:e>
                    <m:r>
                      <w:rPr>
                        <w:rFonts w:ascii="Cambria Math" w:eastAsia="SimSun" w:hAnsi="Cambria Math" w:cstheme="majorBidi"/>
                      </w:rPr>
                      <m:t>C</m:t>
                    </m:r>
                  </m:e>
                  <m:sub>
                    <m:r>
                      <w:rPr>
                        <w:rFonts w:ascii="Cambria Math" w:eastAsia="SimSun" w:hAnsi="Cambria Math" w:cstheme="majorBidi"/>
                      </w:rPr>
                      <m:t>noise</m:t>
                    </m:r>
                  </m:sub>
                </m:sSub>
              </m:oMath>
            </m:oMathPara>
          </w:p>
        </w:tc>
        <w:tc>
          <w:tcPr>
            <w:tcW w:w="7149" w:type="dxa"/>
          </w:tcPr>
          <w:p w14:paraId="5DF324DE" w14:textId="77777777" w:rsidR="0017370B" w:rsidRPr="0056190B" w:rsidRDefault="0017370B" w:rsidP="00FB5EF8">
            <w:pPr>
              <w:autoSpaceDE w:val="0"/>
              <w:autoSpaceDN w:val="0"/>
              <w:adjustRightInd w:val="0"/>
              <w:rPr>
                <w:rFonts w:asciiTheme="majorBidi" w:hAnsiTheme="majorBidi" w:cstheme="majorBidi"/>
              </w:rPr>
            </w:pPr>
            <w:r w:rsidRPr="0056190B">
              <w:rPr>
                <w:rFonts w:asciiTheme="majorBidi" w:hAnsiTheme="majorBidi" w:cstheme="majorBidi"/>
              </w:rPr>
              <w:t>Unit noise pollution cost (£ per vehicle- kilometre)</w:t>
            </w:r>
          </w:p>
        </w:tc>
      </w:tr>
      <w:tr w:rsidR="0017370B" w:rsidRPr="0056190B" w14:paraId="3985644E" w14:textId="77777777" w:rsidTr="00FB5EF8">
        <w:tc>
          <w:tcPr>
            <w:tcW w:w="2093" w:type="dxa"/>
          </w:tcPr>
          <w:p w14:paraId="77B275D8" w14:textId="77777777" w:rsidR="0017370B" w:rsidRPr="0056190B" w:rsidRDefault="002E0A5E" w:rsidP="00FB5EF8">
            <w:pPr>
              <w:rPr>
                <w:rFonts w:asciiTheme="majorBidi" w:eastAsia="SimSun" w:hAnsiTheme="majorBidi" w:cstheme="majorBidi"/>
              </w:rPr>
            </w:pPr>
            <m:oMathPara>
              <m:oMath>
                <m:sSub>
                  <m:sSubPr>
                    <m:ctrlPr>
                      <w:rPr>
                        <w:rFonts w:ascii="Cambria Math" w:eastAsia="SimSun" w:hAnsi="Cambria Math" w:cstheme="majorBidi"/>
                        <w:i/>
                      </w:rPr>
                    </m:ctrlPr>
                  </m:sSubPr>
                  <m:e>
                    <m:r>
                      <w:rPr>
                        <w:rFonts w:ascii="Cambria Math" w:eastAsia="SimSun" w:hAnsi="Cambria Math" w:cstheme="majorBidi"/>
                      </w:rPr>
                      <m:t>C</m:t>
                    </m:r>
                  </m:e>
                  <m:sub>
                    <m:r>
                      <w:rPr>
                        <w:rFonts w:ascii="Cambria Math" w:eastAsia="SimSun" w:hAnsi="Cambria Math" w:cstheme="majorBidi"/>
                      </w:rPr>
                      <m:t>climate</m:t>
                    </m:r>
                  </m:sub>
                </m:sSub>
              </m:oMath>
            </m:oMathPara>
          </w:p>
        </w:tc>
        <w:tc>
          <w:tcPr>
            <w:tcW w:w="7149" w:type="dxa"/>
          </w:tcPr>
          <w:p w14:paraId="145FC7EC" w14:textId="77777777" w:rsidR="0017370B" w:rsidRPr="0056190B" w:rsidRDefault="0017370B" w:rsidP="00FB5EF8">
            <w:pPr>
              <w:autoSpaceDE w:val="0"/>
              <w:autoSpaceDN w:val="0"/>
              <w:adjustRightInd w:val="0"/>
              <w:rPr>
                <w:rFonts w:asciiTheme="majorBidi" w:hAnsiTheme="majorBidi" w:cstheme="majorBidi"/>
              </w:rPr>
            </w:pPr>
            <w:r w:rsidRPr="0056190B">
              <w:rPr>
                <w:rFonts w:asciiTheme="majorBidi" w:hAnsiTheme="majorBidi" w:cstheme="majorBidi"/>
              </w:rPr>
              <w:t>Unit climate change cost (£ per vehicle-kilometre)</w:t>
            </w:r>
          </w:p>
        </w:tc>
      </w:tr>
      <w:tr w:rsidR="0017370B" w:rsidRPr="0056190B" w14:paraId="12860E8F" w14:textId="77777777" w:rsidTr="00FB5EF8">
        <w:tc>
          <w:tcPr>
            <w:tcW w:w="2093" w:type="dxa"/>
          </w:tcPr>
          <w:p w14:paraId="4D65C752" w14:textId="77777777" w:rsidR="0017370B" w:rsidRPr="0056190B" w:rsidRDefault="002E0A5E" w:rsidP="00FB5EF8">
            <w:pPr>
              <w:rPr>
                <w:rFonts w:asciiTheme="majorBidi" w:eastAsia="SimSun" w:hAnsiTheme="majorBidi" w:cstheme="majorBidi"/>
              </w:rPr>
            </w:pPr>
            <m:oMathPara>
              <m:oMath>
                <m:sSub>
                  <m:sSubPr>
                    <m:ctrlPr>
                      <w:rPr>
                        <w:rFonts w:ascii="Cambria Math" w:eastAsia="SimSun" w:hAnsi="Cambria Math" w:cstheme="majorBidi"/>
                        <w:i/>
                      </w:rPr>
                    </m:ctrlPr>
                  </m:sSubPr>
                  <m:e>
                    <m:r>
                      <w:rPr>
                        <w:rFonts w:ascii="Cambria Math" w:eastAsia="SimSun" w:hAnsi="Cambria Math" w:cstheme="majorBidi"/>
                      </w:rPr>
                      <m:t>C</m:t>
                    </m:r>
                  </m:e>
                  <m:sub>
                    <m:r>
                      <w:rPr>
                        <w:rFonts w:ascii="Cambria Math" w:eastAsia="SimSun" w:hAnsi="Cambria Math" w:cstheme="majorBidi"/>
                      </w:rPr>
                      <m:t>accident</m:t>
                    </m:r>
                  </m:sub>
                </m:sSub>
              </m:oMath>
            </m:oMathPara>
          </w:p>
        </w:tc>
        <w:tc>
          <w:tcPr>
            <w:tcW w:w="7149" w:type="dxa"/>
          </w:tcPr>
          <w:p w14:paraId="549C7D77" w14:textId="77777777" w:rsidR="0017370B" w:rsidRPr="0056190B" w:rsidRDefault="0017370B" w:rsidP="00FB5EF8">
            <w:pPr>
              <w:autoSpaceDE w:val="0"/>
              <w:autoSpaceDN w:val="0"/>
              <w:adjustRightInd w:val="0"/>
              <w:rPr>
                <w:rFonts w:asciiTheme="majorBidi" w:hAnsiTheme="majorBidi" w:cstheme="majorBidi"/>
              </w:rPr>
            </w:pPr>
            <w:r w:rsidRPr="0056190B">
              <w:rPr>
                <w:rFonts w:asciiTheme="majorBidi" w:hAnsiTheme="majorBidi" w:cstheme="majorBidi"/>
              </w:rPr>
              <w:t>Unit external accident cost (£ per vehicle-kilometre)</w:t>
            </w:r>
          </w:p>
        </w:tc>
      </w:tr>
      <w:tr w:rsidR="0017370B" w:rsidRPr="0056190B" w14:paraId="0193FA34" w14:textId="77777777" w:rsidTr="00FB5EF8">
        <w:tc>
          <w:tcPr>
            <w:tcW w:w="2093" w:type="dxa"/>
          </w:tcPr>
          <w:p w14:paraId="3BE92CA3" w14:textId="77777777" w:rsidR="0017370B" w:rsidRPr="0056190B" w:rsidRDefault="002E0A5E" w:rsidP="00FB5EF8">
            <w:pPr>
              <w:rPr>
                <w:rFonts w:asciiTheme="majorBidi" w:eastAsia="SimSun" w:hAnsiTheme="majorBidi" w:cstheme="majorBidi"/>
              </w:rPr>
            </w:pPr>
            <m:oMathPara>
              <m:oMath>
                <m:sSub>
                  <m:sSubPr>
                    <m:ctrlPr>
                      <w:rPr>
                        <w:rFonts w:ascii="Cambria Math" w:eastAsia="SimSun" w:hAnsi="Cambria Math" w:cstheme="majorBidi"/>
                        <w:i/>
                      </w:rPr>
                    </m:ctrlPr>
                  </m:sSubPr>
                  <m:e>
                    <m:r>
                      <w:rPr>
                        <w:rFonts w:ascii="Cambria Math" w:eastAsia="SimSun" w:hAnsi="Cambria Math" w:cstheme="majorBidi"/>
                      </w:rPr>
                      <m:t>FS</m:t>
                    </m:r>
                  </m:e>
                  <m:sub>
                    <m:r>
                      <w:rPr>
                        <w:rFonts w:ascii="Cambria Math" w:eastAsia="SimSun" w:hAnsi="Cambria Math" w:cstheme="majorBidi"/>
                      </w:rPr>
                      <m:t>max</m:t>
                    </m:r>
                  </m:sub>
                </m:sSub>
              </m:oMath>
            </m:oMathPara>
          </w:p>
        </w:tc>
        <w:tc>
          <w:tcPr>
            <w:tcW w:w="7149" w:type="dxa"/>
          </w:tcPr>
          <w:p w14:paraId="7B6234E4" w14:textId="77777777" w:rsidR="0017370B" w:rsidRPr="0056190B" w:rsidRDefault="0017370B" w:rsidP="00FB5EF8">
            <w:pPr>
              <w:autoSpaceDE w:val="0"/>
              <w:autoSpaceDN w:val="0"/>
              <w:adjustRightInd w:val="0"/>
              <w:rPr>
                <w:rFonts w:asciiTheme="majorBidi" w:hAnsiTheme="majorBidi" w:cstheme="majorBidi"/>
              </w:rPr>
            </w:pPr>
            <w:r w:rsidRPr="0056190B">
              <w:rPr>
                <w:rFonts w:asciiTheme="majorBidi" w:hAnsiTheme="majorBidi" w:cstheme="majorBidi"/>
              </w:rPr>
              <w:t xml:space="preserve">Maximum bus fleet size available for operations across the network </w:t>
            </w:r>
          </w:p>
        </w:tc>
      </w:tr>
    </w:tbl>
    <w:p w14:paraId="00B1246D" w14:textId="77777777" w:rsidR="0017370B" w:rsidRPr="0017370B" w:rsidRDefault="0017370B" w:rsidP="0017370B">
      <w:pPr>
        <w:pStyle w:val="Heading2"/>
      </w:pPr>
      <w:r>
        <w:t>2</w:t>
      </w:r>
      <w:r w:rsidRPr="00BD3548">
        <w:t>.</w:t>
      </w:r>
      <w:r>
        <w:t xml:space="preserve">2 Objective function and constraints </w:t>
      </w:r>
    </w:p>
    <w:p w14:paraId="26CF23C8" w14:textId="5C33E687" w:rsidR="0017370B" w:rsidRPr="0017370B" w:rsidRDefault="0017370B" w:rsidP="004D2D23">
      <w:pPr>
        <w:pStyle w:val="Newparagraph"/>
      </w:pPr>
      <w:r w:rsidRPr="0068770F">
        <w:t xml:space="preserve">The main objective of bus service planning is to find an equilibrium between the </w:t>
      </w:r>
      <w:proofErr w:type="gramStart"/>
      <w:r w:rsidRPr="0068770F">
        <w:t>sometimes conflicting</w:t>
      </w:r>
      <w:proofErr w:type="gramEnd"/>
      <w:r w:rsidRPr="0068770F">
        <w:t xml:space="preserve"> interests of passengers and operators. Passengers expect the bus network to be fully compatible with their demand, with features such as highly accessible stops, short travel times, and cheap and direct services. However, from the operators’ perspective, the number of routes and the level of services </w:t>
      </w:r>
      <w:proofErr w:type="gramStart"/>
      <w:r w:rsidRPr="0068770F">
        <w:t>should be kept</w:t>
      </w:r>
      <w:proofErr w:type="gramEnd"/>
      <w:r w:rsidRPr="0068770F">
        <w:t xml:space="preserve"> under a certain bound in </w:t>
      </w:r>
      <w:r w:rsidR="004D2D23">
        <w:t>order to minimise</w:t>
      </w:r>
      <w:r w:rsidRPr="0068770F">
        <w:t xml:space="preserve"> operator costs </w:t>
      </w:r>
      <w:r w:rsidR="004D2D23">
        <w:t xml:space="preserve">per passenger </w:t>
      </w:r>
      <w:r w:rsidRPr="0068770F">
        <w:t>and</w:t>
      </w:r>
      <w:r w:rsidR="004D2D23">
        <w:t xml:space="preserve"> therefore maximise</w:t>
      </w:r>
      <w:r w:rsidRPr="0068770F">
        <w:t xml:space="preserve"> profits. </w:t>
      </w:r>
      <w:r w:rsidR="004D2D23">
        <w:t>T</w:t>
      </w:r>
      <w:r w:rsidRPr="0068770F">
        <w:t xml:space="preserve">he bus </w:t>
      </w:r>
      <w:proofErr w:type="gramStart"/>
      <w:r w:rsidRPr="0068770F">
        <w:t>service planning</w:t>
      </w:r>
      <w:proofErr w:type="gramEnd"/>
      <w:r w:rsidRPr="0068770F">
        <w:t xml:space="preserve"> problem can </w:t>
      </w:r>
      <w:r w:rsidR="004D2D23">
        <w:t xml:space="preserve">therefore </w:t>
      </w:r>
      <w:r w:rsidRPr="0068770F">
        <w:t>become a c</w:t>
      </w:r>
      <w:r>
        <w:t xml:space="preserve">omplex multi-objective problem </w:t>
      </w:r>
      <w:r w:rsidR="004C58C7">
        <w:t>(Desaulniers and Hickman 2007, Guihaire and Hao 2008, Ibrra-Rojas et al.</w:t>
      </w:r>
      <w:r w:rsidRPr="0017370B">
        <w:t xml:space="preserve"> 2015).</w:t>
      </w:r>
    </w:p>
    <w:p w14:paraId="54B47882" w14:textId="66031D7B" w:rsidR="0017370B" w:rsidRPr="0068770F" w:rsidRDefault="0017370B" w:rsidP="00623D8D">
      <w:pPr>
        <w:pStyle w:val="Newparagraph"/>
      </w:pPr>
      <w:r w:rsidRPr="0017370B">
        <w:t xml:space="preserve">The objective function </w:t>
      </w:r>
      <w:r w:rsidR="004D2D23">
        <w:t xml:space="preserve">for the methodology described </w:t>
      </w:r>
      <w:r w:rsidRPr="0017370B">
        <w:t xml:space="preserve">in this paper is to minimise total social cost (TSC), which </w:t>
      </w:r>
      <w:proofErr w:type="gramStart"/>
      <w:r w:rsidRPr="0017370B">
        <w:t>is defined</w:t>
      </w:r>
      <w:proofErr w:type="gramEnd"/>
      <w:r w:rsidRPr="0017370B">
        <w:t xml:space="preserve"> as the weighted sum of total operator cost (TOC), total user cost (TUC) and total external cost (TEC). The three weights </w:t>
      </w:r>
      <m:oMath>
        <m:sSub>
          <m:sSubPr>
            <m:ctrlPr>
              <w:rPr>
                <w:rFonts w:ascii="Cambria Math" w:hAnsi="Cambria Math"/>
              </w:rPr>
            </m:ctrlPr>
          </m:sSubPr>
          <m:e>
            <m:r>
              <m:rPr>
                <m:sty m:val="p"/>
              </m:rPr>
              <w:rPr>
                <w:rFonts w:ascii="Cambria Math" w:hAnsi="Cambria Math"/>
              </w:rPr>
              <m:t>γ</m:t>
            </m:r>
          </m:e>
          <m:sub>
            <m:r>
              <m:rPr>
                <m:sty m:val="p"/>
              </m:rPr>
              <w:rPr>
                <w:rFonts w:ascii="Cambria Math" w:hAnsi="Cambria Math"/>
              </w:rPr>
              <m:t xml:space="preserve">1 , </m:t>
            </m:r>
          </m:sub>
        </m:sSub>
        <m:sSub>
          <m:sSubPr>
            <m:ctrlPr>
              <w:rPr>
                <w:rFonts w:ascii="Cambria Math" w:hAnsi="Cambria Math"/>
              </w:rPr>
            </m:ctrlPr>
          </m:sSubPr>
          <m:e>
            <m:r>
              <m:rPr>
                <m:sty m:val="p"/>
              </m:rPr>
              <w:rPr>
                <w:rFonts w:ascii="Cambria Math" w:hAnsi="Cambria Math"/>
              </w:rPr>
              <m:t>γ</m:t>
            </m:r>
          </m:e>
          <m:sub>
            <m:r>
              <m:rPr>
                <m:sty m:val="p"/>
              </m:rPr>
              <w:rPr>
                <w:rFonts w:ascii="Cambria Math" w:hAnsi="Cambria Math"/>
              </w:rPr>
              <m:t>2</m:t>
            </m:r>
          </m:sub>
        </m:sSub>
        <m:sSub>
          <m:sSubPr>
            <m:ctrlPr>
              <w:rPr>
                <w:rFonts w:ascii="Cambria Math" w:hAnsi="Cambria Math"/>
              </w:rPr>
            </m:ctrlPr>
          </m:sSubPr>
          <m:e>
            <m:r>
              <m:rPr>
                <m:sty m:val="p"/>
              </m:rPr>
              <w:rPr>
                <w:rFonts w:ascii="Cambria Math" w:hAnsi="Cambria Math"/>
              </w:rPr>
              <m:t>, γ</m:t>
            </m:r>
          </m:e>
          <m:sub>
            <m:r>
              <m:rPr>
                <m:sty m:val="p"/>
              </m:rPr>
              <w:rPr>
                <w:rFonts w:ascii="Cambria Math" w:hAnsi="Cambria Math"/>
              </w:rPr>
              <m:t>3</m:t>
            </m:r>
          </m:sub>
        </m:sSub>
      </m:oMath>
      <w:r w:rsidRPr="0017370B">
        <w:t xml:space="preserve"> are introduced to reflect the trade-offs between the</w:t>
      </w:r>
      <w:r w:rsidR="004D2D23">
        <w:t xml:space="preserve"> relative importance attached to</w:t>
      </w:r>
      <w:r w:rsidRPr="0017370B">
        <w:t xml:space="preserve"> TOC, TUC and TEC. The</w:t>
      </w:r>
      <w:r w:rsidR="004D2D23">
        <w:t xml:space="preserve"> values to attach to these weights</w:t>
      </w:r>
      <w:r w:rsidRPr="0017370B">
        <w:t xml:space="preserve"> are dependent on the planner</w:t>
      </w:r>
      <w:r w:rsidR="004D2D23">
        <w:t>’</w:t>
      </w:r>
      <w:r w:rsidRPr="0017370B">
        <w:t xml:space="preserve">s experience and expert judgement. </w:t>
      </w:r>
      <w:r w:rsidR="004D2D23">
        <w:t>Clearly, d</w:t>
      </w:r>
      <w:r w:rsidRPr="0017370B">
        <w:t xml:space="preserve">ifferent values of these weights may result in different optimal designs of the transit network. The </w:t>
      </w:r>
      <w:r w:rsidR="004D2D23">
        <w:t xml:space="preserve">total </w:t>
      </w:r>
      <w:r w:rsidRPr="0017370B">
        <w:t xml:space="preserve">operator cost </w:t>
      </w:r>
      <w:proofErr w:type="gramStart"/>
      <w:r w:rsidRPr="0017370B">
        <w:t xml:space="preserve">is </w:t>
      </w:r>
      <w:r w:rsidRPr="0068770F">
        <w:t>calculated</w:t>
      </w:r>
      <w:proofErr w:type="gramEnd"/>
      <w:r w:rsidRPr="0068770F">
        <w:t xml:space="preserve"> as a combination of total operated bus distance and total bus </w:t>
      </w:r>
      <w:r w:rsidR="004D2D23">
        <w:t>running</w:t>
      </w:r>
      <w:r w:rsidR="004D2D23" w:rsidRPr="0068770F">
        <w:t xml:space="preserve"> </w:t>
      </w:r>
      <w:r w:rsidRPr="0068770F">
        <w:t xml:space="preserve">time. </w:t>
      </w:r>
      <w:r w:rsidRPr="0017370B">
        <w:t xml:space="preserve">The </w:t>
      </w:r>
      <w:r w:rsidR="004D2D23">
        <w:t xml:space="preserve">total </w:t>
      </w:r>
      <w:r w:rsidRPr="0017370B">
        <w:t>user costs are a weighted sum of in-vehicle travel time (IVT), walk time (WKT), waiting time (WTT) and transfer penalt</w:t>
      </w:r>
      <w:r w:rsidR="004D2D23">
        <w:t>ies</w:t>
      </w:r>
      <w:r w:rsidRPr="0017370B">
        <w:t>. T</w:t>
      </w:r>
      <w:r w:rsidR="004D2D23">
        <w:t>otal</w:t>
      </w:r>
      <w:r w:rsidRPr="0017370B">
        <w:t xml:space="preserve"> external costs involve all costs related to air pollution, noise pollution, climate change and accident costs across the network. Accordingly, the mathematical formulation of the model </w:t>
      </w:r>
      <w:proofErr w:type="gramStart"/>
      <w:r w:rsidRPr="0017370B">
        <w:t>can be expressed</w:t>
      </w:r>
      <w:proofErr w:type="gramEnd"/>
      <w:r w:rsidRPr="0017370B">
        <w:t xml:space="preserve"> as follows: </w:t>
      </w:r>
    </w:p>
    <w:p w14:paraId="2A7FEB45" w14:textId="0DC6FFDB" w:rsidR="0017370B" w:rsidRPr="0017370B" w:rsidRDefault="00DE39F9" w:rsidP="00DE39F9">
      <w:pPr>
        <w:pStyle w:val="Displayedequation"/>
      </w:pPr>
      <w:r>
        <w:t>Equation</w:t>
      </w:r>
      <w:r w:rsidRPr="0017370B">
        <w:t xml:space="preserve"> </w:t>
      </w:r>
      <w:r w:rsidR="0017370B" w:rsidRPr="0017370B">
        <w:t>(1)</w:t>
      </w:r>
    </w:p>
    <w:p w14:paraId="04604ED9" w14:textId="77777777" w:rsidR="0017370B" w:rsidRPr="0017370B" w:rsidRDefault="0017370B" w:rsidP="0017370B">
      <w:pPr>
        <w:autoSpaceDE w:val="0"/>
        <w:autoSpaceDN w:val="0"/>
        <w:adjustRightInd w:val="0"/>
        <w:spacing w:line="240" w:lineRule="auto"/>
        <w:rPr>
          <w:rFonts w:asciiTheme="majorBidi" w:hAnsiTheme="majorBidi" w:cstheme="majorBidi"/>
        </w:rPr>
      </w:pPr>
      <w:r w:rsidRPr="0017370B">
        <w:rPr>
          <w:rFonts w:asciiTheme="majorBidi" w:hAnsiTheme="majorBidi" w:cstheme="majorBidi"/>
        </w:rPr>
        <w:t xml:space="preserve">Where </w:t>
      </w:r>
    </w:p>
    <w:p w14:paraId="7DBDA010" w14:textId="00D67EEE" w:rsidR="0017370B" w:rsidRPr="0017370B" w:rsidRDefault="00DE39F9" w:rsidP="00DE39F9">
      <w:pPr>
        <w:pStyle w:val="Displayedequation"/>
        <w:rPr>
          <w:rFonts w:asciiTheme="majorBidi" w:hAnsiTheme="majorBidi" w:cstheme="majorBidi"/>
        </w:rPr>
      </w:pPr>
      <w:r>
        <w:t>Equation</w:t>
      </w:r>
      <w:r w:rsidRPr="0017370B">
        <w:rPr>
          <w:rFonts w:asciiTheme="majorBidi" w:hAnsiTheme="majorBidi" w:cstheme="majorBidi"/>
        </w:rPr>
        <w:t xml:space="preserve"> </w:t>
      </w:r>
      <w:r w:rsidR="0017370B" w:rsidRPr="0017370B">
        <w:rPr>
          <w:rFonts w:asciiTheme="majorBidi" w:hAnsiTheme="majorBidi" w:cstheme="majorBidi"/>
        </w:rPr>
        <w:t>(2)</w:t>
      </w:r>
    </w:p>
    <w:p w14:paraId="50DAA410" w14:textId="53F2A756" w:rsidR="0017370B" w:rsidRDefault="00DE39F9" w:rsidP="00DE39F9">
      <w:pPr>
        <w:pStyle w:val="Displayedequation"/>
        <w:rPr>
          <w:rFonts w:asciiTheme="majorBidi" w:hAnsiTheme="majorBidi" w:cstheme="majorBidi"/>
        </w:rPr>
      </w:pPr>
      <w:r>
        <w:t>Equation</w:t>
      </w:r>
      <w:r w:rsidRPr="0017370B">
        <w:rPr>
          <w:rFonts w:asciiTheme="majorBidi" w:hAnsiTheme="majorBidi" w:cstheme="majorBidi"/>
        </w:rPr>
        <w:t xml:space="preserve"> </w:t>
      </w:r>
      <w:r w:rsidR="0017370B" w:rsidRPr="0017370B">
        <w:rPr>
          <w:rFonts w:asciiTheme="majorBidi" w:hAnsiTheme="majorBidi" w:cstheme="majorBidi"/>
        </w:rPr>
        <w:t>(3)</w:t>
      </w:r>
    </w:p>
    <w:p w14:paraId="76E7F267" w14:textId="42C674D7" w:rsidR="0017370B" w:rsidRPr="0017370B" w:rsidRDefault="00DE39F9" w:rsidP="00DE39F9">
      <w:pPr>
        <w:pStyle w:val="Displayedequation"/>
        <w:rPr>
          <w:rFonts w:asciiTheme="majorBidi" w:hAnsiTheme="majorBidi" w:cstheme="majorBidi"/>
        </w:rPr>
      </w:pPr>
      <w:r>
        <w:t>Equation</w:t>
      </w:r>
      <w:r w:rsidRPr="0017370B">
        <w:rPr>
          <w:rFonts w:asciiTheme="majorBidi" w:hAnsiTheme="majorBidi" w:cstheme="majorBidi"/>
        </w:rPr>
        <w:t xml:space="preserve"> </w:t>
      </w:r>
      <w:r w:rsidR="0017370B" w:rsidRPr="0017370B">
        <w:rPr>
          <w:rFonts w:asciiTheme="majorBidi" w:hAnsiTheme="majorBidi" w:cstheme="majorBidi"/>
        </w:rPr>
        <w:t>(4)</w:t>
      </w:r>
    </w:p>
    <w:p w14:paraId="5629E9F4" w14:textId="77777777" w:rsidR="0017370B" w:rsidRPr="0017370B" w:rsidRDefault="0017370B" w:rsidP="0017370B">
      <w:pPr>
        <w:rPr>
          <w:rFonts w:asciiTheme="majorBidi" w:hAnsiTheme="majorBidi" w:cstheme="majorBidi"/>
        </w:rPr>
      </w:pPr>
      <w:r w:rsidRPr="0017370B">
        <w:rPr>
          <w:rFonts w:asciiTheme="majorBidi" w:hAnsiTheme="majorBidi" w:cstheme="majorBidi"/>
        </w:rPr>
        <w:t xml:space="preserve">Subject to </w:t>
      </w:r>
    </w:p>
    <w:p w14:paraId="21011F97" w14:textId="068D0773" w:rsidR="0017370B" w:rsidRPr="0017370B" w:rsidRDefault="00DE39F9" w:rsidP="00DE39F9">
      <w:pPr>
        <w:pStyle w:val="Displayedequation"/>
        <w:rPr>
          <w:rFonts w:asciiTheme="majorBidi" w:hAnsiTheme="majorBidi" w:cstheme="majorBidi"/>
        </w:rPr>
      </w:pPr>
      <w:r>
        <w:t>Equation</w:t>
      </w:r>
      <w:r w:rsidRPr="0017370B">
        <w:rPr>
          <w:rFonts w:asciiTheme="majorBidi" w:hAnsiTheme="majorBidi" w:cstheme="majorBidi"/>
        </w:rPr>
        <w:t xml:space="preserve"> </w:t>
      </w:r>
      <w:r w:rsidR="0017370B" w:rsidRPr="0017370B">
        <w:rPr>
          <w:rFonts w:asciiTheme="majorBidi" w:hAnsiTheme="majorBidi" w:cstheme="majorBidi"/>
        </w:rPr>
        <w:t>(5)</w:t>
      </w:r>
    </w:p>
    <w:p w14:paraId="4325B78D" w14:textId="6B63771B" w:rsidR="0017370B" w:rsidRPr="0017370B" w:rsidRDefault="00DE39F9" w:rsidP="00DE39F9">
      <w:pPr>
        <w:pStyle w:val="Displayedequation"/>
        <w:rPr>
          <w:rFonts w:asciiTheme="majorBidi" w:hAnsiTheme="majorBidi" w:cstheme="majorBidi"/>
        </w:rPr>
      </w:pPr>
      <w:r>
        <w:t>Equation</w:t>
      </w:r>
      <w:r w:rsidRPr="0017370B">
        <w:rPr>
          <w:rFonts w:asciiTheme="majorBidi" w:hAnsiTheme="majorBidi" w:cstheme="majorBidi"/>
        </w:rPr>
        <w:t xml:space="preserve"> </w:t>
      </w:r>
      <w:r w:rsidR="0017370B" w:rsidRPr="0017370B">
        <w:rPr>
          <w:rFonts w:asciiTheme="majorBidi" w:hAnsiTheme="majorBidi" w:cstheme="majorBidi"/>
        </w:rPr>
        <w:t>(6)</w:t>
      </w:r>
    </w:p>
    <w:p w14:paraId="18FF71F1" w14:textId="7C23277F" w:rsidR="0017370B" w:rsidRPr="0017370B" w:rsidRDefault="00DE39F9" w:rsidP="00DE39F9">
      <w:pPr>
        <w:pStyle w:val="Displayedequation"/>
        <w:rPr>
          <w:rFonts w:asciiTheme="majorBidi" w:hAnsiTheme="majorBidi" w:cstheme="majorBidi"/>
        </w:rPr>
      </w:pPr>
      <w:r>
        <w:t>Equation</w:t>
      </w:r>
      <w:r w:rsidRPr="0017370B">
        <w:rPr>
          <w:rFonts w:asciiTheme="majorBidi" w:hAnsiTheme="majorBidi" w:cstheme="majorBidi"/>
        </w:rPr>
        <w:t xml:space="preserve"> </w:t>
      </w:r>
      <w:r w:rsidR="0017370B" w:rsidRPr="0017370B">
        <w:rPr>
          <w:rFonts w:asciiTheme="majorBidi" w:hAnsiTheme="majorBidi" w:cstheme="majorBidi"/>
        </w:rPr>
        <w:t>(7)</w:t>
      </w:r>
    </w:p>
    <w:p w14:paraId="1AC2FC9A" w14:textId="4A375810" w:rsidR="0017370B" w:rsidRDefault="0017370B" w:rsidP="00AF5EF1">
      <w:pPr>
        <w:pStyle w:val="Newparagraph"/>
      </w:pPr>
      <w:r w:rsidRPr="0068770F">
        <w:t>There are three</w:t>
      </w:r>
      <w:r>
        <w:t xml:space="preserve"> main</w:t>
      </w:r>
      <w:r w:rsidRPr="0068770F">
        <w:t xml:space="preserve"> constraints involved in this model. The first constraint concerns frequency feasibility, setting the minimum and maximum frequencies</w:t>
      </w:r>
      <w:r w:rsidR="00AF5EF1">
        <w:t xml:space="preserve"> permitted</w:t>
      </w:r>
      <w:r w:rsidRPr="0068770F">
        <w:t xml:space="preserve"> for each candidate bus route. The second is the fleet size constraint, which guarantees that the optimal network never uses more vehicles than </w:t>
      </w:r>
      <w:r>
        <w:t xml:space="preserve">are </w:t>
      </w:r>
      <w:r w:rsidRPr="0068770F">
        <w:t>available</w:t>
      </w:r>
      <w:r>
        <w:t xml:space="preserve"> to operate the base network</w:t>
      </w:r>
      <w:r w:rsidRPr="0068770F">
        <w:t>.</w:t>
      </w:r>
      <w:r w:rsidR="00AF5EF1">
        <w:t xml:space="preserve"> Obviously, this could be adjusted to allow a larger (or smaller) fleet size than the base case depending on particular local circumstances and funding considerations.</w:t>
      </w:r>
      <w:r w:rsidRPr="0068770F">
        <w:t xml:space="preserve"> The last </w:t>
      </w:r>
      <w:r>
        <w:t>constraint</w:t>
      </w:r>
      <w:r w:rsidRPr="0068770F">
        <w:t xml:space="preserve"> is to re</w:t>
      </w:r>
      <w:r>
        <w:t>t</w:t>
      </w:r>
      <w:r w:rsidRPr="0068770F">
        <w:t>ain the service levels to nearby towns and cities at current levels, thus avoid</w:t>
      </w:r>
      <w:r>
        <w:t>ing the</w:t>
      </w:r>
      <w:r w:rsidRPr="0068770F">
        <w:t xml:space="preserve"> cross-boundary problem</w:t>
      </w:r>
      <w:r w:rsidR="00AF5EF1">
        <w:t xml:space="preserve"> where optimising a network in one area might have a detrimental impact on the network provided in an adjacent area</w:t>
      </w:r>
      <w:r w:rsidRPr="0068770F">
        <w:t xml:space="preserve">. </w:t>
      </w:r>
    </w:p>
    <w:p w14:paraId="45614F73" w14:textId="77777777" w:rsidR="0017370B" w:rsidRPr="0017370B" w:rsidRDefault="0017370B" w:rsidP="0017370B">
      <w:pPr>
        <w:pStyle w:val="Heading1"/>
      </w:pPr>
      <w:r w:rsidRPr="0017370B">
        <w:t xml:space="preserve">3. Methodology </w:t>
      </w:r>
    </w:p>
    <w:p w14:paraId="33994367" w14:textId="647716D5" w:rsidR="005A5CE3" w:rsidRPr="0017370B" w:rsidRDefault="0017370B" w:rsidP="00983C84">
      <w:pPr>
        <w:pStyle w:val="Newparagraph"/>
      </w:pPr>
      <w:r w:rsidRPr="0017370B">
        <w:t xml:space="preserve">The methodology of bus network improvement, including both route design and frequency setting, consists of three main components: </w:t>
      </w:r>
      <w:r w:rsidR="00AF5EF1">
        <w:t xml:space="preserve">the </w:t>
      </w:r>
      <w:r w:rsidRPr="0017370B">
        <w:t xml:space="preserve">candidate route set generation procedure, </w:t>
      </w:r>
      <w:r w:rsidR="00AF5EF1">
        <w:t xml:space="preserve">the </w:t>
      </w:r>
      <w:r w:rsidRPr="0017370B">
        <w:t xml:space="preserve">solution evaluation procedure and </w:t>
      </w:r>
      <w:r w:rsidR="00AF5EF1">
        <w:t xml:space="preserve">the </w:t>
      </w:r>
      <w:r w:rsidRPr="0017370B">
        <w:t xml:space="preserve">optimal solution search procedure (see Figure 1). In the candidate route set generation procedure, all candidate routes </w:t>
      </w:r>
      <w:proofErr w:type="gramStart"/>
      <w:r w:rsidRPr="0017370B">
        <w:t>are created</w:t>
      </w:r>
      <w:proofErr w:type="gramEnd"/>
      <w:r w:rsidRPr="0017370B">
        <w:t xml:space="preserve"> with</w:t>
      </w:r>
      <w:r w:rsidR="00AF5EF1">
        <w:t xml:space="preserve"> a set of possible</w:t>
      </w:r>
      <w:r w:rsidRPr="0017370B">
        <w:t xml:space="preserve"> frequencies</w:t>
      </w:r>
      <w:r w:rsidR="00AF5EF1">
        <w:t xml:space="preserve"> associated with each one</w:t>
      </w:r>
      <w:r w:rsidRPr="0017370B">
        <w:t xml:space="preserve">. </w:t>
      </w:r>
      <w:r w:rsidR="00AF5EF1">
        <w:t>Next, t</w:t>
      </w:r>
      <w:r w:rsidRPr="0017370B">
        <w:t>hen optimal solution search procedure select</w:t>
      </w:r>
      <w:r w:rsidR="00AF5EF1">
        <w:t>s</w:t>
      </w:r>
      <w:r w:rsidRPr="0017370B">
        <w:t xml:space="preserve"> a</w:t>
      </w:r>
      <w:r w:rsidR="00AF5EF1">
        <w:t xml:space="preserve"> possible</w:t>
      </w:r>
      <w:r w:rsidRPr="0017370B">
        <w:t xml:space="preserve"> optimum set of routes (</w:t>
      </w:r>
      <w:r w:rsidR="00AF5EF1">
        <w:t>potential</w:t>
      </w:r>
      <w:r w:rsidR="00AF5EF1" w:rsidRPr="0017370B">
        <w:t xml:space="preserve"> </w:t>
      </w:r>
      <w:r w:rsidRPr="0017370B">
        <w:t xml:space="preserve">solution) from the candidate route set. Each </w:t>
      </w:r>
      <w:r w:rsidR="00AF5EF1">
        <w:t>potential</w:t>
      </w:r>
      <w:r w:rsidR="00AF5EF1" w:rsidRPr="0017370B">
        <w:t xml:space="preserve"> </w:t>
      </w:r>
      <w:r w:rsidRPr="0017370B">
        <w:t xml:space="preserve">solution is </w:t>
      </w:r>
      <w:r w:rsidR="00AF5EF1">
        <w:t xml:space="preserve">then </w:t>
      </w:r>
      <w:r w:rsidRPr="0017370B">
        <w:t xml:space="preserve">evaluated by the objective function (TSC) in </w:t>
      </w:r>
      <w:r w:rsidR="00AF5EF1">
        <w:t xml:space="preserve">the </w:t>
      </w:r>
      <w:r w:rsidRPr="0017370B">
        <w:t>solution evaluation procedure</w:t>
      </w:r>
      <w:r w:rsidR="00AF5EF1">
        <w:t xml:space="preserve">, with iteration then occurring between this and the solution search procedure until a pre-specified </w:t>
      </w:r>
      <w:proofErr w:type="gramStart"/>
      <w:r w:rsidR="00AF5EF1">
        <w:t>time period</w:t>
      </w:r>
      <w:proofErr w:type="gramEnd"/>
      <w:r w:rsidR="00AF5EF1">
        <w:t xml:space="preserve"> or number of solutions has elapsed</w:t>
      </w:r>
      <w:r w:rsidRPr="0017370B">
        <w:t xml:space="preserve">. </w:t>
      </w:r>
      <w:r w:rsidR="002F4BE4">
        <w:t xml:space="preserve">The final output of this </w:t>
      </w:r>
      <w:r w:rsidR="00022FF5">
        <w:t>optimisation</w:t>
      </w:r>
      <w:r w:rsidR="002F4BE4">
        <w:t xml:space="preserve"> model is </w:t>
      </w:r>
      <w:r w:rsidR="00AF5EF1">
        <w:t xml:space="preserve">then </w:t>
      </w:r>
      <w:r w:rsidR="002F4BE4">
        <w:t xml:space="preserve">an optimal bus network </w:t>
      </w:r>
      <w:r w:rsidR="00AF5EF1">
        <w:t xml:space="preserve">as </w:t>
      </w:r>
      <w:r w:rsidR="002F4BE4">
        <w:t>measured by TSC, consist</w:t>
      </w:r>
      <w:r w:rsidR="00AF5EF1">
        <w:t>ing</w:t>
      </w:r>
      <w:r w:rsidR="002F4BE4">
        <w:t xml:space="preserve"> of a set of bus routes with associated frequencies. The </w:t>
      </w:r>
      <w:r w:rsidR="00AF5EF1">
        <w:t xml:space="preserve">stages </w:t>
      </w:r>
      <w:r w:rsidR="002F4BE4">
        <w:t>of</w:t>
      </w:r>
      <w:r w:rsidR="00AF5EF1">
        <w:t xml:space="preserve"> the</w:t>
      </w:r>
      <w:r w:rsidR="002F4BE4">
        <w:t xml:space="preserve"> </w:t>
      </w:r>
      <w:r w:rsidR="00B43F60">
        <w:t xml:space="preserve">methodology </w:t>
      </w:r>
      <w:proofErr w:type="gramStart"/>
      <w:r w:rsidR="00B43F60">
        <w:t xml:space="preserve">are </w:t>
      </w:r>
      <w:r w:rsidR="00AF5EF1">
        <w:t>described</w:t>
      </w:r>
      <w:proofErr w:type="gramEnd"/>
      <w:r w:rsidR="00AF5EF1">
        <w:t xml:space="preserve"> </w:t>
      </w:r>
      <w:r w:rsidR="00B43F60">
        <w:t xml:space="preserve">in </w:t>
      </w:r>
      <w:r w:rsidR="00AF5EF1">
        <w:t xml:space="preserve">more detail in the </w:t>
      </w:r>
      <w:r w:rsidR="00B43F60">
        <w:t xml:space="preserve">following sections. </w:t>
      </w:r>
    </w:p>
    <w:p w14:paraId="518D4750" w14:textId="77777777" w:rsidR="0017370B" w:rsidRPr="0017370B" w:rsidRDefault="0017370B" w:rsidP="0017370B">
      <w:pPr>
        <w:pStyle w:val="Heading2"/>
      </w:pPr>
      <w:r w:rsidRPr="0017370B">
        <w:t>3.1 Candidate route set generation procedure</w:t>
      </w:r>
    </w:p>
    <w:p w14:paraId="33F5A5F3" w14:textId="0019C00F" w:rsidR="0017370B" w:rsidRPr="0017370B" w:rsidRDefault="0017370B" w:rsidP="0054360D">
      <w:pPr>
        <w:pStyle w:val="Newparagraph"/>
      </w:pPr>
      <w:r w:rsidRPr="0017370B">
        <w:t xml:space="preserve">In the candidate route set generation procedure, </w:t>
      </w:r>
      <w:proofErr w:type="gramStart"/>
      <w:r w:rsidRPr="0017370B">
        <w:t>candidate routes are generated by the k-shortest path algorithm for each terminal pair in the possible terminal set</w:t>
      </w:r>
      <w:proofErr w:type="gramEnd"/>
      <w:r w:rsidRPr="0017370B">
        <w:t xml:space="preserve">. The candidate terminal set includes the terminals of the current bus network, as well as </w:t>
      </w:r>
      <w:r w:rsidR="00D30A45">
        <w:t>all</w:t>
      </w:r>
      <w:r w:rsidR="00D30A45" w:rsidRPr="0017370B">
        <w:t xml:space="preserve"> </w:t>
      </w:r>
      <w:r w:rsidRPr="0017370B">
        <w:t xml:space="preserve">other possible terminals, </w:t>
      </w:r>
      <w:r w:rsidR="00D30A45">
        <w:t xml:space="preserve">which are </w:t>
      </w:r>
      <w:r w:rsidRPr="0017370B">
        <w:t>defined as bus stops located within the maximum walking distance (</w:t>
      </w:r>
      <w:r w:rsidR="00CE1E1F">
        <w:t>based on</w:t>
      </w:r>
      <w:r w:rsidR="00B67213">
        <w:t xml:space="preserve"> WebTAG</w:t>
      </w:r>
      <w:r w:rsidR="00AC0DFB">
        <w:t xml:space="preserve"> (</w:t>
      </w:r>
      <w:r w:rsidR="0054360D" w:rsidRPr="0017370B">
        <w:t>Department for Transport</w:t>
      </w:r>
      <w:r w:rsidR="0054360D">
        <w:t xml:space="preserve"> </w:t>
      </w:r>
      <w:r w:rsidR="00AC0DFB">
        <w:t>2014</w:t>
      </w:r>
      <w:r w:rsidR="00CF0174">
        <w:t>a</w:t>
      </w:r>
      <w:r w:rsidR="00AC0DFB">
        <w:t>)</w:t>
      </w:r>
      <w:r w:rsidR="00CE1E1F">
        <w:t xml:space="preserve"> advice</w:t>
      </w:r>
      <w:r w:rsidR="00B67213">
        <w:t xml:space="preserve">, </w:t>
      </w:r>
      <w:r w:rsidR="00CE1E1F">
        <w:t xml:space="preserve">a </w:t>
      </w:r>
      <w:r w:rsidR="00AC0DFB">
        <w:t xml:space="preserve">value of </w:t>
      </w:r>
      <w:r w:rsidRPr="0017370B">
        <w:t>1</w:t>
      </w:r>
      <w:r w:rsidR="00D30A45">
        <w:t>,</w:t>
      </w:r>
      <w:r w:rsidRPr="0017370B">
        <w:t>200 metres</w:t>
      </w:r>
      <w:r w:rsidR="00AC0DFB">
        <w:t xml:space="preserve"> was </w:t>
      </w:r>
      <w:r w:rsidR="00CE1E1F">
        <w:t>us</w:t>
      </w:r>
      <w:r w:rsidR="00AC0DFB">
        <w:t>ed in this model</w:t>
      </w:r>
      <w:r w:rsidRPr="0017370B">
        <w:t xml:space="preserve">) of the main service centres within the city boundary. Eight categories of main service centres </w:t>
      </w:r>
      <w:proofErr w:type="gramStart"/>
      <w:r w:rsidRPr="0017370B">
        <w:t>are selected</w:t>
      </w:r>
      <w:proofErr w:type="gramEnd"/>
      <w:r w:rsidRPr="0017370B">
        <w:t>; they are railway stations, ferry stations, airport, hospitals, universities and colleges, employment centres,</w:t>
      </w:r>
      <w:r w:rsidR="0054360D">
        <w:t xml:space="preserve"> </w:t>
      </w:r>
      <w:r w:rsidRPr="0017370B">
        <w:t xml:space="preserve">city/town/district centres, and main open spaces. In total, there are 293 stops selected as the candidate terminals in </w:t>
      </w:r>
      <w:r w:rsidR="00D30A45">
        <w:t>the Southampton implementation of the</w:t>
      </w:r>
      <w:r w:rsidR="00D30A45" w:rsidRPr="0017370B">
        <w:t xml:space="preserve"> </w:t>
      </w:r>
      <w:r w:rsidRPr="0017370B">
        <w:t xml:space="preserve">model, and any two of them </w:t>
      </w:r>
      <w:proofErr w:type="gramStart"/>
      <w:r w:rsidRPr="0017370B">
        <w:t>can be grouped</w:t>
      </w:r>
      <w:proofErr w:type="gramEnd"/>
      <w:r w:rsidRPr="0017370B">
        <w:t xml:space="preserve"> as </w:t>
      </w:r>
      <w:r w:rsidR="00D30A45">
        <w:t>a</w:t>
      </w:r>
      <w:r w:rsidR="00D30A45" w:rsidRPr="0017370B">
        <w:t xml:space="preserve"> </w:t>
      </w:r>
      <w:r w:rsidRPr="0017370B">
        <w:t xml:space="preserve">candidate terminal pair, resulting in 41,243 terminal pairs </w:t>
      </w:r>
      <w:r w:rsidR="00D30A45">
        <w:t xml:space="preserve">(routes) </w:t>
      </w:r>
      <w:r w:rsidRPr="0017370B">
        <w:t>in the possible terminal set. When the candidate route set is created, frequencies are set for each candidate route in the set, where the possible frequency set</w:t>
      </w:r>
      <w:r w:rsidR="00D30A45">
        <w:t xml:space="preserve"> expressed as number of buses per hour in each direction</w:t>
      </w:r>
      <w:r w:rsidRPr="0017370B">
        <w:t xml:space="preserve"> is f = {0.5, 1, 2, 3, 4, 5, 6, 7, 8, 9, 10, 11, 12}.</w:t>
      </w:r>
    </w:p>
    <w:p w14:paraId="71EC259A" w14:textId="77777777" w:rsidR="0017370B" w:rsidRPr="0017370B" w:rsidRDefault="0017370B" w:rsidP="0017370B">
      <w:pPr>
        <w:pStyle w:val="Heading2"/>
      </w:pPr>
      <w:r w:rsidRPr="0017370B">
        <w:t>3.2 Solution evaluation procedure</w:t>
      </w:r>
    </w:p>
    <w:p w14:paraId="7EA684C5" w14:textId="14028B42" w:rsidR="00D30A45" w:rsidRDefault="00D30A45" w:rsidP="00AE2D2F">
      <w:pPr>
        <w:pStyle w:val="Newparagraph"/>
      </w:pPr>
      <w:r>
        <w:t xml:space="preserve">In this </w:t>
      </w:r>
      <w:proofErr w:type="gramStart"/>
      <w:r>
        <w:t>procedure</w:t>
      </w:r>
      <w:proofErr w:type="gramEnd"/>
      <w:r>
        <w:t xml:space="preserve"> e</w:t>
      </w:r>
      <w:r w:rsidR="0017370B" w:rsidRPr="0017370B">
        <w:t xml:space="preserve">ach proposed solution network is evaluated by the objective function (TSC). </w:t>
      </w:r>
      <w:r>
        <w:t xml:space="preserve">As set out above, </w:t>
      </w:r>
      <w:r w:rsidR="0017370B" w:rsidRPr="0017370B">
        <w:t xml:space="preserve">TSC consists of three components: TOC, TEC and TUC. Once the proposed solution network </w:t>
      </w:r>
      <w:proofErr w:type="gramStart"/>
      <w:r w:rsidR="0017370B" w:rsidRPr="0017370B">
        <w:t>is generated</w:t>
      </w:r>
      <w:proofErr w:type="gramEnd"/>
      <w:r w:rsidR="0017370B" w:rsidRPr="0017370B">
        <w:t>, the associated candidate bus routes and related frequencies are determine</w:t>
      </w:r>
      <w:r w:rsidR="00CE1E1F">
        <w:t>d</w:t>
      </w:r>
      <w:r>
        <w:t>, allowing</w:t>
      </w:r>
      <w:r w:rsidR="0017370B" w:rsidRPr="0017370B">
        <w:t xml:space="preserve"> the TOC and TEC </w:t>
      </w:r>
      <w:r>
        <w:t>to</w:t>
      </w:r>
      <w:r w:rsidRPr="0017370B">
        <w:t xml:space="preserve"> </w:t>
      </w:r>
      <w:r w:rsidR="0017370B" w:rsidRPr="0017370B">
        <w:t>be calculated</w:t>
      </w:r>
      <w:r>
        <w:t xml:space="preserve"> based on vehicle mileage</w:t>
      </w:r>
      <w:r w:rsidR="0017370B" w:rsidRPr="0017370B">
        <w:t xml:space="preserve">. </w:t>
      </w:r>
      <w:r>
        <w:t xml:space="preserve">The </w:t>
      </w:r>
      <w:r w:rsidR="0017370B" w:rsidRPr="0017370B">
        <w:t xml:space="preserve">TUC </w:t>
      </w:r>
      <w:r>
        <w:t xml:space="preserve">for the solution network </w:t>
      </w:r>
      <w:proofErr w:type="gramStart"/>
      <w:r>
        <w:t>are</w:t>
      </w:r>
      <w:r w:rsidR="0017370B" w:rsidRPr="0017370B">
        <w:t xml:space="preserve"> calculated</w:t>
      </w:r>
      <w:proofErr w:type="gramEnd"/>
      <w:r w:rsidR="0017370B" w:rsidRPr="0017370B">
        <w:t xml:space="preserve"> by </w:t>
      </w:r>
      <w:r>
        <w:t>summing</w:t>
      </w:r>
      <w:r w:rsidRPr="0017370B">
        <w:t xml:space="preserve"> </w:t>
      </w:r>
      <w:r w:rsidR="0017370B" w:rsidRPr="0017370B">
        <w:t>the travel cost of each OD pair</w:t>
      </w:r>
      <w:r>
        <w:t>, weighted based on the</w:t>
      </w:r>
      <w:r w:rsidR="0017370B" w:rsidRPr="0017370B">
        <w:t xml:space="preserve"> destination type</w:t>
      </w:r>
      <w:r>
        <w:t>s served by each route</w:t>
      </w:r>
      <w:r w:rsidR="0017370B" w:rsidRPr="0017370B">
        <w:t xml:space="preserve">. The </w:t>
      </w:r>
      <w:r>
        <w:t xml:space="preserve">set of </w:t>
      </w:r>
      <w:r w:rsidR="0017370B" w:rsidRPr="0017370B">
        <w:t xml:space="preserve">possible OD pairs </w:t>
      </w:r>
      <w:proofErr w:type="gramStart"/>
      <w:r>
        <w:t>is</w:t>
      </w:r>
      <w:r w:rsidRPr="0017370B">
        <w:t xml:space="preserve"> </w:t>
      </w:r>
      <w:r w:rsidR="0017370B" w:rsidRPr="0017370B">
        <w:t>generated</w:t>
      </w:r>
      <w:proofErr w:type="gramEnd"/>
      <w:r w:rsidR="0017370B" w:rsidRPr="0017370B">
        <w:t xml:space="preserve"> by matching each possible origin point with each possible destination point. The population centroids of six/seven digit postcode units </w:t>
      </w:r>
      <w:r>
        <w:t>(which typically contain</w:t>
      </w:r>
      <w:r w:rsidR="00CE1E1F">
        <w:t xml:space="preserve"> </w:t>
      </w:r>
      <w:r w:rsidR="00AE2D2F">
        <w:t>10</w:t>
      </w:r>
      <w:r>
        <w:t xml:space="preserve"> households) </w:t>
      </w:r>
      <w:r w:rsidR="0017370B" w:rsidRPr="0017370B">
        <w:t>are defined as the set of possible origin points. Key services, including educational establishments, health services (GPs), employment centres, city/town/district centres and open spaces, are defined as possible destination points</w:t>
      </w:r>
      <w:r>
        <w:t xml:space="preserve">, with each type of service given a weight based on data on the frequency of different trip purposes from </w:t>
      </w:r>
      <w:r w:rsidR="0017370B" w:rsidRPr="00A614C9">
        <w:rPr>
          <w:i/>
          <w:iCs/>
        </w:rPr>
        <w:t>Transport Statistics Great Britain 2014</w:t>
      </w:r>
      <w:r w:rsidR="0017370B" w:rsidRPr="0017370B">
        <w:t xml:space="preserve"> </w:t>
      </w:r>
      <w:r>
        <w:t>(</w:t>
      </w:r>
      <w:r w:rsidR="0017370B" w:rsidRPr="0017370B">
        <w:t>Department for Transport</w:t>
      </w:r>
      <w:r>
        <w:t xml:space="preserve"> 2014</w:t>
      </w:r>
      <w:r w:rsidR="00CF0174">
        <w:t>b</w:t>
      </w:r>
      <w:r>
        <w:t>)</w:t>
      </w:r>
      <w:r w:rsidR="0017370B" w:rsidRPr="0017370B">
        <w:t xml:space="preserve">. </w:t>
      </w:r>
      <w:r>
        <w:t>The weights used are as follows:</w:t>
      </w:r>
    </w:p>
    <w:p w14:paraId="65B88664" w14:textId="436DC639" w:rsidR="00D30A45" w:rsidRDefault="00D30A45" w:rsidP="00A614C9">
      <w:pPr>
        <w:pStyle w:val="Newparagraph"/>
        <w:numPr>
          <w:ilvl w:val="0"/>
          <w:numId w:val="10"/>
        </w:numPr>
      </w:pPr>
      <w:r>
        <w:t>E</w:t>
      </w:r>
      <w:r w:rsidR="0017370B" w:rsidRPr="0017370B">
        <w:t>ducational establishments</w:t>
      </w:r>
      <w:r>
        <w:t xml:space="preserve"> - </w:t>
      </w:r>
      <w:r w:rsidR="0017370B" w:rsidRPr="0017370B">
        <w:t>0.21</w:t>
      </w:r>
    </w:p>
    <w:p w14:paraId="2311DE85" w14:textId="77777777" w:rsidR="00D30A45" w:rsidRDefault="00D30A45" w:rsidP="00A614C9">
      <w:pPr>
        <w:pStyle w:val="Newparagraph"/>
        <w:numPr>
          <w:ilvl w:val="0"/>
          <w:numId w:val="10"/>
        </w:numPr>
      </w:pPr>
      <w:r>
        <w:t>H</w:t>
      </w:r>
      <w:r w:rsidR="0017370B" w:rsidRPr="0017370B">
        <w:t>ealth service</w:t>
      </w:r>
      <w:r>
        <w:t>s – 0.10</w:t>
      </w:r>
    </w:p>
    <w:p w14:paraId="33BD16DB" w14:textId="54010355" w:rsidR="00D30A45" w:rsidRDefault="00D30A45" w:rsidP="00A614C9">
      <w:pPr>
        <w:pStyle w:val="Newparagraph"/>
        <w:numPr>
          <w:ilvl w:val="0"/>
          <w:numId w:val="10"/>
        </w:numPr>
      </w:pPr>
      <w:r>
        <w:t>O</w:t>
      </w:r>
      <w:r w:rsidR="0017370B" w:rsidRPr="0017370B">
        <w:t>pen space</w:t>
      </w:r>
      <w:r>
        <w:t xml:space="preserve">s - </w:t>
      </w:r>
      <w:r w:rsidR="0017370B" w:rsidRPr="0017370B">
        <w:t>0.10</w:t>
      </w:r>
    </w:p>
    <w:p w14:paraId="722EDDBD" w14:textId="344F3443" w:rsidR="00D30A45" w:rsidRDefault="00D30A45" w:rsidP="00A614C9">
      <w:pPr>
        <w:pStyle w:val="Newparagraph"/>
        <w:numPr>
          <w:ilvl w:val="0"/>
          <w:numId w:val="10"/>
        </w:numPr>
      </w:pPr>
      <w:r>
        <w:t>E</w:t>
      </w:r>
      <w:r w:rsidR="0017370B" w:rsidRPr="0017370B">
        <w:t>mployment centres</w:t>
      </w:r>
      <w:r>
        <w:t xml:space="preserve"> - </w:t>
      </w:r>
      <w:r w:rsidR="0017370B" w:rsidRPr="0017370B">
        <w:t>0.19</w:t>
      </w:r>
    </w:p>
    <w:p w14:paraId="12AD306D" w14:textId="2E3550E1" w:rsidR="00D30A45" w:rsidRDefault="00D30A45" w:rsidP="00A614C9">
      <w:pPr>
        <w:pStyle w:val="Newparagraph"/>
        <w:numPr>
          <w:ilvl w:val="0"/>
          <w:numId w:val="10"/>
        </w:numPr>
      </w:pPr>
      <w:r>
        <w:t>C</w:t>
      </w:r>
      <w:r w:rsidR="0017370B" w:rsidRPr="0017370B">
        <w:t>ity/town/district centres</w:t>
      </w:r>
      <w:r>
        <w:t xml:space="preserve"> -</w:t>
      </w:r>
      <w:r w:rsidR="0017370B" w:rsidRPr="0017370B">
        <w:t xml:space="preserve"> 0.40. </w:t>
      </w:r>
    </w:p>
    <w:p w14:paraId="0B6B8C58" w14:textId="1C3DF07D" w:rsidR="0017370B" w:rsidRPr="0017370B" w:rsidRDefault="00D30A45" w:rsidP="00D30A45">
      <w:pPr>
        <w:pStyle w:val="Newparagraph"/>
      </w:pPr>
      <w:r>
        <w:t xml:space="preserve">For the Southampton area, these definitions generated a total of </w:t>
      </w:r>
      <w:r w:rsidR="0017370B" w:rsidRPr="0017370B">
        <w:t xml:space="preserve">5,075 </w:t>
      </w:r>
      <w:r>
        <w:t>origins</w:t>
      </w:r>
      <w:r w:rsidR="0017370B" w:rsidRPr="0017370B">
        <w:t xml:space="preserve"> and 150 destinations, resulting in 761,250 possible OD </w:t>
      </w:r>
      <w:proofErr w:type="gramStart"/>
      <w:r w:rsidR="0017370B" w:rsidRPr="0017370B">
        <w:t>pairs</w:t>
      </w:r>
      <w:r>
        <w:t xml:space="preserve"> which</w:t>
      </w:r>
      <w:proofErr w:type="gramEnd"/>
      <w:r>
        <w:t xml:space="preserve"> have to be evaluated for each potential solution</w:t>
      </w:r>
      <w:r w:rsidR="0017370B" w:rsidRPr="0017370B">
        <w:t xml:space="preserve">. </w:t>
      </w:r>
    </w:p>
    <w:p w14:paraId="37F3C823" w14:textId="7BF9EB99" w:rsidR="0017370B" w:rsidRPr="0017370B" w:rsidRDefault="0017370B" w:rsidP="00B4597A">
      <w:pPr>
        <w:pStyle w:val="Newparagraph"/>
      </w:pPr>
      <w:r w:rsidRPr="0017370B">
        <w:t>Although some commercial software packages, such as Visography TRACC, are available for calculating travel costs</w:t>
      </w:r>
      <w:r w:rsidR="0086626B">
        <w:t xml:space="preserve"> across multimodal networks</w:t>
      </w:r>
      <w:r w:rsidRPr="0017370B">
        <w:t xml:space="preserve">, they are lack flexibility in their custom settings and could not be </w:t>
      </w:r>
      <w:r w:rsidR="0086626B">
        <w:t xml:space="preserve">easily </w:t>
      </w:r>
      <w:r w:rsidRPr="0017370B">
        <w:t>adapted to fit the objective</w:t>
      </w:r>
      <w:r w:rsidR="0086626B">
        <w:t>s</w:t>
      </w:r>
      <w:r w:rsidRPr="0017370B">
        <w:t xml:space="preserve"> of this research. An integrated ArcGIS model </w:t>
      </w:r>
      <w:proofErr w:type="gramStart"/>
      <w:r w:rsidRPr="0017370B">
        <w:t>was therefore developed</w:t>
      </w:r>
      <w:proofErr w:type="gramEnd"/>
      <w:r w:rsidRPr="0017370B">
        <w:t xml:space="preserve"> using ArcObjects for Java</w:t>
      </w:r>
      <w:r w:rsidR="0086626B">
        <w:t>, which provides the flexibility to generate customised models of the kind required here</w:t>
      </w:r>
      <w:r w:rsidRPr="0017370B">
        <w:t>.</w:t>
      </w:r>
      <w:r w:rsidR="0086626B">
        <w:t xml:space="preserve"> Travel costs were calculated based on </w:t>
      </w:r>
      <w:r w:rsidRPr="0017370B">
        <w:t>the UK Department for Transport’s Transport Analysis Guidance (WebTAG) (2014</w:t>
      </w:r>
      <w:r w:rsidR="00CF0174">
        <w:t>a</w:t>
      </w:r>
      <w:r w:rsidRPr="0017370B">
        <w:t xml:space="preserve">), </w:t>
      </w:r>
      <w:r w:rsidR="0086626B">
        <w:t xml:space="preserve">which states that the </w:t>
      </w:r>
      <w:r w:rsidRPr="0017370B">
        <w:t>travel cost (C</w:t>
      </w:r>
      <w:r w:rsidRPr="00B4597A">
        <w:rPr>
          <w:sz w:val="18"/>
          <w:szCs w:val="18"/>
        </w:rPr>
        <w:t>ij</w:t>
      </w:r>
      <w:r w:rsidRPr="0017370B">
        <w:t>) from origin point i to destination point j</w:t>
      </w:r>
      <w:r w:rsidR="0086626B">
        <w:t xml:space="preserve"> comprises a </w:t>
      </w:r>
      <w:r w:rsidR="00A86DCC">
        <w:t xml:space="preserve">weighted </w:t>
      </w:r>
      <w:r w:rsidR="0086626B">
        <w:t>sum of the</w:t>
      </w:r>
      <w:r w:rsidRPr="0017370B">
        <w:t xml:space="preserve"> walking time (WKT), waiting time (WTT), in-vehicle time (IVT), and transfer penalty</w:t>
      </w:r>
      <w:r w:rsidR="0086626B">
        <w:t>, which were defined in the model as follows</w:t>
      </w:r>
      <w:r w:rsidRPr="0017370B">
        <w:t xml:space="preserve">: </w:t>
      </w:r>
    </w:p>
    <w:p w14:paraId="1E51BB16" w14:textId="688C1FA1" w:rsidR="0017370B" w:rsidRPr="0017370B" w:rsidRDefault="0017370B" w:rsidP="0086626B">
      <w:pPr>
        <w:pStyle w:val="Bulletedlist"/>
      </w:pPr>
      <w:r w:rsidRPr="0017370B">
        <w:t xml:space="preserve">Walking time (WKT): Walking is considered </w:t>
      </w:r>
      <w:proofErr w:type="gramStart"/>
      <w:r w:rsidR="0086626B">
        <w:t>to be</w:t>
      </w:r>
      <w:r w:rsidR="0086626B" w:rsidRPr="0017370B">
        <w:t xml:space="preserve"> </w:t>
      </w:r>
      <w:r w:rsidRPr="0017370B">
        <w:t>the</w:t>
      </w:r>
      <w:proofErr w:type="gramEnd"/>
      <w:r w:rsidRPr="0017370B">
        <w:t xml:space="preserve"> only</w:t>
      </w:r>
      <w:r w:rsidR="0086626B">
        <w:t xml:space="preserve"> available</w:t>
      </w:r>
      <w:r w:rsidRPr="0017370B">
        <w:t xml:space="preserve"> access and egress mode for bus</w:t>
      </w:r>
      <w:r w:rsidR="0086626B">
        <w:t xml:space="preserve"> services</w:t>
      </w:r>
      <w:r w:rsidRPr="0017370B">
        <w:t xml:space="preserve">. The maximum permitted walking time is 15 minutes and the average walk speed is 4.8 kilometres per hour. </w:t>
      </w:r>
    </w:p>
    <w:p w14:paraId="408302B3" w14:textId="07103459" w:rsidR="0017370B" w:rsidRPr="0017370B" w:rsidRDefault="0017370B" w:rsidP="0086626B">
      <w:pPr>
        <w:pStyle w:val="Bulletedlist"/>
      </w:pPr>
      <w:r w:rsidRPr="0017370B">
        <w:t>Waiting time (WTT): For the first bus service used in a trip</w:t>
      </w:r>
      <w:r w:rsidR="0086626B">
        <w:t xml:space="preserve">, the </w:t>
      </w:r>
      <w:r w:rsidRPr="0017370B">
        <w:t xml:space="preserve">origin waiting time </w:t>
      </w:r>
      <w:proofErr w:type="gramStart"/>
      <w:r w:rsidRPr="0017370B">
        <w:t>is defined</w:t>
      </w:r>
      <w:proofErr w:type="gramEnd"/>
      <w:r w:rsidRPr="0017370B">
        <w:t xml:space="preserve"> as a function of </w:t>
      </w:r>
      <w:r w:rsidR="0086626B">
        <w:t xml:space="preserve">the </w:t>
      </w:r>
      <w:r w:rsidRPr="0017370B">
        <w:t>headway</w:t>
      </w:r>
      <w:r w:rsidR="0086626B">
        <w:t>,</w:t>
      </w:r>
      <w:r w:rsidRPr="0017370B">
        <w:t xml:space="preserve"> being set as half the headway for headways up to 15 minutes, after which the waiting time is capped at 7.5 minutes. For subsequent services</w:t>
      </w:r>
      <w:r w:rsidR="0086626B">
        <w:t xml:space="preserve">, </w:t>
      </w:r>
      <w:r w:rsidRPr="0017370B">
        <w:t xml:space="preserve">passengers arrive at transfer bus stops randomly (due to the constraints of the timetable), and </w:t>
      </w:r>
      <w:r w:rsidR="0086626B">
        <w:t xml:space="preserve">for simplicity </w:t>
      </w:r>
      <w:r w:rsidRPr="0017370B">
        <w:t xml:space="preserve">the value of the transfer waiting time is </w:t>
      </w:r>
      <w:r w:rsidR="0086626B">
        <w:t xml:space="preserve">therefore set to be </w:t>
      </w:r>
      <w:r w:rsidRPr="0017370B">
        <w:t>equal to half the headway</w:t>
      </w:r>
      <w:r w:rsidR="0086626B">
        <w:t xml:space="preserve"> of the service boarded at the transfer stop</w:t>
      </w:r>
      <w:r w:rsidRPr="0017370B">
        <w:t xml:space="preserve">.  </w:t>
      </w:r>
    </w:p>
    <w:p w14:paraId="7D0B6058" w14:textId="13B4DF80" w:rsidR="0017370B" w:rsidRPr="0017370B" w:rsidRDefault="00B43F60" w:rsidP="00BA18E8">
      <w:pPr>
        <w:pStyle w:val="Bulletedlist"/>
      </w:pPr>
      <w:r>
        <w:t xml:space="preserve">In-vehicle time (IVT): </w:t>
      </w:r>
      <w:r w:rsidR="0086626B">
        <w:t xml:space="preserve">This </w:t>
      </w:r>
      <w:proofErr w:type="gramStart"/>
      <w:r w:rsidR="0086626B">
        <w:t>is calculated</w:t>
      </w:r>
      <w:proofErr w:type="gramEnd"/>
      <w:r w:rsidR="0086626B">
        <w:t xml:space="preserve"> by </w:t>
      </w:r>
      <w:r w:rsidR="00BA18E8">
        <w:t>divid</w:t>
      </w:r>
      <w:r w:rsidR="0086626B">
        <w:t>ing</w:t>
      </w:r>
      <w:r w:rsidR="00BA18E8">
        <w:t xml:space="preserve"> the bus route length by </w:t>
      </w:r>
      <w:r w:rsidR="0086626B">
        <w:t xml:space="preserve">the </w:t>
      </w:r>
      <w:r w:rsidR="00BA18E8">
        <w:t xml:space="preserve">average bus speed. </w:t>
      </w:r>
    </w:p>
    <w:p w14:paraId="387C0F93" w14:textId="01A34E3C" w:rsidR="0017370B" w:rsidRPr="00623D8D" w:rsidRDefault="0017370B" w:rsidP="00623D8D">
      <w:pPr>
        <w:pStyle w:val="Bulletedlist"/>
      </w:pPr>
      <w:r w:rsidRPr="00623D8D">
        <w:t xml:space="preserve">Transfer penalty: </w:t>
      </w:r>
      <w:r w:rsidR="00CE1E1F">
        <w:t xml:space="preserve">based on </w:t>
      </w:r>
      <w:r w:rsidR="00CF0174" w:rsidRPr="00623D8D">
        <w:t>WebTAG (</w:t>
      </w:r>
      <w:r w:rsidR="00DC02CA" w:rsidRPr="00623D8D">
        <w:t xml:space="preserve">Department for Transport </w:t>
      </w:r>
      <w:r w:rsidR="00CF0174" w:rsidRPr="00623D8D">
        <w:t>2014a)</w:t>
      </w:r>
      <w:r w:rsidR="00CE1E1F">
        <w:t xml:space="preserve"> advice</w:t>
      </w:r>
      <w:r w:rsidR="00CF0174" w:rsidRPr="00623D8D">
        <w:t xml:space="preserve"> </w:t>
      </w:r>
      <w:r w:rsidR="00CE1E1F">
        <w:t xml:space="preserve">a </w:t>
      </w:r>
      <w:r w:rsidR="00BF3C93" w:rsidRPr="00623D8D">
        <w:rPr>
          <w:lang w:eastAsia="zh-TW"/>
        </w:rPr>
        <w:t>transfer penalty</w:t>
      </w:r>
      <w:r w:rsidR="00CE1E1F">
        <w:rPr>
          <w:lang w:eastAsia="zh-TW"/>
        </w:rPr>
        <w:t xml:space="preserve"> of</w:t>
      </w:r>
      <w:r w:rsidR="00BF3C93" w:rsidRPr="00623D8D">
        <w:rPr>
          <w:lang w:eastAsia="zh-TW"/>
        </w:rPr>
        <w:t xml:space="preserve"> </w:t>
      </w:r>
      <w:r w:rsidR="006165E9">
        <w:rPr>
          <w:lang w:eastAsia="zh-TW"/>
        </w:rPr>
        <w:t>7.5</w:t>
      </w:r>
      <w:r w:rsidR="00CE1E1F">
        <w:rPr>
          <w:lang w:eastAsia="zh-TW"/>
        </w:rPr>
        <w:t xml:space="preserve"> </w:t>
      </w:r>
      <w:r w:rsidR="00BF3C93" w:rsidRPr="00623D8D">
        <w:rPr>
          <w:lang w:eastAsia="zh-TW"/>
        </w:rPr>
        <w:t>minutes of IVT per interchange</w:t>
      </w:r>
      <w:r w:rsidR="00CE1E1F">
        <w:rPr>
          <w:lang w:eastAsia="zh-TW"/>
        </w:rPr>
        <w:t xml:space="preserve"> </w:t>
      </w:r>
      <w:proofErr w:type="gramStart"/>
      <w:r w:rsidR="00CE1E1F">
        <w:rPr>
          <w:lang w:eastAsia="zh-TW"/>
        </w:rPr>
        <w:t>was applied</w:t>
      </w:r>
      <w:proofErr w:type="gramEnd"/>
      <w:r w:rsidR="00BF3C93" w:rsidRPr="00623D8D">
        <w:t xml:space="preserve">. </w:t>
      </w:r>
    </w:p>
    <w:p w14:paraId="0A6E3AC5" w14:textId="77777777" w:rsidR="0017370B" w:rsidRPr="0017370B" w:rsidRDefault="0017370B" w:rsidP="0017370B">
      <w:pPr>
        <w:pStyle w:val="Heading2"/>
      </w:pPr>
      <w:r w:rsidRPr="0017370B">
        <w:t>3.3 Optimal solution search procedure</w:t>
      </w:r>
    </w:p>
    <w:p w14:paraId="5F2F984E" w14:textId="7311E42B" w:rsidR="0086626B" w:rsidRDefault="0086626B" w:rsidP="00593BD3">
      <w:pPr>
        <w:pStyle w:val="Newparagraph"/>
      </w:pPr>
      <w:r>
        <w:t xml:space="preserve">This methodology makes use of a modified </w:t>
      </w:r>
      <w:r w:rsidR="00C53A05">
        <w:t>t</w:t>
      </w:r>
      <w:r>
        <w:t xml:space="preserve">abu </w:t>
      </w:r>
      <w:r w:rsidR="00C53A05">
        <w:t>s</w:t>
      </w:r>
      <w:r>
        <w:t xml:space="preserve">earch algorithm, with such </w:t>
      </w:r>
      <w:r w:rsidR="0017370B" w:rsidRPr="0017370B">
        <w:t>algorithm</w:t>
      </w:r>
      <w:r>
        <w:t>s</w:t>
      </w:r>
      <w:r w:rsidR="0017370B" w:rsidRPr="0017370B">
        <w:t xml:space="preserve"> </w:t>
      </w:r>
      <w:proofErr w:type="gramStart"/>
      <w:r>
        <w:t>having first been</w:t>
      </w:r>
      <w:r w:rsidR="0017370B" w:rsidRPr="0017370B">
        <w:t xml:space="preserve"> designed</w:t>
      </w:r>
      <w:proofErr w:type="gramEnd"/>
      <w:r w:rsidR="0017370B" w:rsidRPr="0017370B">
        <w:t xml:space="preserve"> by Glover (1977); both basic and advanced versions of </w:t>
      </w:r>
      <w:r>
        <w:t xml:space="preserve">the </w:t>
      </w:r>
      <w:r w:rsidR="0017370B" w:rsidRPr="0017370B">
        <w:t xml:space="preserve">algorithm can be found in Glover and Laguna (1997). The </w:t>
      </w:r>
      <w:r w:rsidR="00B83853" w:rsidRPr="00B140C5">
        <w:t xml:space="preserve">tabu search </w:t>
      </w:r>
      <w:r w:rsidR="0017370B" w:rsidRPr="0017370B">
        <w:t xml:space="preserve">algorithm begin the search procedure </w:t>
      </w:r>
      <w:r>
        <w:t>with</w:t>
      </w:r>
      <w:r w:rsidRPr="0017370B">
        <w:t xml:space="preserve"> </w:t>
      </w:r>
      <w:r w:rsidR="0017370B" w:rsidRPr="0017370B">
        <w:t>one single initial</w:t>
      </w:r>
      <w:r w:rsidR="00593BD3">
        <w:t xml:space="preserve"> solution</w:t>
      </w:r>
      <w:r w:rsidR="0017370B" w:rsidRPr="0017370B">
        <w:t xml:space="preserve">, then explores the solution space by moving from this input initial solution to the solution with the best objective function value in its neighbourhood at each iteration. Moves </w:t>
      </w:r>
      <w:proofErr w:type="gramStart"/>
      <w:r w:rsidR="0017370B" w:rsidRPr="0017370B">
        <w:t>are defined</w:t>
      </w:r>
      <w:proofErr w:type="gramEnd"/>
      <w:r w:rsidR="0017370B" w:rsidRPr="0017370B">
        <w:t xml:space="preserve"> as the sequences that lead from the initial solution to another solution. For example, the standard swap (or add/drop) move transforms the current solution into a new one by replacing one </w:t>
      </w:r>
      <w:r w:rsidR="00593BD3">
        <w:t xml:space="preserve">variable </w:t>
      </w:r>
      <w:r w:rsidR="0017370B" w:rsidRPr="0017370B">
        <w:t xml:space="preserve">in </w:t>
      </w:r>
      <w:r>
        <w:t xml:space="preserve">the </w:t>
      </w:r>
      <w:r w:rsidR="0017370B" w:rsidRPr="0017370B">
        <w:t xml:space="preserve">current solution by another one </w:t>
      </w:r>
      <w:r>
        <w:t>randomly selected from the</w:t>
      </w:r>
      <w:r w:rsidR="0017370B" w:rsidRPr="0017370B">
        <w:t xml:space="preserve"> search space. The </w:t>
      </w:r>
      <w:r w:rsidR="007924B6" w:rsidRPr="00B140C5">
        <w:t xml:space="preserve">tabu search </w:t>
      </w:r>
      <w:r w:rsidR="0017370B" w:rsidRPr="0017370B">
        <w:t>algorithm permits moves that temporarily lead to a</w:t>
      </w:r>
      <w:r w:rsidR="00593BD3">
        <w:t xml:space="preserve"> </w:t>
      </w:r>
      <w:r w:rsidR="0017370B" w:rsidRPr="0017370B">
        <w:t>deterioration in the current objective function value in order to escape from local optima. In order to avoid cycling</w:t>
      </w:r>
      <w:r>
        <w:t xml:space="preserve"> between the same subset of solutions</w:t>
      </w:r>
      <w:r w:rsidR="0017370B" w:rsidRPr="0017370B">
        <w:t xml:space="preserve">, solutions that </w:t>
      </w:r>
      <w:proofErr w:type="gramStart"/>
      <w:r w:rsidR="0017370B" w:rsidRPr="0017370B">
        <w:t>were recently examined</w:t>
      </w:r>
      <w:proofErr w:type="gramEnd"/>
      <w:r w:rsidR="0017370B" w:rsidRPr="0017370B">
        <w:t xml:space="preserve"> are declared forbidden or </w:t>
      </w:r>
      <w:r>
        <w:t>‘</w:t>
      </w:r>
      <w:r w:rsidR="0017370B" w:rsidRPr="0017370B">
        <w:t>tabu</w:t>
      </w:r>
      <w:r>
        <w:t>’</w:t>
      </w:r>
      <w:r w:rsidR="0017370B" w:rsidRPr="0017370B">
        <w:t xml:space="preserve"> for a certain number of iterations (tabu tenures) and associated attributes with the tabu solutions are also stored in tabu lists. The tabu status of a solution </w:t>
      </w:r>
      <w:proofErr w:type="gramStart"/>
      <w:r w:rsidR="0017370B" w:rsidRPr="0017370B">
        <w:t>might be overridden</w:t>
      </w:r>
      <w:proofErr w:type="gramEnd"/>
      <w:r w:rsidR="0017370B" w:rsidRPr="0017370B">
        <w:t xml:space="preserve"> if</w:t>
      </w:r>
      <w:r w:rsidR="00C53A05">
        <w:t xml:space="preserve"> it is better than the </w:t>
      </w:r>
      <w:r w:rsidR="00593BD3">
        <w:t xml:space="preserve">current </w:t>
      </w:r>
      <w:r w:rsidR="00C53A05">
        <w:t>best solution</w:t>
      </w:r>
      <w:r w:rsidR="00593BD3">
        <w:t xml:space="preserve"> in </w:t>
      </w:r>
      <w:r w:rsidR="00CE1E1F">
        <w:t xml:space="preserve">the </w:t>
      </w:r>
      <w:r w:rsidR="00593BD3">
        <w:t>neighbourhood</w:t>
      </w:r>
      <w:r w:rsidR="00C53A05">
        <w:t xml:space="preserve">, </w:t>
      </w:r>
      <w:r w:rsidR="0017370B" w:rsidRPr="0017370B">
        <w:t xml:space="preserve">which is called </w:t>
      </w:r>
      <w:r>
        <w:t>‘</w:t>
      </w:r>
      <w:r w:rsidR="0017370B" w:rsidRPr="0017370B">
        <w:t>aspiration</w:t>
      </w:r>
      <w:r>
        <w:t>’</w:t>
      </w:r>
      <w:r w:rsidRPr="0017370B">
        <w:t xml:space="preserve">. </w:t>
      </w:r>
    </w:p>
    <w:p w14:paraId="41D14C2B" w14:textId="0B713308" w:rsidR="0017370B" w:rsidRPr="0017370B" w:rsidRDefault="0017370B" w:rsidP="007924B6">
      <w:pPr>
        <w:pStyle w:val="Newparagraph"/>
      </w:pPr>
      <w:r w:rsidRPr="0017370B">
        <w:t xml:space="preserve">The efficiency of </w:t>
      </w:r>
      <w:r w:rsidR="007924B6" w:rsidRPr="00B140C5">
        <w:t xml:space="preserve">tabu search </w:t>
      </w:r>
      <w:proofErr w:type="gramStart"/>
      <w:r w:rsidRPr="0017370B">
        <w:t>can be improved</w:t>
      </w:r>
      <w:proofErr w:type="gramEnd"/>
      <w:r w:rsidRPr="0017370B">
        <w:t xml:space="preserve"> by adding intensification and diversification strategies. Intensification strategies focus on examining neighbours of the good solutions, which may initiate a return to attractive regions to search them more thoroughly. Diversification encourages the search process to examine unvisited regions and to generate solutions that differ in various significant ways from those seen before. However, the performance of the </w:t>
      </w:r>
      <w:r w:rsidR="007924B6" w:rsidRPr="00B140C5">
        <w:t xml:space="preserve">tabu search </w:t>
      </w:r>
      <w:r w:rsidRPr="0017370B">
        <w:t xml:space="preserve">algorithm is heavily dependent on the initial solution: a good initial solution </w:t>
      </w:r>
      <w:r w:rsidR="0086626B">
        <w:t>is likely to</w:t>
      </w:r>
      <w:r w:rsidR="0086626B" w:rsidRPr="0017370B">
        <w:t xml:space="preserve"> </w:t>
      </w:r>
      <w:r w:rsidRPr="0017370B">
        <w:t xml:space="preserve">output satisfactory results, while a poor one would reduce the speed of convergence and </w:t>
      </w:r>
      <w:r w:rsidR="0086626B">
        <w:t xml:space="preserve">might </w:t>
      </w:r>
      <w:r w:rsidRPr="0017370B">
        <w:t>lead to a failure</w:t>
      </w:r>
      <w:r w:rsidR="0086626B">
        <w:t xml:space="preserve"> to find an improved solution</w:t>
      </w:r>
      <w:r w:rsidRPr="0017370B">
        <w:t xml:space="preserve">. </w:t>
      </w:r>
    </w:p>
    <w:p w14:paraId="316DFDDC" w14:textId="2BC1FFE3" w:rsidR="0017370B" w:rsidRPr="0017370B" w:rsidRDefault="0017370B" w:rsidP="007924B6">
      <w:pPr>
        <w:pStyle w:val="Newparagraph"/>
      </w:pPr>
      <w:proofErr w:type="gramStart"/>
      <w:r w:rsidRPr="0017370B">
        <w:t>In order to further improve</w:t>
      </w:r>
      <w:proofErr w:type="gramEnd"/>
      <w:r w:rsidRPr="0017370B">
        <w:t xml:space="preserve"> the performance of </w:t>
      </w:r>
      <w:r w:rsidR="0086626B">
        <w:t xml:space="preserve">the </w:t>
      </w:r>
      <w:r w:rsidRPr="0017370B">
        <w:t xml:space="preserve">search procedure, an adapted </w:t>
      </w:r>
      <w:r w:rsidR="007924B6" w:rsidRPr="00B140C5">
        <w:t xml:space="preserve">tabu search </w:t>
      </w:r>
      <w:r w:rsidRPr="0017370B">
        <w:t xml:space="preserve">algorithm was applied in </w:t>
      </w:r>
      <w:r w:rsidR="0086626B">
        <w:t>the methodology developed here. Firstly, t</w:t>
      </w:r>
      <w:r w:rsidRPr="0017370B">
        <w:t xml:space="preserve">he current bus network </w:t>
      </w:r>
      <w:proofErr w:type="gramStart"/>
      <w:r w:rsidRPr="0017370B">
        <w:t>was selected</w:t>
      </w:r>
      <w:proofErr w:type="gramEnd"/>
      <w:r w:rsidRPr="0017370B">
        <w:t xml:space="preserve"> as the initial solution, instead of a randomly selected initial solution</w:t>
      </w:r>
      <w:r w:rsidR="0086626B">
        <w:t>, as it was assumed that the current network was more likely to be a moderately ‘good’ initial solution in terms of accessibility</w:t>
      </w:r>
      <w:r w:rsidRPr="0017370B">
        <w:t>.</w:t>
      </w:r>
      <w:r w:rsidR="0086626B">
        <w:t xml:space="preserve"> Secondly, r</w:t>
      </w:r>
      <w:r w:rsidRPr="0017370B">
        <w:t xml:space="preserve">ather than using small standard moves (the swap moves), large moves, where half of the bus routes in the solution </w:t>
      </w:r>
      <w:r w:rsidR="0086626B">
        <w:t>are</w:t>
      </w:r>
      <w:r w:rsidR="0086626B" w:rsidRPr="0017370B">
        <w:t xml:space="preserve"> </w:t>
      </w:r>
      <w:r w:rsidRPr="0017370B">
        <w:t xml:space="preserve">replaced by new routes in each iteration, were used in this </w:t>
      </w:r>
      <w:r w:rsidR="007924B6" w:rsidRPr="00B140C5">
        <w:t xml:space="preserve">tabu search </w:t>
      </w:r>
      <w:r w:rsidRPr="0017370B">
        <w:t>methodology (adding a key feature of the very large-scale neighbourhood search algorithm</w:t>
      </w:r>
      <w:r w:rsidR="00593BD3">
        <w:t xml:space="preserve"> </w:t>
      </w:r>
      <w:r w:rsidR="00593BD3" w:rsidRPr="00593BD3">
        <w:t>(Ahuja et</w:t>
      </w:r>
      <w:r w:rsidR="00593BD3">
        <w:t xml:space="preserve"> </w:t>
      </w:r>
      <w:r w:rsidR="00593BD3" w:rsidRPr="00593BD3">
        <w:t>al</w:t>
      </w:r>
      <w:r w:rsidR="00593BD3">
        <w:t>.</w:t>
      </w:r>
      <w:r w:rsidR="00593BD3" w:rsidRPr="00593BD3">
        <w:t xml:space="preserve"> 2002)</w:t>
      </w:r>
      <w:r w:rsidRPr="0017370B">
        <w:t xml:space="preserve"> into</w:t>
      </w:r>
      <w:r w:rsidR="00CE1E1F">
        <w:t xml:space="preserve"> the</w:t>
      </w:r>
      <w:r w:rsidRPr="0017370B">
        <w:t xml:space="preserve"> </w:t>
      </w:r>
      <w:r w:rsidR="007924B6" w:rsidRPr="00B140C5">
        <w:t>tabu search</w:t>
      </w:r>
      <w:r w:rsidR="00593BD3">
        <w:t xml:space="preserve"> algorithm</w:t>
      </w:r>
      <w:r w:rsidRPr="0017370B">
        <w:t xml:space="preserve">). Hence, a larger neighbourhood space </w:t>
      </w:r>
      <w:proofErr w:type="gramStart"/>
      <w:r w:rsidRPr="0017370B">
        <w:t>will be searched</w:t>
      </w:r>
      <w:proofErr w:type="gramEnd"/>
      <w:r w:rsidR="0086626B">
        <w:t xml:space="preserve"> within a given time period</w:t>
      </w:r>
      <w:r w:rsidRPr="0017370B">
        <w:t xml:space="preserve">, and more global optima </w:t>
      </w:r>
      <w:r w:rsidR="0086626B">
        <w:t>should</w:t>
      </w:r>
      <w:r w:rsidR="0086626B" w:rsidRPr="0017370B">
        <w:t xml:space="preserve"> </w:t>
      </w:r>
      <w:r w:rsidRPr="0017370B">
        <w:t xml:space="preserve">be output. </w:t>
      </w:r>
    </w:p>
    <w:p w14:paraId="63B09E36" w14:textId="13935087" w:rsidR="0017370B" w:rsidRPr="0017370B" w:rsidRDefault="0017370B" w:rsidP="007924B6">
      <w:pPr>
        <w:pStyle w:val="Newparagraph"/>
      </w:pPr>
      <w:r w:rsidRPr="0017370B">
        <w:t xml:space="preserve">Figure 2 presents the flowchart of the adaptive </w:t>
      </w:r>
      <w:r w:rsidR="007924B6" w:rsidRPr="00B140C5">
        <w:t xml:space="preserve">tabu search </w:t>
      </w:r>
      <w:r w:rsidRPr="0017370B">
        <w:t xml:space="preserve">methodology </w:t>
      </w:r>
      <w:r w:rsidR="0086626B">
        <w:t>used in</w:t>
      </w:r>
      <w:r w:rsidR="0086626B" w:rsidRPr="0017370B">
        <w:t xml:space="preserve"> </w:t>
      </w:r>
      <w:r w:rsidRPr="0017370B">
        <w:t xml:space="preserve">the optimal solution search procedure. </w:t>
      </w:r>
      <w:r w:rsidR="0086626B">
        <w:t>The steps in the</w:t>
      </w:r>
      <w:r w:rsidRPr="0017370B">
        <w:t xml:space="preserve"> process </w:t>
      </w:r>
      <w:proofErr w:type="gramStart"/>
      <w:r w:rsidRPr="0017370B">
        <w:t>can be described</w:t>
      </w:r>
      <w:proofErr w:type="gramEnd"/>
      <w:r w:rsidRPr="0017370B">
        <w:t xml:space="preserve"> as follows:</w:t>
      </w:r>
    </w:p>
    <w:p w14:paraId="09B26DCA" w14:textId="77777777" w:rsidR="0017370B" w:rsidRPr="0017370B" w:rsidRDefault="0017370B" w:rsidP="0017370B">
      <w:pPr>
        <w:pStyle w:val="Bulletedlist"/>
        <w:ind w:hanging="357"/>
      </w:pPr>
      <w:r w:rsidRPr="0017370B">
        <w:t xml:space="preserve">Step 1: input the current bus network as the initial solution.  </w:t>
      </w:r>
    </w:p>
    <w:p w14:paraId="1D2A8EA4" w14:textId="77777777" w:rsidR="0017370B" w:rsidRPr="0017370B" w:rsidRDefault="0017370B" w:rsidP="0017370B">
      <w:pPr>
        <w:pStyle w:val="Bulletedlist"/>
        <w:ind w:hanging="357"/>
      </w:pPr>
      <w:r w:rsidRPr="0017370B">
        <w:t>Step 2: initial solution evaluation procedure: evaluate the initial solution using the objective function.</w:t>
      </w:r>
    </w:p>
    <w:p w14:paraId="04AEDC29" w14:textId="1584FD3F" w:rsidR="0017370B" w:rsidRPr="0017370B" w:rsidRDefault="0017370B" w:rsidP="007924B6">
      <w:pPr>
        <w:pStyle w:val="Bulletedlist"/>
        <w:ind w:hanging="357"/>
      </w:pPr>
      <w:r w:rsidRPr="0017370B">
        <w:t xml:space="preserve">Step 3: </w:t>
      </w:r>
      <w:r w:rsidR="007924B6" w:rsidRPr="00B140C5">
        <w:t xml:space="preserve">tabu search </w:t>
      </w:r>
      <w:r w:rsidRPr="0017370B">
        <w:t xml:space="preserve">neighbour search process for the initial solution </w:t>
      </w:r>
    </w:p>
    <w:p w14:paraId="4340B54F" w14:textId="77777777" w:rsidR="0017370B" w:rsidRPr="0017370B" w:rsidRDefault="0017370B" w:rsidP="0040547F">
      <w:pPr>
        <w:pStyle w:val="Newparagraph"/>
        <w:numPr>
          <w:ilvl w:val="0"/>
          <w:numId w:val="3"/>
        </w:numPr>
        <w:ind w:hanging="357"/>
      </w:pPr>
      <w:r w:rsidRPr="0017370B">
        <w:t xml:space="preserve">Step 3.0: preparation process: </w:t>
      </w:r>
    </w:p>
    <w:p w14:paraId="24787C2E" w14:textId="77777777" w:rsidR="0017370B" w:rsidRPr="0017370B" w:rsidRDefault="0017370B" w:rsidP="0040547F">
      <w:pPr>
        <w:pStyle w:val="Newparagraph"/>
        <w:numPr>
          <w:ilvl w:val="1"/>
          <w:numId w:val="5"/>
        </w:numPr>
        <w:ind w:hanging="357"/>
      </w:pPr>
      <w:r w:rsidRPr="0017370B">
        <w:t xml:space="preserve">Set the set of tabu neighbours to be empty. </w:t>
      </w:r>
    </w:p>
    <w:p w14:paraId="3D40BA71" w14:textId="77777777" w:rsidR="0017370B" w:rsidRPr="0017370B" w:rsidRDefault="0017370B" w:rsidP="0040547F">
      <w:pPr>
        <w:pStyle w:val="Newparagraph"/>
        <w:numPr>
          <w:ilvl w:val="1"/>
          <w:numId w:val="5"/>
        </w:numPr>
        <w:ind w:hanging="357"/>
      </w:pPr>
      <w:r w:rsidRPr="0017370B">
        <w:t xml:space="preserve">Save the initial solution as the current best solution.  </w:t>
      </w:r>
    </w:p>
    <w:p w14:paraId="773D50B2" w14:textId="56E80BD2" w:rsidR="0017370B" w:rsidRPr="0017370B" w:rsidRDefault="0017370B" w:rsidP="0040547F">
      <w:pPr>
        <w:pStyle w:val="Newparagraph"/>
        <w:numPr>
          <w:ilvl w:val="0"/>
          <w:numId w:val="4"/>
        </w:numPr>
        <w:ind w:hanging="357"/>
      </w:pPr>
      <w:r w:rsidRPr="0017370B">
        <w:t>Step 3.1: generate the set of feasible neighbours using the neighbourhood function</w:t>
      </w:r>
      <w:r w:rsidR="00BA1459">
        <w:t xml:space="preserve"> and evaluate each solution in the set</w:t>
      </w:r>
      <w:r w:rsidRPr="0017370B">
        <w:t xml:space="preserve">. </w:t>
      </w:r>
    </w:p>
    <w:p w14:paraId="064DC018" w14:textId="77777777" w:rsidR="0017370B" w:rsidRPr="0017370B" w:rsidRDefault="0017370B" w:rsidP="0040547F">
      <w:pPr>
        <w:pStyle w:val="Newparagraph"/>
        <w:numPr>
          <w:ilvl w:val="0"/>
          <w:numId w:val="8"/>
        </w:numPr>
        <w:ind w:hanging="357"/>
      </w:pPr>
      <w:r w:rsidRPr="0017370B">
        <w:t xml:space="preserve">Each neighbourhood solution should meet cross-boundary and fleet size constraints </w:t>
      </w:r>
    </w:p>
    <w:p w14:paraId="6FCEFCE8" w14:textId="77777777" w:rsidR="0017370B" w:rsidRPr="0017370B" w:rsidRDefault="0017370B" w:rsidP="0040547F">
      <w:pPr>
        <w:pStyle w:val="Newparagraph"/>
        <w:numPr>
          <w:ilvl w:val="0"/>
          <w:numId w:val="8"/>
        </w:numPr>
        <w:ind w:hanging="357"/>
      </w:pPr>
      <w:r w:rsidRPr="0017370B">
        <w:t xml:space="preserve">Evaluate each neighbourhood solution using the objective function </w:t>
      </w:r>
    </w:p>
    <w:p w14:paraId="72C94637" w14:textId="77777777" w:rsidR="0017370B" w:rsidRPr="0017370B" w:rsidRDefault="0017370B" w:rsidP="0040547F">
      <w:pPr>
        <w:pStyle w:val="Newparagraph"/>
        <w:numPr>
          <w:ilvl w:val="0"/>
          <w:numId w:val="4"/>
        </w:numPr>
        <w:ind w:hanging="357"/>
      </w:pPr>
      <w:r w:rsidRPr="0017370B">
        <w:t xml:space="preserve">Step 3.2: define the set of non-tabu neighbours as the difference between the set of feasible neighbours and the set of tabu neighbours. </w:t>
      </w:r>
    </w:p>
    <w:p w14:paraId="2E97A896" w14:textId="77777777" w:rsidR="0017370B" w:rsidRPr="0017370B" w:rsidRDefault="0017370B" w:rsidP="0040547F">
      <w:pPr>
        <w:pStyle w:val="Newparagraph"/>
        <w:numPr>
          <w:ilvl w:val="0"/>
          <w:numId w:val="4"/>
        </w:numPr>
        <w:ind w:hanging="357"/>
      </w:pPr>
      <w:r w:rsidRPr="0017370B">
        <w:t xml:space="preserve">Step 3.3: find the best neighbour (evaluated by objective function) from the set of feasible neighbours and set of non-tabu neighbours (they may coincide). </w:t>
      </w:r>
    </w:p>
    <w:p w14:paraId="0B2B5F08" w14:textId="77777777" w:rsidR="0017370B" w:rsidRPr="0017370B" w:rsidRDefault="0017370B" w:rsidP="0040547F">
      <w:pPr>
        <w:pStyle w:val="Newparagraph"/>
        <w:numPr>
          <w:ilvl w:val="0"/>
          <w:numId w:val="4"/>
        </w:numPr>
        <w:ind w:hanging="357"/>
      </w:pPr>
      <w:r w:rsidRPr="0017370B">
        <w:t xml:space="preserve">Step 3.4: If the best neighbour from the set of non-tabu neighbours is better than the current best solution, update it as the current best solution and add it to the set of tabu neighbours. </w:t>
      </w:r>
    </w:p>
    <w:p w14:paraId="19E975E6" w14:textId="77777777" w:rsidR="0017370B" w:rsidRPr="0017370B" w:rsidRDefault="0017370B" w:rsidP="0040547F">
      <w:pPr>
        <w:pStyle w:val="Newparagraph"/>
        <w:numPr>
          <w:ilvl w:val="0"/>
          <w:numId w:val="4"/>
        </w:numPr>
        <w:ind w:hanging="357"/>
      </w:pPr>
      <w:r w:rsidRPr="0017370B">
        <w:t xml:space="preserve">Step 3.5: If the best neighbour from the set of non-tabu neighbours is worse than the current best solution, compare the best neighbour from the set of feasible neighbours and the current best solution. </w:t>
      </w:r>
    </w:p>
    <w:p w14:paraId="2C5CB0AD" w14:textId="29F42830" w:rsidR="0017370B" w:rsidRPr="0017370B" w:rsidRDefault="0017370B" w:rsidP="007924B6">
      <w:pPr>
        <w:pStyle w:val="Newparagraph"/>
        <w:numPr>
          <w:ilvl w:val="1"/>
          <w:numId w:val="6"/>
        </w:numPr>
        <w:ind w:hanging="357"/>
      </w:pPr>
      <w:r w:rsidRPr="0017370B">
        <w:t>If the best neighbour from the set of feasible neighbours is better than the current best solution, update it as the current best solution and add it to the set of tabu neighbours (</w:t>
      </w:r>
      <w:r w:rsidR="007924B6" w:rsidRPr="00B140C5">
        <w:t xml:space="preserve">tabu search </w:t>
      </w:r>
      <w:r w:rsidRPr="0017370B">
        <w:t xml:space="preserve">aspiration process). </w:t>
      </w:r>
    </w:p>
    <w:p w14:paraId="7AF2B88E" w14:textId="77777777" w:rsidR="0017370B" w:rsidRPr="0017370B" w:rsidRDefault="0017370B" w:rsidP="0040547F">
      <w:pPr>
        <w:pStyle w:val="Newparagraph"/>
        <w:numPr>
          <w:ilvl w:val="1"/>
          <w:numId w:val="6"/>
        </w:numPr>
        <w:ind w:hanging="357"/>
      </w:pPr>
      <w:r w:rsidRPr="0017370B">
        <w:t xml:space="preserve">If the best neighbour in the set of feasible neighbours is worse than the current best solution, update it as the current best solution and add all neighbours in the set of feasible neighbours to the set of tabu neighbours. </w:t>
      </w:r>
    </w:p>
    <w:p w14:paraId="4C9F2C60" w14:textId="06B8B7E3" w:rsidR="0017370B" w:rsidRPr="0017370B" w:rsidRDefault="0017370B" w:rsidP="00B4597A">
      <w:pPr>
        <w:pStyle w:val="Newparagraph"/>
        <w:numPr>
          <w:ilvl w:val="0"/>
          <w:numId w:val="7"/>
        </w:numPr>
        <w:ind w:hanging="357"/>
      </w:pPr>
      <w:r w:rsidRPr="0017370B">
        <w:t xml:space="preserve">Step 3.6: apply the diversification and intensification procedure to the current best solution. </w:t>
      </w:r>
    </w:p>
    <w:p w14:paraId="71481ACA" w14:textId="7CD70C1F" w:rsidR="005A5CE3" w:rsidRPr="005A5CE3" w:rsidRDefault="0017370B" w:rsidP="00983C84">
      <w:pPr>
        <w:pStyle w:val="Bulletedlist"/>
      </w:pPr>
      <w:r w:rsidRPr="0017370B">
        <w:t xml:space="preserve">Step 4: update the initial solution as the current best solution, and repeat step 3 until the maximum number of generations </w:t>
      </w:r>
      <w:r w:rsidR="00D86A75">
        <w:t xml:space="preserve">allowed in the study </w:t>
      </w:r>
      <w:proofErr w:type="gramStart"/>
      <w:r w:rsidRPr="0017370B">
        <w:t>has been reached</w:t>
      </w:r>
      <w:proofErr w:type="gramEnd"/>
      <w:r w:rsidRPr="0017370B">
        <w:t xml:space="preserve">. </w:t>
      </w:r>
    </w:p>
    <w:p w14:paraId="2240A37C" w14:textId="6829FC9D" w:rsidR="00A43043" w:rsidRPr="00584DC7" w:rsidRDefault="00A43043" w:rsidP="00D86A75">
      <w:pPr>
        <w:pStyle w:val="Heading1"/>
      </w:pPr>
      <w:r w:rsidRPr="00584DC7">
        <w:t xml:space="preserve">4. </w:t>
      </w:r>
      <w:r w:rsidR="00D86A75">
        <w:t>Case study</w:t>
      </w:r>
      <w:r w:rsidR="00D86A75" w:rsidRPr="00584DC7">
        <w:t xml:space="preserve"> </w:t>
      </w:r>
      <w:r w:rsidR="00584DC7" w:rsidRPr="00584DC7">
        <w:t xml:space="preserve">application </w:t>
      </w:r>
      <w:r w:rsidR="00D86A75">
        <w:t>of methodology</w:t>
      </w:r>
    </w:p>
    <w:p w14:paraId="24CC9C99" w14:textId="745F0688" w:rsidR="00953DBC" w:rsidRDefault="00A43043" w:rsidP="00D86A75">
      <w:pPr>
        <w:pStyle w:val="Newparagraph"/>
      </w:pPr>
      <w:r w:rsidRPr="0068770F">
        <w:t xml:space="preserve">The methodology described above </w:t>
      </w:r>
      <w:r w:rsidR="00D86A75">
        <w:t>was</w:t>
      </w:r>
      <w:r w:rsidRPr="0068770F">
        <w:t xml:space="preserve"> built under the environment of ArcObjects for Java, and </w:t>
      </w:r>
      <w:r>
        <w:t xml:space="preserve">been </w:t>
      </w:r>
      <w:r w:rsidRPr="0068770F">
        <w:t xml:space="preserve">implemented </w:t>
      </w:r>
      <w:r>
        <w:t>based o</w:t>
      </w:r>
      <w:r w:rsidRPr="0068770F">
        <w:t>n the current Southampton bus network</w:t>
      </w:r>
      <w:r w:rsidR="00D86A75">
        <w:t xml:space="preserve"> on several desktop computers with similar characteristics</w:t>
      </w:r>
      <w:r w:rsidR="00953DBC" w:rsidRPr="00953DBC">
        <w:t>.</w:t>
      </w:r>
    </w:p>
    <w:p w14:paraId="58A0572C" w14:textId="37E246E4" w:rsidR="00BA18E8" w:rsidRDefault="00A43043" w:rsidP="00697499">
      <w:pPr>
        <w:pStyle w:val="Newparagraph"/>
      </w:pPr>
      <w:r>
        <w:t>Detailed information o</w:t>
      </w:r>
      <w:r w:rsidR="00D86A75">
        <w:t>n the</w:t>
      </w:r>
      <w:r>
        <w:t xml:space="preserve"> current bus network (the initial solution), including bus stops, bus routes, and timetable, </w:t>
      </w:r>
      <w:r w:rsidR="00D86A75">
        <w:t>was</w:t>
      </w:r>
      <w:r>
        <w:t xml:space="preserve"> </w:t>
      </w:r>
      <w:r w:rsidRPr="00A43043">
        <w:t>extracted from the National Public Transport Data Repository (NPTDR)</w:t>
      </w:r>
      <w:r>
        <w:t>. T</w:t>
      </w:r>
      <w:r w:rsidRPr="007A2D34">
        <w:t>h</w:t>
      </w:r>
      <w:r w:rsidR="00D86A75">
        <w:t>is showed that there</w:t>
      </w:r>
      <w:r w:rsidRPr="007A2D34">
        <w:t xml:space="preserve"> </w:t>
      </w:r>
      <w:r w:rsidR="00D86A75">
        <w:t>we</w:t>
      </w:r>
      <w:r w:rsidR="00D86A75" w:rsidRPr="007A2D34">
        <w:t xml:space="preserve">re </w:t>
      </w:r>
      <w:proofErr w:type="gramStart"/>
      <w:r>
        <w:t>7</w:t>
      </w:r>
      <w:proofErr w:type="gramEnd"/>
      <w:r w:rsidRPr="007A2D34">
        <w:t xml:space="preserve"> operators providing a total of </w:t>
      </w:r>
      <w:r w:rsidR="00605EF3">
        <w:t>38</w:t>
      </w:r>
      <w:r>
        <w:t xml:space="preserve"> </w:t>
      </w:r>
      <w:r w:rsidRPr="007A2D34">
        <w:t xml:space="preserve">services in </w:t>
      </w:r>
      <w:r w:rsidR="00D86A75">
        <w:t>the current</w:t>
      </w:r>
      <w:r w:rsidR="00732885">
        <w:t xml:space="preserve"> (2015)</w:t>
      </w:r>
      <w:r w:rsidR="00D86A75">
        <w:t xml:space="preserve"> </w:t>
      </w:r>
      <w:r>
        <w:t>bus network</w:t>
      </w:r>
      <w:r w:rsidR="00593BD3">
        <w:t xml:space="preserve"> </w:t>
      </w:r>
      <w:r>
        <w:t xml:space="preserve">in </w:t>
      </w:r>
      <w:r w:rsidRPr="00F347DD">
        <w:t>Southampton</w:t>
      </w:r>
      <w:r>
        <w:t xml:space="preserve"> during </w:t>
      </w:r>
      <w:r w:rsidR="00D86A75">
        <w:t xml:space="preserve">the </w:t>
      </w:r>
      <w:r>
        <w:t>Monday morning peak hour</w:t>
      </w:r>
      <w:r w:rsidR="00D86A75">
        <w:t xml:space="preserve"> (0800-0900)</w:t>
      </w:r>
      <w:r w:rsidRPr="00F347DD">
        <w:t>.</w:t>
      </w:r>
      <w:r w:rsidR="00D86A75">
        <w:t xml:space="preserve"> In addition to services entirely within the city boundaries, </w:t>
      </w:r>
      <w:r w:rsidRPr="00217151">
        <w:t xml:space="preserve">Southampton City Centre </w:t>
      </w:r>
      <w:proofErr w:type="gramStart"/>
      <w:r w:rsidRPr="00217151">
        <w:t>is linked</w:t>
      </w:r>
      <w:proofErr w:type="gramEnd"/>
      <w:r w:rsidRPr="00217151">
        <w:t xml:space="preserve"> </w:t>
      </w:r>
      <w:r>
        <w:t>with nearby towns and distric</w:t>
      </w:r>
      <w:r w:rsidRPr="00217151">
        <w:t xml:space="preserve">ts </w:t>
      </w:r>
      <w:r w:rsidR="00D86A75">
        <w:t>along</w:t>
      </w:r>
      <w:r w:rsidR="00D86A75" w:rsidRPr="00217151">
        <w:t xml:space="preserve"> </w:t>
      </w:r>
      <w:r w:rsidRPr="00217151">
        <w:t>six co</w:t>
      </w:r>
      <w:r>
        <w:t>rridors</w:t>
      </w:r>
      <w:r w:rsidR="00D86A75">
        <w:t xml:space="preserve">, known as the </w:t>
      </w:r>
      <w:r>
        <w:t>Western approach, Shir</w:t>
      </w:r>
      <w:r w:rsidRPr="00217151">
        <w:t>l</w:t>
      </w:r>
      <w:r>
        <w:t>e</w:t>
      </w:r>
      <w:r w:rsidRPr="00217151">
        <w:t>y, Avenue, Bevois Valley, Northam, and Itchen Bridge (</w:t>
      </w:r>
      <w:r w:rsidRPr="00A43043">
        <w:t>see Figure 3</w:t>
      </w:r>
      <w:r w:rsidRPr="00217151">
        <w:t xml:space="preserve">). </w:t>
      </w:r>
    </w:p>
    <w:p w14:paraId="32261872" w14:textId="60F90822" w:rsidR="005A5CE3" w:rsidRDefault="0020754D" w:rsidP="00983C84">
      <w:pPr>
        <w:pStyle w:val="Newparagraph"/>
      </w:pPr>
      <w:r w:rsidRPr="0020754D">
        <w:t>Over recent years, there have been a number of local government initiatives to improve local bus services and increase bus patronage in Southampton, including</w:t>
      </w:r>
      <w:r w:rsidR="00732885">
        <w:t xml:space="preserve"> the</w:t>
      </w:r>
      <w:r w:rsidRPr="0020754D">
        <w:t xml:space="preserve"> Local Sustainable Travel </w:t>
      </w:r>
      <w:r w:rsidR="00732885">
        <w:t>F</w:t>
      </w:r>
      <w:r w:rsidRPr="0020754D">
        <w:t xml:space="preserve">und (LSTF) and </w:t>
      </w:r>
      <w:r w:rsidR="00732885">
        <w:t>t</w:t>
      </w:r>
      <w:r w:rsidRPr="0020754D">
        <w:t>he Better Bus Area Fund (BBAF</w:t>
      </w:r>
      <w:r w:rsidRPr="002D650A">
        <w:t>) (</w:t>
      </w:r>
      <w:r w:rsidR="002D650A" w:rsidRPr="002D650A">
        <w:t>Southampton City Council</w:t>
      </w:r>
      <w:r w:rsidRPr="002D650A">
        <w:t xml:space="preserve"> 2012, Song et al.</w:t>
      </w:r>
      <w:r w:rsidR="002D650A" w:rsidRPr="002D650A">
        <w:t xml:space="preserve"> </w:t>
      </w:r>
      <w:r w:rsidRPr="002D650A">
        <w:t>2014,</w:t>
      </w:r>
      <w:r w:rsidR="002D650A" w:rsidRPr="002D650A">
        <w:t xml:space="preserve"> </w:t>
      </w:r>
      <w:proofErr w:type="gramStart"/>
      <w:r w:rsidR="002D650A" w:rsidRPr="002D650A">
        <w:t>Newcombe</w:t>
      </w:r>
      <w:proofErr w:type="gramEnd"/>
      <w:r w:rsidRPr="002D650A">
        <w:t xml:space="preserve"> 2014). </w:t>
      </w:r>
      <w:proofErr w:type="gramStart"/>
      <w:r w:rsidRPr="0020754D">
        <w:t xml:space="preserve">The majority of the measures </w:t>
      </w:r>
      <w:r w:rsidR="00732885">
        <w:t>which were</w:t>
      </w:r>
      <w:r w:rsidRPr="0020754D">
        <w:t xml:space="preserve"> implemented as part of the CBTF and BBAF </w:t>
      </w:r>
      <w:r>
        <w:t>focus</w:t>
      </w:r>
      <w:r w:rsidR="00732885">
        <w:t>ed</w:t>
      </w:r>
      <w:r>
        <w:t xml:space="preserve"> on providing</w:t>
      </w:r>
      <w:r w:rsidRPr="0020754D">
        <w:t xml:space="preserve"> improvements to </w:t>
      </w:r>
      <w:r w:rsidR="00732885">
        <w:t>service</w:t>
      </w:r>
      <w:r w:rsidRPr="0020754D">
        <w:t xml:space="preserve"> quality </w:t>
      </w:r>
      <w:r w:rsidR="00732885">
        <w:t>to give</w:t>
      </w:r>
      <w:r w:rsidRPr="0020754D">
        <w:t xml:space="preserve"> a more </w:t>
      </w:r>
      <w:r w:rsidR="00732885">
        <w:t>positive</w:t>
      </w:r>
      <w:r w:rsidR="00732885" w:rsidRPr="0020754D">
        <w:t xml:space="preserve"> </w:t>
      </w:r>
      <w:r w:rsidRPr="0020754D">
        <w:t>travel experience</w:t>
      </w:r>
      <w:r>
        <w:t xml:space="preserve">, including </w:t>
      </w:r>
      <w:r w:rsidRPr="0020754D">
        <w:t xml:space="preserve">improvements to existing bus and rail interchanges, </w:t>
      </w:r>
      <w:r w:rsidR="002D650A" w:rsidRPr="002D650A">
        <w:t>ref</w:t>
      </w:r>
      <w:r w:rsidR="002D650A">
        <w:t xml:space="preserve">urbishment of buses, </w:t>
      </w:r>
      <w:r w:rsidRPr="0020754D">
        <w:t xml:space="preserve">real time passenger information, the introduction of a smart card ticketing system and improved bus priority </w:t>
      </w:r>
      <w:r w:rsidR="00BA4A4D">
        <w:t>(particularly at</w:t>
      </w:r>
      <w:r w:rsidRPr="0020754D">
        <w:t xml:space="preserve"> junctions</w:t>
      </w:r>
      <w:r w:rsidR="00BA4A4D">
        <w:t>)</w:t>
      </w:r>
      <w:r w:rsidRPr="0020754D">
        <w:t xml:space="preserve"> on some corridors.</w:t>
      </w:r>
      <w:proofErr w:type="gramEnd"/>
      <w:r>
        <w:t xml:space="preserve"> </w:t>
      </w:r>
    </w:p>
    <w:p w14:paraId="0A65D3C3" w14:textId="40398CDF" w:rsidR="00BA18E8" w:rsidRDefault="00BA18E8" w:rsidP="00602692">
      <w:pPr>
        <w:pStyle w:val="Heading2"/>
      </w:pPr>
      <w:r w:rsidRPr="00623D8D">
        <w:t>4.</w:t>
      </w:r>
      <w:r w:rsidR="00C54658" w:rsidRPr="00623D8D">
        <w:t>1</w:t>
      </w:r>
      <w:r w:rsidRPr="00623D8D">
        <w:t xml:space="preserve"> S</w:t>
      </w:r>
      <w:r w:rsidR="00953DBC" w:rsidRPr="00623D8D">
        <w:t>ensitivity analys</w:t>
      </w:r>
      <w:r w:rsidR="00BA4A4D">
        <w:t>i</w:t>
      </w:r>
      <w:r w:rsidR="00953DBC" w:rsidRPr="00623D8D">
        <w:t>s</w:t>
      </w:r>
    </w:p>
    <w:p w14:paraId="6DEA7CE5" w14:textId="1B2232F0" w:rsidR="00425C98" w:rsidRDefault="00425C98" w:rsidP="00425C98">
      <w:pPr>
        <w:pStyle w:val="Paragraph"/>
        <w:ind w:firstLine="720"/>
      </w:pPr>
      <w:proofErr w:type="gramStart"/>
      <w:r>
        <w:t xml:space="preserve">The results produced by the optimisation model depend to some extent on the values assigned to the user-defined parameters, </w:t>
      </w:r>
      <w:r w:rsidRPr="00D1573E">
        <w:t xml:space="preserve">such as the maximum number of solutions generated by the </w:t>
      </w:r>
      <w:r w:rsidR="006165E9">
        <w:t>tabu search</w:t>
      </w:r>
      <w:r w:rsidRPr="00D1573E">
        <w:t xml:space="preserve"> algorithm, the weights given to the three components of the objective function, the weights given to the </w:t>
      </w:r>
      <w:r>
        <w:t xml:space="preserve">walking time (WKT) and waiting time (WTT) in </w:t>
      </w:r>
      <w:r w:rsidRPr="00D1573E">
        <w:t xml:space="preserve">TUC, and the value set for </w:t>
      </w:r>
      <w:r>
        <w:t xml:space="preserve">the </w:t>
      </w:r>
      <w:r w:rsidRPr="00D1573E">
        <w:t>transfer penalty.</w:t>
      </w:r>
      <w:proofErr w:type="gramEnd"/>
      <w:r w:rsidRPr="00D1573E">
        <w:t xml:space="preserve"> </w:t>
      </w:r>
      <w:r w:rsidRPr="00745320">
        <w:t>Different values of these parameters will result in different output results. Each parameter is continuous and has many possible values, as for example the number of generation</w:t>
      </w:r>
      <w:r>
        <w:t>s</w:t>
      </w:r>
      <w:r w:rsidRPr="00745320">
        <w:t xml:space="preserve"> can vary from </w:t>
      </w:r>
      <w:proofErr w:type="gramStart"/>
      <w:r w:rsidRPr="00745320">
        <w:t>1</w:t>
      </w:r>
      <w:proofErr w:type="gramEnd"/>
      <w:r w:rsidRPr="00745320">
        <w:t xml:space="preserve"> to infinity. It is therefore impossible to compare the performance of each possible value of each parameter in order to determine the range of associated ‘optimal’ network </w:t>
      </w:r>
      <w:proofErr w:type="gramStart"/>
      <w:r w:rsidRPr="00745320">
        <w:t>solutions which</w:t>
      </w:r>
      <w:proofErr w:type="gramEnd"/>
      <w:r w:rsidRPr="00745320">
        <w:t xml:space="preserve"> might result. However, it was possible to carry out a sensitivity analysis of these parameters based on the current Southampton bus network, to assess how the performance of the model is affected by varying the generation number</w:t>
      </w:r>
      <w:r>
        <w:t>,</w:t>
      </w:r>
      <w:r w:rsidRPr="00745320">
        <w:t xml:space="preserve"> the weights associated with different elements of the TSC</w:t>
      </w:r>
      <w:r>
        <w:t>, the weights given to WKT and WTT, and the value of the transfer penalty</w:t>
      </w:r>
      <w:r w:rsidRPr="00745320">
        <w:t>.</w:t>
      </w:r>
      <w:r>
        <w:t xml:space="preserve"> </w:t>
      </w:r>
    </w:p>
    <w:p w14:paraId="76D3138F" w14:textId="59038EDF" w:rsidR="00A43043" w:rsidRPr="00A43043" w:rsidRDefault="00C54658" w:rsidP="00BA18E8">
      <w:pPr>
        <w:pStyle w:val="Heading3"/>
      </w:pPr>
      <w:r w:rsidRPr="007D2A98">
        <w:t>4.1</w:t>
      </w:r>
      <w:r w:rsidR="00A43043" w:rsidRPr="007D2A98">
        <w:t>.1 Effect</w:t>
      </w:r>
      <w:r w:rsidR="00D86A75" w:rsidRPr="007D2A98">
        <w:t>s</w:t>
      </w:r>
      <w:r w:rsidR="00A43043" w:rsidRPr="007D2A98">
        <w:t xml:space="preserve"> of </w:t>
      </w:r>
      <w:r w:rsidR="00D86A75" w:rsidRPr="007D2A98">
        <w:t xml:space="preserve">varying the </w:t>
      </w:r>
      <w:r w:rsidR="00A43043" w:rsidRPr="007D2A98">
        <w:t>generation</w:t>
      </w:r>
      <w:r w:rsidR="00D86A75" w:rsidRPr="007D2A98">
        <w:t xml:space="preserve"> number</w:t>
      </w:r>
    </w:p>
    <w:p w14:paraId="5F60D930" w14:textId="4CB9D864" w:rsidR="005A5CE3" w:rsidRPr="00E46210" w:rsidRDefault="006942D1" w:rsidP="00983C84">
      <w:pPr>
        <w:pStyle w:val="Newparagraph"/>
      </w:pPr>
      <w:r>
        <w:t>Generation</w:t>
      </w:r>
      <w:r w:rsidRPr="00FC1E40">
        <w:t xml:space="preserve"> </w:t>
      </w:r>
      <w:r>
        <w:t xml:space="preserve">is a user-defined parameter, deciding the number of iterations the </w:t>
      </w:r>
      <w:r w:rsidR="006165E9">
        <w:t>tabu search</w:t>
      </w:r>
      <w:r>
        <w:t xml:space="preserve"> algorithm will run before outputting the final optimal solutions. The larger the chosen number of generations, the larger the </w:t>
      </w:r>
      <w:r w:rsidRPr="00A64A57">
        <w:t>neigh</w:t>
      </w:r>
      <w:r>
        <w:t>bourhood space which will be searched</w:t>
      </w:r>
      <w:r w:rsidRPr="00A64A57">
        <w:t xml:space="preserve"> and </w:t>
      </w:r>
      <w:r>
        <w:t xml:space="preserve">therefore the </w:t>
      </w:r>
      <w:r w:rsidRPr="00A64A57">
        <w:t>mo</w:t>
      </w:r>
      <w:r>
        <w:t xml:space="preserve">re global </w:t>
      </w:r>
      <w:proofErr w:type="gramStart"/>
      <w:r>
        <w:t>optima which</w:t>
      </w:r>
      <w:proofErr w:type="gramEnd"/>
      <w:r>
        <w:t xml:space="preserve"> will be output. However, a larger number of generations will also require more calculation time, and therefore an appropriate generation number needs to </w:t>
      </w:r>
      <w:proofErr w:type="gramStart"/>
      <w:r>
        <w:t>be chosen</w:t>
      </w:r>
      <w:proofErr w:type="gramEnd"/>
      <w:r>
        <w:t xml:space="preserve"> to output a reasonable number of potential optimal solutions within a reasonable calculation time. </w:t>
      </w:r>
      <w:r w:rsidRPr="000A1919">
        <w:t xml:space="preserve">For simplicity, this section examines the effect of </w:t>
      </w:r>
      <w:r>
        <w:t xml:space="preserve">increasing the </w:t>
      </w:r>
      <w:r w:rsidRPr="000A1919">
        <w:t>generation number from 10 to 100, w</w:t>
      </w:r>
      <w:r w:rsidR="00BA4A4D">
        <w:t>ith</w:t>
      </w:r>
      <w:r w:rsidRPr="000A1919">
        <w:t xml:space="preserve"> the corresponding calculation time</w:t>
      </w:r>
      <w:r w:rsidR="00BA4A4D">
        <w:t>s ranging</w:t>
      </w:r>
      <w:r w:rsidRPr="000A1919">
        <w:t xml:space="preserve"> from </w:t>
      </w:r>
      <w:r w:rsidR="00BA4A4D">
        <w:t>six</w:t>
      </w:r>
      <w:r w:rsidRPr="000A1919">
        <w:t xml:space="preserve"> hours to</w:t>
      </w:r>
      <w:r>
        <w:t xml:space="preserve"> </w:t>
      </w:r>
      <w:r w:rsidR="00BA4A4D">
        <w:t>three</w:t>
      </w:r>
      <w:r>
        <w:t xml:space="preserve"> days</w:t>
      </w:r>
      <w:r w:rsidR="00BA4A4D">
        <w:t xml:space="preserve"> on a standard desktop PC</w:t>
      </w:r>
      <w:r w:rsidRPr="000A1919">
        <w:t>.</w:t>
      </w:r>
      <w:r w:rsidR="0017547C">
        <w:t xml:space="preserve"> Only</w:t>
      </w:r>
      <w:r w:rsidR="00DF1F9C">
        <w:t xml:space="preserve"> </w:t>
      </w:r>
      <w:r w:rsidR="00BA4A4D">
        <w:t xml:space="preserve">the </w:t>
      </w:r>
      <w:r>
        <w:t>generation number</w:t>
      </w:r>
      <w:r w:rsidR="00BA4A4D">
        <w:t xml:space="preserve"> </w:t>
      </w:r>
      <w:proofErr w:type="gramStart"/>
      <w:r w:rsidR="00BA4A4D">
        <w:t>was varied</w:t>
      </w:r>
      <w:proofErr w:type="gramEnd"/>
      <w:r>
        <w:t>,</w:t>
      </w:r>
      <w:r w:rsidR="00BA4A4D">
        <w:t xml:space="preserve"> with</w:t>
      </w:r>
      <w:r>
        <w:t xml:space="preserve"> </w:t>
      </w:r>
      <w:r w:rsidR="00DF1F9C">
        <w:t>the</w:t>
      </w:r>
      <w:r w:rsidR="00BA4A4D">
        <w:t xml:space="preserve"> other settings for the</w:t>
      </w:r>
      <w:r w:rsidR="00DF1F9C">
        <w:t xml:space="preserve"> </w:t>
      </w:r>
      <w:r w:rsidR="006165E9">
        <w:t>tabu search</w:t>
      </w:r>
      <w:r w:rsidR="00DF1F9C">
        <w:t xml:space="preserve"> algorithm </w:t>
      </w:r>
      <w:r w:rsidR="006165E9">
        <w:t>held constant, as follows</w:t>
      </w:r>
      <w:r w:rsidR="00DF1F9C">
        <w:t xml:space="preserve">: 0.4, 0.4, and 0.2 as the weights of TOC, TUC and TEC, respectively, 1.75 and 2.0 as the weights of WKT and WTT, and 7.5 minutes of IVT per interchange as the transfer penalty. </w:t>
      </w:r>
      <w:r w:rsidRPr="0052141E">
        <w:t>Figure 4</w:t>
      </w:r>
      <w:r w:rsidRPr="000A1919">
        <w:t xml:space="preserve"> displays the results, </w:t>
      </w:r>
      <w:r w:rsidR="006165E9">
        <w:t>showing that</w:t>
      </w:r>
      <w:r w:rsidRPr="000A1919">
        <w:t xml:space="preserve"> the value of</w:t>
      </w:r>
      <w:r w:rsidR="006165E9">
        <w:t xml:space="preserve"> the</w:t>
      </w:r>
      <w:r w:rsidRPr="000A1919">
        <w:t xml:space="preserve"> objective function (TSC) tends to decrease as the number of generation</w:t>
      </w:r>
      <w:r>
        <w:t>s</w:t>
      </w:r>
      <w:r w:rsidRPr="000A1919">
        <w:t xml:space="preserve"> increase</w:t>
      </w:r>
      <w:r w:rsidR="006165E9">
        <w:t>s</w:t>
      </w:r>
      <w:r w:rsidRPr="000A1919">
        <w:t xml:space="preserve">. When the number of generations reaches 80, TSC achieves the minimum value. </w:t>
      </w:r>
    </w:p>
    <w:p w14:paraId="73CA7CB5" w14:textId="77777777" w:rsidR="00A43043" w:rsidRPr="00A43043" w:rsidRDefault="00C54658" w:rsidP="00BB1E92">
      <w:pPr>
        <w:pStyle w:val="Heading3"/>
      </w:pPr>
      <w:r w:rsidRPr="000A0E62">
        <w:t>4.1</w:t>
      </w:r>
      <w:r w:rsidR="00A43043" w:rsidRPr="000A0E62">
        <w:t xml:space="preserve">.2 Effect of </w:t>
      </w:r>
      <w:r w:rsidR="00BB1E92" w:rsidRPr="000A0E62">
        <w:t xml:space="preserve">weight set of </w:t>
      </w:r>
      <w:r w:rsidR="00E124D9" w:rsidRPr="000A0E62">
        <w:t xml:space="preserve">the </w:t>
      </w:r>
      <w:r w:rsidR="00BB1E92" w:rsidRPr="000A0E62">
        <w:t>multi-objective function</w:t>
      </w:r>
      <w:r w:rsidR="00BB1E92">
        <w:t xml:space="preserve"> </w:t>
      </w:r>
    </w:p>
    <w:p w14:paraId="32A7F217" w14:textId="6F02FE5A" w:rsidR="00F3281B" w:rsidRPr="00C1735B" w:rsidRDefault="00F3281B" w:rsidP="004F13FC">
      <w:pPr>
        <w:pStyle w:val="Newparagraph"/>
      </w:pPr>
      <w:r w:rsidRPr="00A43043">
        <w:t xml:space="preserve">The objective function </w:t>
      </w:r>
      <w:r>
        <w:t xml:space="preserve">of the </w:t>
      </w:r>
      <w:r w:rsidR="001452B7">
        <w:t>optimisation</w:t>
      </w:r>
      <w:r>
        <w:t xml:space="preserve"> model </w:t>
      </w:r>
      <w:r w:rsidRPr="00A43043">
        <w:t xml:space="preserve">is to minimise total social cost (TSC), which is a </w:t>
      </w:r>
      <w:r>
        <w:t xml:space="preserve">composite </w:t>
      </w:r>
      <w:r w:rsidRPr="00A43043">
        <w:t xml:space="preserve">multi-objective function </w:t>
      </w:r>
      <w:r>
        <w:t>defined as the weighted sum of three</w:t>
      </w:r>
      <w:r w:rsidRPr="00A43043">
        <w:t xml:space="preserve"> components: total operator cost (TOC), </w:t>
      </w:r>
      <w:r>
        <w:t xml:space="preserve">total external cost (TEC), and total user cost (TUC). </w:t>
      </w:r>
      <w:r w:rsidRPr="00A43043">
        <w:t xml:space="preserve">The three weights </w:t>
      </w:r>
      <m:oMath>
        <m:sSub>
          <m:sSubPr>
            <m:ctrlPr>
              <w:rPr>
                <w:rFonts w:ascii="Cambria Math" w:hAnsi="Cambria Math"/>
              </w:rPr>
            </m:ctrlPr>
          </m:sSubPr>
          <m:e>
            <m:r>
              <m:rPr>
                <m:sty m:val="p"/>
              </m:rPr>
              <w:rPr>
                <w:rFonts w:ascii="Cambria Math" w:hAnsi="Cambria Math"/>
              </w:rPr>
              <m:t>γ</m:t>
            </m:r>
          </m:e>
          <m:sub>
            <m:r>
              <m:rPr>
                <m:sty m:val="p"/>
              </m:rPr>
              <w:rPr>
                <w:rFonts w:ascii="Cambria Math" w:hAnsi="Cambria Math"/>
              </w:rPr>
              <m:t xml:space="preserve">1 , </m:t>
            </m:r>
          </m:sub>
        </m:sSub>
        <m:sSub>
          <m:sSubPr>
            <m:ctrlPr>
              <w:rPr>
                <w:rFonts w:ascii="Cambria Math" w:hAnsi="Cambria Math"/>
              </w:rPr>
            </m:ctrlPr>
          </m:sSubPr>
          <m:e>
            <m:r>
              <m:rPr>
                <m:sty m:val="p"/>
              </m:rPr>
              <w:rPr>
                <w:rFonts w:ascii="Cambria Math" w:hAnsi="Cambria Math"/>
              </w:rPr>
              <m:t>γ</m:t>
            </m:r>
          </m:e>
          <m:sub>
            <m:r>
              <m:rPr>
                <m:sty m:val="p"/>
              </m:rPr>
              <w:rPr>
                <w:rFonts w:ascii="Cambria Math" w:hAnsi="Cambria Math"/>
              </w:rPr>
              <m:t>2</m:t>
            </m:r>
          </m:sub>
        </m:sSub>
        <m:sSub>
          <m:sSubPr>
            <m:ctrlPr>
              <w:rPr>
                <w:rFonts w:ascii="Cambria Math" w:hAnsi="Cambria Math"/>
              </w:rPr>
            </m:ctrlPr>
          </m:sSubPr>
          <m:e>
            <m:r>
              <m:rPr>
                <m:sty m:val="p"/>
              </m:rPr>
              <w:rPr>
                <w:rFonts w:ascii="Cambria Math" w:hAnsi="Cambria Math"/>
              </w:rPr>
              <m:t>, γ</m:t>
            </m:r>
          </m:e>
          <m:sub>
            <m:r>
              <m:rPr>
                <m:sty m:val="p"/>
              </m:rPr>
              <w:rPr>
                <w:rFonts w:ascii="Cambria Math" w:hAnsi="Cambria Math"/>
              </w:rPr>
              <m:t>3</m:t>
            </m:r>
          </m:sub>
        </m:sSub>
      </m:oMath>
      <w:r w:rsidRPr="00A43043">
        <w:t xml:space="preserve"> </w:t>
      </w:r>
      <w:proofErr w:type="gramStart"/>
      <w:r w:rsidRPr="00A43043">
        <w:t>are introduced</w:t>
      </w:r>
      <w:proofErr w:type="gramEnd"/>
      <w:r w:rsidRPr="00A43043">
        <w:t xml:space="preserve"> to reflect the </w:t>
      </w:r>
      <w:r>
        <w:t>relative importance of</w:t>
      </w:r>
      <w:r w:rsidRPr="00A43043">
        <w:t xml:space="preserve"> </w:t>
      </w:r>
      <w:r>
        <w:t>TOC, TEC and TU</w:t>
      </w:r>
      <w:r w:rsidRPr="00A43043">
        <w:t>C</w:t>
      </w:r>
      <w:r>
        <w:t xml:space="preserve"> in determining TSC</w:t>
      </w:r>
      <w:r w:rsidRPr="00A43043">
        <w:t xml:space="preserve">. </w:t>
      </w:r>
      <w:r>
        <w:t>As noted above, d</w:t>
      </w:r>
      <w:r w:rsidRPr="00A43043">
        <w:t>ifferent values of these weights may result in different optimal designs of the transit network</w:t>
      </w:r>
      <w:r w:rsidRPr="00C1735B">
        <w:t xml:space="preserve">. In this section, the sensitivity of the model </w:t>
      </w:r>
      <w:proofErr w:type="gramStart"/>
      <w:r w:rsidRPr="00C1735B">
        <w:t>is checked</w:t>
      </w:r>
      <w:proofErr w:type="gramEnd"/>
      <w:r w:rsidRPr="00C1735B">
        <w:t xml:space="preserve"> by assigning different weight sets to </w:t>
      </w:r>
      <w:r>
        <w:t xml:space="preserve">the </w:t>
      </w:r>
      <w:r w:rsidRPr="00C1735B">
        <w:t xml:space="preserve">objective function, giving the results shown in </w:t>
      </w:r>
      <w:r w:rsidR="007D2A98" w:rsidRPr="0052141E">
        <w:t>Figure 5</w:t>
      </w:r>
      <w:r w:rsidRPr="0052141E">
        <w:t xml:space="preserve">. </w:t>
      </w:r>
      <w:r w:rsidR="002C21E4">
        <w:t xml:space="preserve">In order to </w:t>
      </w:r>
      <w:r w:rsidR="006165E9">
        <w:t>control for</w:t>
      </w:r>
      <w:r w:rsidR="002C21E4">
        <w:t xml:space="preserve"> the effects of other parameters, the results </w:t>
      </w:r>
      <w:proofErr w:type="gramStart"/>
      <w:r w:rsidR="002C21E4">
        <w:t>were calculated</w:t>
      </w:r>
      <w:proofErr w:type="gramEnd"/>
      <w:r w:rsidR="002C21E4">
        <w:t xml:space="preserve"> by</w:t>
      </w:r>
      <w:r w:rsidR="006165E9">
        <w:t xml:space="preserve"> holding </w:t>
      </w:r>
      <w:r w:rsidR="002C21E4">
        <w:t>the</w:t>
      </w:r>
      <w:r w:rsidR="006165E9">
        <w:t xml:space="preserve"> </w:t>
      </w:r>
      <w:r w:rsidR="004F13FC">
        <w:t xml:space="preserve">other </w:t>
      </w:r>
      <w:r w:rsidR="002C21E4">
        <w:t>optimisation settings</w:t>
      </w:r>
      <w:r w:rsidR="006165E9">
        <w:t xml:space="preserve"> constant, as follows</w:t>
      </w:r>
      <w:r w:rsidR="004F13FC">
        <w:t>: 80 as the maximum generation number</w:t>
      </w:r>
      <w:r w:rsidR="004F13FC" w:rsidRPr="004F13FC">
        <w:t>, 1.75 and 2.0 as the weights of WKT and WTT, and 7.5 minutes of IVT per interchange as the transfer penalty.</w:t>
      </w:r>
    </w:p>
    <w:p w14:paraId="7625FB6F" w14:textId="6C214653" w:rsidR="007D2A98" w:rsidRDefault="00F3281B">
      <w:pPr>
        <w:pStyle w:val="Newparagraph"/>
      </w:pPr>
      <w:r w:rsidRPr="00C1735B">
        <w:t xml:space="preserve">For each graph in </w:t>
      </w:r>
      <w:r w:rsidRPr="0052141E">
        <w:t xml:space="preserve">Figure </w:t>
      </w:r>
      <w:r w:rsidR="007D2A98">
        <w:t>5</w:t>
      </w:r>
      <w:r w:rsidRPr="00C1735B">
        <w:t>, the weight of TEC (</w:t>
      </w:r>
      <m:oMath>
        <m:sSub>
          <m:sSubPr>
            <m:ctrlPr>
              <w:rPr>
                <w:rFonts w:ascii="Cambria Math" w:hAnsi="Cambria Math"/>
              </w:rPr>
            </m:ctrlPr>
          </m:sSubPr>
          <m:e>
            <m:r>
              <m:rPr>
                <m:sty m:val="p"/>
              </m:rPr>
              <w:rPr>
                <w:rFonts w:ascii="Cambria Math" w:hAnsi="Cambria Math"/>
              </w:rPr>
              <m:t>γ</m:t>
            </m:r>
          </m:e>
          <m:sub>
            <m:r>
              <m:rPr>
                <m:sty m:val="p"/>
              </m:rPr>
              <w:rPr>
                <w:rFonts w:ascii="Cambria Math" w:hAnsi="Cambria Math"/>
              </w:rPr>
              <m:t>2</m:t>
            </m:r>
          </m:sub>
        </m:sSub>
      </m:oMath>
      <w:r w:rsidRPr="00C1735B">
        <w:t>) is fixed</w:t>
      </w:r>
      <w:r w:rsidR="006165E9">
        <w:t xml:space="preserve"> at a value </w:t>
      </w:r>
      <w:r w:rsidRPr="00C1735B">
        <w:t>between 0.1 and 0.4. The horizontal axis indicates the weight of TUC</w:t>
      </w:r>
      <w:r w:rsidR="00934742">
        <w:t xml:space="preserve"> </w:t>
      </w:r>
      <w:r w:rsidR="00934742" w:rsidRPr="00C1735B">
        <w:t>(</w:t>
      </w:r>
      <m:oMath>
        <m:sSub>
          <m:sSubPr>
            <m:ctrlPr>
              <w:rPr>
                <w:rFonts w:ascii="Cambria Math" w:hAnsi="Cambria Math"/>
              </w:rPr>
            </m:ctrlPr>
          </m:sSubPr>
          <m:e>
            <m:r>
              <m:rPr>
                <m:sty m:val="p"/>
              </m:rPr>
              <w:rPr>
                <w:rFonts w:ascii="Cambria Math" w:hAnsi="Cambria Math"/>
              </w:rPr>
              <m:t>γ</m:t>
            </m:r>
          </m:e>
          <m:sub>
            <m:r>
              <m:rPr>
                <m:sty m:val="p"/>
              </m:rPr>
              <w:rPr>
                <w:rFonts w:ascii="Cambria Math" w:hAnsi="Cambria Math"/>
              </w:rPr>
              <m:t>3</m:t>
            </m:r>
          </m:sub>
        </m:sSub>
      </m:oMath>
      <w:r w:rsidR="00934742" w:rsidRPr="00C1735B">
        <w:t>)</w:t>
      </w:r>
      <w:r w:rsidRPr="00C1735B">
        <w:t>, and the vertical axis shows the value of TSC.</w:t>
      </w:r>
      <w:r>
        <w:t xml:space="preserve"> Therefore, </w:t>
      </w:r>
      <w:proofErr w:type="gramStart"/>
      <w:r>
        <w:t>a</w:t>
      </w:r>
      <w:r w:rsidRPr="00C1735B">
        <w:t xml:space="preserve"> total</w:t>
      </w:r>
      <w:r>
        <w:t xml:space="preserve"> of</w:t>
      </w:r>
      <w:r w:rsidRPr="00C1735B">
        <w:t xml:space="preserve"> 26</w:t>
      </w:r>
      <w:proofErr w:type="gramEnd"/>
      <w:r w:rsidRPr="00C1735B">
        <w:t xml:space="preserve"> weight sets </w:t>
      </w:r>
      <w:r>
        <w:t xml:space="preserve">were </w:t>
      </w:r>
      <w:r w:rsidRPr="00C1735B">
        <w:t xml:space="preserve">tested in this section. For each </w:t>
      </w:r>
      <w:r>
        <w:t xml:space="preserve">possible </w:t>
      </w:r>
      <w:r w:rsidRPr="00C1735B">
        <w:t xml:space="preserve">weight set, </w:t>
      </w:r>
      <w:r w:rsidR="006165E9">
        <w:t xml:space="preserve">the </w:t>
      </w:r>
      <w:r w:rsidRPr="00C1735B">
        <w:t>TSC of both</w:t>
      </w:r>
      <w:r>
        <w:t xml:space="preserve"> </w:t>
      </w:r>
      <w:r w:rsidR="006165E9">
        <w:t xml:space="preserve">the </w:t>
      </w:r>
      <w:r>
        <w:t>current bus network (red</w:t>
      </w:r>
      <w:r w:rsidR="007D2A98">
        <w:t xml:space="preserve"> bar</w:t>
      </w:r>
      <w:r w:rsidRPr="00C1735B">
        <w:t>) and</w:t>
      </w:r>
      <w:r w:rsidR="006165E9">
        <w:t xml:space="preserve"> the</w:t>
      </w:r>
      <w:r w:rsidRPr="00C1735B">
        <w:t xml:space="preserve"> optimal solution </w:t>
      </w:r>
      <w:r>
        <w:t xml:space="preserve">output from the model (blue </w:t>
      </w:r>
      <w:r w:rsidR="007D2A98">
        <w:t>bar</w:t>
      </w:r>
      <w:r w:rsidRPr="00C1735B">
        <w:t xml:space="preserve">) </w:t>
      </w:r>
      <w:proofErr w:type="gramStart"/>
      <w:r w:rsidRPr="00C1735B">
        <w:t>are displayed and compared</w:t>
      </w:r>
      <w:proofErr w:type="gramEnd"/>
      <w:r>
        <w:t>. The results show that</w:t>
      </w:r>
      <w:r w:rsidR="006165E9">
        <w:t xml:space="preserve"> the</w:t>
      </w:r>
      <w:r>
        <w:t xml:space="preserve"> TSC of </w:t>
      </w:r>
      <w:r w:rsidRPr="00C52D2D">
        <w:t>both initial and optimal solution</w:t>
      </w:r>
      <w:r w:rsidR="006165E9">
        <w:t>s</w:t>
      </w:r>
      <w:r>
        <w:t xml:space="preserve"> tend to increase as the weight of TUC increas</w:t>
      </w:r>
      <w:r w:rsidR="006165E9">
        <w:t>es</w:t>
      </w:r>
      <w:r>
        <w:t xml:space="preserve">. This </w:t>
      </w:r>
      <w:proofErr w:type="gramStart"/>
      <w:r>
        <w:t>is expected</w:t>
      </w:r>
      <w:proofErr w:type="gramEnd"/>
      <w:r>
        <w:t xml:space="preserve"> because the value of TUC is much greater than the TOC, and the increase in T</w:t>
      </w:r>
      <w:r w:rsidR="00093D12">
        <w:t>S</w:t>
      </w:r>
      <w:r>
        <w:t xml:space="preserve">C </w:t>
      </w:r>
      <w:r w:rsidR="00093D12">
        <w:t>resulting from</w:t>
      </w:r>
      <w:r>
        <w:t xml:space="preserve"> a 0.1 unit increase in the weight of TUC outweighs the decrease in T</w:t>
      </w:r>
      <w:r w:rsidR="00093D12">
        <w:t>S</w:t>
      </w:r>
      <w:r>
        <w:t xml:space="preserve">C </w:t>
      </w:r>
      <w:r w:rsidR="00093D12">
        <w:t>resulting from</w:t>
      </w:r>
      <w:r>
        <w:t xml:space="preserve"> a 0.1 unit decrease in the weight of TOC. </w:t>
      </w:r>
      <w:r w:rsidRPr="0052141E">
        <w:t xml:space="preserve">Figure </w:t>
      </w:r>
      <w:r w:rsidR="007D2A98" w:rsidRPr="0052141E">
        <w:t>5</w:t>
      </w:r>
      <w:r>
        <w:t xml:space="preserve"> also shows th</w:t>
      </w:r>
      <w:r w:rsidR="00093D12">
        <w:t>at</w:t>
      </w:r>
      <w:r>
        <w:t xml:space="preserve"> </w:t>
      </w:r>
      <w:r w:rsidR="00093D12">
        <w:t xml:space="preserve">the difference </w:t>
      </w:r>
      <w:r>
        <w:t>between the initial and optimal solution</w:t>
      </w:r>
      <w:r w:rsidR="00093D12">
        <w:t>s</w:t>
      </w:r>
      <w:r>
        <w:t xml:space="preserve"> increases</w:t>
      </w:r>
      <w:r w:rsidRPr="00C52D2D">
        <w:t xml:space="preserve"> when </w:t>
      </w:r>
      <w:r w:rsidR="00093D12">
        <w:t xml:space="preserve">TUC </w:t>
      </w:r>
      <w:proofErr w:type="gramStart"/>
      <w:r w:rsidR="00093D12">
        <w:t>is given</w:t>
      </w:r>
      <w:proofErr w:type="gramEnd"/>
      <w:r w:rsidR="00093D12">
        <w:t xml:space="preserve"> a greater </w:t>
      </w:r>
      <w:r w:rsidRPr="00C52D2D">
        <w:t>weight.</w:t>
      </w:r>
      <w:r>
        <w:t xml:space="preserve"> </w:t>
      </w:r>
      <w:r w:rsidRPr="00C52D2D">
        <w:t xml:space="preserve">This is because the fluctuations of the objective function mainly </w:t>
      </w:r>
      <w:r w:rsidR="00093D12">
        <w:t xml:space="preserve">result </w:t>
      </w:r>
      <w:r w:rsidRPr="00C52D2D">
        <w:t xml:space="preserve">from changes in TUC due to the maximum fleet size </w:t>
      </w:r>
      <w:proofErr w:type="gramStart"/>
      <w:r w:rsidRPr="00C52D2D">
        <w:t>constraint</w:t>
      </w:r>
      <w:r w:rsidR="00093D12">
        <w:t xml:space="preserve"> which</w:t>
      </w:r>
      <w:proofErr w:type="gramEnd"/>
      <w:r w:rsidR="00093D12">
        <w:t xml:space="preserve"> limits variations in TOC and TEC</w:t>
      </w:r>
      <w:r w:rsidRPr="00C52D2D">
        <w:t xml:space="preserve">. </w:t>
      </w:r>
    </w:p>
    <w:p w14:paraId="344A5706" w14:textId="10AF5E94" w:rsidR="005A5CE3" w:rsidRDefault="00F3281B" w:rsidP="00983C84">
      <w:pPr>
        <w:pStyle w:val="Newparagraph"/>
      </w:pPr>
      <w:r w:rsidRPr="0052141E">
        <w:t xml:space="preserve">Figure </w:t>
      </w:r>
      <w:r w:rsidR="007D2A98" w:rsidRPr="0052141E">
        <w:t>5</w:t>
      </w:r>
      <w:r w:rsidR="002E3AF2">
        <w:t xml:space="preserve"> indicates</w:t>
      </w:r>
      <w:r>
        <w:t xml:space="preserve"> a strong positive correlation between the weight of TUC and the value of TSC, but </w:t>
      </w:r>
      <w:r w:rsidR="002E3AF2">
        <w:t>does not determine</w:t>
      </w:r>
      <w:r>
        <w:t xml:space="preserve"> whether the fluctuation</w:t>
      </w:r>
      <w:r w:rsidR="002E3AF2">
        <w:t>s</w:t>
      </w:r>
      <w:r>
        <w:t xml:space="preserve"> </w:t>
      </w:r>
      <w:r w:rsidR="002E3AF2">
        <w:t xml:space="preserve">in </w:t>
      </w:r>
      <w:r>
        <w:t xml:space="preserve">the TSC </w:t>
      </w:r>
      <w:proofErr w:type="gramStart"/>
      <w:r w:rsidR="002E3AF2">
        <w:t>are determined</w:t>
      </w:r>
      <w:proofErr w:type="gramEnd"/>
      <w:r w:rsidR="002E3AF2">
        <w:t xml:space="preserve"> only by</w:t>
      </w:r>
      <w:r>
        <w:t xml:space="preserve"> differences </w:t>
      </w:r>
      <w:r w:rsidR="002E3AF2">
        <w:t>in</w:t>
      </w:r>
      <w:r>
        <w:t xml:space="preserve"> the weight of TUC or</w:t>
      </w:r>
      <w:r w:rsidR="002E3AF2">
        <w:t xml:space="preserve"> are also linked to</w:t>
      </w:r>
      <w:r>
        <w:t xml:space="preserve"> the value of TUC. The relationship between the weight set of the objective function and the TUC of </w:t>
      </w:r>
      <w:r w:rsidR="002E3AF2">
        <w:t xml:space="preserve">the </w:t>
      </w:r>
      <w:r>
        <w:t xml:space="preserve">optimal solution was </w:t>
      </w:r>
      <w:proofErr w:type="gramStart"/>
      <w:r w:rsidR="002E3AF2">
        <w:t>therefore also</w:t>
      </w:r>
      <w:proofErr w:type="gramEnd"/>
      <w:r w:rsidR="002E3AF2">
        <w:t xml:space="preserve"> </w:t>
      </w:r>
      <w:r>
        <w:t>checked (</w:t>
      </w:r>
      <w:r w:rsidRPr="0052141E">
        <w:t xml:space="preserve">see Figure </w:t>
      </w:r>
      <w:r w:rsidR="007D2A98" w:rsidRPr="0052141E">
        <w:t>6</w:t>
      </w:r>
      <w:r>
        <w:t xml:space="preserve">). </w:t>
      </w:r>
      <w:r w:rsidRPr="006E69C3">
        <w:t xml:space="preserve">For each line in </w:t>
      </w:r>
      <w:r w:rsidRPr="0052141E">
        <w:t xml:space="preserve">Figure </w:t>
      </w:r>
      <w:r w:rsidR="0052141E" w:rsidRPr="0052141E">
        <w:t>6</w:t>
      </w:r>
      <w:r w:rsidRPr="0052141E">
        <w:t>,</w:t>
      </w:r>
      <w:r w:rsidRPr="006E69C3">
        <w:t xml:space="preserve"> the weight of TEC (</w:t>
      </w:r>
      <m:oMath>
        <m:sSub>
          <m:sSubPr>
            <m:ctrlPr>
              <w:rPr>
                <w:rFonts w:ascii="Cambria Math" w:hAnsi="Cambria Math"/>
              </w:rPr>
            </m:ctrlPr>
          </m:sSubPr>
          <m:e>
            <m:r>
              <m:rPr>
                <m:sty m:val="p"/>
              </m:rPr>
              <w:rPr>
                <w:rFonts w:ascii="Cambria Math" w:hAnsi="Cambria Math"/>
              </w:rPr>
              <m:t>γ</m:t>
            </m:r>
          </m:e>
          <m:sub>
            <m:r>
              <m:rPr>
                <m:sty m:val="p"/>
              </m:rPr>
              <w:rPr>
                <w:rFonts w:ascii="Cambria Math" w:hAnsi="Cambria Math"/>
              </w:rPr>
              <m:t>2</m:t>
            </m:r>
          </m:sub>
        </m:sSub>
      </m:oMath>
      <w:r w:rsidRPr="006E69C3">
        <w:t>) is fixed</w:t>
      </w:r>
      <w:r w:rsidR="002E3AF2">
        <w:t xml:space="preserve"> at a value </w:t>
      </w:r>
      <w:r w:rsidRPr="006E69C3">
        <w:t>between 0.1 and 0.4. The horizontal axis indicates the weight of TUC</w:t>
      </w:r>
      <w:r w:rsidR="00934742">
        <w:t xml:space="preserve"> </w:t>
      </w:r>
      <w:r w:rsidR="00934742" w:rsidRPr="00C1735B">
        <w:t>(</w:t>
      </w:r>
      <m:oMath>
        <m:sSub>
          <m:sSubPr>
            <m:ctrlPr>
              <w:rPr>
                <w:rFonts w:ascii="Cambria Math" w:hAnsi="Cambria Math"/>
              </w:rPr>
            </m:ctrlPr>
          </m:sSubPr>
          <m:e>
            <m:r>
              <m:rPr>
                <m:sty m:val="p"/>
              </m:rPr>
              <w:rPr>
                <w:rFonts w:ascii="Cambria Math" w:hAnsi="Cambria Math"/>
              </w:rPr>
              <m:t>γ</m:t>
            </m:r>
          </m:e>
          <m:sub>
            <m:r>
              <m:rPr>
                <m:sty m:val="p"/>
              </m:rPr>
              <w:rPr>
                <w:rFonts w:ascii="Cambria Math" w:hAnsi="Cambria Math"/>
              </w:rPr>
              <m:t>3</m:t>
            </m:r>
          </m:sub>
        </m:sSub>
      </m:oMath>
      <w:r w:rsidR="00934742" w:rsidRPr="00C1735B">
        <w:t>)</w:t>
      </w:r>
      <w:r w:rsidRPr="006E69C3">
        <w:t xml:space="preserve">, and the vertical axis shows the value of TUC </w:t>
      </w:r>
      <w:r w:rsidR="002E3AF2">
        <w:t>for the</w:t>
      </w:r>
      <w:r w:rsidRPr="006E69C3">
        <w:t xml:space="preserve"> corresponding optimal solution. </w:t>
      </w:r>
      <w:r w:rsidR="002E3AF2">
        <w:t>The r</w:t>
      </w:r>
      <w:r>
        <w:t xml:space="preserve">esults show that the </w:t>
      </w:r>
      <w:r w:rsidRPr="00931170">
        <w:t>model output</w:t>
      </w:r>
      <w:r w:rsidR="002E3AF2">
        <w:t>s</w:t>
      </w:r>
      <w:r w:rsidRPr="00931170">
        <w:t xml:space="preserve"> better solutions when TUC</w:t>
      </w:r>
      <w:r w:rsidR="002E3AF2">
        <w:t xml:space="preserve"> </w:t>
      </w:r>
      <w:proofErr w:type="gramStart"/>
      <w:r w:rsidR="002E3AF2">
        <w:t>is</w:t>
      </w:r>
      <w:r w:rsidRPr="00931170">
        <w:t xml:space="preserve"> </w:t>
      </w:r>
      <w:r w:rsidR="002E3AF2">
        <w:t>given</w:t>
      </w:r>
      <w:proofErr w:type="gramEnd"/>
      <w:r w:rsidR="002E3AF2">
        <w:t xml:space="preserve"> a greater weight</w:t>
      </w:r>
      <w:r w:rsidRPr="00931170">
        <w:t>.</w:t>
      </w:r>
      <w:r w:rsidRPr="00332737">
        <w:t xml:space="preserve"> </w:t>
      </w:r>
      <w:r>
        <w:t xml:space="preserve">When </w:t>
      </w:r>
      <w:r w:rsidR="00AF6EC8">
        <w:t xml:space="preserve">the weights of TOC, TEC, and TUC are </w:t>
      </w:r>
      <w:r>
        <w:t>0.4, 0.2, and 0.4 respectively, the model output</w:t>
      </w:r>
      <w:r w:rsidR="00AF6EC8">
        <w:t>s</w:t>
      </w:r>
      <w:r>
        <w:t xml:space="preserve"> the optimal solution with minimum TUC. </w:t>
      </w:r>
    </w:p>
    <w:p w14:paraId="64A240FA" w14:textId="1E690E1F" w:rsidR="00B4597A" w:rsidRPr="00A43043" w:rsidRDefault="00B4597A" w:rsidP="00E46210">
      <w:pPr>
        <w:pStyle w:val="Heading3"/>
      </w:pPr>
      <w:r w:rsidRPr="000A0E62">
        <w:t xml:space="preserve">4.1.3 Effect of </w:t>
      </w:r>
      <w:r w:rsidR="005811CD" w:rsidRPr="000A0E62">
        <w:t>weight set of WKT and WTT</w:t>
      </w:r>
      <w:r w:rsidR="005811CD">
        <w:t xml:space="preserve"> </w:t>
      </w:r>
    </w:p>
    <w:p w14:paraId="62C969F6" w14:textId="6AED3FAF" w:rsidR="006340DC" w:rsidRDefault="006340DC" w:rsidP="006340DC">
      <w:pPr>
        <w:pStyle w:val="Newparagraph"/>
        <w:rPr>
          <w:lang w:eastAsia="zh-TW"/>
        </w:rPr>
      </w:pPr>
      <w:r>
        <w:rPr>
          <w:lang w:eastAsia="zh-TW"/>
        </w:rPr>
        <w:t xml:space="preserve">Under the fixed fleet size constraint, the major improvements </w:t>
      </w:r>
      <w:r w:rsidR="00AF6EC8">
        <w:rPr>
          <w:lang w:eastAsia="zh-TW"/>
        </w:rPr>
        <w:t>to</w:t>
      </w:r>
      <w:r>
        <w:rPr>
          <w:lang w:eastAsia="zh-TW"/>
        </w:rPr>
        <w:t xml:space="preserve"> the optimal solutions come from </w:t>
      </w:r>
      <w:r w:rsidR="00AF6EC8">
        <w:rPr>
          <w:lang w:eastAsia="zh-TW"/>
        </w:rPr>
        <w:t>a reduction in</w:t>
      </w:r>
      <w:r>
        <w:rPr>
          <w:lang w:eastAsia="zh-TW"/>
        </w:rPr>
        <w:t xml:space="preserve"> TUC compared with the current bus network. Th</w:t>
      </w:r>
      <w:r w:rsidR="00AF6EC8">
        <w:rPr>
          <w:lang w:eastAsia="zh-TW"/>
        </w:rPr>
        <w:t>e</w:t>
      </w:r>
      <w:r>
        <w:rPr>
          <w:lang w:eastAsia="zh-TW"/>
        </w:rPr>
        <w:t xml:space="preserve"> parameters used for calculating TUC </w:t>
      </w:r>
      <w:proofErr w:type="gramStart"/>
      <w:r>
        <w:rPr>
          <w:lang w:eastAsia="zh-TW"/>
        </w:rPr>
        <w:t>should</w:t>
      </w:r>
      <w:r w:rsidR="00AF6EC8">
        <w:rPr>
          <w:lang w:eastAsia="zh-TW"/>
        </w:rPr>
        <w:t xml:space="preserve"> therefore</w:t>
      </w:r>
      <w:r>
        <w:rPr>
          <w:lang w:eastAsia="zh-TW"/>
        </w:rPr>
        <w:t xml:space="preserve"> be tested</w:t>
      </w:r>
      <w:proofErr w:type="gramEnd"/>
      <w:r>
        <w:rPr>
          <w:lang w:eastAsia="zh-TW"/>
        </w:rPr>
        <w:t xml:space="preserve"> in</w:t>
      </w:r>
      <w:r w:rsidR="00AF6EC8">
        <w:rPr>
          <w:lang w:eastAsia="zh-TW"/>
        </w:rPr>
        <w:t xml:space="preserve"> a</w:t>
      </w:r>
      <w:r>
        <w:rPr>
          <w:lang w:eastAsia="zh-TW"/>
        </w:rPr>
        <w:t xml:space="preserve"> sensitivity analysis before implementing the model. Two categories of parameters, </w:t>
      </w:r>
      <w:r w:rsidR="00AF6EC8">
        <w:rPr>
          <w:lang w:eastAsia="zh-TW"/>
        </w:rPr>
        <w:t xml:space="preserve">the </w:t>
      </w:r>
      <w:r>
        <w:rPr>
          <w:lang w:eastAsia="zh-TW"/>
        </w:rPr>
        <w:t xml:space="preserve">weight set of WKT and WTT and </w:t>
      </w:r>
      <w:r w:rsidR="00AF6EC8">
        <w:rPr>
          <w:lang w:eastAsia="zh-TW"/>
        </w:rPr>
        <w:t xml:space="preserve">the </w:t>
      </w:r>
      <w:r>
        <w:rPr>
          <w:lang w:eastAsia="zh-TW"/>
        </w:rPr>
        <w:t xml:space="preserve">value of </w:t>
      </w:r>
      <w:r w:rsidR="00AF6EC8">
        <w:rPr>
          <w:lang w:eastAsia="zh-TW"/>
        </w:rPr>
        <w:t xml:space="preserve">the </w:t>
      </w:r>
      <w:r>
        <w:rPr>
          <w:lang w:eastAsia="zh-TW"/>
        </w:rPr>
        <w:t xml:space="preserve">transfer penalty, are essential in the process of calculating TUC, and sensitivity analyses of them are displayed in this and next section. </w:t>
      </w:r>
    </w:p>
    <w:p w14:paraId="1BBE767B" w14:textId="5B8041B0" w:rsidR="005A5CE3" w:rsidRDefault="006340DC" w:rsidP="00983C84">
      <w:pPr>
        <w:pStyle w:val="Newparagraph"/>
        <w:rPr>
          <w:lang w:eastAsia="zh-TW"/>
        </w:rPr>
      </w:pPr>
      <w:r>
        <w:rPr>
          <w:lang w:eastAsia="zh-TW"/>
        </w:rPr>
        <w:t xml:space="preserve">According to WebTAG </w:t>
      </w:r>
      <w:r w:rsidR="00BF3C93">
        <w:t>(</w:t>
      </w:r>
      <w:r w:rsidR="00BF3C93" w:rsidRPr="0017370B">
        <w:t>Department for Transport</w:t>
      </w:r>
      <w:r w:rsidR="00BF3C93">
        <w:t xml:space="preserve"> 2014a</w:t>
      </w:r>
      <w:r>
        <w:rPr>
          <w:lang w:eastAsia="zh-TW"/>
        </w:rPr>
        <w:t xml:space="preserve">), the value of WKT </w:t>
      </w:r>
      <w:r w:rsidR="00AF6EC8">
        <w:rPr>
          <w:lang w:eastAsia="zh-TW"/>
        </w:rPr>
        <w:t>is equivalent</w:t>
      </w:r>
      <w:r>
        <w:rPr>
          <w:lang w:eastAsia="zh-TW"/>
        </w:rPr>
        <w:t xml:space="preserve"> to 1.5</w:t>
      </w:r>
      <w:r w:rsidR="00AF6EC8">
        <w:rPr>
          <w:lang w:eastAsia="zh-TW"/>
        </w:rPr>
        <w:t>-</w:t>
      </w:r>
      <w:r>
        <w:rPr>
          <w:lang w:eastAsia="zh-TW"/>
        </w:rPr>
        <w:t>2.0 times</w:t>
      </w:r>
      <w:r w:rsidR="00AF6EC8">
        <w:rPr>
          <w:lang w:eastAsia="zh-TW"/>
        </w:rPr>
        <w:t xml:space="preserve"> the value of the same amount of</w:t>
      </w:r>
      <w:r>
        <w:rPr>
          <w:lang w:eastAsia="zh-TW"/>
        </w:rPr>
        <w:t xml:space="preserve"> IVT, while WTT is</w:t>
      </w:r>
      <w:r w:rsidR="00AF6EC8">
        <w:rPr>
          <w:lang w:eastAsia="zh-TW"/>
        </w:rPr>
        <w:t xml:space="preserve"> equivalent to </w:t>
      </w:r>
      <w:r>
        <w:rPr>
          <w:lang w:eastAsia="zh-TW"/>
        </w:rPr>
        <w:t>1.5</w:t>
      </w:r>
      <w:r w:rsidR="00AF6EC8">
        <w:rPr>
          <w:lang w:eastAsia="zh-TW"/>
        </w:rPr>
        <w:t>-</w:t>
      </w:r>
      <w:r>
        <w:rPr>
          <w:lang w:eastAsia="zh-TW"/>
        </w:rPr>
        <w:t>2.5 times</w:t>
      </w:r>
      <w:r w:rsidR="00AF6EC8">
        <w:rPr>
          <w:lang w:eastAsia="zh-TW"/>
        </w:rPr>
        <w:t xml:space="preserve"> IVT</w:t>
      </w:r>
      <w:r>
        <w:rPr>
          <w:lang w:eastAsia="zh-TW"/>
        </w:rPr>
        <w:t>. Thus, the W</w:t>
      </w:r>
      <w:r w:rsidRPr="0036177C">
        <w:rPr>
          <w:sz w:val="20"/>
          <w:szCs w:val="20"/>
          <w:lang w:eastAsia="zh-TW"/>
        </w:rPr>
        <w:t>wkt</w:t>
      </w:r>
      <w:r>
        <w:rPr>
          <w:lang w:eastAsia="zh-TW"/>
        </w:rPr>
        <w:t xml:space="preserve"> set is {1.5, 2.0}, </w:t>
      </w:r>
      <w:r w:rsidR="00AF6EC8">
        <w:rPr>
          <w:lang w:eastAsia="zh-TW"/>
        </w:rPr>
        <w:t xml:space="preserve">the </w:t>
      </w:r>
      <w:proofErr w:type="spellStart"/>
      <w:r>
        <w:rPr>
          <w:lang w:eastAsia="zh-TW"/>
        </w:rPr>
        <w:t>W</w:t>
      </w:r>
      <w:r w:rsidRPr="0036177C">
        <w:rPr>
          <w:sz w:val="20"/>
          <w:szCs w:val="20"/>
          <w:lang w:eastAsia="zh-TW"/>
        </w:rPr>
        <w:t>wtt</w:t>
      </w:r>
      <w:proofErr w:type="spellEnd"/>
      <w:r>
        <w:rPr>
          <w:lang w:eastAsia="zh-TW"/>
        </w:rPr>
        <w:t xml:space="preserve"> set is {1.5, 2.0, 2.5}, and weight set of (</w:t>
      </w:r>
      <w:proofErr w:type="spellStart"/>
      <w:r>
        <w:rPr>
          <w:lang w:eastAsia="zh-TW"/>
        </w:rPr>
        <w:t>W</w:t>
      </w:r>
      <w:r w:rsidRPr="0036177C">
        <w:rPr>
          <w:sz w:val="20"/>
          <w:szCs w:val="20"/>
          <w:lang w:eastAsia="zh-TW"/>
        </w:rPr>
        <w:t>wkt</w:t>
      </w:r>
      <w:proofErr w:type="spellEnd"/>
      <w:r>
        <w:rPr>
          <w:sz w:val="20"/>
          <w:szCs w:val="20"/>
          <w:lang w:eastAsia="zh-TW"/>
        </w:rPr>
        <w:t xml:space="preserve">, </w:t>
      </w:r>
      <w:proofErr w:type="spellStart"/>
      <w:r>
        <w:rPr>
          <w:lang w:eastAsia="zh-TW"/>
        </w:rPr>
        <w:t>W</w:t>
      </w:r>
      <w:r w:rsidRPr="0036177C">
        <w:rPr>
          <w:sz w:val="20"/>
          <w:szCs w:val="20"/>
          <w:lang w:eastAsia="zh-TW"/>
        </w:rPr>
        <w:t>wtt</w:t>
      </w:r>
      <w:proofErr w:type="spellEnd"/>
      <w:r>
        <w:rPr>
          <w:lang w:eastAsia="zh-TW"/>
        </w:rPr>
        <w:t>) = {(1.5, 1.5), (1.5, 2.0), (1.5, 2.5), (2.0, 1.5), (2.0, 2.0), (2.0, 2.5)}. In this section, the sensitivity of</w:t>
      </w:r>
      <w:r w:rsidR="00AF6EC8">
        <w:rPr>
          <w:lang w:eastAsia="zh-TW"/>
        </w:rPr>
        <w:t xml:space="preserve"> the</w:t>
      </w:r>
      <w:r>
        <w:rPr>
          <w:lang w:eastAsia="zh-TW"/>
        </w:rPr>
        <w:t xml:space="preserve"> model </w:t>
      </w:r>
      <w:proofErr w:type="gramStart"/>
      <w:r>
        <w:rPr>
          <w:lang w:eastAsia="zh-TW"/>
        </w:rPr>
        <w:t>was tested</w:t>
      </w:r>
      <w:proofErr w:type="gramEnd"/>
      <w:r>
        <w:rPr>
          <w:lang w:eastAsia="zh-TW"/>
        </w:rPr>
        <w:t xml:space="preserve"> by assigning each value in the weight set of (</w:t>
      </w:r>
      <w:proofErr w:type="spellStart"/>
      <w:r>
        <w:rPr>
          <w:lang w:eastAsia="zh-TW"/>
        </w:rPr>
        <w:t>W</w:t>
      </w:r>
      <w:r w:rsidRPr="0036177C">
        <w:rPr>
          <w:sz w:val="20"/>
          <w:szCs w:val="20"/>
          <w:lang w:eastAsia="zh-TW"/>
        </w:rPr>
        <w:t>wkt</w:t>
      </w:r>
      <w:proofErr w:type="spellEnd"/>
      <w:r>
        <w:rPr>
          <w:sz w:val="20"/>
          <w:szCs w:val="20"/>
          <w:lang w:eastAsia="zh-TW"/>
        </w:rPr>
        <w:t xml:space="preserve">, </w:t>
      </w:r>
      <w:proofErr w:type="spellStart"/>
      <w:r>
        <w:rPr>
          <w:lang w:eastAsia="zh-TW"/>
        </w:rPr>
        <w:t>W</w:t>
      </w:r>
      <w:r w:rsidRPr="0036177C">
        <w:rPr>
          <w:sz w:val="20"/>
          <w:szCs w:val="20"/>
          <w:lang w:eastAsia="zh-TW"/>
        </w:rPr>
        <w:t>wtt</w:t>
      </w:r>
      <w:proofErr w:type="spellEnd"/>
      <w:r>
        <w:rPr>
          <w:sz w:val="20"/>
          <w:szCs w:val="20"/>
          <w:lang w:eastAsia="zh-TW"/>
        </w:rPr>
        <w:t xml:space="preserve">) </w:t>
      </w:r>
      <w:r>
        <w:rPr>
          <w:lang w:eastAsia="zh-TW"/>
        </w:rPr>
        <w:t xml:space="preserve">to TUC, and </w:t>
      </w:r>
      <w:r w:rsidR="00AF6EC8">
        <w:rPr>
          <w:lang w:eastAsia="zh-TW"/>
        </w:rPr>
        <w:t xml:space="preserve">the </w:t>
      </w:r>
      <w:r>
        <w:rPr>
          <w:lang w:eastAsia="zh-TW"/>
        </w:rPr>
        <w:t xml:space="preserve">results are shown in </w:t>
      </w:r>
      <w:r w:rsidR="008C4CB6" w:rsidRPr="0052141E">
        <w:rPr>
          <w:lang w:eastAsia="zh-TW"/>
        </w:rPr>
        <w:t>Figure 7</w:t>
      </w:r>
      <w:r w:rsidRPr="0052141E">
        <w:rPr>
          <w:lang w:eastAsia="zh-TW"/>
        </w:rPr>
        <w:t xml:space="preserve"> and </w:t>
      </w:r>
      <w:r w:rsidR="008C4CB6" w:rsidRPr="0052141E">
        <w:rPr>
          <w:lang w:eastAsia="zh-TW"/>
        </w:rPr>
        <w:t>8</w:t>
      </w:r>
      <w:r w:rsidRPr="0052141E">
        <w:rPr>
          <w:lang w:eastAsia="zh-TW"/>
        </w:rPr>
        <w:t xml:space="preserve">. Figure </w:t>
      </w:r>
      <w:proofErr w:type="gramStart"/>
      <w:r w:rsidR="008C4CB6" w:rsidRPr="0052141E">
        <w:rPr>
          <w:lang w:eastAsia="zh-TW"/>
        </w:rPr>
        <w:t>7</w:t>
      </w:r>
      <w:proofErr w:type="gramEnd"/>
      <w:r>
        <w:rPr>
          <w:lang w:eastAsia="zh-TW"/>
        </w:rPr>
        <w:t xml:space="preserve"> </w:t>
      </w:r>
      <w:r w:rsidR="00AF6EC8">
        <w:rPr>
          <w:lang w:eastAsia="zh-TW"/>
        </w:rPr>
        <w:t>shows</w:t>
      </w:r>
      <w:r>
        <w:rPr>
          <w:lang w:eastAsia="zh-TW"/>
        </w:rPr>
        <w:t xml:space="preserve"> that</w:t>
      </w:r>
      <w:r w:rsidR="00AF6EC8">
        <w:rPr>
          <w:lang w:eastAsia="zh-TW"/>
        </w:rPr>
        <w:t xml:space="preserve"> the</w:t>
      </w:r>
      <w:r>
        <w:rPr>
          <w:lang w:eastAsia="zh-TW"/>
        </w:rPr>
        <w:t xml:space="preserve"> TSC of both</w:t>
      </w:r>
      <w:r w:rsidR="00AF6EC8">
        <w:rPr>
          <w:lang w:eastAsia="zh-TW"/>
        </w:rPr>
        <w:t xml:space="preserve"> the</w:t>
      </w:r>
      <w:r>
        <w:rPr>
          <w:lang w:eastAsia="zh-TW"/>
        </w:rPr>
        <w:t xml:space="preserve"> initial (red bar) and </w:t>
      </w:r>
      <w:r w:rsidR="00AF6EC8">
        <w:rPr>
          <w:lang w:eastAsia="zh-TW"/>
        </w:rPr>
        <w:t xml:space="preserve">the </w:t>
      </w:r>
      <w:r>
        <w:rPr>
          <w:lang w:eastAsia="zh-TW"/>
        </w:rPr>
        <w:t xml:space="preserve">optimal solution (blue bar) increase when </w:t>
      </w:r>
      <w:proofErr w:type="spellStart"/>
      <w:r>
        <w:rPr>
          <w:lang w:eastAsia="zh-TW"/>
        </w:rPr>
        <w:t>W</w:t>
      </w:r>
      <w:r w:rsidRPr="0036177C">
        <w:rPr>
          <w:sz w:val="20"/>
          <w:szCs w:val="20"/>
          <w:lang w:eastAsia="zh-TW"/>
        </w:rPr>
        <w:t>wkt</w:t>
      </w:r>
      <w:proofErr w:type="spellEnd"/>
      <w:r>
        <w:rPr>
          <w:sz w:val="20"/>
          <w:szCs w:val="20"/>
          <w:lang w:eastAsia="zh-TW"/>
        </w:rPr>
        <w:t xml:space="preserve"> </w:t>
      </w:r>
      <w:r w:rsidRPr="00FA6645">
        <w:rPr>
          <w:lang w:eastAsia="zh-TW"/>
        </w:rPr>
        <w:t xml:space="preserve">and </w:t>
      </w:r>
      <w:proofErr w:type="spellStart"/>
      <w:r>
        <w:rPr>
          <w:lang w:eastAsia="zh-TW"/>
        </w:rPr>
        <w:t>W</w:t>
      </w:r>
      <w:r w:rsidRPr="0036177C">
        <w:rPr>
          <w:sz w:val="20"/>
          <w:szCs w:val="20"/>
          <w:lang w:eastAsia="zh-TW"/>
        </w:rPr>
        <w:t>wtt</w:t>
      </w:r>
      <w:proofErr w:type="spellEnd"/>
      <w:r w:rsidR="00AF6EC8">
        <w:rPr>
          <w:sz w:val="20"/>
          <w:szCs w:val="20"/>
          <w:vertAlign w:val="superscript"/>
          <w:lang w:eastAsia="zh-TW"/>
        </w:rPr>
        <w:t xml:space="preserve"> </w:t>
      </w:r>
      <w:r w:rsidR="00AF6EC8">
        <w:rPr>
          <w:lang w:eastAsia="zh-TW"/>
        </w:rPr>
        <w:t>are given a greater value</w:t>
      </w:r>
      <w:r>
        <w:rPr>
          <w:lang w:eastAsia="zh-TW"/>
        </w:rPr>
        <w:t xml:space="preserve">. This is because the value of TUC will increase if WKT and WTT </w:t>
      </w:r>
      <w:proofErr w:type="gramStart"/>
      <w:r>
        <w:rPr>
          <w:lang w:eastAsia="zh-TW"/>
        </w:rPr>
        <w:t xml:space="preserve">are </w:t>
      </w:r>
      <w:r w:rsidR="00AF6EC8">
        <w:rPr>
          <w:lang w:eastAsia="zh-TW"/>
        </w:rPr>
        <w:t>assumed</w:t>
      </w:r>
      <w:proofErr w:type="gramEnd"/>
      <w:r w:rsidR="00AF6EC8">
        <w:rPr>
          <w:lang w:eastAsia="zh-TW"/>
        </w:rPr>
        <w:t xml:space="preserve"> to have a greater cost for users</w:t>
      </w:r>
      <w:r>
        <w:rPr>
          <w:lang w:eastAsia="zh-TW"/>
        </w:rPr>
        <w:t xml:space="preserve">. With the same weight set, the </w:t>
      </w:r>
      <w:r w:rsidR="00AF6EC8">
        <w:rPr>
          <w:lang w:eastAsia="zh-TW"/>
        </w:rPr>
        <w:t>difference</w:t>
      </w:r>
      <w:r>
        <w:rPr>
          <w:lang w:eastAsia="zh-TW"/>
        </w:rPr>
        <w:t xml:space="preserve"> between the red and blue bar</w:t>
      </w:r>
      <w:r w:rsidR="00AF6EC8">
        <w:rPr>
          <w:lang w:eastAsia="zh-TW"/>
        </w:rPr>
        <w:t>s</w:t>
      </w:r>
      <w:r>
        <w:rPr>
          <w:lang w:eastAsia="zh-TW"/>
        </w:rPr>
        <w:t xml:space="preserve"> </w:t>
      </w:r>
      <w:r w:rsidR="00AF6EC8">
        <w:rPr>
          <w:lang w:eastAsia="zh-TW"/>
        </w:rPr>
        <w:t>show</w:t>
      </w:r>
      <w:r>
        <w:rPr>
          <w:lang w:eastAsia="zh-TW"/>
        </w:rPr>
        <w:t xml:space="preserve">s the improvement of the optimal solution compared with the initial solution, and </w:t>
      </w:r>
      <w:r w:rsidRPr="0052141E">
        <w:rPr>
          <w:lang w:eastAsia="zh-TW"/>
        </w:rPr>
        <w:t xml:space="preserve">Figure </w:t>
      </w:r>
      <w:r w:rsidR="008C4CB6" w:rsidRPr="0052141E">
        <w:rPr>
          <w:lang w:eastAsia="zh-TW"/>
        </w:rPr>
        <w:t>8</w:t>
      </w:r>
      <w:r>
        <w:rPr>
          <w:lang w:eastAsia="zh-TW"/>
        </w:rPr>
        <w:t xml:space="preserve"> </w:t>
      </w:r>
      <w:r w:rsidR="00AF6EC8">
        <w:rPr>
          <w:lang w:eastAsia="zh-TW"/>
        </w:rPr>
        <w:t>shows this in</w:t>
      </w:r>
      <w:r>
        <w:rPr>
          <w:lang w:eastAsia="zh-TW"/>
        </w:rPr>
        <w:t xml:space="preserve"> more detail. The </w:t>
      </w:r>
      <w:r w:rsidR="00AF6EC8">
        <w:rPr>
          <w:lang w:eastAsia="zh-TW"/>
        </w:rPr>
        <w:t xml:space="preserve">magnitude of the </w:t>
      </w:r>
      <w:r>
        <w:rPr>
          <w:lang w:eastAsia="zh-TW"/>
        </w:rPr>
        <w:t xml:space="preserve">improvement </w:t>
      </w:r>
      <w:r w:rsidR="00AF6EC8">
        <w:rPr>
          <w:lang w:eastAsia="zh-TW"/>
        </w:rPr>
        <w:t>in the</w:t>
      </w:r>
      <w:r>
        <w:rPr>
          <w:lang w:eastAsia="zh-TW"/>
        </w:rPr>
        <w:t xml:space="preserve"> optimal solution </w:t>
      </w:r>
      <w:r w:rsidR="00022B33">
        <w:rPr>
          <w:lang w:eastAsia="zh-TW"/>
        </w:rPr>
        <w:t>show</w:t>
      </w:r>
      <w:r w:rsidR="00AF6EC8">
        <w:rPr>
          <w:lang w:eastAsia="zh-TW"/>
        </w:rPr>
        <w:t>s</w:t>
      </w:r>
      <w:r w:rsidR="00022B33">
        <w:rPr>
          <w:lang w:eastAsia="zh-TW"/>
        </w:rPr>
        <w:t xml:space="preserve"> no strong relationship with the weight set of WKT and WTT, </w:t>
      </w:r>
      <w:r>
        <w:rPr>
          <w:lang w:eastAsia="zh-TW"/>
        </w:rPr>
        <w:t>rang</w:t>
      </w:r>
      <w:r w:rsidR="00022B33">
        <w:rPr>
          <w:lang w:eastAsia="zh-TW"/>
        </w:rPr>
        <w:t>ing</w:t>
      </w:r>
      <w:r>
        <w:rPr>
          <w:lang w:eastAsia="zh-TW"/>
        </w:rPr>
        <w:t xml:space="preserve"> between 4.62% and 6.85%. The optimal solution </w:t>
      </w:r>
      <w:r w:rsidR="00681BC9">
        <w:rPr>
          <w:lang w:eastAsia="zh-TW"/>
        </w:rPr>
        <w:t xml:space="preserve">with maximum improvement </w:t>
      </w:r>
      <w:r>
        <w:rPr>
          <w:lang w:eastAsia="zh-TW"/>
        </w:rPr>
        <w:t>is output by the model when 1.5</w:t>
      </w:r>
      <w:r w:rsidR="00AF6EC8">
        <w:rPr>
          <w:lang w:eastAsia="zh-TW"/>
        </w:rPr>
        <w:t xml:space="preserve"> and</w:t>
      </w:r>
      <w:r>
        <w:rPr>
          <w:lang w:eastAsia="zh-TW"/>
        </w:rPr>
        <w:t xml:space="preserve"> 2.5 are weights of WKT </w:t>
      </w:r>
      <w:r w:rsidRPr="00994C2E">
        <w:rPr>
          <w:lang w:eastAsia="zh-TW"/>
        </w:rPr>
        <w:t>and</w:t>
      </w:r>
      <w:r>
        <w:rPr>
          <w:sz w:val="20"/>
          <w:szCs w:val="20"/>
          <w:lang w:eastAsia="zh-TW"/>
        </w:rPr>
        <w:t xml:space="preserve"> </w:t>
      </w:r>
      <w:r>
        <w:rPr>
          <w:lang w:eastAsia="zh-TW"/>
        </w:rPr>
        <w:t>W</w:t>
      </w:r>
      <w:r w:rsidRPr="00543935">
        <w:rPr>
          <w:lang w:eastAsia="zh-TW"/>
        </w:rPr>
        <w:t>TT</w:t>
      </w:r>
      <w:r w:rsidRPr="00994C2E">
        <w:rPr>
          <w:lang w:eastAsia="zh-TW"/>
        </w:rPr>
        <w:t xml:space="preserve">, respectively. </w:t>
      </w:r>
    </w:p>
    <w:p w14:paraId="549D0C1E" w14:textId="041E3C11" w:rsidR="005811CD" w:rsidRDefault="005811CD" w:rsidP="00E46210">
      <w:pPr>
        <w:pStyle w:val="Heading3"/>
      </w:pPr>
      <w:r w:rsidRPr="00266462">
        <w:t>4.1.4 Effect of varying the transfer penalty</w:t>
      </w:r>
      <w:r>
        <w:t xml:space="preserve"> </w:t>
      </w:r>
    </w:p>
    <w:p w14:paraId="3478809F" w14:textId="565EAA9D" w:rsidR="005A5CE3" w:rsidRDefault="005811CD" w:rsidP="00983C84">
      <w:pPr>
        <w:pStyle w:val="Newparagraph"/>
        <w:rPr>
          <w:lang w:eastAsia="zh-TW"/>
        </w:rPr>
      </w:pPr>
      <w:r>
        <w:rPr>
          <w:lang w:eastAsia="zh-TW"/>
        </w:rPr>
        <w:t>According to WebTAG (</w:t>
      </w:r>
      <w:r w:rsidR="00BF3C93" w:rsidRPr="0017370B">
        <w:t>Department for Transport</w:t>
      </w:r>
      <w:r w:rsidR="00BF3C93">
        <w:t xml:space="preserve"> 2014a</w:t>
      </w:r>
      <w:r>
        <w:rPr>
          <w:lang w:eastAsia="zh-TW"/>
        </w:rPr>
        <w:t xml:space="preserve">), the value of </w:t>
      </w:r>
      <w:r w:rsidR="00AF6EC8">
        <w:rPr>
          <w:lang w:eastAsia="zh-TW"/>
        </w:rPr>
        <w:t xml:space="preserve">the </w:t>
      </w:r>
      <w:r>
        <w:rPr>
          <w:lang w:eastAsia="zh-TW"/>
        </w:rPr>
        <w:t>transfer penalty is</w:t>
      </w:r>
      <w:r w:rsidR="00AF6EC8">
        <w:rPr>
          <w:lang w:eastAsia="zh-TW"/>
        </w:rPr>
        <w:t xml:space="preserve"> equivalent to</w:t>
      </w:r>
      <w:r>
        <w:rPr>
          <w:lang w:eastAsia="zh-TW"/>
        </w:rPr>
        <w:t xml:space="preserve"> 5</w:t>
      </w:r>
      <w:r w:rsidR="00AF6EC8">
        <w:rPr>
          <w:lang w:eastAsia="zh-TW"/>
        </w:rPr>
        <w:t>-</w:t>
      </w:r>
      <w:r>
        <w:rPr>
          <w:lang w:eastAsia="zh-TW"/>
        </w:rPr>
        <w:t xml:space="preserve">10 minutes of IVT per interchange, so the possible transfer penalty set is {5, 6, 7, 8, 9, 10}. The </w:t>
      </w:r>
      <w:r w:rsidR="00AF6EC8">
        <w:rPr>
          <w:lang w:eastAsia="zh-TW"/>
        </w:rPr>
        <w:t>results from</w:t>
      </w:r>
      <w:r>
        <w:rPr>
          <w:lang w:eastAsia="zh-TW"/>
        </w:rPr>
        <w:t xml:space="preserve"> varying </w:t>
      </w:r>
      <w:r w:rsidR="00AF6EC8">
        <w:rPr>
          <w:lang w:eastAsia="zh-TW"/>
        </w:rPr>
        <w:t xml:space="preserve">the </w:t>
      </w:r>
      <w:r>
        <w:rPr>
          <w:lang w:eastAsia="zh-TW"/>
        </w:rPr>
        <w:t>value</w:t>
      </w:r>
      <w:r w:rsidR="00AF6EC8">
        <w:rPr>
          <w:lang w:eastAsia="zh-TW"/>
        </w:rPr>
        <w:t xml:space="preserve"> of the </w:t>
      </w:r>
      <w:r>
        <w:rPr>
          <w:lang w:eastAsia="zh-TW"/>
        </w:rPr>
        <w:t xml:space="preserve">transfer penalty </w:t>
      </w:r>
      <w:proofErr w:type="gramStart"/>
      <w:r>
        <w:rPr>
          <w:lang w:eastAsia="zh-TW"/>
        </w:rPr>
        <w:t>are</w:t>
      </w:r>
      <w:r w:rsidR="00AF6EC8">
        <w:rPr>
          <w:lang w:eastAsia="zh-TW"/>
        </w:rPr>
        <w:t xml:space="preserve"> shown</w:t>
      </w:r>
      <w:proofErr w:type="gramEnd"/>
      <w:r>
        <w:rPr>
          <w:lang w:eastAsia="zh-TW"/>
        </w:rPr>
        <w:t xml:space="preserve"> in </w:t>
      </w:r>
      <w:r w:rsidRPr="0052141E">
        <w:rPr>
          <w:lang w:eastAsia="zh-TW"/>
        </w:rPr>
        <w:t>Figure</w:t>
      </w:r>
      <w:r w:rsidR="00AF6EC8">
        <w:rPr>
          <w:lang w:eastAsia="zh-TW"/>
        </w:rPr>
        <w:t>s</w:t>
      </w:r>
      <w:r w:rsidRPr="0052141E">
        <w:rPr>
          <w:lang w:eastAsia="zh-TW"/>
        </w:rPr>
        <w:t xml:space="preserve"> 9 and 10. Figure </w:t>
      </w:r>
      <w:proofErr w:type="gramStart"/>
      <w:r w:rsidRPr="0052141E">
        <w:rPr>
          <w:lang w:eastAsia="zh-TW"/>
        </w:rPr>
        <w:t>9</w:t>
      </w:r>
      <w:proofErr w:type="gramEnd"/>
      <w:r>
        <w:rPr>
          <w:lang w:eastAsia="zh-TW"/>
        </w:rPr>
        <w:t xml:space="preserve"> shows</w:t>
      </w:r>
      <w:r w:rsidR="00AF6EC8">
        <w:rPr>
          <w:lang w:eastAsia="zh-TW"/>
        </w:rPr>
        <w:t xml:space="preserve"> that the</w:t>
      </w:r>
      <w:r>
        <w:rPr>
          <w:lang w:eastAsia="zh-TW"/>
        </w:rPr>
        <w:t xml:space="preserve"> TSC of both </w:t>
      </w:r>
      <w:r w:rsidR="00AF6EC8">
        <w:rPr>
          <w:lang w:eastAsia="zh-TW"/>
        </w:rPr>
        <w:t xml:space="preserve">the </w:t>
      </w:r>
      <w:r>
        <w:rPr>
          <w:lang w:eastAsia="zh-TW"/>
        </w:rPr>
        <w:t>initial and optimal solution</w:t>
      </w:r>
      <w:r w:rsidR="00AF6EC8">
        <w:rPr>
          <w:lang w:eastAsia="zh-TW"/>
        </w:rPr>
        <w:t>s</w:t>
      </w:r>
      <w:r>
        <w:rPr>
          <w:lang w:eastAsia="zh-TW"/>
        </w:rPr>
        <w:t xml:space="preserve"> increase</w:t>
      </w:r>
      <w:r w:rsidR="00AF6EC8">
        <w:rPr>
          <w:lang w:eastAsia="zh-TW"/>
        </w:rPr>
        <w:t>s</w:t>
      </w:r>
      <w:r>
        <w:rPr>
          <w:lang w:eastAsia="zh-TW"/>
        </w:rPr>
        <w:t xml:space="preserve"> when </w:t>
      </w:r>
      <w:r w:rsidR="00AF6EC8">
        <w:rPr>
          <w:lang w:eastAsia="zh-TW"/>
        </w:rPr>
        <w:t>higher values are used for the</w:t>
      </w:r>
      <w:r>
        <w:rPr>
          <w:lang w:eastAsia="zh-TW"/>
        </w:rPr>
        <w:t xml:space="preserve"> transfer penalty. This </w:t>
      </w:r>
      <w:proofErr w:type="gramStart"/>
      <w:r w:rsidR="00AF6EC8">
        <w:rPr>
          <w:lang w:eastAsia="zh-TW"/>
        </w:rPr>
        <w:t>would be</w:t>
      </w:r>
      <w:r>
        <w:rPr>
          <w:lang w:eastAsia="zh-TW"/>
        </w:rPr>
        <w:t xml:space="preserve"> expected</w:t>
      </w:r>
      <w:proofErr w:type="gramEnd"/>
      <w:r>
        <w:rPr>
          <w:lang w:eastAsia="zh-TW"/>
        </w:rPr>
        <w:t xml:space="preserve"> because the value of TUC will increase if</w:t>
      </w:r>
      <w:r w:rsidR="00AF6EC8">
        <w:rPr>
          <w:lang w:eastAsia="zh-TW"/>
        </w:rPr>
        <w:t xml:space="preserve"> a larger</w:t>
      </w:r>
      <w:r>
        <w:rPr>
          <w:lang w:eastAsia="zh-TW"/>
        </w:rPr>
        <w:t xml:space="preserve"> transfer penalty is </w:t>
      </w:r>
      <w:r w:rsidR="00AF6EC8">
        <w:rPr>
          <w:lang w:eastAsia="zh-TW"/>
        </w:rPr>
        <w:t>used</w:t>
      </w:r>
      <w:r>
        <w:rPr>
          <w:lang w:eastAsia="zh-TW"/>
        </w:rPr>
        <w:t xml:space="preserve">. The relationship between transfer penalty and </w:t>
      </w:r>
      <w:r w:rsidR="00AF6EC8">
        <w:rPr>
          <w:lang w:eastAsia="zh-TW"/>
        </w:rPr>
        <w:t xml:space="preserve">the level of </w:t>
      </w:r>
      <w:r>
        <w:rPr>
          <w:lang w:eastAsia="zh-TW"/>
        </w:rPr>
        <w:t xml:space="preserve">improvement </w:t>
      </w:r>
      <w:r w:rsidR="00AF6EC8">
        <w:rPr>
          <w:lang w:eastAsia="zh-TW"/>
        </w:rPr>
        <w:t>in</w:t>
      </w:r>
      <w:r>
        <w:rPr>
          <w:lang w:eastAsia="zh-TW"/>
        </w:rPr>
        <w:t xml:space="preserve"> TSC </w:t>
      </w:r>
      <w:proofErr w:type="gramStart"/>
      <w:r>
        <w:rPr>
          <w:lang w:eastAsia="zh-TW"/>
        </w:rPr>
        <w:t>is displayed</w:t>
      </w:r>
      <w:proofErr w:type="gramEnd"/>
      <w:r>
        <w:rPr>
          <w:lang w:eastAsia="zh-TW"/>
        </w:rPr>
        <w:t xml:space="preserve"> in </w:t>
      </w:r>
      <w:r w:rsidRPr="0052141E">
        <w:rPr>
          <w:lang w:eastAsia="zh-TW"/>
        </w:rPr>
        <w:t>Figure 10.</w:t>
      </w:r>
      <w:r>
        <w:rPr>
          <w:lang w:eastAsia="zh-TW"/>
        </w:rPr>
        <w:t xml:space="preserve"> </w:t>
      </w:r>
      <w:r w:rsidR="00AF6EC8">
        <w:rPr>
          <w:lang w:eastAsia="zh-TW"/>
        </w:rPr>
        <w:t xml:space="preserve">This shows that there is no consistent relationship between the level of transfer penalty and the corresponding improvement in TSC, which </w:t>
      </w:r>
      <w:r>
        <w:rPr>
          <w:lang w:eastAsia="zh-TW"/>
        </w:rPr>
        <w:t>fluctuat</w:t>
      </w:r>
      <w:r w:rsidR="00AF6EC8">
        <w:rPr>
          <w:lang w:eastAsia="zh-TW"/>
        </w:rPr>
        <w:t>es</w:t>
      </w:r>
      <w:r>
        <w:rPr>
          <w:lang w:eastAsia="zh-TW"/>
        </w:rPr>
        <w:t xml:space="preserve"> between 5.46% and 7.61%. The model output</w:t>
      </w:r>
      <w:r w:rsidR="00AF6EC8">
        <w:rPr>
          <w:lang w:eastAsia="zh-TW"/>
        </w:rPr>
        <w:t>s an</w:t>
      </w:r>
      <w:r>
        <w:rPr>
          <w:lang w:eastAsia="zh-TW"/>
        </w:rPr>
        <w:t xml:space="preserve"> optimal </w:t>
      </w:r>
      <w:proofErr w:type="gramStart"/>
      <w:r>
        <w:rPr>
          <w:lang w:eastAsia="zh-TW"/>
        </w:rPr>
        <w:t xml:space="preserve">solution </w:t>
      </w:r>
      <w:r w:rsidR="00B76ADB">
        <w:rPr>
          <w:lang w:eastAsia="zh-TW"/>
        </w:rPr>
        <w:t>which</w:t>
      </w:r>
      <w:proofErr w:type="gramEnd"/>
      <w:r w:rsidR="00B76ADB">
        <w:rPr>
          <w:lang w:eastAsia="zh-TW"/>
        </w:rPr>
        <w:t xml:space="preserve"> </w:t>
      </w:r>
      <w:r w:rsidR="00681BC9">
        <w:rPr>
          <w:lang w:eastAsia="zh-TW"/>
        </w:rPr>
        <w:t xml:space="preserve">gives </w:t>
      </w:r>
      <w:r w:rsidR="00B76ADB">
        <w:rPr>
          <w:lang w:eastAsia="zh-TW"/>
        </w:rPr>
        <w:t xml:space="preserve">the biggest improvement over the current network </w:t>
      </w:r>
      <w:r>
        <w:rPr>
          <w:lang w:eastAsia="zh-TW"/>
        </w:rPr>
        <w:t>when the transfer penalty is</w:t>
      </w:r>
      <w:r w:rsidR="00AF6EC8">
        <w:rPr>
          <w:lang w:eastAsia="zh-TW"/>
        </w:rPr>
        <w:t xml:space="preserve"> set to</w:t>
      </w:r>
      <w:r>
        <w:rPr>
          <w:lang w:eastAsia="zh-TW"/>
        </w:rPr>
        <w:t xml:space="preserve"> 8 minutes of IVT. </w:t>
      </w:r>
    </w:p>
    <w:p w14:paraId="0F64D894" w14:textId="48D040D8" w:rsidR="00A43043" w:rsidRPr="00A43043" w:rsidRDefault="00E124D9" w:rsidP="00A43043">
      <w:pPr>
        <w:pStyle w:val="Heading2"/>
      </w:pPr>
      <w:r w:rsidRPr="00623D8D">
        <w:t xml:space="preserve">4.2 </w:t>
      </w:r>
      <w:r w:rsidR="00B4597A" w:rsidRPr="00623D8D">
        <w:t>B</w:t>
      </w:r>
      <w:r w:rsidR="005811CD" w:rsidRPr="00623D8D">
        <w:t>est</w:t>
      </w:r>
      <w:r w:rsidRPr="00623D8D">
        <w:t xml:space="preserve"> solution</w:t>
      </w:r>
    </w:p>
    <w:p w14:paraId="3B06F631" w14:textId="22A285A1" w:rsidR="00681BC9" w:rsidRDefault="00681BC9" w:rsidP="00681BC9">
      <w:pPr>
        <w:pStyle w:val="Newparagraph"/>
      </w:pPr>
      <w:r w:rsidRPr="00200206">
        <w:t xml:space="preserve">Based on the </w:t>
      </w:r>
      <w:r>
        <w:t>sensitivity analys</w:t>
      </w:r>
      <w:r w:rsidR="00AF6EC8">
        <w:t>i</w:t>
      </w:r>
      <w:r>
        <w:t xml:space="preserve">s, the optimal networks </w:t>
      </w:r>
      <w:proofErr w:type="gramStart"/>
      <w:r>
        <w:t>were generated</w:t>
      </w:r>
      <w:proofErr w:type="gramEnd"/>
      <w:r>
        <w:t xml:space="preserve"> by using the following optimisation settings: 80 as the maximum generation number, 0.4, 0.4, and 0.2 as the weights of TOC, TUC and TEC, respectively, 1.75 and 2.0 as the weights of WKT and WTT, and 7.5 minutes of IVT per interchange as the transfer penalty.  </w:t>
      </w:r>
    </w:p>
    <w:p w14:paraId="70ECF13B" w14:textId="3CF7EF6B" w:rsidR="00007753" w:rsidRDefault="00681BC9" w:rsidP="00DE39F9">
      <w:pPr>
        <w:pStyle w:val="Newparagraph"/>
      </w:pPr>
      <w:r>
        <w:t xml:space="preserve">Without adding additional vehicles to the network, optimal solutions were output from the </w:t>
      </w:r>
      <w:r w:rsidR="001452B7">
        <w:t>optimisation</w:t>
      </w:r>
      <w:r>
        <w:t xml:space="preserve"> model, and the best three of them were chosen as the </w:t>
      </w:r>
      <w:proofErr w:type="gramStart"/>
      <w:r>
        <w:t>final results</w:t>
      </w:r>
      <w:proofErr w:type="gramEnd"/>
      <w:r>
        <w:t xml:space="preserve">. </w:t>
      </w:r>
      <w:r w:rsidRPr="005A5CE3">
        <w:t>Table 1</w:t>
      </w:r>
      <w:r>
        <w:t xml:space="preserve"> lists and compares the characteristics of these output optimal solutions, as well as the current bus network. The </w:t>
      </w:r>
      <w:r w:rsidRPr="00E2789F">
        <w:t>difference</w:t>
      </w:r>
      <w:r>
        <w:t xml:space="preserve"> in TSC</w:t>
      </w:r>
      <w:r w:rsidRPr="00E2789F">
        <w:t xml:space="preserve"> between </w:t>
      </w:r>
      <w:r>
        <w:t>the optimal solutions</w:t>
      </w:r>
      <w:r w:rsidRPr="00E2789F">
        <w:t xml:space="preserve"> and the initial solution is </w:t>
      </w:r>
      <w:r>
        <w:t xml:space="preserve">around 6%, which mainly comes from the improvements in TUC (approximately 9% improvement on average) because of the maximum fleet size constraint. </w:t>
      </w:r>
      <w:r w:rsidRPr="0006040A">
        <w:t>Compared with the current bus network, the optimal solutions have a higher number of routes, shorter lengths of individual routes on average, and a slightly lower mean frequency across the network</w:t>
      </w:r>
      <w:r>
        <w:t xml:space="preserve">. This is expected because the </w:t>
      </w:r>
      <w:proofErr w:type="gramStart"/>
      <w:r>
        <w:t>candidate routes were generated by the k-shortest path algorithm for each terminal pair in the possible terminal set</w:t>
      </w:r>
      <w:proofErr w:type="gramEnd"/>
      <w:r>
        <w:t>. In reality, bus operators are concerned about the economic benefits as well as service convenience. Hence, despite the existence of terminals</w:t>
      </w:r>
      <w:r w:rsidR="00D9205E">
        <w:t xml:space="preserve"> (the starting and ending </w:t>
      </w:r>
      <w:r w:rsidR="0080729C">
        <w:t xml:space="preserve">bus </w:t>
      </w:r>
      <w:r w:rsidR="00D9205E">
        <w:t>stop</w:t>
      </w:r>
      <w:r w:rsidR="00B14BDD">
        <w:t>s</w:t>
      </w:r>
      <w:r w:rsidR="00D9205E">
        <w:t xml:space="preserve"> of the route)</w:t>
      </w:r>
      <w:r>
        <w:t xml:space="preserve">, bus routes </w:t>
      </w:r>
      <w:r w:rsidR="00B14BDD">
        <w:t>tend to be</w:t>
      </w:r>
      <w:r>
        <w:t xml:space="preserve"> designed to link more key </w:t>
      </w:r>
      <w:r w:rsidR="00B14BDD">
        <w:t>trip attractors and residential locations between these terminals rather than necessarily following the shortest path</w:t>
      </w:r>
      <w:r>
        <w:t xml:space="preserve">. For example, the terminals of the U1 service provided by </w:t>
      </w:r>
      <w:proofErr w:type="spellStart"/>
      <w:r>
        <w:t>Unilink</w:t>
      </w:r>
      <w:proofErr w:type="spellEnd"/>
      <w:r>
        <w:t xml:space="preserve"> are Southampton Airport and National Oceanography Centre (NOC)</w:t>
      </w:r>
      <w:r w:rsidR="00B14BDD">
        <w:t xml:space="preserve">, but </w:t>
      </w:r>
      <w:r>
        <w:t xml:space="preserve">the service also links University of Southampton (Highfield Campus), </w:t>
      </w:r>
      <w:proofErr w:type="spellStart"/>
      <w:r>
        <w:t>Portswood</w:t>
      </w:r>
      <w:proofErr w:type="spellEnd"/>
      <w:r>
        <w:t xml:space="preserve">, and City Centre </w:t>
      </w:r>
      <w:r w:rsidR="00B14BDD">
        <w:t>on</w:t>
      </w:r>
      <w:r>
        <w:t xml:space="preserve"> the route</w:t>
      </w:r>
      <w:r w:rsidR="00B14BDD">
        <w:t xml:space="preserve"> between these locations</w:t>
      </w:r>
      <w:r>
        <w:t xml:space="preserve">. </w:t>
      </w:r>
      <w:r w:rsidR="00B14BDD">
        <w:t>T</w:t>
      </w:r>
      <w:r>
        <w:t xml:space="preserve">he optimal solutions </w:t>
      </w:r>
      <w:r w:rsidR="00B14BDD">
        <w:t xml:space="preserve">therefore </w:t>
      </w:r>
      <w:r>
        <w:t xml:space="preserve">have shorter lengths </w:t>
      </w:r>
      <w:r w:rsidR="00B14BDD">
        <w:t>for</w:t>
      </w:r>
      <w:r>
        <w:t xml:space="preserve"> individual routes on average compared with the current bus network. In order to meet the maximum fleet size constraint, the optimal solutions make a trade-off</w:t>
      </w:r>
      <w:r w:rsidR="00B14BDD">
        <w:t xml:space="preserve"> </w:t>
      </w:r>
      <w:r>
        <w:t xml:space="preserve">between the shorter lengths of individual routes and </w:t>
      </w:r>
      <w:r w:rsidR="00B14BDD">
        <w:t>a lar</w:t>
      </w:r>
      <w:r>
        <w:t>ger number of route</w:t>
      </w:r>
      <w:r w:rsidR="00B14BDD">
        <w:t>s</w:t>
      </w:r>
      <w:r w:rsidR="00DE39F9">
        <w:t xml:space="preserve"> across the network. </w:t>
      </w:r>
    </w:p>
    <w:p w14:paraId="4E41642C" w14:textId="678BFC45" w:rsidR="008E2352" w:rsidRDefault="00681BC9" w:rsidP="00983C84">
      <w:pPr>
        <w:pStyle w:val="Newparagraph"/>
      </w:pPr>
      <w:r w:rsidRPr="005A5CE3">
        <w:t>Figure 11 displays</w:t>
      </w:r>
      <w:r>
        <w:t xml:space="preserve"> the network layouts of these optimal solutions, as well as the current network. Although the routes chosen by the best solutions are 99% different</w:t>
      </w:r>
      <w:r w:rsidR="00D9205E">
        <w:t xml:space="preserve"> in terms of routes</w:t>
      </w:r>
      <w:r>
        <w:t xml:space="preserve">, as a whole </w:t>
      </w:r>
      <w:r w:rsidR="00B14BDD">
        <w:t xml:space="preserve">they </w:t>
      </w:r>
      <w:r>
        <w:t xml:space="preserve">represent similar network layouts. According to </w:t>
      </w:r>
      <w:r w:rsidRPr="005A5CE3">
        <w:t>Table 2,</w:t>
      </w:r>
      <w:r>
        <w:t xml:space="preserve"> any two of the best three solutions share approximately 70% of their total road</w:t>
      </w:r>
      <w:r w:rsidR="00B14BDD">
        <w:t xml:space="preserve"> coverage</w:t>
      </w:r>
      <w:r>
        <w:t>, while th</w:t>
      </w:r>
      <w:r w:rsidR="00B14BDD">
        <w:t>is figure</w:t>
      </w:r>
      <w:r>
        <w:t xml:space="preserve"> is around 60% when compare</w:t>
      </w:r>
      <w:r w:rsidR="00B14BDD">
        <w:t>d</w:t>
      </w:r>
      <w:r>
        <w:t xml:space="preserve"> with the current network. This is partly because of the cross-boundary constraint applied in the process of selecting potential solutions from the candidate route set. In order to avoid the cross-boundary problem, the constraint retains the service levels to nearby towns and cities at current levels. Hence, six groups of cross-boundary terminals </w:t>
      </w:r>
      <w:proofErr w:type="gramStart"/>
      <w:r>
        <w:t>were chosen</w:t>
      </w:r>
      <w:proofErr w:type="gramEnd"/>
      <w:r>
        <w:t xml:space="preserve"> based on the six corridors linking the Southampton City Centre to nearby towns and districts</w:t>
      </w:r>
      <w:r w:rsidR="00B14BDD">
        <w:t xml:space="preserve"> (see Figure 3)</w:t>
      </w:r>
      <w:r>
        <w:t xml:space="preserve">. In the process of selecting potential solutions, the candidate routes linking these cross-boundary terminals and the possible terminals within the city boundary </w:t>
      </w:r>
      <w:proofErr w:type="gramStart"/>
      <w:r>
        <w:t>are selected and set corresponding frequencies</w:t>
      </w:r>
      <w:proofErr w:type="gramEnd"/>
      <w:r>
        <w:t xml:space="preserve">. As a result, </w:t>
      </w:r>
      <w:r w:rsidR="00B14BDD">
        <w:t>all</w:t>
      </w:r>
      <w:r>
        <w:t xml:space="preserve"> potential solution</w:t>
      </w:r>
      <w:r w:rsidR="00B14BDD">
        <w:t>s (along with the current network)</w:t>
      </w:r>
      <w:r>
        <w:t xml:space="preserve"> share the same cross-boundary terminals and have </w:t>
      </w:r>
      <w:r w:rsidR="00B14BDD">
        <w:t xml:space="preserve">the </w:t>
      </w:r>
      <w:r>
        <w:t xml:space="preserve">same cross-boundary service levels along the six corridors, </w:t>
      </w:r>
      <w:r w:rsidR="00B14BDD">
        <w:t xml:space="preserve">leading to inevitable </w:t>
      </w:r>
      <w:r w:rsidR="006D6231">
        <w:t>similarities</w:t>
      </w:r>
      <w:r w:rsidR="00B14BDD">
        <w:t xml:space="preserve"> in their </w:t>
      </w:r>
      <w:r>
        <w:t>network layouts. Furthermore, the six</w:t>
      </w:r>
      <w:r w:rsidR="00B14BDD">
        <w:t xml:space="preserve"> key</w:t>
      </w:r>
      <w:r>
        <w:t xml:space="preserve"> </w:t>
      </w:r>
      <w:proofErr w:type="gramStart"/>
      <w:r>
        <w:t xml:space="preserve">corridors </w:t>
      </w:r>
      <w:r w:rsidR="00B14BDD">
        <w:t xml:space="preserve">which </w:t>
      </w:r>
      <w:r>
        <w:t>link the city to nearby districts as well as key locations within the city boundary</w:t>
      </w:r>
      <w:proofErr w:type="gramEnd"/>
      <w:r>
        <w:t xml:space="preserve"> are based on </w:t>
      </w:r>
      <w:r w:rsidR="00B14BDD">
        <w:t>major roads</w:t>
      </w:r>
      <w:r>
        <w:t xml:space="preserve"> across the city and </w:t>
      </w:r>
      <w:r w:rsidR="00B14BDD">
        <w:t>are relatively straight</w:t>
      </w:r>
      <w:r>
        <w:t xml:space="preserve">. When the candidate routes </w:t>
      </w:r>
      <w:proofErr w:type="gramStart"/>
      <w:r>
        <w:t>are generated</w:t>
      </w:r>
      <w:proofErr w:type="gramEnd"/>
      <w:r>
        <w:t xml:space="preserve"> based on the k-shortest algorithm, the routes along these corridors </w:t>
      </w:r>
      <w:r w:rsidR="00B14BDD">
        <w:t>are therefore highly likely to</w:t>
      </w:r>
      <w:r>
        <w:t xml:space="preserve"> be chosen by the model. This </w:t>
      </w:r>
      <w:r w:rsidR="00B14BDD">
        <w:t>also helps</w:t>
      </w:r>
      <w:r>
        <w:t xml:space="preserve"> to explain the high percentage of sharing roads available in the networks of optimal solutions, and </w:t>
      </w:r>
      <w:proofErr w:type="gramStart"/>
      <w:r>
        <w:t>makes a contribution</w:t>
      </w:r>
      <w:proofErr w:type="gramEnd"/>
      <w:r>
        <w:t xml:space="preserve"> to the slightly higher route overlapping factors of optimal solutions compared with the current bus network. </w:t>
      </w:r>
    </w:p>
    <w:p w14:paraId="05804355" w14:textId="77777777" w:rsidR="00A43043" w:rsidRPr="004E0D46" w:rsidRDefault="00A43043" w:rsidP="00A43043">
      <w:pPr>
        <w:pStyle w:val="Heading1"/>
      </w:pPr>
      <w:r w:rsidRPr="00A43043">
        <w:t>5</w:t>
      </w:r>
      <w:r w:rsidRPr="00BD3548">
        <w:t xml:space="preserve">. Conclusions and future work </w:t>
      </w:r>
    </w:p>
    <w:p w14:paraId="1EB47E98" w14:textId="1700592F" w:rsidR="0089150C" w:rsidRDefault="00A43043" w:rsidP="00623D8D">
      <w:pPr>
        <w:pStyle w:val="Newparagraph"/>
      </w:pPr>
      <w:r>
        <w:t xml:space="preserve">This paper </w:t>
      </w:r>
      <w:r w:rsidR="00807B93">
        <w:t xml:space="preserve">has shown that it is possible to </w:t>
      </w:r>
      <w:r>
        <w:t>develop</w:t>
      </w:r>
      <w:r w:rsidR="00807B93">
        <w:t xml:space="preserve"> </w:t>
      </w:r>
      <w:r>
        <w:t xml:space="preserve">a </w:t>
      </w:r>
      <w:proofErr w:type="gramStart"/>
      <w:r>
        <w:t xml:space="preserve">methodology </w:t>
      </w:r>
      <w:r w:rsidR="00807B93">
        <w:t>which</w:t>
      </w:r>
      <w:proofErr w:type="gramEnd"/>
      <w:r w:rsidR="00807B93">
        <w:t xml:space="preserve"> is capable of </w:t>
      </w:r>
      <w:r>
        <w:t>evaluat</w:t>
      </w:r>
      <w:r w:rsidR="00807B93">
        <w:t>ing</w:t>
      </w:r>
      <w:r>
        <w:t xml:space="preserve"> the potential of centralised service planning </w:t>
      </w:r>
      <w:r w:rsidR="00807B93">
        <w:t xml:space="preserve">for </w:t>
      </w:r>
      <w:r>
        <w:t xml:space="preserve">public transport to generate a more socially-optimal network </w:t>
      </w:r>
      <w:r w:rsidR="00807B93">
        <w:t xml:space="preserve">than is provided in a </w:t>
      </w:r>
      <w:r>
        <w:t xml:space="preserve">deregulated environment. Using Southampton as a case study, </w:t>
      </w:r>
      <w:r w:rsidRPr="00A43043">
        <w:t xml:space="preserve">a practical </w:t>
      </w:r>
      <w:r w:rsidR="00022FF5">
        <w:t>optimisation</w:t>
      </w:r>
      <w:r w:rsidRPr="00A43043">
        <w:t xml:space="preserve"> model </w:t>
      </w:r>
      <w:r w:rsidR="00844CA2">
        <w:t xml:space="preserve">has been developed </w:t>
      </w:r>
      <w:r w:rsidRPr="00A43043">
        <w:t xml:space="preserve">to </w:t>
      </w:r>
      <w:r>
        <w:t xml:space="preserve">explore the potential </w:t>
      </w:r>
      <w:proofErr w:type="gramStart"/>
      <w:r>
        <w:t>improvement</w:t>
      </w:r>
      <w:r w:rsidR="00844CA2">
        <w:t>s which</w:t>
      </w:r>
      <w:proofErr w:type="gramEnd"/>
      <w:r w:rsidR="00844CA2">
        <w:t xml:space="preserve"> could be achieved with centralised planning of bus networks using an</w:t>
      </w:r>
      <w:r>
        <w:t xml:space="preserve"> adapted </w:t>
      </w:r>
      <w:r w:rsidR="007924B6" w:rsidRPr="00B140C5">
        <w:t xml:space="preserve">tabu search </w:t>
      </w:r>
      <w:r>
        <w:t xml:space="preserve">algorithm. </w:t>
      </w:r>
      <w:r w:rsidR="00844CA2">
        <w:t>T</w:t>
      </w:r>
      <w:r w:rsidR="009A5D24">
        <w:t xml:space="preserve">his </w:t>
      </w:r>
      <w:r w:rsidR="00022FF5">
        <w:t>optimisation</w:t>
      </w:r>
      <w:r w:rsidR="009A5D24">
        <w:t xml:space="preserve"> model </w:t>
      </w:r>
      <w:proofErr w:type="gramStart"/>
      <w:r w:rsidR="00844CA2">
        <w:t>has been shown</w:t>
      </w:r>
      <w:proofErr w:type="gramEnd"/>
      <w:r w:rsidR="00844CA2">
        <w:t xml:space="preserve"> to work for</w:t>
      </w:r>
      <w:r w:rsidR="009A5D24">
        <w:t xml:space="preserve"> real-world size multimodal public transport networks based on </w:t>
      </w:r>
      <w:r w:rsidR="00844CA2">
        <w:t xml:space="preserve">a </w:t>
      </w:r>
      <w:r w:rsidR="009A5D24">
        <w:t xml:space="preserve">complex road network topology. </w:t>
      </w:r>
      <w:r w:rsidR="00844CA2" w:rsidRPr="005A5CE3">
        <w:t>T</w:t>
      </w:r>
      <w:r w:rsidR="009A5D24" w:rsidRPr="005A5CE3">
        <w:t>he output results</w:t>
      </w:r>
      <w:r w:rsidR="00844CA2" w:rsidRPr="005A5CE3">
        <w:t xml:space="preserve"> show that</w:t>
      </w:r>
      <w:r w:rsidR="009A5D24" w:rsidRPr="005A5CE3">
        <w:t xml:space="preserve"> the model deliver</w:t>
      </w:r>
      <w:r w:rsidR="00844CA2" w:rsidRPr="005A5CE3">
        <w:t>ed</w:t>
      </w:r>
      <w:r w:rsidR="009A5D24" w:rsidRPr="005A5CE3">
        <w:t xml:space="preserve"> a better bus network</w:t>
      </w:r>
      <w:r w:rsidR="00844CA2" w:rsidRPr="005A5CE3">
        <w:t xml:space="preserve"> based on the criteria used here</w:t>
      </w:r>
      <w:r w:rsidR="009A5D24" w:rsidRPr="005A5CE3">
        <w:t>,</w:t>
      </w:r>
      <w:r w:rsidR="003F7BBC" w:rsidRPr="005A5CE3">
        <w:t xml:space="preserve"> with </w:t>
      </w:r>
      <w:r w:rsidR="00844CA2" w:rsidRPr="005A5CE3">
        <w:t xml:space="preserve">a </w:t>
      </w:r>
      <w:r w:rsidR="003F7BBC" w:rsidRPr="005A5CE3">
        <w:t>6.69% improvement in TSC</w:t>
      </w:r>
      <w:r w:rsidR="00844CA2" w:rsidRPr="005A5CE3">
        <w:t xml:space="preserve"> compared to the base network</w:t>
      </w:r>
      <w:r w:rsidR="009A5D24" w:rsidRPr="005A5CE3">
        <w:t>.</w:t>
      </w:r>
      <w:r>
        <w:t xml:space="preserve"> </w:t>
      </w:r>
      <w:r w:rsidR="00844CA2">
        <w:t>T</w:t>
      </w:r>
      <w:r>
        <w:t xml:space="preserve">his methodology </w:t>
      </w:r>
      <w:r w:rsidR="00844CA2">
        <w:t xml:space="preserve">could therefore </w:t>
      </w:r>
      <w:r>
        <w:t>help to deliver a</w:t>
      </w:r>
      <w:r w:rsidR="00844CA2">
        <w:t>n</w:t>
      </w:r>
      <w:r>
        <w:t xml:space="preserve"> integrated bus network</w:t>
      </w:r>
      <w:r w:rsidR="00844CA2">
        <w:t xml:space="preserve"> with more equal network distribution and less unnecessary duplication in service provision. If this </w:t>
      </w:r>
      <w:proofErr w:type="gramStart"/>
      <w:r w:rsidR="00844CA2">
        <w:t>was</w:t>
      </w:r>
      <w:proofErr w:type="gramEnd"/>
      <w:r w:rsidR="00844CA2">
        <w:t xml:space="preserve"> combined</w:t>
      </w:r>
      <w:r>
        <w:t xml:space="preserve"> with</w:t>
      </w:r>
      <w:r w:rsidR="00844CA2">
        <w:t xml:space="preserve"> the introduction of</w:t>
      </w:r>
      <w:r>
        <w:t xml:space="preserve"> </w:t>
      </w:r>
      <w:r w:rsidR="00844CA2">
        <w:t xml:space="preserve">a </w:t>
      </w:r>
      <w:r>
        <w:t>simple ticketing</w:t>
      </w:r>
      <w:r w:rsidR="00844CA2">
        <w:t xml:space="preserve"> system</w:t>
      </w:r>
      <w:r>
        <w:t xml:space="preserve">, fare capping </w:t>
      </w:r>
      <w:r w:rsidR="00844CA2">
        <w:t xml:space="preserve">(equivalent to the price of a daily ticket) </w:t>
      </w:r>
      <w:r>
        <w:t xml:space="preserve">and enforceable standards for performance and quality, </w:t>
      </w:r>
      <w:r w:rsidR="00844CA2">
        <w:t>it</w:t>
      </w:r>
      <w:r>
        <w:t xml:space="preserve"> would</w:t>
      </w:r>
      <w:r w:rsidR="00844CA2">
        <w:t xml:space="preserve"> contribute to</w:t>
      </w:r>
      <w:r>
        <w:t xml:space="preserve"> </w:t>
      </w:r>
      <w:r w:rsidR="00844CA2">
        <w:t xml:space="preserve">the provision of </w:t>
      </w:r>
      <w:r>
        <w:t>a high-quality bus network which better meets the needs of local residents and local economy</w:t>
      </w:r>
      <w:r w:rsidR="00844CA2">
        <w:t xml:space="preserve">. Because vehicle kilometres </w:t>
      </w:r>
      <w:proofErr w:type="gramStart"/>
      <w:r w:rsidR="00844CA2">
        <w:t>are capped</w:t>
      </w:r>
      <w:proofErr w:type="gramEnd"/>
      <w:r w:rsidR="00844CA2">
        <w:t xml:space="preserve"> at current levels it</w:t>
      </w:r>
      <w:r>
        <w:t xml:space="preserve"> would </w:t>
      </w:r>
      <w:r w:rsidR="00844CA2">
        <w:t xml:space="preserve">also </w:t>
      </w:r>
      <w:r>
        <w:t xml:space="preserve">potentially increase </w:t>
      </w:r>
      <w:r w:rsidR="00844CA2">
        <w:t xml:space="preserve">the </w:t>
      </w:r>
      <w:r>
        <w:t>benefits per unit of cost involved in providing bus services</w:t>
      </w:r>
      <w:r w:rsidR="00844CA2">
        <w:t>.  It could also help facilitate</w:t>
      </w:r>
      <w:r>
        <w:t xml:space="preserve"> </w:t>
      </w:r>
      <w:r w:rsidR="00844CA2">
        <w:t>the incorporation of public transport in broader economic and land-use planning, and therefore</w:t>
      </w:r>
      <w:r>
        <w:t xml:space="preserve"> help cities to develop in a more sustainable way in the future.</w:t>
      </w:r>
    </w:p>
    <w:p w14:paraId="5A5EAE59" w14:textId="247BCF0E" w:rsidR="00E46210" w:rsidRPr="00F7028C" w:rsidRDefault="00844CA2" w:rsidP="00F7028C">
      <w:pPr>
        <w:pStyle w:val="Newparagraph"/>
      </w:pPr>
      <w:r>
        <w:t>There is still scope for f</w:t>
      </w:r>
      <w:r w:rsidR="00EF41E4" w:rsidRPr="00543290">
        <w:t xml:space="preserve">urther </w:t>
      </w:r>
      <w:r w:rsidR="0089150C" w:rsidRPr="00543290">
        <w:t>development</w:t>
      </w:r>
      <w:r>
        <w:t xml:space="preserve"> of the model, with the obvious next step being to</w:t>
      </w:r>
      <w:r w:rsidR="0089150C" w:rsidRPr="00543290">
        <w:t xml:space="preserve"> implement the current </w:t>
      </w:r>
      <w:r w:rsidR="00022FF5">
        <w:t>optimisation</w:t>
      </w:r>
      <w:r w:rsidR="0089150C" w:rsidRPr="00543290">
        <w:t xml:space="preserve"> model </w:t>
      </w:r>
      <w:r>
        <w:t>in</w:t>
      </w:r>
      <w:r w:rsidRPr="00543290">
        <w:t xml:space="preserve"> </w:t>
      </w:r>
      <w:r w:rsidR="0089150C" w:rsidRPr="00543290">
        <w:t>other real world case studies</w:t>
      </w:r>
      <w:r>
        <w:t xml:space="preserve">.  This might include a British city which has been relatively successful in implementing a quality partnership based approach to bus service provision (such as Brighton or Oxford) to investigate whether such bus networks are closer to the ‘optimum’ produced by the model. Other </w:t>
      </w:r>
      <w:r w:rsidR="00BF5C7A" w:rsidRPr="00BF5C7A">
        <w:t xml:space="preserve">improvements </w:t>
      </w:r>
      <w:r>
        <w:t>to</w:t>
      </w:r>
      <w:r w:rsidRPr="00BF5C7A">
        <w:t xml:space="preserve"> </w:t>
      </w:r>
      <w:r w:rsidR="00543290" w:rsidRPr="00BF5C7A">
        <w:t xml:space="preserve">the </w:t>
      </w:r>
      <w:proofErr w:type="gramStart"/>
      <w:r w:rsidR="00543290" w:rsidRPr="00BF5C7A">
        <w:t xml:space="preserve">model </w:t>
      </w:r>
      <w:r>
        <w:t>which should</w:t>
      </w:r>
      <w:r w:rsidR="00BF5C7A" w:rsidRPr="00BF5C7A">
        <w:t xml:space="preserve"> be considered in the future</w:t>
      </w:r>
      <w:proofErr w:type="gramEnd"/>
      <w:r>
        <w:t xml:space="preserve"> include more consideration of fares and quality improvements alongside the service quantity measures </w:t>
      </w:r>
      <w:r w:rsidR="00D16ED2">
        <w:t xml:space="preserve">modelled in the current framework.  </w:t>
      </w:r>
    </w:p>
    <w:p w14:paraId="0938F9C7" w14:textId="77777777" w:rsidR="00A43043" w:rsidRPr="00593BD3" w:rsidRDefault="0040547F" w:rsidP="0040547F">
      <w:pPr>
        <w:pStyle w:val="References"/>
        <w:rPr>
          <w:b/>
          <w:bCs/>
        </w:rPr>
      </w:pPr>
      <w:r w:rsidRPr="00593BD3">
        <w:rPr>
          <w:b/>
          <w:bCs/>
        </w:rPr>
        <w:t>References</w:t>
      </w:r>
      <w:r w:rsidR="00A43043" w:rsidRPr="00593BD3">
        <w:rPr>
          <w:b/>
          <w:bCs/>
        </w:rPr>
        <w:t xml:space="preserve"> </w:t>
      </w:r>
    </w:p>
    <w:p w14:paraId="5961AA5A" w14:textId="3A233A2B" w:rsidR="00593BD3" w:rsidRDefault="00593BD3" w:rsidP="00593BD3">
      <w:pPr>
        <w:pStyle w:val="References"/>
      </w:pPr>
      <w:r w:rsidRPr="00593BD3">
        <w:t>A</w:t>
      </w:r>
      <w:r>
        <w:t>huja</w:t>
      </w:r>
      <w:r w:rsidRPr="00593BD3">
        <w:t>, R.K.</w:t>
      </w:r>
      <w:r>
        <w:t>,</w:t>
      </w:r>
      <w:r w:rsidRPr="00593BD3">
        <w:t xml:space="preserve"> E</w:t>
      </w:r>
      <w:r>
        <w:t>rgun</w:t>
      </w:r>
      <w:r w:rsidRPr="00593BD3">
        <w:t>, O</w:t>
      </w:r>
      <w:r>
        <w:t>.,</w:t>
      </w:r>
      <w:r w:rsidRPr="00593BD3">
        <w:t xml:space="preserve"> O</w:t>
      </w:r>
      <w:r>
        <w:t>rlin</w:t>
      </w:r>
      <w:r w:rsidRPr="00593BD3">
        <w:t>, J.B.</w:t>
      </w:r>
      <w:r>
        <w:t>,</w:t>
      </w:r>
      <w:r w:rsidRPr="00593BD3">
        <w:t xml:space="preserve"> and P</w:t>
      </w:r>
      <w:r>
        <w:t>unnen</w:t>
      </w:r>
      <w:r w:rsidRPr="00593BD3">
        <w:t>, A.P. 2002</w:t>
      </w:r>
      <w:r>
        <w:t>. “</w:t>
      </w:r>
      <w:r w:rsidRPr="00593BD3">
        <w:t>A survey of very large-scale neighbourhood search techniques.</w:t>
      </w:r>
      <w:r>
        <w:t xml:space="preserve">” </w:t>
      </w:r>
      <w:r w:rsidRPr="00593BD3">
        <w:rPr>
          <w:i/>
          <w:iCs/>
        </w:rPr>
        <w:t>Discrete Applied Mathematics</w:t>
      </w:r>
      <w:r w:rsidRPr="00593BD3">
        <w:t xml:space="preserve"> 123: 75-102.</w:t>
      </w:r>
      <w:r w:rsidR="00F7028C">
        <w:t xml:space="preserve"> </w:t>
      </w:r>
      <w:proofErr w:type="gramStart"/>
      <w:r w:rsidRPr="00593BD3">
        <w:t>doi:</w:t>
      </w:r>
      <w:proofErr w:type="gramEnd"/>
      <w:r w:rsidRPr="00593BD3">
        <w:t>10.1016/S0166-218X(01)00338-9</w:t>
      </w:r>
      <w:r>
        <w:t xml:space="preserve">. </w:t>
      </w:r>
    </w:p>
    <w:p w14:paraId="5BF14000" w14:textId="77777777" w:rsidR="00A43043" w:rsidRPr="0057385D" w:rsidRDefault="0040547F" w:rsidP="00FB5EF8">
      <w:pPr>
        <w:pStyle w:val="References"/>
      </w:pPr>
      <w:r w:rsidRPr="00D812CF">
        <w:t xml:space="preserve">Camporeale, R., </w:t>
      </w:r>
      <w:proofErr w:type="spellStart"/>
      <w:r w:rsidRPr="00D812CF">
        <w:t>Caggiani</w:t>
      </w:r>
      <w:proofErr w:type="spellEnd"/>
      <w:r w:rsidRPr="00D812CF">
        <w:t xml:space="preserve">, L., </w:t>
      </w:r>
      <w:proofErr w:type="spellStart"/>
      <w:r w:rsidRPr="00D812CF">
        <w:t>Fonzone</w:t>
      </w:r>
      <w:proofErr w:type="spellEnd"/>
      <w:r w:rsidRPr="00D812CF">
        <w:t>, A., and</w:t>
      </w:r>
      <w:r w:rsidR="00A43043" w:rsidRPr="00D812CF">
        <w:t xml:space="preserve"> </w:t>
      </w:r>
      <w:proofErr w:type="spellStart"/>
      <w:r w:rsidR="00A43043" w:rsidRPr="00D812CF">
        <w:t>O</w:t>
      </w:r>
      <w:r w:rsidRPr="00D812CF">
        <w:t>ttomanelli</w:t>
      </w:r>
      <w:proofErr w:type="spellEnd"/>
      <w:r w:rsidR="00591371" w:rsidRPr="00D812CF">
        <w:t>, M. 2016.</w:t>
      </w:r>
      <w:r w:rsidR="00A43043" w:rsidRPr="00D812CF">
        <w:t xml:space="preserve"> </w:t>
      </w:r>
      <w:r w:rsidR="00C83002" w:rsidRPr="0057385D">
        <w:t>“</w:t>
      </w:r>
      <w:r w:rsidR="00A43043" w:rsidRPr="0057385D">
        <w:t>Fostering social equity in</w:t>
      </w:r>
      <w:r w:rsidRPr="0057385D">
        <w:t xml:space="preserve"> </w:t>
      </w:r>
      <w:r w:rsidR="00C83002" w:rsidRPr="0057385D">
        <w:t xml:space="preserve">transit route planning.” </w:t>
      </w:r>
      <w:r w:rsidRPr="0057385D">
        <w:t xml:space="preserve">Paper presented at the UTSG, </w:t>
      </w:r>
      <w:r w:rsidR="00A43043" w:rsidRPr="0057385D">
        <w:t xml:space="preserve">Bristol, </w:t>
      </w:r>
      <w:proofErr w:type="gramStart"/>
      <w:r w:rsidR="00A43043" w:rsidRPr="0057385D">
        <w:t>6</w:t>
      </w:r>
      <w:proofErr w:type="gramEnd"/>
      <w:r w:rsidR="00A43043" w:rsidRPr="0057385D">
        <w:t xml:space="preserve">-8 January 2016. </w:t>
      </w:r>
    </w:p>
    <w:p w14:paraId="513115CB" w14:textId="3D8934D9" w:rsidR="00A43043" w:rsidRPr="0057385D" w:rsidRDefault="00A43043" w:rsidP="00FB5EF8">
      <w:pPr>
        <w:pStyle w:val="References"/>
      </w:pPr>
      <w:r w:rsidRPr="0057385D">
        <w:t>C</w:t>
      </w:r>
      <w:r w:rsidR="00FB5EF8" w:rsidRPr="0057385D">
        <w:t>eder</w:t>
      </w:r>
      <w:r w:rsidR="00591371" w:rsidRPr="0057385D">
        <w:t>, A. 2007.</w:t>
      </w:r>
      <w:r w:rsidRPr="0057385D">
        <w:t xml:space="preserve"> </w:t>
      </w:r>
      <w:r w:rsidRPr="0057385D">
        <w:rPr>
          <w:i/>
          <w:iCs/>
        </w:rPr>
        <w:t>Public transit planning and operation—theory, modelling and practice.</w:t>
      </w:r>
      <w:r w:rsidRPr="0057385D">
        <w:t xml:space="preserve"> Oxford:</w:t>
      </w:r>
      <w:r w:rsidR="00245DE5">
        <w:t xml:space="preserve"> </w:t>
      </w:r>
      <w:r w:rsidR="00F7028C">
        <w:t xml:space="preserve">Elsevier Ltd. </w:t>
      </w:r>
    </w:p>
    <w:p w14:paraId="631DE5C2" w14:textId="77777777" w:rsidR="00A43043" w:rsidRPr="0057385D" w:rsidRDefault="00A43043" w:rsidP="00FB5EF8">
      <w:pPr>
        <w:pStyle w:val="References"/>
      </w:pPr>
      <w:r w:rsidRPr="0057385D">
        <w:t>C</w:t>
      </w:r>
      <w:r w:rsidR="00FB5EF8" w:rsidRPr="0057385D">
        <w:t>eder</w:t>
      </w:r>
      <w:r w:rsidRPr="0057385D">
        <w:t>, A. and W</w:t>
      </w:r>
      <w:r w:rsidR="00FB5EF8" w:rsidRPr="0057385D">
        <w:t>ilson</w:t>
      </w:r>
      <w:r w:rsidR="00591371" w:rsidRPr="0057385D">
        <w:t>, N.H.M.</w:t>
      </w:r>
      <w:r w:rsidR="00245DE5">
        <w:t xml:space="preserve"> </w:t>
      </w:r>
      <w:r w:rsidR="00591371" w:rsidRPr="0057385D">
        <w:t>1986.</w:t>
      </w:r>
      <w:r w:rsidRPr="0057385D">
        <w:t xml:space="preserve"> </w:t>
      </w:r>
      <w:r w:rsidR="00C83002" w:rsidRPr="0057385D">
        <w:t>“</w:t>
      </w:r>
      <w:r w:rsidRPr="0057385D">
        <w:t>Bus network design.</w:t>
      </w:r>
      <w:r w:rsidR="00C83002" w:rsidRPr="0057385D">
        <w:t>”</w:t>
      </w:r>
      <w:r w:rsidRPr="0057385D">
        <w:t xml:space="preserve"> </w:t>
      </w:r>
      <w:r w:rsidRPr="0057385D">
        <w:rPr>
          <w:i/>
          <w:iCs/>
        </w:rPr>
        <w:t>Transportation Research</w:t>
      </w:r>
      <w:r w:rsidR="00FB5EF8" w:rsidRPr="0057385D">
        <w:t xml:space="preserve"> 4: </w:t>
      </w:r>
      <w:r w:rsidRPr="0057385D">
        <w:t xml:space="preserve">331-344. </w:t>
      </w:r>
      <w:proofErr w:type="gramStart"/>
      <w:r w:rsidR="00EE1853" w:rsidRPr="0057385D">
        <w:t>doi</w:t>
      </w:r>
      <w:proofErr w:type="gramEnd"/>
      <w:r w:rsidR="00EE1853" w:rsidRPr="0057385D">
        <w:t>:</w:t>
      </w:r>
      <w:r w:rsidR="00DF4504" w:rsidRPr="0057385D">
        <w:t xml:space="preserve"> 10.1016/0191-2615(86)90047-0. </w:t>
      </w:r>
    </w:p>
    <w:p w14:paraId="0D043B97" w14:textId="77777777" w:rsidR="00A43043" w:rsidRPr="0057385D" w:rsidRDefault="00A43043" w:rsidP="00591371">
      <w:pPr>
        <w:pStyle w:val="References"/>
      </w:pPr>
      <w:r w:rsidRPr="0057385D">
        <w:rPr>
          <w:lang w:val="it-IT"/>
        </w:rPr>
        <w:t>C</w:t>
      </w:r>
      <w:r w:rsidR="00FB5EF8" w:rsidRPr="0057385D">
        <w:rPr>
          <w:lang w:val="it-IT"/>
        </w:rPr>
        <w:t>ipriani, E.,</w:t>
      </w:r>
      <w:r w:rsidRPr="0057385D">
        <w:rPr>
          <w:lang w:val="it-IT"/>
        </w:rPr>
        <w:t xml:space="preserve"> </w:t>
      </w:r>
      <w:proofErr w:type="spellStart"/>
      <w:r w:rsidRPr="0057385D">
        <w:rPr>
          <w:lang w:val="it-IT"/>
        </w:rPr>
        <w:t>G</w:t>
      </w:r>
      <w:r w:rsidR="00FB5EF8" w:rsidRPr="0057385D">
        <w:rPr>
          <w:lang w:val="it-IT"/>
        </w:rPr>
        <w:t>ori</w:t>
      </w:r>
      <w:proofErr w:type="spellEnd"/>
      <w:r w:rsidR="00FB5EF8" w:rsidRPr="0057385D">
        <w:rPr>
          <w:lang w:val="it-IT"/>
        </w:rPr>
        <w:t xml:space="preserve">, S., </w:t>
      </w:r>
      <w:proofErr w:type="gramStart"/>
      <w:r w:rsidR="00FB5EF8" w:rsidRPr="0057385D">
        <w:rPr>
          <w:lang w:val="it-IT"/>
        </w:rPr>
        <w:t xml:space="preserve">and </w:t>
      </w:r>
      <w:r w:rsidRPr="0057385D">
        <w:rPr>
          <w:lang w:val="it-IT"/>
        </w:rPr>
        <w:t xml:space="preserve"> P</w:t>
      </w:r>
      <w:r w:rsidR="00FB5EF8" w:rsidRPr="0057385D">
        <w:rPr>
          <w:lang w:val="it-IT"/>
        </w:rPr>
        <w:t>etrelli</w:t>
      </w:r>
      <w:proofErr w:type="gramEnd"/>
      <w:r w:rsidR="00591371" w:rsidRPr="0057385D">
        <w:rPr>
          <w:lang w:val="it-IT"/>
        </w:rPr>
        <w:t>, M. 2012.</w:t>
      </w:r>
      <w:r w:rsidRPr="0057385D">
        <w:rPr>
          <w:lang w:val="it-IT"/>
        </w:rPr>
        <w:t xml:space="preserve"> </w:t>
      </w:r>
      <w:r w:rsidR="00C83002" w:rsidRPr="0057385D">
        <w:t>“</w:t>
      </w:r>
      <w:r w:rsidRPr="0057385D">
        <w:t>Transit network design: a procedure and an application to a large urban area.</w:t>
      </w:r>
      <w:r w:rsidR="00C83002" w:rsidRPr="0057385D">
        <w:t>”</w:t>
      </w:r>
      <w:r w:rsidRPr="0057385D">
        <w:t xml:space="preserve"> </w:t>
      </w:r>
      <w:r w:rsidRPr="0057385D">
        <w:rPr>
          <w:i/>
          <w:iCs/>
        </w:rPr>
        <w:t>Transportation Research Part C</w:t>
      </w:r>
      <w:r w:rsidR="00FB5EF8" w:rsidRPr="0057385D">
        <w:t xml:space="preserve"> 20:</w:t>
      </w:r>
      <w:r w:rsidR="00591371" w:rsidRPr="0057385D">
        <w:t xml:space="preserve"> 3-14. </w:t>
      </w:r>
      <w:proofErr w:type="gramStart"/>
      <w:r w:rsidR="00EE1853" w:rsidRPr="0057385D">
        <w:t>doi</w:t>
      </w:r>
      <w:proofErr w:type="gramEnd"/>
      <w:r w:rsidR="00EE1853" w:rsidRPr="0057385D">
        <w:t>:</w:t>
      </w:r>
      <w:r w:rsidR="00DF4504" w:rsidRPr="0057385D">
        <w:t xml:space="preserve"> 10.1016/j.trc.2010.09.003. </w:t>
      </w:r>
    </w:p>
    <w:p w14:paraId="766EC9D9" w14:textId="1D941F17" w:rsidR="00A43043" w:rsidRDefault="00591371" w:rsidP="00591371">
      <w:pPr>
        <w:pStyle w:val="References"/>
      </w:pPr>
      <w:r w:rsidRPr="0057385D">
        <w:t>Department for Transport.</w:t>
      </w:r>
      <w:r w:rsidR="00AE2D2F">
        <w:t xml:space="preserve"> </w:t>
      </w:r>
      <w:r w:rsidRPr="0057385D">
        <w:t>2014</w:t>
      </w:r>
      <w:r w:rsidR="00AE2D2F">
        <w:t>a</w:t>
      </w:r>
      <w:r w:rsidRPr="0057385D">
        <w:t>.</w:t>
      </w:r>
      <w:r w:rsidR="00A43043" w:rsidRPr="0057385D">
        <w:t xml:space="preserve"> </w:t>
      </w:r>
      <w:r w:rsidRPr="0057385D">
        <w:t>“WebTAG Transport Analy</w:t>
      </w:r>
      <w:r w:rsidR="00F7028C">
        <w:t>sis Guide.” DfT, 2014. Accessed</w:t>
      </w:r>
      <w:r w:rsidRPr="0057385D">
        <w:t xml:space="preserve"> 02 August 2015. </w:t>
      </w:r>
      <w:r w:rsidR="00AE2D2F" w:rsidRPr="00CF0174">
        <w:t>https://www.gov.uk/transport-analysis-guidance-webtag</w:t>
      </w:r>
      <w:r w:rsidRPr="0057385D">
        <w:t xml:space="preserve">. </w:t>
      </w:r>
    </w:p>
    <w:p w14:paraId="4672C747" w14:textId="0EEA94B0" w:rsidR="00AE2D2F" w:rsidRPr="0057385D" w:rsidRDefault="00AE2D2F" w:rsidP="00CF0174">
      <w:pPr>
        <w:pStyle w:val="References"/>
      </w:pPr>
      <w:r w:rsidRPr="0057385D">
        <w:t>Department for Transport.</w:t>
      </w:r>
      <w:r>
        <w:t xml:space="preserve"> </w:t>
      </w:r>
      <w:r w:rsidRPr="0057385D">
        <w:t>2014</w:t>
      </w:r>
      <w:r>
        <w:t>b</w:t>
      </w:r>
      <w:r w:rsidRPr="0057385D">
        <w:t>.</w:t>
      </w:r>
      <w:r w:rsidRPr="00AE2D2F">
        <w:t xml:space="preserve"> </w:t>
      </w:r>
      <w:r>
        <w:t>“</w:t>
      </w:r>
      <w:r w:rsidRPr="00AE2D2F">
        <w:t>Transport Statistics Great Britain 2014</w:t>
      </w:r>
      <w:r>
        <w:t xml:space="preserve">.” DfT, 2014. </w:t>
      </w:r>
      <w:r w:rsidR="00F7028C">
        <w:t>Accessed</w:t>
      </w:r>
      <w:r w:rsidRPr="00AE2D2F">
        <w:t xml:space="preserve"> 02 August 2015</w:t>
      </w:r>
      <w:r>
        <w:t xml:space="preserve">. </w:t>
      </w:r>
      <w:r w:rsidRPr="00CF0174">
        <w:t>https://www.gov.uk/government/statistics/transport-statistics-great-britain-2014</w:t>
      </w:r>
      <w:r>
        <w:t xml:space="preserve">. </w:t>
      </w:r>
    </w:p>
    <w:p w14:paraId="13427A4D" w14:textId="77777777" w:rsidR="00A43043" w:rsidRPr="0057385D" w:rsidRDefault="00A43043" w:rsidP="00C83002">
      <w:pPr>
        <w:pStyle w:val="References"/>
      </w:pPr>
      <w:r w:rsidRPr="0057385D">
        <w:t>D</w:t>
      </w:r>
      <w:r w:rsidR="00591371" w:rsidRPr="0057385D">
        <w:t>esaulniers</w:t>
      </w:r>
      <w:r w:rsidRPr="0057385D">
        <w:t>, G</w:t>
      </w:r>
      <w:r w:rsidR="00591371" w:rsidRPr="0057385D">
        <w:t>., and</w:t>
      </w:r>
      <w:r w:rsidRPr="0057385D">
        <w:t xml:space="preserve"> H</w:t>
      </w:r>
      <w:r w:rsidR="00591371" w:rsidRPr="0057385D">
        <w:t>ickman, M. 2007.</w:t>
      </w:r>
      <w:r w:rsidRPr="0057385D">
        <w:t xml:space="preserve"> </w:t>
      </w:r>
      <w:r w:rsidR="00591371" w:rsidRPr="0057385D">
        <w:t>“</w:t>
      </w:r>
      <w:r w:rsidRPr="0057385D">
        <w:t>Chapter 2 Public transit.</w:t>
      </w:r>
      <w:r w:rsidR="00591371" w:rsidRPr="0057385D">
        <w:t>”</w:t>
      </w:r>
      <w:r w:rsidRPr="0057385D">
        <w:t xml:space="preserve"> In </w:t>
      </w:r>
      <w:r w:rsidRPr="0057385D">
        <w:rPr>
          <w:i/>
          <w:iCs/>
        </w:rPr>
        <w:t>Handbook in OR&amp; MS</w:t>
      </w:r>
      <w:r w:rsidRPr="0057385D">
        <w:t>. London: Elsevier</w:t>
      </w:r>
      <w:r w:rsidR="00591371" w:rsidRPr="0057385D">
        <w:t xml:space="preserve">. </w:t>
      </w:r>
      <w:r w:rsidR="00C83002" w:rsidRPr="0057385D">
        <w:t xml:space="preserve"> </w:t>
      </w:r>
    </w:p>
    <w:p w14:paraId="785AA82C" w14:textId="77777777" w:rsidR="00A43043" w:rsidRPr="0057385D" w:rsidRDefault="00A43043" w:rsidP="00591371">
      <w:pPr>
        <w:pStyle w:val="References"/>
      </w:pPr>
      <w:r w:rsidRPr="0057385D">
        <w:t>F</w:t>
      </w:r>
      <w:r w:rsidR="00591371" w:rsidRPr="0057385D">
        <w:t>an</w:t>
      </w:r>
      <w:r w:rsidRPr="0057385D">
        <w:t>, W.</w:t>
      </w:r>
      <w:r w:rsidR="00591371" w:rsidRPr="0057385D">
        <w:t>,</w:t>
      </w:r>
      <w:r w:rsidRPr="0057385D">
        <w:t xml:space="preserve"> and M</w:t>
      </w:r>
      <w:r w:rsidR="00591371" w:rsidRPr="0057385D">
        <w:t>achemehl, R. 2004.</w:t>
      </w:r>
      <w:r w:rsidRPr="0057385D">
        <w:t xml:space="preserve"> </w:t>
      </w:r>
      <w:r w:rsidR="00C83002" w:rsidRPr="0057385D">
        <w:t>“</w:t>
      </w:r>
      <w:r w:rsidRPr="0057385D">
        <w:t>Optimal transit route network design problem:</w:t>
      </w:r>
    </w:p>
    <w:p w14:paraId="48F295C5" w14:textId="6EA8B67B" w:rsidR="00A43043" w:rsidRPr="0057385D" w:rsidRDefault="00A43043" w:rsidP="00EE1853">
      <w:pPr>
        <w:pStyle w:val="References"/>
        <w:ind w:firstLine="0"/>
      </w:pPr>
      <w:proofErr w:type="gramStart"/>
      <w:r w:rsidRPr="0057385D">
        <w:t>algorithm</w:t>
      </w:r>
      <w:proofErr w:type="gramEnd"/>
      <w:r w:rsidRPr="0057385D">
        <w:t>, implementation, and numerical results.</w:t>
      </w:r>
      <w:r w:rsidR="00F7028C">
        <w:t>” PhD dissertation</w:t>
      </w:r>
      <w:r w:rsidR="00C83002" w:rsidRPr="0057385D">
        <w:t xml:space="preserve">, </w:t>
      </w:r>
      <w:r w:rsidRPr="0057385D">
        <w:t xml:space="preserve">University of Texas at Austin. </w:t>
      </w:r>
    </w:p>
    <w:p w14:paraId="1D689517" w14:textId="77777777" w:rsidR="00DF4504" w:rsidRPr="0057385D" w:rsidRDefault="00591371" w:rsidP="00DF4504">
      <w:pPr>
        <w:pStyle w:val="References"/>
      </w:pPr>
      <w:r w:rsidRPr="0057385D">
        <w:t>Fan, W., and Machemehl, R. 2006a.</w:t>
      </w:r>
      <w:r w:rsidR="00A43043" w:rsidRPr="0057385D">
        <w:t xml:space="preserve"> </w:t>
      </w:r>
      <w:r w:rsidR="00C83002" w:rsidRPr="0057385D">
        <w:t>“</w:t>
      </w:r>
      <w:r w:rsidR="00A43043" w:rsidRPr="0057385D">
        <w:t>Optimal transit route network design problem with variable transit demand: genetic algorithms.</w:t>
      </w:r>
      <w:r w:rsidR="00C83002" w:rsidRPr="0057385D">
        <w:t>”</w:t>
      </w:r>
      <w:r w:rsidR="00A43043" w:rsidRPr="0057385D">
        <w:t xml:space="preserve"> </w:t>
      </w:r>
      <w:r w:rsidR="00A43043" w:rsidRPr="0057385D">
        <w:rPr>
          <w:i/>
          <w:iCs/>
        </w:rPr>
        <w:t>Journal of Transportation Engineering</w:t>
      </w:r>
      <w:r w:rsidR="00C83002" w:rsidRPr="0057385D">
        <w:t xml:space="preserve"> 132(1):</w:t>
      </w:r>
      <w:r w:rsidR="00A43043" w:rsidRPr="0057385D">
        <w:t xml:space="preserve"> 40-51. </w:t>
      </w:r>
      <w:proofErr w:type="gramStart"/>
      <w:r w:rsidR="00EE1853" w:rsidRPr="0057385D">
        <w:t>doi</w:t>
      </w:r>
      <w:proofErr w:type="gramEnd"/>
      <w:r w:rsidR="00EE1853" w:rsidRPr="0057385D">
        <w:t xml:space="preserve">: </w:t>
      </w:r>
      <w:r w:rsidR="00DF4504" w:rsidRPr="0057385D">
        <w:t xml:space="preserve">10.1061/(ASCE)0733-947X(2006)132:1(40). </w:t>
      </w:r>
    </w:p>
    <w:p w14:paraId="502C43C2" w14:textId="77777777" w:rsidR="00A43043" w:rsidRPr="0057385D" w:rsidRDefault="00591371" w:rsidP="00DF4504">
      <w:pPr>
        <w:pStyle w:val="References"/>
      </w:pPr>
      <w:r w:rsidRPr="0057385D">
        <w:t>Fan, W., and Machemehl, R. 2006b.</w:t>
      </w:r>
      <w:r w:rsidR="00A43043" w:rsidRPr="0057385D">
        <w:t xml:space="preserve"> </w:t>
      </w:r>
      <w:r w:rsidR="00EE1853" w:rsidRPr="0057385D">
        <w:t>“</w:t>
      </w:r>
      <w:r w:rsidR="00A43043" w:rsidRPr="0057385D">
        <w:t>Using a simulated annealing algorithm to solve the transit route network design problem.</w:t>
      </w:r>
      <w:r w:rsidR="00EE1853" w:rsidRPr="0057385D">
        <w:t>”</w:t>
      </w:r>
      <w:r w:rsidR="00A43043" w:rsidRPr="0057385D">
        <w:t xml:space="preserve"> </w:t>
      </w:r>
      <w:r w:rsidR="00A43043" w:rsidRPr="0057385D">
        <w:rPr>
          <w:i/>
          <w:iCs/>
        </w:rPr>
        <w:t>Journal of Transportation Engineering</w:t>
      </w:r>
      <w:r w:rsidR="00EE1853" w:rsidRPr="0057385D">
        <w:t xml:space="preserve"> 132(2): </w:t>
      </w:r>
      <w:r w:rsidR="00A43043" w:rsidRPr="0057385D">
        <w:t xml:space="preserve">122-132. </w:t>
      </w:r>
      <w:proofErr w:type="gramStart"/>
      <w:r w:rsidR="00EE1853" w:rsidRPr="0057385D">
        <w:t>doi</w:t>
      </w:r>
      <w:proofErr w:type="gramEnd"/>
      <w:r w:rsidR="00EE1853" w:rsidRPr="0057385D">
        <w:t>:</w:t>
      </w:r>
      <w:r w:rsidR="00DF4504" w:rsidRPr="0057385D">
        <w:t xml:space="preserve"> 10.1061/(ASCE)0733-947X(2006)132:2(122). </w:t>
      </w:r>
    </w:p>
    <w:p w14:paraId="63BB89F5" w14:textId="0303C75E" w:rsidR="00165C81" w:rsidRDefault="00591371" w:rsidP="00B4597A">
      <w:pPr>
        <w:pStyle w:val="References"/>
      </w:pPr>
      <w:r w:rsidRPr="0057385D">
        <w:t>Fan, W., and Machemehl, R. 2008</w:t>
      </w:r>
      <w:r w:rsidR="00165C81">
        <w:t>a</w:t>
      </w:r>
      <w:r w:rsidRPr="0057385D">
        <w:t>.</w:t>
      </w:r>
      <w:r w:rsidR="00A43043" w:rsidRPr="0057385D">
        <w:t xml:space="preserve"> </w:t>
      </w:r>
      <w:r w:rsidR="00EE1853" w:rsidRPr="0057385D">
        <w:t>“</w:t>
      </w:r>
      <w:r w:rsidR="00A43043" w:rsidRPr="0057385D">
        <w:t xml:space="preserve">Tabu search strategies for the public transportation network </w:t>
      </w:r>
      <w:r w:rsidR="00022FF5">
        <w:t>optimisation</w:t>
      </w:r>
      <w:r w:rsidR="00EE1853" w:rsidRPr="0057385D">
        <w:t xml:space="preserve"> with variable transit demand.” </w:t>
      </w:r>
      <w:r w:rsidR="00A43043" w:rsidRPr="0057385D">
        <w:rPr>
          <w:i/>
          <w:iCs/>
        </w:rPr>
        <w:t>Computer-Aided Civil and Infrastructure Engineering</w:t>
      </w:r>
      <w:r w:rsidR="00EE1853" w:rsidRPr="0057385D">
        <w:t xml:space="preserve"> 23: </w:t>
      </w:r>
      <w:r w:rsidR="00A43043" w:rsidRPr="0057385D">
        <w:t xml:space="preserve">502-520. </w:t>
      </w:r>
      <w:proofErr w:type="gramStart"/>
      <w:r w:rsidR="00EE1853" w:rsidRPr="0057385D">
        <w:t>doi</w:t>
      </w:r>
      <w:proofErr w:type="gramEnd"/>
      <w:r w:rsidR="00EE1853" w:rsidRPr="0057385D">
        <w:t>:</w:t>
      </w:r>
      <w:r w:rsidR="00DF4504" w:rsidRPr="0057385D">
        <w:t xml:space="preserve"> 10.</w:t>
      </w:r>
      <w:r w:rsidR="00543290">
        <w:t xml:space="preserve">1111/j.1467-8667.2008.00556.x. </w:t>
      </w:r>
    </w:p>
    <w:p w14:paraId="190FEA19" w14:textId="430412FA" w:rsidR="00165C81" w:rsidRPr="0057385D" w:rsidRDefault="00165C81" w:rsidP="00B4597A">
      <w:pPr>
        <w:pStyle w:val="References"/>
      </w:pPr>
      <w:r>
        <w:t xml:space="preserve">Fan, W., Machemehl, R.B. 2008b. “A Tabu Search Based Heuristic Method for the Transit Route Network Design Problem.” In </w:t>
      </w:r>
      <w:r w:rsidRPr="00D219DF">
        <w:rPr>
          <w:i/>
          <w:iCs/>
        </w:rPr>
        <w:t>Computer-aided Systems in Public Transport</w:t>
      </w:r>
      <w:r>
        <w:rPr>
          <w:i/>
          <w:iCs/>
        </w:rPr>
        <w:t>,</w:t>
      </w:r>
      <w:r>
        <w:t xml:space="preserve"> edited by Hickman, M., </w:t>
      </w:r>
      <w:proofErr w:type="spellStart"/>
      <w:r>
        <w:t>Mirchandani</w:t>
      </w:r>
      <w:proofErr w:type="spellEnd"/>
      <w:r>
        <w:t xml:space="preserve">, P., </w:t>
      </w:r>
      <w:proofErr w:type="spellStart"/>
      <w:r>
        <w:t>Voß</w:t>
      </w:r>
      <w:proofErr w:type="spellEnd"/>
      <w:r>
        <w:t xml:space="preserve">, S, 387-408. Springer Berlin Heidelberg: Berlin, Heidelberg.  </w:t>
      </w:r>
    </w:p>
    <w:p w14:paraId="54B72D72" w14:textId="3CE3C427" w:rsidR="00DF4504" w:rsidRPr="0057385D" w:rsidRDefault="00591371" w:rsidP="005F7BD0">
      <w:pPr>
        <w:pStyle w:val="References"/>
      </w:pPr>
      <w:r w:rsidRPr="0057385D">
        <w:t>Fan, W., and Machemehl, R. 2011.</w:t>
      </w:r>
      <w:r w:rsidR="00A43043" w:rsidRPr="0057385D">
        <w:t xml:space="preserve"> </w:t>
      </w:r>
      <w:r w:rsidR="00EE1853" w:rsidRPr="0057385D">
        <w:t>“</w:t>
      </w:r>
      <w:r w:rsidR="00A43043" w:rsidRPr="0057385D">
        <w:t xml:space="preserve">Bi-level </w:t>
      </w:r>
      <w:r w:rsidR="00022FF5">
        <w:t>optimisation</w:t>
      </w:r>
      <w:r w:rsidR="00A43043" w:rsidRPr="0057385D">
        <w:t xml:space="preserve"> model for public </w:t>
      </w:r>
    </w:p>
    <w:p w14:paraId="12575777" w14:textId="77777777" w:rsidR="00A43043" w:rsidRPr="0057385D" w:rsidRDefault="00A43043" w:rsidP="005F7BD0">
      <w:pPr>
        <w:pStyle w:val="References"/>
        <w:ind w:firstLine="0"/>
      </w:pPr>
      <w:proofErr w:type="gramStart"/>
      <w:r w:rsidRPr="0057385D">
        <w:t>transportation</w:t>
      </w:r>
      <w:proofErr w:type="gramEnd"/>
      <w:r w:rsidRPr="0057385D">
        <w:t xml:space="preserve"> network redesign problem.</w:t>
      </w:r>
      <w:r w:rsidR="00EE1853" w:rsidRPr="0057385D">
        <w:t>”</w:t>
      </w:r>
      <w:r w:rsidRPr="0057385D">
        <w:t xml:space="preserve"> </w:t>
      </w:r>
      <w:r w:rsidR="00EE1853" w:rsidRPr="00F7028C">
        <w:rPr>
          <w:i/>
          <w:iCs/>
        </w:rPr>
        <w:t>Transportation Research Record</w:t>
      </w:r>
      <w:r w:rsidR="00EE1853" w:rsidRPr="0057385D">
        <w:t xml:space="preserve"> 2263:</w:t>
      </w:r>
      <w:r w:rsidRPr="0057385D">
        <w:t xml:space="preserve"> 151-162. </w:t>
      </w:r>
      <w:proofErr w:type="gramStart"/>
      <w:r w:rsidR="00EE1853" w:rsidRPr="0057385D">
        <w:t>doi</w:t>
      </w:r>
      <w:proofErr w:type="gramEnd"/>
      <w:r w:rsidR="00EE1853" w:rsidRPr="0057385D">
        <w:t>:</w:t>
      </w:r>
      <w:r w:rsidR="00DF4504" w:rsidRPr="0057385D">
        <w:t xml:space="preserve"> 10.3141/2263-17.  </w:t>
      </w:r>
    </w:p>
    <w:p w14:paraId="3BC33D08" w14:textId="77777777" w:rsidR="00A43043" w:rsidRPr="0057385D" w:rsidRDefault="00591371" w:rsidP="00F56CF1">
      <w:pPr>
        <w:pStyle w:val="References"/>
      </w:pPr>
      <w:r w:rsidRPr="0057385D">
        <w:t>G</w:t>
      </w:r>
      <w:r w:rsidR="00F56CF1" w:rsidRPr="0057385D">
        <w:t>lover</w:t>
      </w:r>
      <w:r w:rsidRPr="0057385D">
        <w:t>, F. 1977.</w:t>
      </w:r>
      <w:r w:rsidR="00A43043" w:rsidRPr="0057385D">
        <w:t xml:space="preserve"> </w:t>
      </w:r>
      <w:r w:rsidR="00F56CF1" w:rsidRPr="0057385D">
        <w:t>“</w:t>
      </w:r>
      <w:r w:rsidR="00A43043" w:rsidRPr="0057385D">
        <w:t>Heuristics for Integer Programming Using Surrogate Constraints.</w:t>
      </w:r>
      <w:r w:rsidR="00F56CF1" w:rsidRPr="0057385D">
        <w:t>”</w:t>
      </w:r>
    </w:p>
    <w:p w14:paraId="4C093CB7" w14:textId="77777777" w:rsidR="00A43043" w:rsidRPr="0057385D" w:rsidRDefault="00F56CF1" w:rsidP="0057385D">
      <w:pPr>
        <w:pStyle w:val="References"/>
        <w:ind w:firstLine="0"/>
        <w:rPr>
          <w:lang w:val="fr-FR"/>
        </w:rPr>
      </w:pPr>
      <w:r w:rsidRPr="0057385D">
        <w:rPr>
          <w:i/>
          <w:iCs/>
          <w:lang w:val="fr-FR"/>
        </w:rPr>
        <w:t>Decision Sciences</w:t>
      </w:r>
      <w:r w:rsidRPr="0057385D">
        <w:rPr>
          <w:lang w:val="fr-FR"/>
        </w:rPr>
        <w:t xml:space="preserve"> 8 (1</w:t>
      </w:r>
      <w:proofErr w:type="gramStart"/>
      <w:r w:rsidRPr="0057385D">
        <w:rPr>
          <w:lang w:val="fr-FR"/>
        </w:rPr>
        <w:t>):</w:t>
      </w:r>
      <w:proofErr w:type="gramEnd"/>
      <w:r w:rsidR="00A43043" w:rsidRPr="0057385D">
        <w:rPr>
          <w:lang w:val="fr-FR"/>
        </w:rPr>
        <w:t>156-166.</w:t>
      </w:r>
      <w:r w:rsidRPr="0057385D">
        <w:rPr>
          <w:lang w:val="fr-FR"/>
        </w:rPr>
        <w:t xml:space="preserve"> </w:t>
      </w:r>
      <w:proofErr w:type="gramStart"/>
      <w:r w:rsidRPr="0057385D">
        <w:rPr>
          <w:lang w:val="fr-FR"/>
        </w:rPr>
        <w:t>doi:</w:t>
      </w:r>
      <w:proofErr w:type="gramEnd"/>
      <w:r w:rsidR="00DF4504" w:rsidRPr="0057385D">
        <w:rPr>
          <w:lang w:val="fr-FR"/>
        </w:rPr>
        <w:t xml:space="preserve"> 10.1111/j.1540-5915.1977.tb01074.x. </w:t>
      </w:r>
    </w:p>
    <w:p w14:paraId="39D33AAC" w14:textId="7392CE52" w:rsidR="00A43043" w:rsidRPr="0057385D" w:rsidRDefault="00591371" w:rsidP="00EC6459">
      <w:pPr>
        <w:pStyle w:val="References"/>
      </w:pPr>
      <w:r w:rsidRPr="0057385D">
        <w:t>G</w:t>
      </w:r>
      <w:r w:rsidR="00F56CF1" w:rsidRPr="0057385D">
        <w:t>lover</w:t>
      </w:r>
      <w:r w:rsidRPr="0057385D">
        <w:t>, F. and L</w:t>
      </w:r>
      <w:r w:rsidR="00F56CF1" w:rsidRPr="0057385D">
        <w:t>aguna</w:t>
      </w:r>
      <w:r w:rsidRPr="0057385D">
        <w:t>, M. 1997.</w:t>
      </w:r>
      <w:r w:rsidR="00A43043" w:rsidRPr="0057385D">
        <w:t xml:space="preserve"> </w:t>
      </w:r>
      <w:r w:rsidR="00A43043" w:rsidRPr="0057385D">
        <w:rPr>
          <w:i/>
          <w:iCs/>
        </w:rPr>
        <w:t xml:space="preserve">Tabu Search. </w:t>
      </w:r>
      <w:r w:rsidR="00A43043" w:rsidRPr="0057385D">
        <w:t xml:space="preserve">Boston: Kluwer Academic Publishers. </w:t>
      </w:r>
    </w:p>
    <w:p w14:paraId="51857419" w14:textId="77777777" w:rsidR="004D54B0" w:rsidRDefault="00591371" w:rsidP="00DF4504">
      <w:pPr>
        <w:pStyle w:val="References"/>
      </w:pPr>
      <w:r w:rsidRPr="0057385D">
        <w:t>G</w:t>
      </w:r>
      <w:r w:rsidR="00F56CF1" w:rsidRPr="0057385D">
        <w:t>uihaire</w:t>
      </w:r>
      <w:r w:rsidRPr="0057385D">
        <w:t>, V.</w:t>
      </w:r>
      <w:r w:rsidR="00F56CF1" w:rsidRPr="0057385D">
        <w:t>, and</w:t>
      </w:r>
      <w:r w:rsidRPr="0057385D">
        <w:t xml:space="preserve"> H</w:t>
      </w:r>
      <w:r w:rsidR="00F56CF1" w:rsidRPr="0057385D">
        <w:t>ao</w:t>
      </w:r>
      <w:r w:rsidRPr="0057385D">
        <w:t>, J.K. 2008.</w:t>
      </w:r>
      <w:r w:rsidR="00A43043" w:rsidRPr="0057385D">
        <w:t xml:space="preserve"> </w:t>
      </w:r>
      <w:r w:rsidR="00F56CF1" w:rsidRPr="0057385D">
        <w:t>“</w:t>
      </w:r>
      <w:r w:rsidR="00A43043" w:rsidRPr="0057385D">
        <w:t>Transit network design and scheduling: a global review.</w:t>
      </w:r>
      <w:r w:rsidR="00F56CF1" w:rsidRPr="0057385D">
        <w:t xml:space="preserve">” </w:t>
      </w:r>
      <w:r w:rsidR="00A43043" w:rsidRPr="0057385D">
        <w:rPr>
          <w:i/>
          <w:iCs/>
        </w:rPr>
        <w:t>Transportation Research Part A: Policy and Practice</w:t>
      </w:r>
      <w:r w:rsidR="00F56CF1" w:rsidRPr="0057385D">
        <w:t xml:space="preserve"> 42(10):</w:t>
      </w:r>
      <w:r w:rsidR="00A43043" w:rsidRPr="0057385D">
        <w:t xml:space="preserve"> 1251-1273. </w:t>
      </w:r>
      <w:r w:rsidR="00DF4504" w:rsidRPr="0057385D">
        <w:t>doi:10.1016/j.tra.2008.03.011.</w:t>
      </w:r>
    </w:p>
    <w:p w14:paraId="777EA32F" w14:textId="65FCA31E" w:rsidR="00A43043" w:rsidRPr="0057385D" w:rsidRDefault="004D54B0" w:rsidP="004D54B0">
      <w:pPr>
        <w:pStyle w:val="References"/>
      </w:pPr>
      <w:r>
        <w:t>Hibbs, J.</w:t>
      </w:r>
      <w:r w:rsidR="00593BD3">
        <w:t>,</w:t>
      </w:r>
      <w:r>
        <w:t xml:space="preserve"> </w:t>
      </w:r>
      <w:r w:rsidR="00593BD3">
        <w:t>and</w:t>
      </w:r>
      <w:r>
        <w:t xml:space="preserve"> Higginson, M.P</w:t>
      </w:r>
      <w:r w:rsidR="00593BD3">
        <w:t xml:space="preserve">. </w:t>
      </w:r>
      <w:r>
        <w:t>2013</w:t>
      </w:r>
      <w:r w:rsidR="00593BD3">
        <w:t>.</w:t>
      </w:r>
      <w:r>
        <w:t xml:space="preserve"> </w:t>
      </w:r>
      <w:r w:rsidR="00593BD3">
        <w:t>“</w:t>
      </w:r>
      <w:r>
        <w:t>Regulation</w:t>
      </w:r>
      <w:r w:rsidR="00593BD3">
        <w:t>.”</w:t>
      </w:r>
      <w:r>
        <w:t xml:space="preserve"> in </w:t>
      </w:r>
      <w:r w:rsidRPr="004D54B0">
        <w:t>Mulley</w:t>
      </w:r>
      <w:r w:rsidR="00593BD3">
        <w:t>,</w:t>
      </w:r>
      <w:r w:rsidRPr="004D54B0">
        <w:t xml:space="preserve"> C</w:t>
      </w:r>
      <w:r w:rsidR="00593BD3">
        <w:t>.,</w:t>
      </w:r>
      <w:r>
        <w:t xml:space="preserve"> </w:t>
      </w:r>
      <w:r w:rsidR="00593BD3">
        <w:t>and</w:t>
      </w:r>
      <w:r w:rsidRPr="004D54B0">
        <w:t xml:space="preserve"> Higginson</w:t>
      </w:r>
      <w:r w:rsidR="00593BD3">
        <w:t>,</w:t>
      </w:r>
      <w:r w:rsidRPr="004D54B0">
        <w:t xml:space="preserve"> M</w:t>
      </w:r>
      <w:r w:rsidR="00593BD3">
        <w:t>.</w:t>
      </w:r>
      <w:r w:rsidRPr="004D54B0">
        <w:t>P</w:t>
      </w:r>
      <w:r w:rsidR="00593BD3">
        <w:t>.</w:t>
      </w:r>
      <w:r>
        <w:t xml:space="preserve"> (</w:t>
      </w:r>
      <w:proofErr w:type="gramStart"/>
      <w:r>
        <w:t>eds</w:t>
      </w:r>
      <w:proofErr w:type="gramEnd"/>
      <w:r>
        <w:t xml:space="preserve">) </w:t>
      </w:r>
      <w:r w:rsidRPr="004D54B0">
        <w:rPr>
          <w:i/>
          <w:iCs/>
        </w:rPr>
        <w:t>Companion to Road Passenger Transport History</w:t>
      </w:r>
      <w:r w:rsidR="00593BD3">
        <w:t>.</w:t>
      </w:r>
      <w:r w:rsidRPr="004D54B0">
        <w:t xml:space="preserve"> Walsall: Roads and Road Transport History </w:t>
      </w:r>
      <w:proofErr w:type="gramStart"/>
      <w:r w:rsidRPr="004D54B0">
        <w:t xml:space="preserve">Association </w:t>
      </w:r>
      <w:r w:rsidR="00593BD3">
        <w:t>.</w:t>
      </w:r>
      <w:proofErr w:type="gramEnd"/>
      <w:r w:rsidR="00593BD3">
        <w:t xml:space="preserve"> </w:t>
      </w:r>
    </w:p>
    <w:p w14:paraId="504745F3" w14:textId="019B8C87" w:rsidR="00A43043" w:rsidRPr="0057385D" w:rsidRDefault="00A43043" w:rsidP="0057385D">
      <w:pPr>
        <w:pStyle w:val="References"/>
      </w:pPr>
      <w:r w:rsidRPr="0057385D">
        <w:t>H</w:t>
      </w:r>
      <w:r w:rsidR="00F56CF1" w:rsidRPr="0057385D">
        <w:t>uang, Z.D., Liu</w:t>
      </w:r>
      <w:r w:rsidRPr="0057385D">
        <w:t xml:space="preserve">, </w:t>
      </w:r>
      <w:r w:rsidR="00F56CF1" w:rsidRPr="0057385D">
        <w:t xml:space="preserve">X.J., </w:t>
      </w:r>
      <w:r w:rsidR="00591371" w:rsidRPr="0057385D">
        <w:t>H</w:t>
      </w:r>
      <w:r w:rsidR="00F56CF1" w:rsidRPr="0057385D">
        <w:t>uang, C.C., and</w:t>
      </w:r>
      <w:r w:rsidR="00591371" w:rsidRPr="0057385D">
        <w:t xml:space="preserve"> S</w:t>
      </w:r>
      <w:r w:rsidR="00F56CF1" w:rsidRPr="0057385D">
        <w:t>hen</w:t>
      </w:r>
      <w:r w:rsidR="00591371" w:rsidRPr="0057385D">
        <w:t>, J.W. 2010.</w:t>
      </w:r>
      <w:r w:rsidRPr="0057385D">
        <w:t xml:space="preserve"> </w:t>
      </w:r>
      <w:r w:rsidR="00F56CF1" w:rsidRPr="0057385D">
        <w:t>“</w:t>
      </w:r>
      <w:proofErr w:type="gramStart"/>
      <w:r w:rsidRPr="0057385D">
        <w:t>A GIS</w:t>
      </w:r>
      <w:proofErr w:type="gramEnd"/>
      <w:r w:rsidRPr="0057385D">
        <w:t>- based framework for bus network</w:t>
      </w:r>
      <w:r w:rsidR="00882223">
        <w:t xml:space="preserve"> </w:t>
      </w:r>
      <w:r w:rsidR="00022FF5">
        <w:t>optimisation</w:t>
      </w:r>
      <w:r w:rsidRPr="0057385D">
        <w:t xml:space="preserve"> using genetic algorithm.</w:t>
      </w:r>
      <w:r w:rsidR="00F56CF1" w:rsidRPr="0057385D">
        <w:t>”</w:t>
      </w:r>
      <w:r w:rsidRPr="0057385D">
        <w:t xml:space="preserve"> </w:t>
      </w:r>
      <w:r w:rsidRPr="0057385D">
        <w:rPr>
          <w:i/>
          <w:iCs/>
        </w:rPr>
        <w:t>Annals of GIS</w:t>
      </w:r>
      <w:r w:rsidR="00F56CF1" w:rsidRPr="0057385D">
        <w:t xml:space="preserve"> 16(3):</w:t>
      </w:r>
      <w:r w:rsidRPr="0057385D">
        <w:t xml:space="preserve"> 185-194. </w:t>
      </w:r>
      <w:proofErr w:type="gramStart"/>
      <w:r w:rsidR="00F56CF1" w:rsidRPr="0057385D">
        <w:t>doi</w:t>
      </w:r>
      <w:proofErr w:type="gramEnd"/>
      <w:r w:rsidR="00F56CF1" w:rsidRPr="0057385D">
        <w:t>:</w:t>
      </w:r>
      <w:r w:rsidR="00DF4504" w:rsidRPr="0057385D">
        <w:t xml:space="preserve"> 10.1080/19475683.2010.513152. </w:t>
      </w:r>
    </w:p>
    <w:p w14:paraId="1EF0DB87" w14:textId="590DC5DE" w:rsidR="003621E3" w:rsidRPr="0057385D" w:rsidRDefault="00A43043" w:rsidP="003621E3">
      <w:pPr>
        <w:pStyle w:val="References"/>
      </w:pPr>
      <w:r w:rsidRPr="00665C05">
        <w:t>I</w:t>
      </w:r>
      <w:r w:rsidR="00F56CF1" w:rsidRPr="00665C05">
        <w:t>barra-Rojas, O.J.,</w:t>
      </w:r>
      <w:r w:rsidRPr="00665C05">
        <w:t xml:space="preserve"> D</w:t>
      </w:r>
      <w:r w:rsidR="00F56CF1" w:rsidRPr="00665C05">
        <w:t>elgado, F.,</w:t>
      </w:r>
      <w:r w:rsidR="00591371" w:rsidRPr="00665C05">
        <w:t xml:space="preserve"> </w:t>
      </w:r>
      <w:proofErr w:type="spellStart"/>
      <w:r w:rsidR="00591371" w:rsidRPr="00665C05">
        <w:t>G</w:t>
      </w:r>
      <w:r w:rsidR="009B68E7" w:rsidRPr="00665C05">
        <w:t>iesen</w:t>
      </w:r>
      <w:proofErr w:type="spellEnd"/>
      <w:r w:rsidR="009B68E7" w:rsidRPr="00665C05">
        <w:t>, R., and</w:t>
      </w:r>
      <w:r w:rsidR="00591371" w:rsidRPr="00665C05">
        <w:t xml:space="preserve"> M</w:t>
      </w:r>
      <w:r w:rsidR="009B68E7" w:rsidRPr="00665C05">
        <w:t>unoz</w:t>
      </w:r>
      <w:r w:rsidR="00591371" w:rsidRPr="00665C05">
        <w:t>, J.C. 2015.</w:t>
      </w:r>
      <w:r w:rsidRPr="00665C05">
        <w:t xml:space="preserve"> </w:t>
      </w:r>
      <w:r w:rsidR="009B68E7" w:rsidRPr="0057385D">
        <w:t>“</w:t>
      </w:r>
      <w:r w:rsidRPr="0057385D">
        <w:t xml:space="preserve">Planning, operation, and control of bus transport systems: a </w:t>
      </w:r>
      <w:r w:rsidR="00882223" w:rsidRPr="0057385D">
        <w:t>literature</w:t>
      </w:r>
      <w:r w:rsidRPr="0057385D">
        <w:t xml:space="preserve"> review.</w:t>
      </w:r>
      <w:r w:rsidR="009B68E7" w:rsidRPr="0057385D">
        <w:t>”</w:t>
      </w:r>
      <w:r w:rsidRPr="0057385D">
        <w:t xml:space="preserve"> </w:t>
      </w:r>
      <w:r w:rsidRPr="0057385D">
        <w:rPr>
          <w:i/>
          <w:iCs/>
        </w:rPr>
        <w:t>Transportation Research Part B</w:t>
      </w:r>
      <w:r w:rsidR="009B68E7" w:rsidRPr="0057385D">
        <w:t xml:space="preserve"> 77:</w:t>
      </w:r>
      <w:r w:rsidR="00F7028C">
        <w:t xml:space="preserve"> 38-75. </w:t>
      </w:r>
      <w:r w:rsidR="00DF4504" w:rsidRPr="0057385D">
        <w:t xml:space="preserve">doi:10.1016/j.trb.2015.03.002. </w:t>
      </w:r>
    </w:p>
    <w:p w14:paraId="56158989" w14:textId="2DB0CC98" w:rsidR="004D54B0" w:rsidRDefault="004D54B0" w:rsidP="00020105">
      <w:pPr>
        <w:pStyle w:val="References"/>
      </w:pPr>
      <w:r>
        <w:t>Nelson, J. 2013</w:t>
      </w:r>
      <w:r w:rsidR="00593BD3">
        <w:t>.</w:t>
      </w:r>
      <w:r>
        <w:t xml:space="preserve"> </w:t>
      </w:r>
      <w:r w:rsidR="00593BD3">
        <w:t>“</w:t>
      </w:r>
      <w:r>
        <w:t>Quality Bus Partnerships</w:t>
      </w:r>
      <w:r w:rsidR="00593BD3">
        <w:t>.”</w:t>
      </w:r>
      <w:r>
        <w:t xml:space="preserve"> in </w:t>
      </w:r>
      <w:r w:rsidRPr="004D54B0">
        <w:t>Mulley</w:t>
      </w:r>
      <w:r w:rsidR="00593BD3">
        <w:t>,</w:t>
      </w:r>
      <w:r w:rsidRPr="004D54B0">
        <w:t xml:space="preserve"> C</w:t>
      </w:r>
      <w:r w:rsidR="00593BD3">
        <w:t>. and</w:t>
      </w:r>
      <w:r w:rsidR="00882223">
        <w:t xml:space="preserve"> </w:t>
      </w:r>
      <w:r w:rsidRPr="004D54B0">
        <w:t>Higginson</w:t>
      </w:r>
      <w:r w:rsidR="00593BD3">
        <w:t>,</w:t>
      </w:r>
      <w:r w:rsidRPr="004D54B0">
        <w:t xml:space="preserve"> M</w:t>
      </w:r>
      <w:r w:rsidR="00593BD3">
        <w:t>.</w:t>
      </w:r>
      <w:r w:rsidRPr="004D54B0">
        <w:t>P</w:t>
      </w:r>
      <w:r w:rsidR="00593BD3">
        <w:t>.</w:t>
      </w:r>
      <w:r>
        <w:t xml:space="preserve"> (</w:t>
      </w:r>
      <w:proofErr w:type="spellStart"/>
      <w:proofErr w:type="gramStart"/>
      <w:r>
        <w:t>eds</w:t>
      </w:r>
      <w:proofErr w:type="spellEnd"/>
      <w:proofErr w:type="gramEnd"/>
      <w:r>
        <w:t xml:space="preserve">) </w:t>
      </w:r>
      <w:r w:rsidRPr="004D54B0">
        <w:rPr>
          <w:i/>
          <w:iCs/>
        </w:rPr>
        <w:t>Companion to Road Passenger Transport History</w:t>
      </w:r>
      <w:r w:rsidR="00593BD3">
        <w:t>.</w:t>
      </w:r>
      <w:r w:rsidRPr="004D54B0">
        <w:t xml:space="preserve"> Walsall: Roads and Road Transport History </w:t>
      </w:r>
      <w:proofErr w:type="gramStart"/>
      <w:r w:rsidRPr="004D54B0">
        <w:t xml:space="preserve">Association </w:t>
      </w:r>
      <w:r w:rsidR="00593BD3">
        <w:t>.</w:t>
      </w:r>
      <w:proofErr w:type="gramEnd"/>
      <w:r w:rsidR="00593BD3">
        <w:t xml:space="preserve"> </w:t>
      </w:r>
    </w:p>
    <w:p w14:paraId="5B169ACD" w14:textId="006CC299" w:rsidR="003621E3" w:rsidRDefault="003621E3" w:rsidP="00F7028C">
      <w:pPr>
        <w:pStyle w:val="References"/>
      </w:pPr>
      <w:r>
        <w:t>Newcombe, R. 2014. “Re-engineering local bus services in Southampton.” MSc Dissertation, University of Southampton.</w:t>
      </w:r>
    </w:p>
    <w:p w14:paraId="6B294643" w14:textId="20201924" w:rsidR="00A43043" w:rsidRPr="0057385D" w:rsidRDefault="00245DE5" w:rsidP="0057385D">
      <w:pPr>
        <w:pStyle w:val="References"/>
      </w:pPr>
      <w:r>
        <w:t>Nexus. 2013.</w:t>
      </w:r>
      <w:r w:rsidR="00A43043" w:rsidRPr="0057385D">
        <w:t xml:space="preserve"> </w:t>
      </w:r>
      <w:r w:rsidR="009B68E7" w:rsidRPr="0057385D">
        <w:t>“</w:t>
      </w:r>
      <w:r w:rsidR="00A43043" w:rsidRPr="0057385D">
        <w:t>Proposal for a Quality Contracts Scheme in Tyne and Wear</w:t>
      </w:r>
      <w:r w:rsidR="00F7028C">
        <w:t>.” Nexus, 2013. Accessed</w:t>
      </w:r>
      <w:r w:rsidR="009B68E7" w:rsidRPr="0057385D">
        <w:t xml:space="preserve"> 11 Aug. 2015. http://www.nexus.org.uk/busstrategy.</w:t>
      </w:r>
    </w:p>
    <w:p w14:paraId="297958ED" w14:textId="77777777" w:rsidR="00A43043" w:rsidRPr="0057385D" w:rsidRDefault="00A43043" w:rsidP="0057385D">
      <w:pPr>
        <w:pStyle w:val="References"/>
      </w:pPr>
      <w:r w:rsidRPr="0057385D">
        <w:t>P</w:t>
      </w:r>
      <w:r w:rsidR="009B68E7" w:rsidRPr="0057385D">
        <w:t>attnaik, S.B.,</w:t>
      </w:r>
      <w:r w:rsidRPr="0057385D">
        <w:t xml:space="preserve"> M</w:t>
      </w:r>
      <w:r w:rsidR="009B68E7" w:rsidRPr="0057385D">
        <w:t>ohan, S., and Tom, V.M. 1998.</w:t>
      </w:r>
      <w:r w:rsidRPr="0057385D">
        <w:t xml:space="preserve"> </w:t>
      </w:r>
      <w:r w:rsidR="009B68E7" w:rsidRPr="0057385D">
        <w:t>“</w:t>
      </w:r>
      <w:r w:rsidRPr="0057385D">
        <w:t xml:space="preserve">Urban bus transit route network </w:t>
      </w:r>
      <w:r w:rsidR="009B68E7" w:rsidRPr="0057385D">
        <w:t xml:space="preserve">design using genetic algorithm.” </w:t>
      </w:r>
      <w:r w:rsidRPr="0057385D">
        <w:rPr>
          <w:i/>
          <w:iCs/>
        </w:rPr>
        <w:t>Journal of Transportation Engineering</w:t>
      </w:r>
      <w:r w:rsidR="009B68E7" w:rsidRPr="0057385D">
        <w:t xml:space="preserve"> 124(4):</w:t>
      </w:r>
      <w:r w:rsidRPr="0057385D">
        <w:t xml:space="preserve"> 368-375. </w:t>
      </w:r>
      <w:proofErr w:type="gramStart"/>
      <w:r w:rsidR="00E705C3" w:rsidRPr="0057385D">
        <w:t>doi</w:t>
      </w:r>
      <w:proofErr w:type="gramEnd"/>
      <w:r w:rsidR="00E705C3" w:rsidRPr="0057385D">
        <w:t>:</w:t>
      </w:r>
      <w:r w:rsidR="00DF4504" w:rsidRPr="0057385D">
        <w:t xml:space="preserve"> 10.1061/(ASCE)0733-947X(1998)124:4(368). </w:t>
      </w:r>
    </w:p>
    <w:p w14:paraId="53F29E9C" w14:textId="35B9320E" w:rsidR="003621E3" w:rsidRDefault="009B68E7">
      <w:pPr>
        <w:pStyle w:val="References"/>
      </w:pPr>
      <w:r w:rsidRPr="0057385D">
        <w:t>Pteg. 2014.</w:t>
      </w:r>
      <w:r w:rsidR="00A43043" w:rsidRPr="0057385D">
        <w:t xml:space="preserve"> </w:t>
      </w:r>
      <w:r w:rsidRPr="0057385D">
        <w:t>“</w:t>
      </w:r>
      <w:r w:rsidR="00A43043" w:rsidRPr="0057385D">
        <w:t>Bus Regulation FAQs</w:t>
      </w:r>
      <w:r w:rsidRPr="0057385D">
        <w:t>.”</w:t>
      </w:r>
      <w:r w:rsidR="00A43043" w:rsidRPr="0057385D">
        <w:t xml:space="preserve"> </w:t>
      </w:r>
      <w:r w:rsidR="00F7028C">
        <w:t>Pteg, 2014. Accessed</w:t>
      </w:r>
      <w:r w:rsidRPr="0057385D">
        <w:t xml:space="preserve"> 11 Aug. 2015. </w:t>
      </w:r>
      <w:r w:rsidR="00A97073" w:rsidRPr="00B4597A">
        <w:t>http://www.pteg.net/resources/bus/bus-regulation</w:t>
      </w:r>
      <w:r w:rsidRPr="0057385D">
        <w:t>.</w:t>
      </w:r>
    </w:p>
    <w:p w14:paraId="1DBBBC50" w14:textId="3203ADC8" w:rsidR="003621E3" w:rsidRDefault="003621E3" w:rsidP="003621E3">
      <w:pPr>
        <w:pStyle w:val="References"/>
      </w:pPr>
      <w:r>
        <w:t xml:space="preserve">Song, Y., Hickford, A., and Preston, J. 2014. “Delivering sustainable public transport: the case of the Better Bus Area Fund.” </w:t>
      </w:r>
      <w:r w:rsidRPr="0076597A">
        <w:rPr>
          <w:i/>
          <w:iCs/>
        </w:rPr>
        <w:t>Research in Transportation Economics</w:t>
      </w:r>
      <w:r w:rsidR="00F7028C">
        <w:t xml:space="preserve"> 48: 373–380. </w:t>
      </w:r>
      <w:r w:rsidRPr="003621E3">
        <w:t>doi:10.1016/j.retrec.2014.09.066</w:t>
      </w:r>
      <w:r>
        <w:t xml:space="preserve">. </w:t>
      </w:r>
    </w:p>
    <w:p w14:paraId="15DECFA9" w14:textId="622E478D" w:rsidR="003621E3" w:rsidRPr="0057385D" w:rsidRDefault="003621E3">
      <w:pPr>
        <w:pStyle w:val="References"/>
      </w:pPr>
      <w:r>
        <w:t>Southampton City Council. 2012. “Local sustainable transport fund-application form.” Southampton City Council, 2012.  A</w:t>
      </w:r>
      <w:r w:rsidR="00F7028C">
        <w:t>ccessed</w:t>
      </w:r>
      <w:r>
        <w:t xml:space="preserve"> 06 March 2015. http://www3.hants.gov.uk/2014-bid-tfshiow-lstf-application.doc. </w:t>
      </w:r>
    </w:p>
    <w:p w14:paraId="51D27EDB" w14:textId="4B325E2F" w:rsidR="00EC6459" w:rsidRDefault="00591371" w:rsidP="00983C84">
      <w:pPr>
        <w:pStyle w:val="References"/>
      </w:pPr>
      <w:r w:rsidRPr="0057385D">
        <w:t>Z</w:t>
      </w:r>
      <w:r w:rsidR="009B68E7" w:rsidRPr="0057385D">
        <w:t>hao</w:t>
      </w:r>
      <w:r w:rsidRPr="0057385D">
        <w:t>, F. 2006.</w:t>
      </w:r>
      <w:r w:rsidR="00A43043" w:rsidRPr="0057385D">
        <w:t xml:space="preserve"> </w:t>
      </w:r>
      <w:r w:rsidR="009B68E7" w:rsidRPr="0057385D">
        <w:t>“</w:t>
      </w:r>
      <w:r w:rsidR="00A43043" w:rsidRPr="0057385D">
        <w:t xml:space="preserve">Large-scale transit network </w:t>
      </w:r>
      <w:r w:rsidR="00022FF5">
        <w:t>optimisation</w:t>
      </w:r>
      <w:r w:rsidR="00A43043" w:rsidRPr="0057385D">
        <w:t xml:space="preserve"> by minimizing user cost and transfers.</w:t>
      </w:r>
      <w:r w:rsidR="009B68E7" w:rsidRPr="0057385D">
        <w:t>”</w:t>
      </w:r>
      <w:r w:rsidR="00A43043" w:rsidRPr="0057385D">
        <w:t xml:space="preserve"> </w:t>
      </w:r>
      <w:r w:rsidR="00A43043" w:rsidRPr="0057385D">
        <w:rPr>
          <w:i/>
          <w:iCs/>
        </w:rPr>
        <w:t>Journal of Public Transportation</w:t>
      </w:r>
      <w:r w:rsidR="009B68E7" w:rsidRPr="0057385D">
        <w:t xml:space="preserve"> 9 (2):</w:t>
      </w:r>
      <w:r w:rsidR="00A43043" w:rsidRPr="0057385D">
        <w:t xml:space="preserve"> 107-129. </w:t>
      </w:r>
      <w:proofErr w:type="gramStart"/>
      <w:r w:rsidR="00E705C3" w:rsidRPr="0057385D">
        <w:t>doi</w:t>
      </w:r>
      <w:proofErr w:type="gramEnd"/>
      <w:r w:rsidR="00E705C3" w:rsidRPr="0057385D">
        <w:t>:</w:t>
      </w:r>
      <w:r w:rsidR="0057385D" w:rsidRPr="0057385D">
        <w:t xml:space="preserve"> 10.5038/2375-0901.9.2.6. </w:t>
      </w:r>
    </w:p>
    <w:p w14:paraId="1506A724" w14:textId="77777777" w:rsidR="00E05411" w:rsidRDefault="00E05411" w:rsidP="00EC6459">
      <w:pPr>
        <w:pStyle w:val="Newparagraph"/>
        <w:ind w:firstLine="0"/>
        <w:rPr>
          <w:b/>
          <w:bCs/>
        </w:rPr>
      </w:pPr>
    </w:p>
    <w:p w14:paraId="3B46C1C2" w14:textId="77777777" w:rsidR="00E05411" w:rsidRDefault="00E05411" w:rsidP="00EC6459">
      <w:pPr>
        <w:pStyle w:val="Newparagraph"/>
        <w:ind w:firstLine="0"/>
        <w:rPr>
          <w:b/>
          <w:bCs/>
        </w:rPr>
      </w:pPr>
    </w:p>
    <w:p w14:paraId="2483F35D" w14:textId="77777777" w:rsidR="00E05411" w:rsidRDefault="00E05411" w:rsidP="00EC6459">
      <w:pPr>
        <w:pStyle w:val="Newparagraph"/>
        <w:ind w:firstLine="0"/>
        <w:rPr>
          <w:b/>
          <w:bCs/>
        </w:rPr>
      </w:pPr>
    </w:p>
    <w:p w14:paraId="751BFFFD" w14:textId="77777777" w:rsidR="00E05411" w:rsidRDefault="00E05411" w:rsidP="00EC6459">
      <w:pPr>
        <w:pStyle w:val="Newparagraph"/>
        <w:ind w:firstLine="0"/>
        <w:rPr>
          <w:b/>
          <w:bCs/>
        </w:rPr>
      </w:pPr>
    </w:p>
    <w:p w14:paraId="4E387882" w14:textId="77777777" w:rsidR="00E05411" w:rsidRDefault="00E05411" w:rsidP="00EC6459">
      <w:pPr>
        <w:pStyle w:val="Newparagraph"/>
        <w:ind w:firstLine="0"/>
        <w:rPr>
          <w:b/>
          <w:bCs/>
        </w:rPr>
      </w:pPr>
    </w:p>
    <w:p w14:paraId="6773E6C5" w14:textId="77777777" w:rsidR="00E05411" w:rsidRDefault="00E05411" w:rsidP="00EC6459">
      <w:pPr>
        <w:pStyle w:val="Newparagraph"/>
        <w:ind w:firstLine="0"/>
        <w:rPr>
          <w:b/>
          <w:bCs/>
        </w:rPr>
      </w:pPr>
    </w:p>
    <w:p w14:paraId="646901B6" w14:textId="77777777" w:rsidR="00E05411" w:rsidRDefault="00E05411" w:rsidP="00EC6459">
      <w:pPr>
        <w:pStyle w:val="Newparagraph"/>
        <w:ind w:firstLine="0"/>
        <w:rPr>
          <w:b/>
          <w:bCs/>
        </w:rPr>
      </w:pPr>
    </w:p>
    <w:p w14:paraId="2B737D68" w14:textId="77777777" w:rsidR="00E05411" w:rsidRDefault="00E05411" w:rsidP="00EC6459">
      <w:pPr>
        <w:pStyle w:val="Newparagraph"/>
        <w:ind w:firstLine="0"/>
        <w:rPr>
          <w:b/>
          <w:bCs/>
        </w:rPr>
      </w:pPr>
    </w:p>
    <w:p w14:paraId="089ED3E7" w14:textId="77777777" w:rsidR="00E05411" w:rsidRDefault="00E05411" w:rsidP="00EC6459">
      <w:pPr>
        <w:pStyle w:val="Newparagraph"/>
        <w:ind w:firstLine="0"/>
        <w:rPr>
          <w:b/>
          <w:bCs/>
        </w:rPr>
      </w:pPr>
    </w:p>
    <w:p w14:paraId="50340595" w14:textId="77777777" w:rsidR="00E05411" w:rsidRDefault="00E05411" w:rsidP="00EC6459">
      <w:pPr>
        <w:pStyle w:val="Newparagraph"/>
        <w:ind w:firstLine="0"/>
        <w:rPr>
          <w:b/>
          <w:bCs/>
        </w:rPr>
      </w:pPr>
    </w:p>
    <w:p w14:paraId="76C6F599" w14:textId="77777777" w:rsidR="00E05411" w:rsidRDefault="00E05411" w:rsidP="00EC6459">
      <w:pPr>
        <w:pStyle w:val="Newparagraph"/>
        <w:ind w:firstLine="0"/>
        <w:rPr>
          <w:b/>
          <w:bCs/>
        </w:rPr>
      </w:pPr>
    </w:p>
    <w:p w14:paraId="49C8F1EE" w14:textId="77777777" w:rsidR="00E05411" w:rsidRDefault="00E05411" w:rsidP="00EC6459">
      <w:pPr>
        <w:pStyle w:val="Newparagraph"/>
        <w:ind w:firstLine="0"/>
        <w:rPr>
          <w:b/>
          <w:bCs/>
        </w:rPr>
      </w:pPr>
    </w:p>
    <w:p w14:paraId="6C9C027A" w14:textId="009841CD" w:rsidR="00EC6459" w:rsidRPr="00EC6459" w:rsidRDefault="00EC6459" w:rsidP="00EC6459">
      <w:pPr>
        <w:pStyle w:val="Newparagraph"/>
        <w:ind w:firstLine="0"/>
        <w:rPr>
          <w:b/>
          <w:bCs/>
        </w:rPr>
      </w:pPr>
      <w:r w:rsidRPr="00EC6459">
        <w:rPr>
          <w:b/>
          <w:bCs/>
        </w:rPr>
        <w:t xml:space="preserve">Tables: </w:t>
      </w:r>
    </w:p>
    <w:p w14:paraId="6474630B" w14:textId="025708EB" w:rsidR="00BF3C93" w:rsidRDefault="00BF3C93" w:rsidP="0052141E">
      <w:pPr>
        <w:pStyle w:val="Tabletitle"/>
      </w:pPr>
      <w:r w:rsidRPr="00935F9B">
        <w:t>Table 1. Comparison between current and optimal network</w:t>
      </w:r>
      <w:r w:rsidR="00BC1E13">
        <w:t>s</w:t>
      </w:r>
      <w:r w:rsidRPr="00935F9B">
        <w:t xml:space="preserve"> </w:t>
      </w:r>
    </w:p>
    <w:tbl>
      <w:tblPr>
        <w:tblW w:w="46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1458"/>
        <w:gridCol w:w="1007"/>
        <w:gridCol w:w="1113"/>
        <w:gridCol w:w="1007"/>
        <w:gridCol w:w="996"/>
        <w:gridCol w:w="1163"/>
      </w:tblGrid>
      <w:tr w:rsidR="00E05411" w:rsidRPr="00935F9B" w14:paraId="3914DF92" w14:textId="77777777" w:rsidTr="00E05411">
        <w:trPr>
          <w:trHeight w:hRule="exact" w:val="268"/>
        </w:trPr>
        <w:tc>
          <w:tcPr>
            <w:tcW w:w="1709" w:type="pct"/>
            <w:gridSpan w:val="2"/>
          </w:tcPr>
          <w:p w14:paraId="62FAEB0D" w14:textId="77777777" w:rsidR="00E05411" w:rsidRDefault="00E05411" w:rsidP="00E05411">
            <w:pPr>
              <w:spacing w:line="240" w:lineRule="auto"/>
              <w:rPr>
                <w:rFonts w:asciiTheme="majorBidi" w:eastAsia="Times New Roman" w:hAnsiTheme="majorBidi" w:cstheme="majorBidi"/>
              </w:rPr>
            </w:pPr>
          </w:p>
          <w:p w14:paraId="4F182AE3" w14:textId="77777777" w:rsidR="00E05411" w:rsidRPr="00935F9B" w:rsidRDefault="00E05411" w:rsidP="00E05411">
            <w:pPr>
              <w:spacing w:line="240" w:lineRule="auto"/>
              <w:rPr>
                <w:rFonts w:asciiTheme="majorBidi" w:eastAsia="Times New Roman" w:hAnsiTheme="majorBidi" w:cstheme="majorBidi"/>
              </w:rPr>
            </w:pPr>
          </w:p>
        </w:tc>
        <w:tc>
          <w:tcPr>
            <w:tcW w:w="615" w:type="pct"/>
          </w:tcPr>
          <w:p w14:paraId="6D322625" w14:textId="77777777" w:rsidR="00E05411" w:rsidRPr="00935F9B" w:rsidRDefault="00E05411" w:rsidP="00E05411">
            <w:pPr>
              <w:spacing w:line="240" w:lineRule="auto"/>
              <w:rPr>
                <w:rFonts w:asciiTheme="majorBidi" w:eastAsia="Times New Roman" w:hAnsiTheme="majorBidi" w:cstheme="majorBidi"/>
              </w:rPr>
            </w:pPr>
            <w:r>
              <w:rPr>
                <w:rFonts w:asciiTheme="majorBidi" w:eastAsia="Times New Roman" w:hAnsiTheme="majorBidi" w:cstheme="majorBidi"/>
              </w:rPr>
              <w:t>Top 1</w:t>
            </w:r>
          </w:p>
        </w:tc>
        <w:tc>
          <w:tcPr>
            <w:tcW w:w="742" w:type="pct"/>
          </w:tcPr>
          <w:p w14:paraId="37EE57EC" w14:textId="77777777" w:rsidR="00E05411" w:rsidRPr="00935F9B" w:rsidRDefault="00E05411" w:rsidP="00E05411">
            <w:pPr>
              <w:spacing w:line="240" w:lineRule="auto"/>
              <w:rPr>
                <w:rFonts w:asciiTheme="majorBidi" w:eastAsia="Times New Roman" w:hAnsiTheme="majorBidi" w:cstheme="majorBidi"/>
              </w:rPr>
            </w:pPr>
            <w:r>
              <w:rPr>
                <w:rFonts w:asciiTheme="majorBidi" w:eastAsia="Times New Roman" w:hAnsiTheme="majorBidi" w:cstheme="majorBidi"/>
              </w:rPr>
              <w:t>Top 2</w:t>
            </w:r>
          </w:p>
        </w:tc>
        <w:tc>
          <w:tcPr>
            <w:tcW w:w="615" w:type="pct"/>
          </w:tcPr>
          <w:p w14:paraId="4DAFC396" w14:textId="77777777" w:rsidR="00E05411" w:rsidRPr="00935F9B" w:rsidRDefault="00E05411" w:rsidP="00E05411">
            <w:pPr>
              <w:spacing w:line="240" w:lineRule="auto"/>
              <w:rPr>
                <w:rFonts w:asciiTheme="majorBidi" w:eastAsia="Times New Roman" w:hAnsiTheme="majorBidi" w:cstheme="majorBidi"/>
              </w:rPr>
            </w:pPr>
            <w:r>
              <w:rPr>
                <w:rFonts w:asciiTheme="majorBidi" w:eastAsia="Times New Roman" w:hAnsiTheme="majorBidi" w:cstheme="majorBidi"/>
              </w:rPr>
              <w:t>Top 3</w:t>
            </w:r>
          </w:p>
        </w:tc>
        <w:tc>
          <w:tcPr>
            <w:tcW w:w="608" w:type="pct"/>
          </w:tcPr>
          <w:p w14:paraId="6AEF3CF0" w14:textId="77777777" w:rsidR="00E05411" w:rsidRPr="00935F9B" w:rsidRDefault="00E05411" w:rsidP="00E05411">
            <w:pPr>
              <w:spacing w:line="240" w:lineRule="auto"/>
              <w:rPr>
                <w:rFonts w:asciiTheme="majorBidi" w:eastAsia="Times New Roman" w:hAnsiTheme="majorBidi" w:cstheme="majorBidi"/>
              </w:rPr>
            </w:pPr>
            <w:r>
              <w:rPr>
                <w:rFonts w:asciiTheme="majorBidi" w:eastAsia="Times New Roman" w:hAnsiTheme="majorBidi" w:cstheme="majorBidi"/>
              </w:rPr>
              <w:t>Mean</w:t>
            </w:r>
          </w:p>
        </w:tc>
        <w:tc>
          <w:tcPr>
            <w:tcW w:w="710" w:type="pct"/>
            <w:vAlign w:val="bottom"/>
          </w:tcPr>
          <w:p w14:paraId="7701AF28" w14:textId="77777777" w:rsidR="00E05411" w:rsidRDefault="00E05411" w:rsidP="00E05411">
            <w:pPr>
              <w:spacing w:line="240" w:lineRule="auto"/>
              <w:rPr>
                <w:rFonts w:asciiTheme="majorBidi" w:eastAsia="Times New Roman" w:hAnsiTheme="majorBidi" w:cstheme="majorBidi"/>
              </w:rPr>
            </w:pPr>
            <w:r w:rsidRPr="00935F9B">
              <w:rPr>
                <w:rFonts w:asciiTheme="majorBidi" w:eastAsia="Times New Roman" w:hAnsiTheme="majorBidi" w:cstheme="majorBidi"/>
              </w:rPr>
              <w:t xml:space="preserve">Current </w:t>
            </w:r>
            <w:r>
              <w:rPr>
                <w:rFonts w:asciiTheme="majorBidi" w:eastAsia="Times New Roman" w:hAnsiTheme="majorBidi" w:cstheme="majorBidi"/>
              </w:rPr>
              <w:t>Solution</w:t>
            </w:r>
          </w:p>
          <w:p w14:paraId="16A987FF" w14:textId="77777777" w:rsidR="00E05411" w:rsidRDefault="00E05411" w:rsidP="00E05411">
            <w:pPr>
              <w:spacing w:line="240" w:lineRule="auto"/>
              <w:rPr>
                <w:rFonts w:asciiTheme="majorBidi" w:eastAsia="Times New Roman" w:hAnsiTheme="majorBidi" w:cstheme="majorBidi"/>
              </w:rPr>
            </w:pPr>
            <w:r w:rsidRPr="00935F9B">
              <w:rPr>
                <w:rFonts w:asciiTheme="majorBidi" w:eastAsia="Times New Roman" w:hAnsiTheme="majorBidi" w:cstheme="majorBidi"/>
              </w:rPr>
              <w:t>network</w:t>
            </w:r>
          </w:p>
          <w:p w14:paraId="00D2FBDC" w14:textId="77777777" w:rsidR="00E05411" w:rsidRPr="00935F9B" w:rsidRDefault="00E05411" w:rsidP="00E05411">
            <w:pPr>
              <w:spacing w:line="240" w:lineRule="auto"/>
              <w:rPr>
                <w:rFonts w:asciiTheme="majorBidi" w:eastAsia="Times New Roman" w:hAnsiTheme="majorBidi" w:cstheme="majorBidi"/>
              </w:rPr>
            </w:pPr>
            <w:r w:rsidRPr="00935F9B">
              <w:rPr>
                <w:rFonts w:asciiTheme="majorBidi" w:eastAsia="Times New Roman" w:hAnsiTheme="majorBidi" w:cstheme="majorBidi"/>
              </w:rPr>
              <w:t xml:space="preserve"> </w:t>
            </w:r>
          </w:p>
        </w:tc>
      </w:tr>
      <w:tr w:rsidR="00E05411" w:rsidRPr="00935F9B" w14:paraId="6490D54D" w14:textId="77777777" w:rsidTr="00E05411">
        <w:trPr>
          <w:trHeight w:hRule="exact" w:val="268"/>
        </w:trPr>
        <w:tc>
          <w:tcPr>
            <w:tcW w:w="1709" w:type="pct"/>
            <w:gridSpan w:val="2"/>
            <w:vAlign w:val="bottom"/>
          </w:tcPr>
          <w:p w14:paraId="70D1A3CD" w14:textId="77777777" w:rsidR="00E05411" w:rsidRPr="00935F9B" w:rsidRDefault="00E05411" w:rsidP="00E05411">
            <w:pPr>
              <w:spacing w:line="240" w:lineRule="auto"/>
              <w:jc w:val="right"/>
              <w:rPr>
                <w:rFonts w:asciiTheme="majorBidi" w:eastAsia="Times New Roman" w:hAnsiTheme="majorBidi" w:cstheme="majorBidi"/>
              </w:rPr>
            </w:pPr>
            <w:r w:rsidRPr="00935F9B">
              <w:rPr>
                <w:rFonts w:asciiTheme="majorBidi" w:eastAsia="Times New Roman" w:hAnsiTheme="majorBidi" w:cstheme="majorBidi"/>
              </w:rPr>
              <w:t>Route NO</w:t>
            </w:r>
          </w:p>
        </w:tc>
        <w:tc>
          <w:tcPr>
            <w:tcW w:w="615" w:type="pct"/>
            <w:vAlign w:val="bottom"/>
          </w:tcPr>
          <w:p w14:paraId="3585EAE1" w14:textId="77777777" w:rsidR="00E05411" w:rsidRPr="00935F9B" w:rsidRDefault="00E05411" w:rsidP="00E05411">
            <w:pPr>
              <w:jc w:val="right"/>
              <w:rPr>
                <w:rFonts w:asciiTheme="majorBidi" w:hAnsiTheme="majorBidi" w:cstheme="majorBidi"/>
              </w:rPr>
            </w:pPr>
            <w:r>
              <w:rPr>
                <w:rFonts w:ascii="Calibri" w:hAnsi="Calibri"/>
                <w:color w:val="000000"/>
              </w:rPr>
              <w:t>72</w:t>
            </w:r>
          </w:p>
        </w:tc>
        <w:tc>
          <w:tcPr>
            <w:tcW w:w="742" w:type="pct"/>
            <w:vAlign w:val="bottom"/>
          </w:tcPr>
          <w:p w14:paraId="6D9099DE" w14:textId="77777777" w:rsidR="00E05411" w:rsidRPr="00935F9B" w:rsidRDefault="00E05411" w:rsidP="00E05411">
            <w:pPr>
              <w:jc w:val="right"/>
              <w:rPr>
                <w:rFonts w:asciiTheme="majorBidi" w:hAnsiTheme="majorBidi" w:cstheme="majorBidi"/>
              </w:rPr>
            </w:pPr>
            <w:r>
              <w:rPr>
                <w:rFonts w:ascii="Calibri" w:hAnsi="Calibri"/>
                <w:color w:val="000000"/>
              </w:rPr>
              <w:t>59</w:t>
            </w:r>
          </w:p>
        </w:tc>
        <w:tc>
          <w:tcPr>
            <w:tcW w:w="615" w:type="pct"/>
            <w:vAlign w:val="bottom"/>
          </w:tcPr>
          <w:p w14:paraId="5F6BDB93" w14:textId="77777777" w:rsidR="00E05411" w:rsidRPr="00935F9B" w:rsidRDefault="00E05411" w:rsidP="00E05411">
            <w:pPr>
              <w:jc w:val="right"/>
              <w:rPr>
                <w:rFonts w:asciiTheme="majorBidi" w:hAnsiTheme="majorBidi" w:cstheme="majorBidi"/>
              </w:rPr>
            </w:pPr>
            <w:r>
              <w:rPr>
                <w:rFonts w:ascii="Calibri" w:hAnsi="Calibri"/>
                <w:color w:val="000000"/>
              </w:rPr>
              <w:t>67</w:t>
            </w:r>
          </w:p>
        </w:tc>
        <w:tc>
          <w:tcPr>
            <w:tcW w:w="608" w:type="pct"/>
          </w:tcPr>
          <w:p w14:paraId="47D36F0B" w14:textId="77777777" w:rsidR="00E05411" w:rsidRPr="00935F9B" w:rsidRDefault="00E05411" w:rsidP="00E05411">
            <w:pPr>
              <w:jc w:val="right"/>
              <w:rPr>
                <w:rFonts w:asciiTheme="majorBidi" w:hAnsiTheme="majorBidi" w:cstheme="majorBidi"/>
              </w:rPr>
            </w:pPr>
            <w:r>
              <w:t>66</w:t>
            </w:r>
          </w:p>
        </w:tc>
        <w:tc>
          <w:tcPr>
            <w:tcW w:w="710" w:type="pct"/>
            <w:vAlign w:val="bottom"/>
          </w:tcPr>
          <w:p w14:paraId="1557CE44" w14:textId="77777777" w:rsidR="00E05411" w:rsidRPr="00935F9B" w:rsidRDefault="00E05411" w:rsidP="00E05411">
            <w:pPr>
              <w:jc w:val="right"/>
              <w:rPr>
                <w:rFonts w:asciiTheme="majorBidi" w:hAnsiTheme="majorBidi" w:cstheme="majorBidi"/>
              </w:rPr>
            </w:pPr>
            <w:r w:rsidRPr="00935F9B">
              <w:rPr>
                <w:rFonts w:asciiTheme="majorBidi" w:hAnsiTheme="majorBidi" w:cstheme="majorBidi"/>
              </w:rPr>
              <w:t>38</w:t>
            </w:r>
          </w:p>
        </w:tc>
      </w:tr>
      <w:tr w:rsidR="00E05411" w:rsidRPr="00935F9B" w14:paraId="5C6E36CE" w14:textId="77777777" w:rsidTr="00E05411">
        <w:trPr>
          <w:trHeight w:hRule="exact" w:val="268"/>
        </w:trPr>
        <w:tc>
          <w:tcPr>
            <w:tcW w:w="1709" w:type="pct"/>
            <w:gridSpan w:val="2"/>
            <w:vAlign w:val="bottom"/>
          </w:tcPr>
          <w:p w14:paraId="2353D992" w14:textId="77777777" w:rsidR="00E05411" w:rsidRPr="00935F9B" w:rsidRDefault="00E05411" w:rsidP="00E05411">
            <w:pPr>
              <w:spacing w:line="240" w:lineRule="auto"/>
              <w:jc w:val="right"/>
              <w:rPr>
                <w:rFonts w:asciiTheme="majorBidi" w:eastAsia="Times New Roman" w:hAnsiTheme="majorBidi" w:cstheme="majorBidi"/>
              </w:rPr>
            </w:pPr>
            <w:r w:rsidRPr="00935F9B">
              <w:rPr>
                <w:rFonts w:asciiTheme="majorBidi" w:eastAsia="Times New Roman" w:hAnsiTheme="majorBidi" w:cstheme="majorBidi"/>
              </w:rPr>
              <w:t xml:space="preserve">VKM </w:t>
            </w:r>
          </w:p>
        </w:tc>
        <w:tc>
          <w:tcPr>
            <w:tcW w:w="615" w:type="pct"/>
            <w:vAlign w:val="bottom"/>
          </w:tcPr>
          <w:p w14:paraId="62CE6D69" w14:textId="77777777" w:rsidR="00E05411" w:rsidRPr="00935F9B" w:rsidRDefault="00E05411" w:rsidP="00E05411">
            <w:pPr>
              <w:jc w:val="right"/>
              <w:rPr>
                <w:rFonts w:asciiTheme="majorBidi" w:hAnsiTheme="majorBidi" w:cstheme="majorBidi"/>
              </w:rPr>
            </w:pPr>
            <w:r>
              <w:rPr>
                <w:rFonts w:ascii="Calibri" w:hAnsi="Calibri"/>
                <w:color w:val="000000"/>
              </w:rPr>
              <w:t>1258.16</w:t>
            </w:r>
          </w:p>
        </w:tc>
        <w:tc>
          <w:tcPr>
            <w:tcW w:w="742" w:type="pct"/>
            <w:vAlign w:val="bottom"/>
          </w:tcPr>
          <w:p w14:paraId="244837E7" w14:textId="77777777" w:rsidR="00E05411" w:rsidRPr="00935F9B" w:rsidRDefault="00E05411" w:rsidP="00E05411">
            <w:pPr>
              <w:jc w:val="right"/>
              <w:rPr>
                <w:rFonts w:asciiTheme="majorBidi" w:hAnsiTheme="majorBidi" w:cstheme="majorBidi"/>
              </w:rPr>
            </w:pPr>
            <w:r>
              <w:rPr>
                <w:rFonts w:ascii="Calibri" w:hAnsi="Calibri"/>
                <w:color w:val="000000"/>
              </w:rPr>
              <w:t>1242.75</w:t>
            </w:r>
          </w:p>
        </w:tc>
        <w:tc>
          <w:tcPr>
            <w:tcW w:w="615" w:type="pct"/>
            <w:vAlign w:val="bottom"/>
          </w:tcPr>
          <w:p w14:paraId="01955BD5" w14:textId="77777777" w:rsidR="00E05411" w:rsidRPr="00935F9B" w:rsidRDefault="00E05411" w:rsidP="00E05411">
            <w:pPr>
              <w:jc w:val="right"/>
              <w:rPr>
                <w:rFonts w:asciiTheme="majorBidi" w:hAnsiTheme="majorBidi" w:cstheme="majorBidi"/>
              </w:rPr>
            </w:pPr>
            <w:r>
              <w:rPr>
                <w:rFonts w:ascii="Calibri" w:hAnsi="Calibri"/>
                <w:color w:val="000000"/>
              </w:rPr>
              <w:t>1250.79</w:t>
            </w:r>
          </w:p>
        </w:tc>
        <w:tc>
          <w:tcPr>
            <w:tcW w:w="608" w:type="pct"/>
          </w:tcPr>
          <w:p w14:paraId="59F0B5B9" w14:textId="77777777" w:rsidR="00E05411" w:rsidRPr="00935F9B" w:rsidRDefault="00E05411" w:rsidP="00E05411">
            <w:pPr>
              <w:jc w:val="right"/>
              <w:rPr>
                <w:rFonts w:asciiTheme="majorBidi" w:hAnsiTheme="majorBidi" w:cstheme="majorBidi"/>
              </w:rPr>
            </w:pPr>
            <w:r w:rsidRPr="00261A0C">
              <w:t>1250.57</w:t>
            </w:r>
          </w:p>
        </w:tc>
        <w:tc>
          <w:tcPr>
            <w:tcW w:w="710" w:type="pct"/>
            <w:vAlign w:val="bottom"/>
          </w:tcPr>
          <w:p w14:paraId="02784EA8" w14:textId="77777777" w:rsidR="00E05411" w:rsidRPr="00935F9B" w:rsidRDefault="00E05411" w:rsidP="00E05411">
            <w:pPr>
              <w:jc w:val="right"/>
              <w:rPr>
                <w:rFonts w:asciiTheme="majorBidi" w:hAnsiTheme="majorBidi" w:cstheme="majorBidi"/>
              </w:rPr>
            </w:pPr>
            <w:r w:rsidRPr="00935F9B">
              <w:rPr>
                <w:rFonts w:asciiTheme="majorBidi" w:hAnsiTheme="majorBidi" w:cstheme="majorBidi"/>
              </w:rPr>
              <w:t>1245.04</w:t>
            </w:r>
          </w:p>
        </w:tc>
      </w:tr>
      <w:tr w:rsidR="00E05411" w:rsidRPr="00935F9B" w14:paraId="03ADB40B" w14:textId="77777777" w:rsidTr="00E05411">
        <w:trPr>
          <w:trHeight w:hRule="exact" w:val="268"/>
        </w:trPr>
        <w:tc>
          <w:tcPr>
            <w:tcW w:w="1709" w:type="pct"/>
            <w:gridSpan w:val="2"/>
            <w:vAlign w:val="bottom"/>
          </w:tcPr>
          <w:p w14:paraId="0B396A63" w14:textId="77777777" w:rsidR="00E05411" w:rsidRPr="00935F9B" w:rsidRDefault="00E05411" w:rsidP="00E05411">
            <w:pPr>
              <w:spacing w:line="240" w:lineRule="auto"/>
              <w:jc w:val="right"/>
              <w:rPr>
                <w:rFonts w:asciiTheme="majorBidi" w:eastAsia="Times New Roman" w:hAnsiTheme="majorBidi" w:cstheme="majorBidi"/>
              </w:rPr>
            </w:pPr>
            <w:r w:rsidRPr="00935F9B">
              <w:rPr>
                <w:rFonts w:asciiTheme="majorBidi" w:eastAsia="Times New Roman" w:hAnsiTheme="majorBidi" w:cstheme="majorBidi"/>
              </w:rPr>
              <w:t xml:space="preserve">TOC(£) </w:t>
            </w:r>
          </w:p>
        </w:tc>
        <w:tc>
          <w:tcPr>
            <w:tcW w:w="615" w:type="pct"/>
            <w:vAlign w:val="bottom"/>
          </w:tcPr>
          <w:p w14:paraId="34B31183" w14:textId="77777777" w:rsidR="00E05411" w:rsidRPr="00935F9B" w:rsidRDefault="00E05411" w:rsidP="00E05411">
            <w:pPr>
              <w:jc w:val="right"/>
              <w:rPr>
                <w:rFonts w:asciiTheme="majorBidi" w:hAnsiTheme="majorBidi" w:cstheme="majorBidi"/>
              </w:rPr>
            </w:pPr>
            <w:r>
              <w:rPr>
                <w:rFonts w:ascii="Calibri" w:hAnsi="Calibri"/>
                <w:color w:val="000000"/>
              </w:rPr>
              <w:t>1274.66</w:t>
            </w:r>
          </w:p>
        </w:tc>
        <w:tc>
          <w:tcPr>
            <w:tcW w:w="742" w:type="pct"/>
            <w:vAlign w:val="bottom"/>
          </w:tcPr>
          <w:p w14:paraId="54B3953F" w14:textId="77777777" w:rsidR="00E05411" w:rsidRPr="00935F9B" w:rsidRDefault="00E05411" w:rsidP="00E05411">
            <w:pPr>
              <w:jc w:val="right"/>
              <w:rPr>
                <w:rFonts w:asciiTheme="majorBidi" w:hAnsiTheme="majorBidi" w:cstheme="majorBidi"/>
              </w:rPr>
            </w:pPr>
            <w:r>
              <w:rPr>
                <w:rFonts w:ascii="Calibri" w:hAnsi="Calibri"/>
                <w:color w:val="000000"/>
              </w:rPr>
              <w:t>1259.04</w:t>
            </w:r>
          </w:p>
        </w:tc>
        <w:tc>
          <w:tcPr>
            <w:tcW w:w="615" w:type="pct"/>
            <w:vAlign w:val="bottom"/>
          </w:tcPr>
          <w:p w14:paraId="087176BE" w14:textId="77777777" w:rsidR="00E05411" w:rsidRPr="00935F9B" w:rsidRDefault="00E05411" w:rsidP="00E05411">
            <w:pPr>
              <w:jc w:val="right"/>
              <w:rPr>
                <w:rFonts w:asciiTheme="majorBidi" w:hAnsiTheme="majorBidi" w:cstheme="majorBidi"/>
              </w:rPr>
            </w:pPr>
            <w:r>
              <w:rPr>
                <w:rFonts w:ascii="Calibri" w:hAnsi="Calibri"/>
              </w:rPr>
              <w:t>1267.19</w:t>
            </w:r>
          </w:p>
        </w:tc>
        <w:tc>
          <w:tcPr>
            <w:tcW w:w="608" w:type="pct"/>
          </w:tcPr>
          <w:p w14:paraId="03E51D3C" w14:textId="77777777" w:rsidR="00E05411" w:rsidRPr="00935F9B" w:rsidRDefault="00E05411" w:rsidP="00E05411">
            <w:pPr>
              <w:jc w:val="right"/>
              <w:rPr>
                <w:rFonts w:asciiTheme="majorBidi" w:hAnsiTheme="majorBidi" w:cstheme="majorBidi"/>
              </w:rPr>
            </w:pPr>
            <w:r w:rsidRPr="00261A0C">
              <w:t>1266.96</w:t>
            </w:r>
          </w:p>
        </w:tc>
        <w:tc>
          <w:tcPr>
            <w:tcW w:w="710" w:type="pct"/>
            <w:vAlign w:val="bottom"/>
          </w:tcPr>
          <w:p w14:paraId="079F41D8" w14:textId="77777777" w:rsidR="00E05411" w:rsidRPr="00935F9B" w:rsidRDefault="00E05411" w:rsidP="00E05411">
            <w:pPr>
              <w:jc w:val="right"/>
              <w:rPr>
                <w:rFonts w:asciiTheme="majorBidi" w:hAnsiTheme="majorBidi" w:cstheme="majorBidi"/>
              </w:rPr>
            </w:pPr>
            <w:r w:rsidRPr="00935F9B">
              <w:rPr>
                <w:rFonts w:asciiTheme="majorBidi" w:hAnsiTheme="majorBidi" w:cstheme="majorBidi"/>
              </w:rPr>
              <w:t>1261.36</w:t>
            </w:r>
          </w:p>
        </w:tc>
      </w:tr>
      <w:tr w:rsidR="00E05411" w:rsidRPr="00935F9B" w14:paraId="6EC89C53" w14:textId="77777777" w:rsidTr="00E05411">
        <w:trPr>
          <w:trHeight w:hRule="exact" w:val="268"/>
        </w:trPr>
        <w:tc>
          <w:tcPr>
            <w:tcW w:w="1709" w:type="pct"/>
            <w:gridSpan w:val="2"/>
            <w:vAlign w:val="bottom"/>
          </w:tcPr>
          <w:p w14:paraId="39E0C2CB" w14:textId="77777777" w:rsidR="00E05411" w:rsidRPr="00935F9B" w:rsidRDefault="00E05411" w:rsidP="00E05411">
            <w:pPr>
              <w:spacing w:line="240" w:lineRule="auto"/>
              <w:jc w:val="right"/>
              <w:rPr>
                <w:rFonts w:asciiTheme="majorBidi" w:eastAsia="Times New Roman" w:hAnsiTheme="majorBidi" w:cstheme="majorBidi"/>
              </w:rPr>
            </w:pPr>
            <w:r w:rsidRPr="00935F9B">
              <w:rPr>
                <w:rFonts w:asciiTheme="majorBidi" w:eastAsia="Times New Roman" w:hAnsiTheme="majorBidi" w:cstheme="majorBidi"/>
              </w:rPr>
              <w:t>TEC(£)</w:t>
            </w:r>
          </w:p>
        </w:tc>
        <w:tc>
          <w:tcPr>
            <w:tcW w:w="615" w:type="pct"/>
            <w:vAlign w:val="bottom"/>
          </w:tcPr>
          <w:p w14:paraId="7E9DB371" w14:textId="77777777" w:rsidR="00E05411" w:rsidRPr="00935F9B" w:rsidRDefault="00E05411" w:rsidP="00E05411">
            <w:pPr>
              <w:jc w:val="right"/>
              <w:rPr>
                <w:rFonts w:asciiTheme="majorBidi" w:hAnsiTheme="majorBidi" w:cstheme="majorBidi"/>
              </w:rPr>
            </w:pPr>
            <w:r>
              <w:rPr>
                <w:rFonts w:ascii="Calibri" w:hAnsi="Calibri"/>
                <w:color w:val="000000"/>
              </w:rPr>
              <w:t>547.30</w:t>
            </w:r>
          </w:p>
        </w:tc>
        <w:tc>
          <w:tcPr>
            <w:tcW w:w="742" w:type="pct"/>
            <w:vAlign w:val="bottom"/>
          </w:tcPr>
          <w:p w14:paraId="02FA041E" w14:textId="77777777" w:rsidR="00E05411" w:rsidRPr="00935F9B" w:rsidRDefault="00E05411" w:rsidP="00E05411">
            <w:pPr>
              <w:jc w:val="right"/>
              <w:rPr>
                <w:rFonts w:asciiTheme="majorBidi" w:hAnsiTheme="majorBidi" w:cstheme="majorBidi"/>
              </w:rPr>
            </w:pPr>
            <w:r>
              <w:rPr>
                <w:rFonts w:ascii="Calibri" w:hAnsi="Calibri"/>
                <w:color w:val="000000"/>
              </w:rPr>
              <w:t>540.59</w:t>
            </w:r>
          </w:p>
        </w:tc>
        <w:tc>
          <w:tcPr>
            <w:tcW w:w="615" w:type="pct"/>
            <w:vAlign w:val="bottom"/>
          </w:tcPr>
          <w:p w14:paraId="4C7CB55C" w14:textId="77777777" w:rsidR="00E05411" w:rsidRPr="00935F9B" w:rsidRDefault="00E05411" w:rsidP="00E05411">
            <w:pPr>
              <w:jc w:val="right"/>
              <w:rPr>
                <w:rFonts w:asciiTheme="majorBidi" w:hAnsiTheme="majorBidi" w:cstheme="majorBidi"/>
              </w:rPr>
            </w:pPr>
            <w:r>
              <w:rPr>
                <w:rFonts w:ascii="Calibri" w:hAnsi="Calibri"/>
              </w:rPr>
              <w:t>544.10</w:t>
            </w:r>
          </w:p>
        </w:tc>
        <w:tc>
          <w:tcPr>
            <w:tcW w:w="608" w:type="pct"/>
          </w:tcPr>
          <w:p w14:paraId="674668AF" w14:textId="77777777" w:rsidR="00E05411" w:rsidRPr="00935F9B" w:rsidRDefault="00E05411" w:rsidP="00E05411">
            <w:pPr>
              <w:jc w:val="right"/>
              <w:rPr>
                <w:rFonts w:asciiTheme="majorBidi" w:hAnsiTheme="majorBidi" w:cstheme="majorBidi"/>
              </w:rPr>
            </w:pPr>
            <w:r w:rsidRPr="00261A0C">
              <w:t>544.00</w:t>
            </w:r>
          </w:p>
        </w:tc>
        <w:tc>
          <w:tcPr>
            <w:tcW w:w="710" w:type="pct"/>
            <w:vAlign w:val="bottom"/>
          </w:tcPr>
          <w:p w14:paraId="132ADF63" w14:textId="77777777" w:rsidR="00E05411" w:rsidRPr="00935F9B" w:rsidRDefault="00E05411" w:rsidP="00E05411">
            <w:pPr>
              <w:jc w:val="right"/>
              <w:rPr>
                <w:rFonts w:asciiTheme="majorBidi" w:hAnsiTheme="majorBidi" w:cstheme="majorBidi"/>
              </w:rPr>
            </w:pPr>
            <w:r w:rsidRPr="00935F9B">
              <w:rPr>
                <w:rFonts w:asciiTheme="majorBidi" w:hAnsiTheme="majorBidi" w:cstheme="majorBidi"/>
              </w:rPr>
              <w:t>541.59</w:t>
            </w:r>
          </w:p>
        </w:tc>
      </w:tr>
      <w:tr w:rsidR="00E05411" w:rsidRPr="00935F9B" w14:paraId="4D4B94F2" w14:textId="77777777" w:rsidTr="00E05411">
        <w:trPr>
          <w:trHeight w:hRule="exact" w:val="268"/>
        </w:trPr>
        <w:tc>
          <w:tcPr>
            <w:tcW w:w="1709" w:type="pct"/>
            <w:gridSpan w:val="2"/>
            <w:vAlign w:val="bottom"/>
          </w:tcPr>
          <w:p w14:paraId="2122014F" w14:textId="77777777" w:rsidR="00E05411" w:rsidRPr="00935F9B" w:rsidRDefault="00E05411" w:rsidP="00E05411">
            <w:pPr>
              <w:spacing w:line="240" w:lineRule="auto"/>
              <w:jc w:val="right"/>
              <w:rPr>
                <w:rFonts w:asciiTheme="majorBidi" w:eastAsia="Times New Roman" w:hAnsiTheme="majorBidi" w:cstheme="majorBidi"/>
              </w:rPr>
            </w:pPr>
            <w:r w:rsidRPr="00935F9B">
              <w:rPr>
                <w:rFonts w:asciiTheme="majorBidi" w:eastAsia="Times New Roman" w:hAnsiTheme="majorBidi" w:cstheme="majorBidi"/>
              </w:rPr>
              <w:t xml:space="preserve">TUC(£) </w:t>
            </w:r>
          </w:p>
        </w:tc>
        <w:tc>
          <w:tcPr>
            <w:tcW w:w="615" w:type="pct"/>
            <w:vAlign w:val="bottom"/>
          </w:tcPr>
          <w:p w14:paraId="3098EF91" w14:textId="77777777" w:rsidR="00E05411" w:rsidRDefault="00E05411" w:rsidP="00E05411">
            <w:pPr>
              <w:jc w:val="right"/>
              <w:rPr>
                <w:rFonts w:asciiTheme="majorBidi" w:hAnsiTheme="majorBidi" w:cstheme="majorBidi"/>
              </w:rPr>
            </w:pPr>
            <w:r>
              <w:rPr>
                <w:rFonts w:ascii="Calibri" w:hAnsi="Calibri"/>
                <w:color w:val="000000"/>
              </w:rPr>
              <w:t>2919.83</w:t>
            </w:r>
          </w:p>
        </w:tc>
        <w:tc>
          <w:tcPr>
            <w:tcW w:w="742" w:type="pct"/>
            <w:vAlign w:val="bottom"/>
          </w:tcPr>
          <w:p w14:paraId="762B6C88" w14:textId="77777777" w:rsidR="00E05411" w:rsidRDefault="00E05411" w:rsidP="00E05411">
            <w:pPr>
              <w:jc w:val="right"/>
              <w:rPr>
                <w:rFonts w:asciiTheme="majorBidi" w:hAnsiTheme="majorBidi" w:cstheme="majorBidi"/>
              </w:rPr>
            </w:pPr>
            <w:r>
              <w:rPr>
                <w:rFonts w:ascii="Calibri" w:hAnsi="Calibri"/>
                <w:color w:val="000000"/>
              </w:rPr>
              <w:t>2979.75</w:t>
            </w:r>
          </w:p>
        </w:tc>
        <w:tc>
          <w:tcPr>
            <w:tcW w:w="615" w:type="pct"/>
            <w:vAlign w:val="bottom"/>
          </w:tcPr>
          <w:p w14:paraId="7AEF9BF5" w14:textId="77777777" w:rsidR="00E05411" w:rsidRDefault="00E05411" w:rsidP="00E05411">
            <w:pPr>
              <w:jc w:val="right"/>
              <w:rPr>
                <w:rFonts w:asciiTheme="majorBidi" w:hAnsiTheme="majorBidi" w:cstheme="majorBidi"/>
              </w:rPr>
            </w:pPr>
            <w:r>
              <w:rPr>
                <w:rFonts w:ascii="Calibri" w:hAnsi="Calibri"/>
              </w:rPr>
              <w:t>2977.55</w:t>
            </w:r>
          </w:p>
        </w:tc>
        <w:tc>
          <w:tcPr>
            <w:tcW w:w="608" w:type="pct"/>
          </w:tcPr>
          <w:p w14:paraId="553EFE43" w14:textId="77777777" w:rsidR="00E05411" w:rsidRDefault="00E05411" w:rsidP="00E05411">
            <w:pPr>
              <w:jc w:val="right"/>
              <w:rPr>
                <w:rFonts w:asciiTheme="majorBidi" w:hAnsiTheme="majorBidi" w:cstheme="majorBidi"/>
              </w:rPr>
            </w:pPr>
            <w:r w:rsidRPr="00261A0C">
              <w:t>2959.04</w:t>
            </w:r>
          </w:p>
        </w:tc>
        <w:tc>
          <w:tcPr>
            <w:tcW w:w="710" w:type="pct"/>
            <w:vAlign w:val="bottom"/>
          </w:tcPr>
          <w:p w14:paraId="6CAD3EB5" w14:textId="77777777" w:rsidR="00E05411" w:rsidRDefault="00E05411" w:rsidP="00E05411">
            <w:pPr>
              <w:jc w:val="right"/>
              <w:rPr>
                <w:rFonts w:asciiTheme="majorBidi" w:hAnsiTheme="majorBidi" w:cstheme="majorBidi"/>
              </w:rPr>
            </w:pPr>
            <w:r>
              <w:rPr>
                <w:rFonts w:asciiTheme="majorBidi" w:hAnsiTheme="majorBidi" w:cstheme="majorBidi"/>
              </w:rPr>
              <w:t>3256.43</w:t>
            </w:r>
          </w:p>
        </w:tc>
      </w:tr>
      <w:tr w:rsidR="00E05411" w:rsidRPr="00935F9B" w14:paraId="31F7EFD5" w14:textId="77777777" w:rsidTr="00E05411">
        <w:trPr>
          <w:trHeight w:hRule="exact" w:val="268"/>
        </w:trPr>
        <w:tc>
          <w:tcPr>
            <w:tcW w:w="1709" w:type="pct"/>
            <w:gridSpan w:val="2"/>
            <w:vAlign w:val="bottom"/>
          </w:tcPr>
          <w:p w14:paraId="679DF708" w14:textId="77777777" w:rsidR="00E05411" w:rsidRPr="00935F9B" w:rsidRDefault="00E05411" w:rsidP="00E05411">
            <w:pPr>
              <w:spacing w:line="240" w:lineRule="auto"/>
              <w:jc w:val="right"/>
              <w:rPr>
                <w:rFonts w:asciiTheme="majorBidi" w:eastAsia="Times New Roman" w:hAnsiTheme="majorBidi" w:cstheme="majorBidi"/>
              </w:rPr>
            </w:pPr>
            <w:r w:rsidRPr="00935F9B">
              <w:rPr>
                <w:rFonts w:asciiTheme="majorBidi" w:eastAsia="Times New Roman" w:hAnsiTheme="majorBidi" w:cstheme="majorBidi"/>
              </w:rPr>
              <w:t xml:space="preserve">TSC(£) </w:t>
            </w:r>
          </w:p>
        </w:tc>
        <w:tc>
          <w:tcPr>
            <w:tcW w:w="615" w:type="pct"/>
            <w:vAlign w:val="bottom"/>
          </w:tcPr>
          <w:p w14:paraId="321AD60F" w14:textId="77777777" w:rsidR="00E05411" w:rsidRPr="0069633B" w:rsidRDefault="00E05411" w:rsidP="00E05411">
            <w:pPr>
              <w:jc w:val="right"/>
              <w:rPr>
                <w:rFonts w:asciiTheme="majorBidi" w:hAnsiTheme="majorBidi" w:cstheme="majorBidi"/>
              </w:rPr>
            </w:pPr>
            <w:r>
              <w:rPr>
                <w:rFonts w:ascii="Calibri" w:hAnsi="Calibri"/>
                <w:color w:val="000000"/>
              </w:rPr>
              <w:t>1787.25</w:t>
            </w:r>
          </w:p>
        </w:tc>
        <w:tc>
          <w:tcPr>
            <w:tcW w:w="742" w:type="pct"/>
            <w:vAlign w:val="bottom"/>
          </w:tcPr>
          <w:p w14:paraId="4A92C35B" w14:textId="77777777" w:rsidR="00E05411" w:rsidRPr="0069633B" w:rsidRDefault="00E05411" w:rsidP="00E05411">
            <w:pPr>
              <w:jc w:val="right"/>
              <w:rPr>
                <w:rFonts w:asciiTheme="majorBidi" w:hAnsiTheme="majorBidi" w:cstheme="majorBidi"/>
              </w:rPr>
            </w:pPr>
            <w:r>
              <w:rPr>
                <w:rFonts w:ascii="Calibri" w:hAnsi="Calibri"/>
                <w:color w:val="000000"/>
              </w:rPr>
              <w:t>1803.64</w:t>
            </w:r>
          </w:p>
        </w:tc>
        <w:tc>
          <w:tcPr>
            <w:tcW w:w="615" w:type="pct"/>
            <w:vAlign w:val="bottom"/>
          </w:tcPr>
          <w:p w14:paraId="7B5D65F4" w14:textId="77777777" w:rsidR="00E05411" w:rsidRPr="0069633B" w:rsidRDefault="00E05411" w:rsidP="00E05411">
            <w:pPr>
              <w:jc w:val="right"/>
              <w:rPr>
                <w:rFonts w:asciiTheme="majorBidi" w:hAnsiTheme="majorBidi" w:cstheme="majorBidi"/>
              </w:rPr>
            </w:pPr>
            <w:r>
              <w:rPr>
                <w:rFonts w:ascii="Calibri" w:hAnsi="Calibri"/>
              </w:rPr>
              <w:t>1806.71</w:t>
            </w:r>
          </w:p>
        </w:tc>
        <w:tc>
          <w:tcPr>
            <w:tcW w:w="608" w:type="pct"/>
          </w:tcPr>
          <w:p w14:paraId="491D310F" w14:textId="77777777" w:rsidR="00E05411" w:rsidRPr="0069633B" w:rsidRDefault="00E05411" w:rsidP="00E05411">
            <w:pPr>
              <w:jc w:val="right"/>
              <w:rPr>
                <w:rFonts w:asciiTheme="majorBidi" w:hAnsiTheme="majorBidi" w:cstheme="majorBidi"/>
              </w:rPr>
            </w:pPr>
            <w:r w:rsidRPr="00261A0C">
              <w:t>1799.20</w:t>
            </w:r>
          </w:p>
        </w:tc>
        <w:tc>
          <w:tcPr>
            <w:tcW w:w="710" w:type="pct"/>
            <w:vAlign w:val="bottom"/>
          </w:tcPr>
          <w:p w14:paraId="7FEFEA2E" w14:textId="77777777" w:rsidR="00E05411" w:rsidRPr="0069633B" w:rsidRDefault="00E05411" w:rsidP="00E05411">
            <w:pPr>
              <w:jc w:val="right"/>
              <w:rPr>
                <w:rFonts w:asciiTheme="majorBidi" w:hAnsiTheme="majorBidi" w:cstheme="majorBidi"/>
              </w:rPr>
            </w:pPr>
            <w:r w:rsidRPr="0069633B">
              <w:rPr>
                <w:rFonts w:asciiTheme="majorBidi" w:hAnsiTheme="majorBidi" w:cstheme="majorBidi"/>
              </w:rPr>
              <w:t>1915.434</w:t>
            </w:r>
          </w:p>
        </w:tc>
      </w:tr>
      <w:tr w:rsidR="00E05411" w:rsidRPr="00935F9B" w14:paraId="3CFB36C3" w14:textId="77777777" w:rsidTr="00E05411">
        <w:trPr>
          <w:trHeight w:hRule="exact" w:val="268"/>
        </w:trPr>
        <w:tc>
          <w:tcPr>
            <w:tcW w:w="1709" w:type="pct"/>
            <w:gridSpan w:val="2"/>
          </w:tcPr>
          <w:p w14:paraId="0FB88171" w14:textId="77777777" w:rsidR="00E05411" w:rsidRPr="00935F9B" w:rsidRDefault="00E05411" w:rsidP="00E05411">
            <w:pPr>
              <w:spacing w:line="240" w:lineRule="auto"/>
              <w:jc w:val="right"/>
              <w:rPr>
                <w:rFonts w:asciiTheme="majorBidi" w:eastAsia="Times New Roman" w:hAnsiTheme="majorBidi" w:cstheme="majorBidi"/>
              </w:rPr>
            </w:pPr>
            <w:r w:rsidRPr="00935F9B">
              <w:rPr>
                <w:rFonts w:asciiTheme="majorBidi" w:eastAsia="Times New Roman" w:hAnsiTheme="majorBidi" w:cstheme="majorBidi"/>
              </w:rPr>
              <w:t xml:space="preserve">Improvement (%) </w:t>
            </w:r>
          </w:p>
        </w:tc>
        <w:tc>
          <w:tcPr>
            <w:tcW w:w="615" w:type="pct"/>
            <w:vAlign w:val="bottom"/>
          </w:tcPr>
          <w:p w14:paraId="344A9555" w14:textId="77777777" w:rsidR="00E05411" w:rsidRPr="00935F9B" w:rsidRDefault="00E05411" w:rsidP="00E05411">
            <w:pPr>
              <w:jc w:val="right"/>
              <w:rPr>
                <w:rFonts w:asciiTheme="majorBidi" w:hAnsiTheme="majorBidi" w:cstheme="majorBidi"/>
              </w:rPr>
            </w:pPr>
            <w:r>
              <w:rPr>
                <w:rFonts w:ascii="Calibri" w:hAnsi="Calibri"/>
              </w:rPr>
              <w:t>6.69%</w:t>
            </w:r>
          </w:p>
        </w:tc>
        <w:tc>
          <w:tcPr>
            <w:tcW w:w="742" w:type="pct"/>
            <w:vAlign w:val="bottom"/>
          </w:tcPr>
          <w:p w14:paraId="2C4FAA15" w14:textId="77777777" w:rsidR="00E05411" w:rsidRPr="00935F9B" w:rsidRDefault="00E05411" w:rsidP="00E05411">
            <w:pPr>
              <w:jc w:val="right"/>
              <w:rPr>
                <w:rFonts w:asciiTheme="majorBidi" w:hAnsiTheme="majorBidi" w:cstheme="majorBidi"/>
              </w:rPr>
            </w:pPr>
            <w:r>
              <w:rPr>
                <w:rFonts w:ascii="Calibri" w:hAnsi="Calibri"/>
              </w:rPr>
              <w:t>5.84%</w:t>
            </w:r>
          </w:p>
        </w:tc>
        <w:tc>
          <w:tcPr>
            <w:tcW w:w="615" w:type="pct"/>
            <w:vAlign w:val="bottom"/>
          </w:tcPr>
          <w:p w14:paraId="073CB70F" w14:textId="77777777" w:rsidR="00E05411" w:rsidRPr="00935F9B" w:rsidRDefault="00E05411" w:rsidP="00E05411">
            <w:pPr>
              <w:jc w:val="right"/>
              <w:rPr>
                <w:rFonts w:asciiTheme="majorBidi" w:hAnsiTheme="majorBidi" w:cstheme="majorBidi"/>
              </w:rPr>
            </w:pPr>
            <w:r>
              <w:rPr>
                <w:rFonts w:ascii="Calibri" w:hAnsi="Calibri"/>
              </w:rPr>
              <w:t>5.68%</w:t>
            </w:r>
          </w:p>
        </w:tc>
        <w:tc>
          <w:tcPr>
            <w:tcW w:w="608" w:type="pct"/>
          </w:tcPr>
          <w:p w14:paraId="3F475C3E" w14:textId="77777777" w:rsidR="00E05411" w:rsidRPr="00935F9B" w:rsidRDefault="00E05411" w:rsidP="00E05411">
            <w:pPr>
              <w:jc w:val="right"/>
              <w:rPr>
                <w:rFonts w:asciiTheme="majorBidi" w:hAnsiTheme="majorBidi" w:cstheme="majorBidi"/>
              </w:rPr>
            </w:pPr>
            <w:r w:rsidRPr="00261A0C">
              <w:t>6.07%</w:t>
            </w:r>
          </w:p>
        </w:tc>
        <w:tc>
          <w:tcPr>
            <w:tcW w:w="710" w:type="pct"/>
            <w:vAlign w:val="bottom"/>
          </w:tcPr>
          <w:p w14:paraId="2FAA8D4B" w14:textId="77777777" w:rsidR="00E05411" w:rsidRPr="00935F9B" w:rsidRDefault="00E05411" w:rsidP="00E05411">
            <w:pPr>
              <w:jc w:val="right"/>
              <w:rPr>
                <w:rFonts w:asciiTheme="majorBidi" w:hAnsiTheme="majorBidi" w:cstheme="majorBidi"/>
              </w:rPr>
            </w:pPr>
            <w:r w:rsidRPr="00935F9B">
              <w:rPr>
                <w:rFonts w:asciiTheme="majorBidi" w:hAnsiTheme="majorBidi" w:cstheme="majorBidi"/>
              </w:rPr>
              <w:t>0% (baseline)</w:t>
            </w:r>
          </w:p>
        </w:tc>
      </w:tr>
      <w:tr w:rsidR="00E05411" w:rsidRPr="00935F9B" w14:paraId="3BA54679" w14:textId="77777777" w:rsidTr="00E05411">
        <w:trPr>
          <w:trHeight w:hRule="exact" w:val="268"/>
        </w:trPr>
        <w:tc>
          <w:tcPr>
            <w:tcW w:w="751" w:type="pct"/>
            <w:vMerge w:val="restart"/>
          </w:tcPr>
          <w:p w14:paraId="0C709961" w14:textId="77777777" w:rsidR="00E05411" w:rsidRPr="00935F9B" w:rsidRDefault="00E05411" w:rsidP="00E05411">
            <w:pPr>
              <w:spacing w:line="240" w:lineRule="auto"/>
              <w:jc w:val="right"/>
              <w:rPr>
                <w:rFonts w:asciiTheme="majorBidi" w:eastAsia="Times New Roman" w:hAnsiTheme="majorBidi" w:cstheme="majorBidi"/>
              </w:rPr>
            </w:pPr>
            <w:r w:rsidRPr="00935F9B">
              <w:rPr>
                <w:rFonts w:asciiTheme="majorBidi" w:eastAsia="Times New Roman" w:hAnsiTheme="majorBidi" w:cstheme="majorBidi"/>
              </w:rPr>
              <w:t>Route Length</w:t>
            </w:r>
          </w:p>
          <w:p w14:paraId="56B8DD1A" w14:textId="77777777" w:rsidR="00E05411" w:rsidRPr="00935F9B" w:rsidRDefault="00E05411" w:rsidP="00E05411">
            <w:pPr>
              <w:spacing w:line="240" w:lineRule="auto"/>
              <w:jc w:val="right"/>
              <w:rPr>
                <w:rFonts w:asciiTheme="majorBidi" w:eastAsia="Times New Roman" w:hAnsiTheme="majorBidi" w:cstheme="majorBidi"/>
              </w:rPr>
            </w:pPr>
            <w:r w:rsidRPr="00935F9B">
              <w:rPr>
                <w:rFonts w:asciiTheme="majorBidi" w:eastAsia="Times New Roman" w:hAnsiTheme="majorBidi" w:cstheme="majorBidi"/>
              </w:rPr>
              <w:t>(km)</w:t>
            </w:r>
          </w:p>
        </w:tc>
        <w:tc>
          <w:tcPr>
            <w:tcW w:w="958" w:type="pct"/>
            <w:vAlign w:val="bottom"/>
          </w:tcPr>
          <w:p w14:paraId="0D071780" w14:textId="77777777" w:rsidR="00E05411" w:rsidRPr="00935F9B" w:rsidRDefault="00E05411" w:rsidP="00E05411">
            <w:pPr>
              <w:jc w:val="right"/>
              <w:rPr>
                <w:rFonts w:asciiTheme="majorBidi" w:hAnsiTheme="majorBidi" w:cstheme="majorBidi"/>
              </w:rPr>
            </w:pPr>
            <w:r w:rsidRPr="00935F9B">
              <w:rPr>
                <w:rFonts w:asciiTheme="majorBidi" w:hAnsiTheme="majorBidi" w:cstheme="majorBidi"/>
              </w:rPr>
              <w:t xml:space="preserve">Mean </w:t>
            </w:r>
          </w:p>
        </w:tc>
        <w:tc>
          <w:tcPr>
            <w:tcW w:w="615" w:type="pct"/>
            <w:vAlign w:val="bottom"/>
          </w:tcPr>
          <w:p w14:paraId="641D2FF0" w14:textId="77777777" w:rsidR="00E05411" w:rsidRPr="00935F9B" w:rsidRDefault="00E05411" w:rsidP="00E05411">
            <w:pPr>
              <w:jc w:val="right"/>
              <w:rPr>
                <w:rFonts w:asciiTheme="majorBidi" w:hAnsiTheme="majorBidi" w:cstheme="majorBidi"/>
              </w:rPr>
            </w:pPr>
            <w:r>
              <w:rPr>
                <w:rFonts w:ascii="Calibri" w:hAnsi="Calibri"/>
                <w:color w:val="000000"/>
              </w:rPr>
              <w:t>5.40</w:t>
            </w:r>
          </w:p>
        </w:tc>
        <w:tc>
          <w:tcPr>
            <w:tcW w:w="742" w:type="pct"/>
            <w:vAlign w:val="bottom"/>
          </w:tcPr>
          <w:p w14:paraId="4EC4EAFF" w14:textId="77777777" w:rsidR="00E05411" w:rsidRPr="00935F9B" w:rsidRDefault="00E05411" w:rsidP="00E05411">
            <w:pPr>
              <w:jc w:val="right"/>
              <w:rPr>
                <w:rFonts w:asciiTheme="majorBidi" w:hAnsiTheme="majorBidi" w:cstheme="majorBidi"/>
              </w:rPr>
            </w:pPr>
            <w:r>
              <w:rPr>
                <w:rFonts w:ascii="Calibri" w:hAnsi="Calibri"/>
                <w:color w:val="000000"/>
              </w:rPr>
              <w:t>5.70</w:t>
            </w:r>
          </w:p>
        </w:tc>
        <w:tc>
          <w:tcPr>
            <w:tcW w:w="615" w:type="pct"/>
            <w:vAlign w:val="bottom"/>
          </w:tcPr>
          <w:p w14:paraId="7378062F" w14:textId="77777777" w:rsidR="00E05411" w:rsidRPr="00935F9B" w:rsidRDefault="00E05411" w:rsidP="00E05411">
            <w:pPr>
              <w:jc w:val="right"/>
              <w:rPr>
                <w:rFonts w:asciiTheme="majorBidi" w:hAnsiTheme="majorBidi" w:cstheme="majorBidi"/>
              </w:rPr>
            </w:pPr>
            <w:r>
              <w:rPr>
                <w:rFonts w:ascii="Calibri" w:hAnsi="Calibri"/>
                <w:color w:val="000000"/>
              </w:rPr>
              <w:t>5.14</w:t>
            </w:r>
          </w:p>
        </w:tc>
        <w:tc>
          <w:tcPr>
            <w:tcW w:w="608" w:type="pct"/>
            <w:vAlign w:val="center"/>
          </w:tcPr>
          <w:p w14:paraId="5E923933" w14:textId="77777777" w:rsidR="00E05411" w:rsidRPr="00935F9B" w:rsidRDefault="00E05411" w:rsidP="00E05411">
            <w:pPr>
              <w:jc w:val="right"/>
              <w:rPr>
                <w:rFonts w:asciiTheme="majorBidi" w:hAnsiTheme="majorBidi" w:cstheme="majorBidi"/>
              </w:rPr>
            </w:pPr>
            <w:r>
              <w:rPr>
                <w:color w:val="000000"/>
              </w:rPr>
              <w:t>5.41</w:t>
            </w:r>
          </w:p>
        </w:tc>
        <w:tc>
          <w:tcPr>
            <w:tcW w:w="710" w:type="pct"/>
            <w:vAlign w:val="bottom"/>
          </w:tcPr>
          <w:p w14:paraId="2AA94ABF" w14:textId="77777777" w:rsidR="00E05411" w:rsidRPr="00935F9B" w:rsidRDefault="00E05411" w:rsidP="00E05411">
            <w:pPr>
              <w:jc w:val="right"/>
              <w:rPr>
                <w:rFonts w:asciiTheme="majorBidi" w:hAnsiTheme="majorBidi" w:cstheme="majorBidi"/>
              </w:rPr>
            </w:pPr>
            <w:r w:rsidRPr="00935F9B">
              <w:rPr>
                <w:rFonts w:asciiTheme="majorBidi" w:hAnsiTheme="majorBidi" w:cstheme="majorBidi"/>
              </w:rPr>
              <w:t>8.37</w:t>
            </w:r>
          </w:p>
        </w:tc>
      </w:tr>
      <w:tr w:rsidR="00E05411" w:rsidRPr="00935F9B" w14:paraId="56A76DE7" w14:textId="77777777" w:rsidTr="00E05411">
        <w:trPr>
          <w:trHeight w:hRule="exact" w:val="268"/>
        </w:trPr>
        <w:tc>
          <w:tcPr>
            <w:tcW w:w="751" w:type="pct"/>
            <w:vMerge/>
          </w:tcPr>
          <w:p w14:paraId="4E8D5591" w14:textId="77777777" w:rsidR="00E05411" w:rsidRPr="00935F9B" w:rsidRDefault="00E05411" w:rsidP="00E05411">
            <w:pPr>
              <w:spacing w:line="240" w:lineRule="auto"/>
              <w:jc w:val="right"/>
              <w:rPr>
                <w:rFonts w:asciiTheme="majorBidi" w:eastAsia="Times New Roman" w:hAnsiTheme="majorBidi" w:cstheme="majorBidi"/>
              </w:rPr>
            </w:pPr>
          </w:p>
        </w:tc>
        <w:tc>
          <w:tcPr>
            <w:tcW w:w="958" w:type="pct"/>
            <w:vAlign w:val="bottom"/>
          </w:tcPr>
          <w:p w14:paraId="1F186BB4" w14:textId="77777777" w:rsidR="00E05411" w:rsidRPr="00935F9B" w:rsidRDefault="00E05411" w:rsidP="00E05411">
            <w:pPr>
              <w:jc w:val="right"/>
              <w:rPr>
                <w:rFonts w:asciiTheme="majorBidi" w:hAnsiTheme="majorBidi" w:cstheme="majorBidi"/>
              </w:rPr>
            </w:pPr>
            <w:r w:rsidRPr="00935F9B">
              <w:rPr>
                <w:rFonts w:asciiTheme="majorBidi" w:hAnsiTheme="majorBidi" w:cstheme="majorBidi"/>
              </w:rPr>
              <w:t>Min.</w:t>
            </w:r>
          </w:p>
        </w:tc>
        <w:tc>
          <w:tcPr>
            <w:tcW w:w="615" w:type="pct"/>
            <w:vAlign w:val="bottom"/>
          </w:tcPr>
          <w:p w14:paraId="06E88B92" w14:textId="77777777" w:rsidR="00E05411" w:rsidRPr="00935F9B" w:rsidRDefault="00E05411" w:rsidP="00E05411">
            <w:pPr>
              <w:jc w:val="right"/>
              <w:rPr>
                <w:rFonts w:asciiTheme="majorBidi" w:hAnsiTheme="majorBidi" w:cstheme="majorBidi"/>
              </w:rPr>
            </w:pPr>
            <w:r>
              <w:rPr>
                <w:rFonts w:ascii="Calibri" w:hAnsi="Calibri"/>
                <w:color w:val="000000"/>
              </w:rPr>
              <w:t>1.21</w:t>
            </w:r>
          </w:p>
        </w:tc>
        <w:tc>
          <w:tcPr>
            <w:tcW w:w="742" w:type="pct"/>
            <w:vAlign w:val="bottom"/>
          </w:tcPr>
          <w:p w14:paraId="223F15D7" w14:textId="77777777" w:rsidR="00E05411" w:rsidRPr="00935F9B" w:rsidRDefault="00E05411" w:rsidP="00E05411">
            <w:pPr>
              <w:jc w:val="right"/>
              <w:rPr>
                <w:rFonts w:asciiTheme="majorBidi" w:hAnsiTheme="majorBidi" w:cstheme="majorBidi"/>
              </w:rPr>
            </w:pPr>
            <w:r>
              <w:rPr>
                <w:rFonts w:ascii="Calibri" w:hAnsi="Calibri"/>
                <w:color w:val="000000"/>
              </w:rPr>
              <w:t>1.25</w:t>
            </w:r>
          </w:p>
        </w:tc>
        <w:tc>
          <w:tcPr>
            <w:tcW w:w="615" w:type="pct"/>
            <w:vAlign w:val="bottom"/>
          </w:tcPr>
          <w:p w14:paraId="69359C9D" w14:textId="77777777" w:rsidR="00E05411" w:rsidRPr="00935F9B" w:rsidRDefault="00E05411" w:rsidP="00E05411">
            <w:pPr>
              <w:jc w:val="right"/>
              <w:rPr>
                <w:rFonts w:asciiTheme="majorBidi" w:hAnsiTheme="majorBidi" w:cstheme="majorBidi"/>
              </w:rPr>
            </w:pPr>
            <w:r>
              <w:rPr>
                <w:rFonts w:ascii="Calibri" w:hAnsi="Calibri"/>
                <w:color w:val="000000"/>
              </w:rPr>
              <w:t>1.24</w:t>
            </w:r>
          </w:p>
        </w:tc>
        <w:tc>
          <w:tcPr>
            <w:tcW w:w="608" w:type="pct"/>
            <w:vAlign w:val="center"/>
          </w:tcPr>
          <w:p w14:paraId="48C62620" w14:textId="77777777" w:rsidR="00E05411" w:rsidRPr="00935F9B" w:rsidRDefault="00E05411" w:rsidP="00E05411">
            <w:pPr>
              <w:jc w:val="right"/>
              <w:rPr>
                <w:rFonts w:asciiTheme="majorBidi" w:hAnsiTheme="majorBidi" w:cstheme="majorBidi"/>
              </w:rPr>
            </w:pPr>
            <w:r>
              <w:rPr>
                <w:color w:val="000000"/>
              </w:rPr>
              <w:t>1.23</w:t>
            </w:r>
          </w:p>
        </w:tc>
        <w:tc>
          <w:tcPr>
            <w:tcW w:w="710" w:type="pct"/>
            <w:vAlign w:val="bottom"/>
          </w:tcPr>
          <w:p w14:paraId="74B17376" w14:textId="77777777" w:rsidR="00E05411" w:rsidRPr="00935F9B" w:rsidRDefault="00E05411" w:rsidP="00E05411">
            <w:pPr>
              <w:jc w:val="right"/>
              <w:rPr>
                <w:rFonts w:asciiTheme="majorBidi" w:hAnsiTheme="majorBidi" w:cstheme="majorBidi"/>
              </w:rPr>
            </w:pPr>
            <w:r w:rsidRPr="00935F9B">
              <w:rPr>
                <w:rFonts w:asciiTheme="majorBidi" w:hAnsiTheme="majorBidi" w:cstheme="majorBidi"/>
              </w:rPr>
              <w:t>1.90</w:t>
            </w:r>
          </w:p>
        </w:tc>
      </w:tr>
      <w:tr w:rsidR="00E05411" w:rsidRPr="00935F9B" w14:paraId="32D1AED9" w14:textId="77777777" w:rsidTr="00E05411">
        <w:trPr>
          <w:trHeight w:hRule="exact" w:val="268"/>
        </w:trPr>
        <w:tc>
          <w:tcPr>
            <w:tcW w:w="751" w:type="pct"/>
            <w:vMerge/>
          </w:tcPr>
          <w:p w14:paraId="70301074" w14:textId="77777777" w:rsidR="00E05411" w:rsidRPr="00935F9B" w:rsidRDefault="00E05411" w:rsidP="00E05411">
            <w:pPr>
              <w:spacing w:line="240" w:lineRule="auto"/>
              <w:jc w:val="right"/>
              <w:rPr>
                <w:rFonts w:asciiTheme="majorBidi" w:eastAsia="Times New Roman" w:hAnsiTheme="majorBidi" w:cstheme="majorBidi"/>
              </w:rPr>
            </w:pPr>
          </w:p>
        </w:tc>
        <w:tc>
          <w:tcPr>
            <w:tcW w:w="958" w:type="pct"/>
            <w:vAlign w:val="bottom"/>
          </w:tcPr>
          <w:p w14:paraId="7EF434AA" w14:textId="77777777" w:rsidR="00E05411" w:rsidRPr="00935F9B" w:rsidRDefault="00E05411" w:rsidP="00E05411">
            <w:pPr>
              <w:jc w:val="right"/>
              <w:rPr>
                <w:rFonts w:asciiTheme="majorBidi" w:hAnsiTheme="majorBidi" w:cstheme="majorBidi"/>
              </w:rPr>
            </w:pPr>
            <w:r w:rsidRPr="00935F9B">
              <w:rPr>
                <w:rFonts w:asciiTheme="majorBidi" w:hAnsiTheme="majorBidi" w:cstheme="majorBidi"/>
              </w:rPr>
              <w:t>Max.</w:t>
            </w:r>
          </w:p>
        </w:tc>
        <w:tc>
          <w:tcPr>
            <w:tcW w:w="615" w:type="pct"/>
            <w:vAlign w:val="bottom"/>
          </w:tcPr>
          <w:p w14:paraId="799547C7" w14:textId="77777777" w:rsidR="00E05411" w:rsidRPr="00935F9B" w:rsidRDefault="00E05411" w:rsidP="00E05411">
            <w:pPr>
              <w:jc w:val="right"/>
              <w:rPr>
                <w:rFonts w:asciiTheme="majorBidi" w:hAnsiTheme="majorBidi" w:cstheme="majorBidi"/>
              </w:rPr>
            </w:pPr>
            <w:r>
              <w:rPr>
                <w:rFonts w:ascii="Calibri" w:hAnsi="Calibri"/>
                <w:color w:val="000000"/>
              </w:rPr>
              <w:t>11.59</w:t>
            </w:r>
          </w:p>
        </w:tc>
        <w:tc>
          <w:tcPr>
            <w:tcW w:w="742" w:type="pct"/>
            <w:vAlign w:val="bottom"/>
          </w:tcPr>
          <w:p w14:paraId="6EEF9E64" w14:textId="77777777" w:rsidR="00E05411" w:rsidRPr="00935F9B" w:rsidRDefault="00E05411" w:rsidP="00E05411">
            <w:pPr>
              <w:jc w:val="right"/>
              <w:rPr>
                <w:rFonts w:asciiTheme="majorBidi" w:hAnsiTheme="majorBidi" w:cstheme="majorBidi"/>
              </w:rPr>
            </w:pPr>
            <w:r>
              <w:rPr>
                <w:rFonts w:ascii="Calibri" w:hAnsi="Calibri"/>
                <w:color w:val="000000"/>
              </w:rPr>
              <w:t>11.50</w:t>
            </w:r>
          </w:p>
        </w:tc>
        <w:tc>
          <w:tcPr>
            <w:tcW w:w="615" w:type="pct"/>
            <w:vAlign w:val="bottom"/>
          </w:tcPr>
          <w:p w14:paraId="799C6154" w14:textId="77777777" w:rsidR="00E05411" w:rsidRPr="00935F9B" w:rsidRDefault="00E05411" w:rsidP="00E05411">
            <w:pPr>
              <w:jc w:val="right"/>
              <w:rPr>
                <w:rFonts w:asciiTheme="majorBidi" w:hAnsiTheme="majorBidi" w:cstheme="majorBidi"/>
              </w:rPr>
            </w:pPr>
            <w:r>
              <w:rPr>
                <w:rFonts w:ascii="Calibri" w:hAnsi="Calibri"/>
                <w:color w:val="000000"/>
              </w:rPr>
              <w:t>11.83</w:t>
            </w:r>
          </w:p>
        </w:tc>
        <w:tc>
          <w:tcPr>
            <w:tcW w:w="608" w:type="pct"/>
            <w:vAlign w:val="center"/>
          </w:tcPr>
          <w:p w14:paraId="7F4ECF38" w14:textId="77777777" w:rsidR="00E05411" w:rsidRPr="00935F9B" w:rsidRDefault="00E05411" w:rsidP="00E05411">
            <w:pPr>
              <w:jc w:val="right"/>
              <w:rPr>
                <w:rFonts w:asciiTheme="majorBidi" w:hAnsiTheme="majorBidi" w:cstheme="majorBidi"/>
              </w:rPr>
            </w:pPr>
            <w:r>
              <w:rPr>
                <w:color w:val="000000"/>
              </w:rPr>
              <w:t>11.64</w:t>
            </w:r>
          </w:p>
        </w:tc>
        <w:tc>
          <w:tcPr>
            <w:tcW w:w="710" w:type="pct"/>
            <w:vAlign w:val="bottom"/>
          </w:tcPr>
          <w:p w14:paraId="0D70935A" w14:textId="77777777" w:rsidR="00E05411" w:rsidRPr="00935F9B" w:rsidRDefault="00E05411" w:rsidP="00E05411">
            <w:pPr>
              <w:jc w:val="right"/>
              <w:rPr>
                <w:rFonts w:asciiTheme="majorBidi" w:hAnsiTheme="majorBidi" w:cstheme="majorBidi"/>
              </w:rPr>
            </w:pPr>
            <w:r w:rsidRPr="00935F9B">
              <w:rPr>
                <w:rFonts w:asciiTheme="majorBidi" w:hAnsiTheme="majorBidi" w:cstheme="majorBidi"/>
              </w:rPr>
              <w:t>16.81</w:t>
            </w:r>
          </w:p>
        </w:tc>
      </w:tr>
      <w:tr w:rsidR="00E05411" w:rsidRPr="00935F9B" w14:paraId="305F9F36" w14:textId="77777777" w:rsidTr="00E05411">
        <w:trPr>
          <w:trHeight w:hRule="exact" w:val="268"/>
        </w:trPr>
        <w:tc>
          <w:tcPr>
            <w:tcW w:w="751" w:type="pct"/>
            <w:vMerge/>
          </w:tcPr>
          <w:p w14:paraId="312D9BCA" w14:textId="77777777" w:rsidR="00E05411" w:rsidRPr="00935F9B" w:rsidRDefault="00E05411" w:rsidP="00E05411">
            <w:pPr>
              <w:spacing w:line="240" w:lineRule="auto"/>
              <w:jc w:val="right"/>
              <w:rPr>
                <w:rFonts w:asciiTheme="majorBidi" w:eastAsia="Times New Roman" w:hAnsiTheme="majorBidi" w:cstheme="majorBidi"/>
              </w:rPr>
            </w:pPr>
          </w:p>
        </w:tc>
        <w:tc>
          <w:tcPr>
            <w:tcW w:w="958" w:type="pct"/>
            <w:vAlign w:val="bottom"/>
          </w:tcPr>
          <w:p w14:paraId="3DBE6FDF" w14:textId="77777777" w:rsidR="00E05411" w:rsidRPr="00935F9B" w:rsidRDefault="00E05411" w:rsidP="00E05411">
            <w:pPr>
              <w:jc w:val="right"/>
              <w:rPr>
                <w:rFonts w:asciiTheme="majorBidi" w:hAnsiTheme="majorBidi" w:cstheme="majorBidi"/>
              </w:rPr>
            </w:pPr>
            <w:r w:rsidRPr="00935F9B">
              <w:rPr>
                <w:rFonts w:asciiTheme="majorBidi" w:hAnsiTheme="majorBidi" w:cstheme="majorBidi"/>
              </w:rPr>
              <w:t>Sum</w:t>
            </w:r>
          </w:p>
        </w:tc>
        <w:tc>
          <w:tcPr>
            <w:tcW w:w="615" w:type="pct"/>
            <w:vAlign w:val="bottom"/>
          </w:tcPr>
          <w:p w14:paraId="4DD68F88" w14:textId="77777777" w:rsidR="00E05411" w:rsidRPr="00935F9B" w:rsidRDefault="00E05411" w:rsidP="00E05411">
            <w:pPr>
              <w:jc w:val="right"/>
              <w:rPr>
                <w:rFonts w:asciiTheme="majorBidi" w:hAnsiTheme="majorBidi" w:cstheme="majorBidi"/>
              </w:rPr>
            </w:pPr>
            <w:r>
              <w:rPr>
                <w:rFonts w:ascii="Calibri" w:hAnsi="Calibri"/>
                <w:color w:val="000000"/>
              </w:rPr>
              <w:t>388.92</w:t>
            </w:r>
          </w:p>
        </w:tc>
        <w:tc>
          <w:tcPr>
            <w:tcW w:w="742" w:type="pct"/>
            <w:vAlign w:val="bottom"/>
          </w:tcPr>
          <w:p w14:paraId="3B4D4639" w14:textId="77777777" w:rsidR="00E05411" w:rsidRPr="00935F9B" w:rsidRDefault="00E05411" w:rsidP="00E05411">
            <w:pPr>
              <w:jc w:val="right"/>
              <w:rPr>
                <w:rFonts w:asciiTheme="majorBidi" w:hAnsiTheme="majorBidi" w:cstheme="majorBidi"/>
              </w:rPr>
            </w:pPr>
            <w:r>
              <w:rPr>
                <w:rFonts w:ascii="Calibri" w:hAnsi="Calibri"/>
                <w:color w:val="000000"/>
              </w:rPr>
              <w:t>336.17</w:t>
            </w:r>
          </w:p>
        </w:tc>
        <w:tc>
          <w:tcPr>
            <w:tcW w:w="615" w:type="pct"/>
            <w:vAlign w:val="bottom"/>
          </w:tcPr>
          <w:p w14:paraId="1E8BCF2D" w14:textId="77777777" w:rsidR="00E05411" w:rsidRPr="00935F9B" w:rsidRDefault="00E05411" w:rsidP="00E05411">
            <w:pPr>
              <w:jc w:val="right"/>
              <w:rPr>
                <w:rFonts w:asciiTheme="majorBidi" w:hAnsiTheme="majorBidi" w:cstheme="majorBidi"/>
              </w:rPr>
            </w:pPr>
            <w:r>
              <w:rPr>
                <w:rFonts w:ascii="Calibri" w:hAnsi="Calibri"/>
                <w:color w:val="000000"/>
              </w:rPr>
              <w:t>344.45</w:t>
            </w:r>
          </w:p>
        </w:tc>
        <w:tc>
          <w:tcPr>
            <w:tcW w:w="608" w:type="pct"/>
            <w:vAlign w:val="center"/>
          </w:tcPr>
          <w:p w14:paraId="7497BC59" w14:textId="77777777" w:rsidR="00E05411" w:rsidRPr="00935F9B" w:rsidRDefault="00E05411" w:rsidP="00E05411">
            <w:pPr>
              <w:jc w:val="right"/>
              <w:rPr>
                <w:rFonts w:asciiTheme="majorBidi" w:hAnsiTheme="majorBidi" w:cstheme="majorBidi"/>
              </w:rPr>
            </w:pPr>
            <w:r>
              <w:rPr>
                <w:color w:val="000000"/>
              </w:rPr>
              <w:t>356.52</w:t>
            </w:r>
          </w:p>
        </w:tc>
        <w:tc>
          <w:tcPr>
            <w:tcW w:w="710" w:type="pct"/>
            <w:vAlign w:val="bottom"/>
          </w:tcPr>
          <w:p w14:paraId="7C219BB6" w14:textId="77777777" w:rsidR="00E05411" w:rsidRPr="00935F9B" w:rsidRDefault="00E05411" w:rsidP="00E05411">
            <w:pPr>
              <w:jc w:val="right"/>
              <w:rPr>
                <w:rFonts w:asciiTheme="majorBidi" w:hAnsiTheme="majorBidi" w:cstheme="majorBidi"/>
              </w:rPr>
            </w:pPr>
            <w:r w:rsidRPr="00935F9B">
              <w:rPr>
                <w:rFonts w:asciiTheme="majorBidi" w:hAnsiTheme="majorBidi" w:cstheme="majorBidi"/>
              </w:rPr>
              <w:t>360.22</w:t>
            </w:r>
          </w:p>
        </w:tc>
      </w:tr>
      <w:tr w:rsidR="00E05411" w:rsidRPr="00935F9B" w14:paraId="4AF135D6" w14:textId="77777777" w:rsidTr="00E05411">
        <w:trPr>
          <w:trHeight w:hRule="exact" w:val="268"/>
        </w:trPr>
        <w:tc>
          <w:tcPr>
            <w:tcW w:w="751" w:type="pct"/>
            <w:vMerge w:val="restart"/>
          </w:tcPr>
          <w:p w14:paraId="5F6BAB77" w14:textId="77777777" w:rsidR="00E05411" w:rsidRPr="00935F9B" w:rsidRDefault="00E05411" w:rsidP="00E05411">
            <w:pPr>
              <w:spacing w:line="240" w:lineRule="auto"/>
              <w:jc w:val="right"/>
              <w:rPr>
                <w:rFonts w:asciiTheme="majorBidi" w:eastAsia="Times New Roman" w:hAnsiTheme="majorBidi" w:cstheme="majorBidi"/>
              </w:rPr>
            </w:pPr>
            <w:r w:rsidRPr="00935F9B">
              <w:rPr>
                <w:rFonts w:asciiTheme="majorBidi" w:eastAsia="Times New Roman" w:hAnsiTheme="majorBidi" w:cstheme="majorBidi"/>
              </w:rPr>
              <w:t>Frequency</w:t>
            </w:r>
          </w:p>
        </w:tc>
        <w:tc>
          <w:tcPr>
            <w:tcW w:w="958" w:type="pct"/>
            <w:vAlign w:val="bottom"/>
          </w:tcPr>
          <w:p w14:paraId="409DCDB2" w14:textId="77777777" w:rsidR="00E05411" w:rsidRPr="00935F9B" w:rsidRDefault="00E05411" w:rsidP="00E05411">
            <w:pPr>
              <w:jc w:val="right"/>
              <w:rPr>
                <w:rFonts w:asciiTheme="majorBidi" w:hAnsiTheme="majorBidi" w:cstheme="majorBidi"/>
              </w:rPr>
            </w:pPr>
            <w:r w:rsidRPr="00935F9B">
              <w:rPr>
                <w:rFonts w:asciiTheme="majorBidi" w:hAnsiTheme="majorBidi" w:cstheme="majorBidi"/>
              </w:rPr>
              <w:t xml:space="preserve">Mean </w:t>
            </w:r>
          </w:p>
        </w:tc>
        <w:tc>
          <w:tcPr>
            <w:tcW w:w="615" w:type="pct"/>
            <w:vAlign w:val="bottom"/>
          </w:tcPr>
          <w:p w14:paraId="00E8FADD" w14:textId="77777777" w:rsidR="00E05411" w:rsidRPr="00935F9B" w:rsidRDefault="00E05411" w:rsidP="00E05411">
            <w:pPr>
              <w:jc w:val="right"/>
              <w:rPr>
                <w:rFonts w:asciiTheme="majorBidi" w:hAnsiTheme="majorBidi" w:cstheme="majorBidi"/>
              </w:rPr>
            </w:pPr>
            <w:r>
              <w:rPr>
                <w:rFonts w:ascii="Calibri" w:hAnsi="Calibri"/>
                <w:color w:val="000000"/>
              </w:rPr>
              <w:t>3.58</w:t>
            </w:r>
          </w:p>
        </w:tc>
        <w:tc>
          <w:tcPr>
            <w:tcW w:w="742" w:type="pct"/>
            <w:vAlign w:val="bottom"/>
          </w:tcPr>
          <w:p w14:paraId="04EC918F" w14:textId="77777777" w:rsidR="00E05411" w:rsidRPr="00935F9B" w:rsidRDefault="00E05411" w:rsidP="00E05411">
            <w:pPr>
              <w:jc w:val="right"/>
              <w:rPr>
                <w:rFonts w:asciiTheme="majorBidi" w:hAnsiTheme="majorBidi" w:cstheme="majorBidi"/>
              </w:rPr>
            </w:pPr>
            <w:r>
              <w:rPr>
                <w:rFonts w:ascii="Calibri" w:hAnsi="Calibri"/>
                <w:color w:val="000000"/>
              </w:rPr>
              <w:t>4.11</w:t>
            </w:r>
          </w:p>
        </w:tc>
        <w:tc>
          <w:tcPr>
            <w:tcW w:w="615" w:type="pct"/>
            <w:vAlign w:val="bottom"/>
          </w:tcPr>
          <w:p w14:paraId="0298C0F1" w14:textId="77777777" w:rsidR="00E05411" w:rsidRPr="00935F9B" w:rsidRDefault="00E05411" w:rsidP="00E05411">
            <w:pPr>
              <w:jc w:val="right"/>
              <w:rPr>
                <w:rFonts w:asciiTheme="majorBidi" w:hAnsiTheme="majorBidi" w:cstheme="majorBidi"/>
              </w:rPr>
            </w:pPr>
            <w:r>
              <w:rPr>
                <w:rFonts w:ascii="Calibri" w:hAnsi="Calibri"/>
                <w:color w:val="000000"/>
              </w:rPr>
              <w:t>3.80</w:t>
            </w:r>
          </w:p>
        </w:tc>
        <w:tc>
          <w:tcPr>
            <w:tcW w:w="608" w:type="pct"/>
            <w:vAlign w:val="center"/>
          </w:tcPr>
          <w:p w14:paraId="392EA00C" w14:textId="77777777" w:rsidR="00E05411" w:rsidRPr="00935F9B" w:rsidRDefault="00E05411" w:rsidP="00E05411">
            <w:pPr>
              <w:jc w:val="right"/>
              <w:rPr>
                <w:rFonts w:asciiTheme="majorBidi" w:hAnsiTheme="majorBidi" w:cstheme="majorBidi"/>
              </w:rPr>
            </w:pPr>
            <w:r>
              <w:rPr>
                <w:color w:val="000000"/>
              </w:rPr>
              <w:t>3.83</w:t>
            </w:r>
          </w:p>
        </w:tc>
        <w:tc>
          <w:tcPr>
            <w:tcW w:w="710" w:type="pct"/>
            <w:vAlign w:val="bottom"/>
          </w:tcPr>
          <w:p w14:paraId="4CBEB34C" w14:textId="77777777" w:rsidR="00E05411" w:rsidRPr="00935F9B" w:rsidRDefault="00E05411" w:rsidP="00E05411">
            <w:pPr>
              <w:jc w:val="right"/>
              <w:rPr>
                <w:rFonts w:asciiTheme="majorBidi" w:hAnsiTheme="majorBidi" w:cstheme="majorBidi"/>
              </w:rPr>
            </w:pPr>
            <w:r w:rsidRPr="00935F9B">
              <w:rPr>
                <w:rFonts w:asciiTheme="majorBidi" w:hAnsiTheme="majorBidi" w:cstheme="majorBidi"/>
              </w:rPr>
              <w:t>3.96</w:t>
            </w:r>
          </w:p>
        </w:tc>
      </w:tr>
      <w:tr w:rsidR="00E05411" w:rsidRPr="00935F9B" w14:paraId="4BBFDCA2" w14:textId="77777777" w:rsidTr="00E05411">
        <w:trPr>
          <w:trHeight w:hRule="exact" w:val="268"/>
        </w:trPr>
        <w:tc>
          <w:tcPr>
            <w:tcW w:w="751" w:type="pct"/>
            <w:vMerge/>
          </w:tcPr>
          <w:p w14:paraId="22AB3AAB" w14:textId="77777777" w:rsidR="00E05411" w:rsidRPr="00935F9B" w:rsidRDefault="00E05411" w:rsidP="00E05411">
            <w:pPr>
              <w:spacing w:line="240" w:lineRule="auto"/>
              <w:jc w:val="right"/>
              <w:rPr>
                <w:rFonts w:asciiTheme="majorBidi" w:eastAsia="Times New Roman" w:hAnsiTheme="majorBidi" w:cstheme="majorBidi"/>
              </w:rPr>
            </w:pPr>
          </w:p>
        </w:tc>
        <w:tc>
          <w:tcPr>
            <w:tcW w:w="958" w:type="pct"/>
            <w:vAlign w:val="bottom"/>
          </w:tcPr>
          <w:p w14:paraId="1DF6897D" w14:textId="77777777" w:rsidR="00E05411" w:rsidRPr="00935F9B" w:rsidRDefault="00E05411" w:rsidP="00E05411">
            <w:pPr>
              <w:jc w:val="right"/>
              <w:rPr>
                <w:rFonts w:asciiTheme="majorBidi" w:hAnsiTheme="majorBidi" w:cstheme="majorBidi"/>
              </w:rPr>
            </w:pPr>
            <w:r w:rsidRPr="00935F9B">
              <w:rPr>
                <w:rFonts w:asciiTheme="majorBidi" w:hAnsiTheme="majorBidi" w:cstheme="majorBidi"/>
              </w:rPr>
              <w:t>Min.</w:t>
            </w:r>
          </w:p>
        </w:tc>
        <w:tc>
          <w:tcPr>
            <w:tcW w:w="615" w:type="pct"/>
            <w:vAlign w:val="bottom"/>
          </w:tcPr>
          <w:p w14:paraId="1605524F" w14:textId="77777777" w:rsidR="00E05411" w:rsidRPr="00935F9B" w:rsidRDefault="00E05411" w:rsidP="00E05411">
            <w:pPr>
              <w:jc w:val="right"/>
              <w:rPr>
                <w:rFonts w:asciiTheme="majorBidi" w:hAnsiTheme="majorBidi" w:cstheme="majorBidi"/>
              </w:rPr>
            </w:pPr>
            <w:r>
              <w:rPr>
                <w:rFonts w:ascii="Calibri" w:hAnsi="Calibri"/>
                <w:color w:val="000000"/>
              </w:rPr>
              <w:t>0.5</w:t>
            </w:r>
          </w:p>
        </w:tc>
        <w:tc>
          <w:tcPr>
            <w:tcW w:w="742" w:type="pct"/>
            <w:vAlign w:val="bottom"/>
          </w:tcPr>
          <w:p w14:paraId="653368A1" w14:textId="77777777" w:rsidR="00E05411" w:rsidRPr="00935F9B" w:rsidRDefault="00E05411" w:rsidP="00E05411">
            <w:pPr>
              <w:jc w:val="right"/>
              <w:rPr>
                <w:rFonts w:asciiTheme="majorBidi" w:hAnsiTheme="majorBidi" w:cstheme="majorBidi"/>
              </w:rPr>
            </w:pPr>
            <w:r>
              <w:rPr>
                <w:rFonts w:ascii="Calibri" w:hAnsi="Calibri"/>
                <w:color w:val="000000"/>
              </w:rPr>
              <w:t>0.5</w:t>
            </w:r>
          </w:p>
        </w:tc>
        <w:tc>
          <w:tcPr>
            <w:tcW w:w="615" w:type="pct"/>
            <w:vAlign w:val="bottom"/>
          </w:tcPr>
          <w:p w14:paraId="0041D0B8" w14:textId="77777777" w:rsidR="00E05411" w:rsidRPr="00935F9B" w:rsidRDefault="00E05411" w:rsidP="00E05411">
            <w:pPr>
              <w:jc w:val="right"/>
              <w:rPr>
                <w:rFonts w:asciiTheme="majorBidi" w:hAnsiTheme="majorBidi" w:cstheme="majorBidi"/>
              </w:rPr>
            </w:pPr>
            <w:r>
              <w:rPr>
                <w:rFonts w:ascii="Calibri" w:hAnsi="Calibri"/>
                <w:color w:val="000000"/>
              </w:rPr>
              <w:t>0.5</w:t>
            </w:r>
          </w:p>
        </w:tc>
        <w:tc>
          <w:tcPr>
            <w:tcW w:w="608" w:type="pct"/>
            <w:vAlign w:val="center"/>
          </w:tcPr>
          <w:p w14:paraId="77F0C95B" w14:textId="77777777" w:rsidR="00E05411" w:rsidRPr="00935F9B" w:rsidRDefault="00E05411" w:rsidP="00E05411">
            <w:pPr>
              <w:jc w:val="right"/>
              <w:rPr>
                <w:rFonts w:asciiTheme="majorBidi" w:hAnsiTheme="majorBidi" w:cstheme="majorBidi"/>
              </w:rPr>
            </w:pPr>
            <w:r>
              <w:rPr>
                <w:color w:val="000000"/>
              </w:rPr>
              <w:t>0.5</w:t>
            </w:r>
          </w:p>
        </w:tc>
        <w:tc>
          <w:tcPr>
            <w:tcW w:w="710" w:type="pct"/>
            <w:vAlign w:val="bottom"/>
          </w:tcPr>
          <w:p w14:paraId="6B698FD5" w14:textId="77777777" w:rsidR="00E05411" w:rsidRPr="00935F9B" w:rsidRDefault="00E05411" w:rsidP="00E05411">
            <w:pPr>
              <w:jc w:val="right"/>
              <w:rPr>
                <w:rFonts w:asciiTheme="majorBidi" w:hAnsiTheme="majorBidi" w:cstheme="majorBidi"/>
              </w:rPr>
            </w:pPr>
            <w:r w:rsidRPr="00935F9B">
              <w:rPr>
                <w:rFonts w:asciiTheme="majorBidi" w:hAnsiTheme="majorBidi" w:cstheme="majorBidi"/>
              </w:rPr>
              <w:t>1</w:t>
            </w:r>
          </w:p>
        </w:tc>
      </w:tr>
      <w:tr w:rsidR="00E05411" w:rsidRPr="00935F9B" w14:paraId="33F0CE50" w14:textId="77777777" w:rsidTr="00E05411">
        <w:trPr>
          <w:trHeight w:hRule="exact" w:val="268"/>
        </w:trPr>
        <w:tc>
          <w:tcPr>
            <w:tcW w:w="751" w:type="pct"/>
            <w:vMerge/>
          </w:tcPr>
          <w:p w14:paraId="1A800F3E" w14:textId="77777777" w:rsidR="00E05411" w:rsidRPr="00935F9B" w:rsidRDefault="00E05411" w:rsidP="00E05411">
            <w:pPr>
              <w:spacing w:line="240" w:lineRule="auto"/>
              <w:jc w:val="right"/>
              <w:rPr>
                <w:rFonts w:asciiTheme="majorBidi" w:eastAsia="Times New Roman" w:hAnsiTheme="majorBidi" w:cstheme="majorBidi"/>
              </w:rPr>
            </w:pPr>
          </w:p>
        </w:tc>
        <w:tc>
          <w:tcPr>
            <w:tcW w:w="958" w:type="pct"/>
            <w:vAlign w:val="bottom"/>
          </w:tcPr>
          <w:p w14:paraId="3DD56F93" w14:textId="77777777" w:rsidR="00E05411" w:rsidRPr="00935F9B" w:rsidRDefault="00E05411" w:rsidP="00E05411">
            <w:pPr>
              <w:jc w:val="right"/>
              <w:rPr>
                <w:rFonts w:asciiTheme="majorBidi" w:hAnsiTheme="majorBidi" w:cstheme="majorBidi"/>
              </w:rPr>
            </w:pPr>
            <w:r w:rsidRPr="00935F9B">
              <w:rPr>
                <w:rFonts w:asciiTheme="majorBidi" w:hAnsiTheme="majorBidi" w:cstheme="majorBidi"/>
              </w:rPr>
              <w:t>Max.</w:t>
            </w:r>
          </w:p>
        </w:tc>
        <w:tc>
          <w:tcPr>
            <w:tcW w:w="615" w:type="pct"/>
            <w:vAlign w:val="bottom"/>
          </w:tcPr>
          <w:p w14:paraId="40264121" w14:textId="77777777" w:rsidR="00E05411" w:rsidRPr="00935F9B" w:rsidRDefault="00E05411" w:rsidP="00E05411">
            <w:pPr>
              <w:jc w:val="right"/>
              <w:rPr>
                <w:rFonts w:asciiTheme="majorBidi" w:hAnsiTheme="majorBidi" w:cstheme="majorBidi"/>
              </w:rPr>
            </w:pPr>
            <w:r>
              <w:rPr>
                <w:rFonts w:ascii="Calibri" w:hAnsi="Calibri"/>
                <w:color w:val="000000"/>
              </w:rPr>
              <w:t>12</w:t>
            </w:r>
          </w:p>
        </w:tc>
        <w:tc>
          <w:tcPr>
            <w:tcW w:w="742" w:type="pct"/>
            <w:vAlign w:val="bottom"/>
          </w:tcPr>
          <w:p w14:paraId="169D69F4" w14:textId="77777777" w:rsidR="00E05411" w:rsidRPr="00935F9B" w:rsidRDefault="00E05411" w:rsidP="00E05411">
            <w:pPr>
              <w:jc w:val="right"/>
              <w:rPr>
                <w:rFonts w:asciiTheme="majorBidi" w:hAnsiTheme="majorBidi" w:cstheme="majorBidi"/>
              </w:rPr>
            </w:pPr>
            <w:r>
              <w:rPr>
                <w:rFonts w:ascii="Calibri" w:hAnsi="Calibri"/>
                <w:color w:val="000000"/>
              </w:rPr>
              <w:t>12</w:t>
            </w:r>
          </w:p>
        </w:tc>
        <w:tc>
          <w:tcPr>
            <w:tcW w:w="615" w:type="pct"/>
            <w:vAlign w:val="bottom"/>
          </w:tcPr>
          <w:p w14:paraId="2FF67CC0" w14:textId="77777777" w:rsidR="00E05411" w:rsidRPr="00935F9B" w:rsidRDefault="00E05411" w:rsidP="00E05411">
            <w:pPr>
              <w:jc w:val="right"/>
              <w:rPr>
                <w:rFonts w:asciiTheme="majorBidi" w:hAnsiTheme="majorBidi" w:cstheme="majorBidi"/>
              </w:rPr>
            </w:pPr>
            <w:r>
              <w:rPr>
                <w:rFonts w:ascii="Calibri" w:hAnsi="Calibri"/>
                <w:color w:val="000000"/>
              </w:rPr>
              <w:t>12</w:t>
            </w:r>
          </w:p>
        </w:tc>
        <w:tc>
          <w:tcPr>
            <w:tcW w:w="608" w:type="pct"/>
            <w:vAlign w:val="center"/>
          </w:tcPr>
          <w:p w14:paraId="1E1C93B0" w14:textId="77777777" w:rsidR="00E05411" w:rsidRPr="00935F9B" w:rsidRDefault="00E05411" w:rsidP="00E05411">
            <w:pPr>
              <w:jc w:val="right"/>
              <w:rPr>
                <w:rFonts w:asciiTheme="majorBidi" w:hAnsiTheme="majorBidi" w:cstheme="majorBidi"/>
              </w:rPr>
            </w:pPr>
            <w:r>
              <w:rPr>
                <w:color w:val="000000"/>
              </w:rPr>
              <w:t>12</w:t>
            </w:r>
          </w:p>
        </w:tc>
        <w:tc>
          <w:tcPr>
            <w:tcW w:w="710" w:type="pct"/>
            <w:vAlign w:val="bottom"/>
          </w:tcPr>
          <w:p w14:paraId="495A9AC8" w14:textId="77777777" w:rsidR="00E05411" w:rsidRPr="00935F9B" w:rsidRDefault="00E05411" w:rsidP="00E05411">
            <w:pPr>
              <w:jc w:val="right"/>
              <w:rPr>
                <w:rFonts w:asciiTheme="majorBidi" w:hAnsiTheme="majorBidi" w:cstheme="majorBidi"/>
              </w:rPr>
            </w:pPr>
            <w:r w:rsidRPr="00935F9B">
              <w:rPr>
                <w:rFonts w:asciiTheme="majorBidi" w:hAnsiTheme="majorBidi" w:cstheme="majorBidi"/>
              </w:rPr>
              <w:t>9</w:t>
            </w:r>
          </w:p>
        </w:tc>
      </w:tr>
    </w:tbl>
    <w:p w14:paraId="685477E4" w14:textId="08FE8E2A" w:rsidR="00EC6459" w:rsidRDefault="00BC1E13" w:rsidP="0052141E">
      <w:pPr>
        <w:pStyle w:val="Tabletitle"/>
      </w:pPr>
      <w:r w:rsidRPr="00BC1E13">
        <w:t>Table 2: Comparison between current and optimal networks (in terms of network layout)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5"/>
        <w:gridCol w:w="1116"/>
        <w:gridCol w:w="1116"/>
        <w:gridCol w:w="1116"/>
        <w:gridCol w:w="1116"/>
      </w:tblGrid>
      <w:tr w:rsidR="00E05411" w:rsidRPr="00B1381F" w14:paraId="1A80373C" w14:textId="77777777" w:rsidTr="00E05411">
        <w:trPr>
          <w:cantSplit/>
          <w:trHeight w:hRule="exact" w:val="520"/>
        </w:trPr>
        <w:tc>
          <w:tcPr>
            <w:tcW w:w="2411" w:type="pct"/>
            <w:vAlign w:val="center"/>
          </w:tcPr>
          <w:p w14:paraId="72EED8FC" w14:textId="77777777" w:rsidR="00E05411" w:rsidRPr="00B1381F" w:rsidRDefault="00E05411" w:rsidP="00E05411">
            <w:pPr>
              <w:spacing w:line="240" w:lineRule="auto"/>
            </w:pPr>
          </w:p>
          <w:p w14:paraId="50073D9F" w14:textId="77777777" w:rsidR="00E05411" w:rsidRPr="00B1381F" w:rsidRDefault="00E05411" w:rsidP="00E05411">
            <w:pPr>
              <w:spacing w:line="240" w:lineRule="auto"/>
            </w:pPr>
          </w:p>
        </w:tc>
        <w:tc>
          <w:tcPr>
            <w:tcW w:w="647" w:type="pct"/>
            <w:vAlign w:val="center"/>
          </w:tcPr>
          <w:p w14:paraId="40D3E330" w14:textId="77777777" w:rsidR="00E05411" w:rsidRPr="00B1381F" w:rsidRDefault="00E05411" w:rsidP="00E05411">
            <w:pPr>
              <w:spacing w:line="240" w:lineRule="auto"/>
            </w:pPr>
            <w:r w:rsidRPr="00B1381F">
              <w:t>Top 1</w:t>
            </w:r>
          </w:p>
        </w:tc>
        <w:tc>
          <w:tcPr>
            <w:tcW w:w="647" w:type="pct"/>
            <w:vAlign w:val="center"/>
          </w:tcPr>
          <w:p w14:paraId="1BBF8DE5" w14:textId="77777777" w:rsidR="00E05411" w:rsidRPr="00B1381F" w:rsidRDefault="00E05411" w:rsidP="00E05411">
            <w:pPr>
              <w:spacing w:line="240" w:lineRule="auto"/>
            </w:pPr>
            <w:r w:rsidRPr="00B1381F">
              <w:t>Top 2</w:t>
            </w:r>
          </w:p>
        </w:tc>
        <w:tc>
          <w:tcPr>
            <w:tcW w:w="647" w:type="pct"/>
            <w:vAlign w:val="center"/>
          </w:tcPr>
          <w:p w14:paraId="1EB33B6C" w14:textId="77777777" w:rsidR="00E05411" w:rsidRPr="00B1381F" w:rsidRDefault="00E05411" w:rsidP="00E05411">
            <w:pPr>
              <w:spacing w:line="240" w:lineRule="auto"/>
            </w:pPr>
            <w:r w:rsidRPr="00B1381F">
              <w:t>Top 3</w:t>
            </w:r>
          </w:p>
        </w:tc>
        <w:tc>
          <w:tcPr>
            <w:tcW w:w="647" w:type="pct"/>
            <w:vAlign w:val="center"/>
          </w:tcPr>
          <w:p w14:paraId="5CFB5EAC" w14:textId="77777777" w:rsidR="00E05411" w:rsidRPr="00B1381F" w:rsidRDefault="00E05411" w:rsidP="00E05411">
            <w:pPr>
              <w:spacing w:line="240" w:lineRule="auto"/>
            </w:pPr>
            <w:r w:rsidRPr="00B1381F">
              <w:t>Current Solution</w:t>
            </w:r>
          </w:p>
          <w:p w14:paraId="326BCE6B" w14:textId="77777777" w:rsidR="00E05411" w:rsidRPr="00B1381F" w:rsidRDefault="00E05411" w:rsidP="00E05411">
            <w:pPr>
              <w:spacing w:line="240" w:lineRule="auto"/>
            </w:pPr>
            <w:r w:rsidRPr="00B1381F">
              <w:t>network</w:t>
            </w:r>
          </w:p>
          <w:p w14:paraId="6CDAA1DB" w14:textId="77777777" w:rsidR="00E05411" w:rsidRPr="00B1381F" w:rsidRDefault="00E05411" w:rsidP="00E05411">
            <w:pPr>
              <w:spacing w:line="240" w:lineRule="auto"/>
            </w:pPr>
            <w:r w:rsidRPr="00B1381F">
              <w:t xml:space="preserve"> </w:t>
            </w:r>
          </w:p>
        </w:tc>
      </w:tr>
      <w:tr w:rsidR="00E05411" w:rsidRPr="00B1381F" w14:paraId="09F799EC" w14:textId="77777777" w:rsidTr="00E05411">
        <w:trPr>
          <w:cantSplit/>
          <w:trHeight w:hRule="exact" w:val="916"/>
        </w:trPr>
        <w:tc>
          <w:tcPr>
            <w:tcW w:w="2411" w:type="pct"/>
            <w:vAlign w:val="center"/>
          </w:tcPr>
          <w:p w14:paraId="43D3C932" w14:textId="77777777" w:rsidR="00E05411" w:rsidRPr="00B1381F" w:rsidRDefault="00E05411" w:rsidP="00E05411">
            <w:pPr>
              <w:spacing w:line="240" w:lineRule="auto"/>
            </w:pPr>
            <w:r w:rsidRPr="00B1381F">
              <w:t xml:space="preserve">Total road length </w:t>
            </w:r>
          </w:p>
          <w:p w14:paraId="2EDA592F" w14:textId="77777777" w:rsidR="00E05411" w:rsidRPr="00B1381F" w:rsidRDefault="00E05411" w:rsidP="00E05411">
            <w:pPr>
              <w:spacing w:line="240" w:lineRule="auto"/>
            </w:pPr>
            <w:r w:rsidRPr="00B1381F">
              <w:t xml:space="preserve">available in the network (km) </w:t>
            </w:r>
          </w:p>
        </w:tc>
        <w:tc>
          <w:tcPr>
            <w:tcW w:w="647" w:type="pct"/>
            <w:tcBorders>
              <w:bottom w:val="single" w:sz="4" w:space="0" w:color="auto"/>
            </w:tcBorders>
            <w:vAlign w:val="center"/>
          </w:tcPr>
          <w:p w14:paraId="099C27A2" w14:textId="77777777" w:rsidR="00E05411" w:rsidRPr="00B1381F" w:rsidRDefault="00E05411" w:rsidP="00E05411">
            <w:pPr>
              <w:spacing w:line="240" w:lineRule="auto"/>
            </w:pPr>
            <w:r w:rsidRPr="00B1381F">
              <w:t>138.05</w:t>
            </w:r>
          </w:p>
          <w:p w14:paraId="46A9373C" w14:textId="77777777" w:rsidR="00E05411" w:rsidRPr="00B1381F" w:rsidRDefault="00E05411" w:rsidP="00E05411">
            <w:pPr>
              <w:spacing w:line="240" w:lineRule="auto"/>
            </w:pPr>
          </w:p>
        </w:tc>
        <w:tc>
          <w:tcPr>
            <w:tcW w:w="647" w:type="pct"/>
            <w:vAlign w:val="center"/>
          </w:tcPr>
          <w:p w14:paraId="64B8DA47" w14:textId="77777777" w:rsidR="00E05411" w:rsidRPr="00B1381F" w:rsidRDefault="00E05411" w:rsidP="00E05411">
            <w:pPr>
              <w:spacing w:line="240" w:lineRule="auto"/>
            </w:pPr>
            <w:r w:rsidRPr="00B1381F">
              <w:t>122.83</w:t>
            </w:r>
          </w:p>
          <w:p w14:paraId="229ABBB3" w14:textId="77777777" w:rsidR="00E05411" w:rsidRPr="00B1381F" w:rsidRDefault="00E05411" w:rsidP="00E05411">
            <w:pPr>
              <w:spacing w:line="240" w:lineRule="auto"/>
            </w:pPr>
          </w:p>
        </w:tc>
        <w:tc>
          <w:tcPr>
            <w:tcW w:w="647" w:type="pct"/>
            <w:vAlign w:val="center"/>
          </w:tcPr>
          <w:p w14:paraId="251F76B4" w14:textId="77777777" w:rsidR="00E05411" w:rsidRPr="00B1381F" w:rsidRDefault="00E05411" w:rsidP="00E05411">
            <w:pPr>
              <w:spacing w:line="240" w:lineRule="auto"/>
            </w:pPr>
            <w:r w:rsidRPr="00B1381F">
              <w:t>129.73</w:t>
            </w:r>
          </w:p>
          <w:p w14:paraId="4319A577" w14:textId="77777777" w:rsidR="00E05411" w:rsidRPr="00B1381F" w:rsidRDefault="00E05411" w:rsidP="00E05411">
            <w:pPr>
              <w:spacing w:line="240" w:lineRule="auto"/>
            </w:pPr>
          </w:p>
        </w:tc>
        <w:tc>
          <w:tcPr>
            <w:tcW w:w="647" w:type="pct"/>
            <w:vAlign w:val="center"/>
          </w:tcPr>
          <w:p w14:paraId="49EDAA69" w14:textId="77777777" w:rsidR="00E05411" w:rsidRPr="00B1381F" w:rsidRDefault="00E05411" w:rsidP="00E05411">
            <w:pPr>
              <w:spacing w:line="240" w:lineRule="auto"/>
            </w:pPr>
            <w:r w:rsidRPr="00B1381F">
              <w:t>135.01</w:t>
            </w:r>
          </w:p>
          <w:p w14:paraId="3DAF525D" w14:textId="77777777" w:rsidR="00E05411" w:rsidRPr="00B1381F" w:rsidRDefault="00E05411" w:rsidP="00E05411">
            <w:pPr>
              <w:spacing w:line="240" w:lineRule="auto"/>
            </w:pPr>
          </w:p>
        </w:tc>
      </w:tr>
      <w:tr w:rsidR="00E05411" w:rsidRPr="00B1381F" w14:paraId="7ABC41E3" w14:textId="77777777" w:rsidTr="00E05411">
        <w:trPr>
          <w:cantSplit/>
          <w:trHeight w:hRule="exact" w:val="748"/>
        </w:trPr>
        <w:tc>
          <w:tcPr>
            <w:tcW w:w="2411" w:type="pct"/>
            <w:vAlign w:val="center"/>
          </w:tcPr>
          <w:p w14:paraId="7AD8A7EE" w14:textId="77777777" w:rsidR="00E05411" w:rsidRPr="00B1381F" w:rsidRDefault="00E05411" w:rsidP="00E05411">
            <w:pPr>
              <w:spacing w:line="240" w:lineRule="auto"/>
            </w:pPr>
            <w:r w:rsidRPr="00B1381F">
              <w:t>Sharing road length with Top 1 (km, %)</w:t>
            </w:r>
          </w:p>
        </w:tc>
        <w:tc>
          <w:tcPr>
            <w:tcW w:w="647" w:type="pct"/>
            <w:tcBorders>
              <w:tl2br w:val="single" w:sz="4" w:space="0" w:color="auto"/>
            </w:tcBorders>
            <w:vAlign w:val="center"/>
          </w:tcPr>
          <w:p w14:paraId="64AF5450" w14:textId="77777777" w:rsidR="00E05411" w:rsidRPr="00B1381F" w:rsidRDefault="00E05411" w:rsidP="00E05411">
            <w:pPr>
              <w:spacing w:line="240" w:lineRule="auto"/>
            </w:pPr>
          </w:p>
        </w:tc>
        <w:tc>
          <w:tcPr>
            <w:tcW w:w="647" w:type="pct"/>
            <w:tcBorders>
              <w:bottom w:val="single" w:sz="4" w:space="0" w:color="auto"/>
            </w:tcBorders>
            <w:vAlign w:val="center"/>
          </w:tcPr>
          <w:p w14:paraId="35426ED5" w14:textId="77777777" w:rsidR="00E05411" w:rsidRPr="00B1381F" w:rsidRDefault="00E05411" w:rsidP="00E05411">
            <w:pPr>
              <w:spacing w:line="240" w:lineRule="auto"/>
            </w:pPr>
            <w:r w:rsidRPr="00B1381F">
              <w:t>95.57</w:t>
            </w:r>
          </w:p>
          <w:p w14:paraId="50A2BF30" w14:textId="77777777" w:rsidR="00E05411" w:rsidRPr="00B1381F" w:rsidRDefault="00E05411" w:rsidP="00E05411">
            <w:pPr>
              <w:spacing w:line="240" w:lineRule="auto"/>
            </w:pPr>
            <w:r w:rsidRPr="00B1381F">
              <w:t>(77.81%)</w:t>
            </w:r>
          </w:p>
        </w:tc>
        <w:tc>
          <w:tcPr>
            <w:tcW w:w="647" w:type="pct"/>
            <w:vAlign w:val="center"/>
          </w:tcPr>
          <w:p w14:paraId="0E8D7E2A" w14:textId="77777777" w:rsidR="00E05411" w:rsidRPr="00B1381F" w:rsidRDefault="00E05411" w:rsidP="00E05411">
            <w:pPr>
              <w:spacing w:line="240" w:lineRule="auto"/>
            </w:pPr>
            <w:r w:rsidRPr="00B1381F">
              <w:t>94.56</w:t>
            </w:r>
          </w:p>
          <w:p w14:paraId="652DD00C" w14:textId="77777777" w:rsidR="00E05411" w:rsidRPr="00B1381F" w:rsidRDefault="00E05411" w:rsidP="00E05411">
            <w:pPr>
              <w:spacing w:line="240" w:lineRule="auto"/>
            </w:pPr>
            <w:r w:rsidRPr="00B1381F">
              <w:t>(72.89%)</w:t>
            </w:r>
          </w:p>
        </w:tc>
        <w:tc>
          <w:tcPr>
            <w:tcW w:w="647" w:type="pct"/>
            <w:vAlign w:val="center"/>
          </w:tcPr>
          <w:p w14:paraId="29933E71" w14:textId="77777777" w:rsidR="00E05411" w:rsidRPr="00B1381F" w:rsidRDefault="00E05411" w:rsidP="00E05411">
            <w:pPr>
              <w:spacing w:line="240" w:lineRule="auto"/>
            </w:pPr>
            <w:r w:rsidRPr="00B1381F">
              <w:t>80.02</w:t>
            </w:r>
          </w:p>
          <w:p w14:paraId="10CF45FA" w14:textId="77777777" w:rsidR="00E05411" w:rsidRPr="00B1381F" w:rsidRDefault="00E05411" w:rsidP="00E05411">
            <w:pPr>
              <w:spacing w:line="240" w:lineRule="auto"/>
            </w:pPr>
            <w:r w:rsidRPr="00B1381F">
              <w:t>(59.27%)</w:t>
            </w:r>
          </w:p>
        </w:tc>
      </w:tr>
      <w:tr w:rsidR="00E05411" w:rsidRPr="00B1381F" w14:paraId="281AD635" w14:textId="77777777" w:rsidTr="00E05411">
        <w:trPr>
          <w:cantSplit/>
          <w:trHeight w:hRule="exact" w:val="676"/>
        </w:trPr>
        <w:tc>
          <w:tcPr>
            <w:tcW w:w="2411" w:type="pct"/>
            <w:vAlign w:val="center"/>
          </w:tcPr>
          <w:p w14:paraId="233898E7" w14:textId="77777777" w:rsidR="00E05411" w:rsidRPr="00B1381F" w:rsidRDefault="00E05411" w:rsidP="00E05411">
            <w:pPr>
              <w:spacing w:line="240" w:lineRule="auto"/>
            </w:pPr>
            <w:r w:rsidRPr="00B1381F">
              <w:t>Sharing road length with Top 2 (km, %)</w:t>
            </w:r>
          </w:p>
        </w:tc>
        <w:tc>
          <w:tcPr>
            <w:tcW w:w="647" w:type="pct"/>
            <w:vAlign w:val="center"/>
          </w:tcPr>
          <w:p w14:paraId="4D4E9E13" w14:textId="77777777" w:rsidR="00E05411" w:rsidRPr="00B1381F" w:rsidRDefault="00E05411" w:rsidP="00E05411">
            <w:pPr>
              <w:spacing w:line="240" w:lineRule="auto"/>
            </w:pPr>
            <w:r w:rsidRPr="00B1381F">
              <w:t>95.57</w:t>
            </w:r>
          </w:p>
          <w:p w14:paraId="5C1315AB" w14:textId="77777777" w:rsidR="00E05411" w:rsidRPr="00B1381F" w:rsidRDefault="00E05411" w:rsidP="00E05411">
            <w:pPr>
              <w:spacing w:line="240" w:lineRule="auto"/>
            </w:pPr>
            <w:r w:rsidRPr="00B1381F">
              <w:t>(69.23%)</w:t>
            </w:r>
          </w:p>
          <w:p w14:paraId="633327FF" w14:textId="77777777" w:rsidR="00E05411" w:rsidRPr="00B1381F" w:rsidRDefault="00E05411" w:rsidP="00E05411">
            <w:pPr>
              <w:spacing w:line="240" w:lineRule="auto"/>
            </w:pPr>
          </w:p>
        </w:tc>
        <w:tc>
          <w:tcPr>
            <w:tcW w:w="647" w:type="pct"/>
            <w:tcBorders>
              <w:tl2br w:val="single" w:sz="4" w:space="0" w:color="auto"/>
            </w:tcBorders>
            <w:vAlign w:val="center"/>
          </w:tcPr>
          <w:p w14:paraId="3C924A89" w14:textId="77777777" w:rsidR="00E05411" w:rsidRPr="00B1381F" w:rsidRDefault="00E05411" w:rsidP="00E05411">
            <w:pPr>
              <w:spacing w:line="240" w:lineRule="auto"/>
              <w:jc w:val="lowKashida"/>
            </w:pPr>
          </w:p>
        </w:tc>
        <w:tc>
          <w:tcPr>
            <w:tcW w:w="647" w:type="pct"/>
            <w:tcBorders>
              <w:bottom w:val="single" w:sz="4" w:space="0" w:color="auto"/>
            </w:tcBorders>
            <w:vAlign w:val="center"/>
          </w:tcPr>
          <w:p w14:paraId="53424EFF" w14:textId="77777777" w:rsidR="00E05411" w:rsidRPr="00B1381F" w:rsidRDefault="00E05411" w:rsidP="00E05411">
            <w:pPr>
              <w:spacing w:line="240" w:lineRule="auto"/>
              <w:jc w:val="lowKashida"/>
            </w:pPr>
            <w:r w:rsidRPr="00B1381F">
              <w:t>94.56</w:t>
            </w:r>
          </w:p>
          <w:p w14:paraId="31DD75B0" w14:textId="77777777" w:rsidR="00E05411" w:rsidRPr="00B1381F" w:rsidRDefault="00E05411" w:rsidP="00E05411">
            <w:pPr>
              <w:spacing w:line="240" w:lineRule="auto"/>
              <w:jc w:val="lowKashida"/>
            </w:pPr>
            <w:r w:rsidRPr="00B1381F">
              <w:t>(72.90%)</w:t>
            </w:r>
          </w:p>
        </w:tc>
        <w:tc>
          <w:tcPr>
            <w:tcW w:w="647" w:type="pct"/>
            <w:vAlign w:val="center"/>
          </w:tcPr>
          <w:p w14:paraId="17F8ADBE" w14:textId="77777777" w:rsidR="00E05411" w:rsidRPr="00B1381F" w:rsidRDefault="00E05411" w:rsidP="00E05411">
            <w:pPr>
              <w:spacing w:line="240" w:lineRule="auto"/>
              <w:jc w:val="lowKashida"/>
            </w:pPr>
            <w:r w:rsidRPr="00B1381F">
              <w:t>76.98</w:t>
            </w:r>
          </w:p>
          <w:p w14:paraId="3A2E0C78" w14:textId="77777777" w:rsidR="00E05411" w:rsidRPr="00B1381F" w:rsidRDefault="00E05411" w:rsidP="00E05411">
            <w:pPr>
              <w:spacing w:line="240" w:lineRule="auto"/>
              <w:jc w:val="lowKashida"/>
            </w:pPr>
            <w:r w:rsidRPr="00B1381F">
              <w:t>(57.02%)</w:t>
            </w:r>
          </w:p>
          <w:p w14:paraId="13A12526" w14:textId="77777777" w:rsidR="00E05411" w:rsidRPr="00B1381F" w:rsidRDefault="00E05411" w:rsidP="00E05411">
            <w:pPr>
              <w:spacing w:line="240" w:lineRule="auto"/>
              <w:jc w:val="lowKashida"/>
            </w:pPr>
          </w:p>
        </w:tc>
      </w:tr>
      <w:tr w:rsidR="00E05411" w:rsidRPr="00B1381F" w14:paraId="37E6FB50" w14:textId="77777777" w:rsidTr="00E05411">
        <w:trPr>
          <w:cantSplit/>
          <w:trHeight w:hRule="exact" w:val="676"/>
        </w:trPr>
        <w:tc>
          <w:tcPr>
            <w:tcW w:w="2411" w:type="pct"/>
            <w:vAlign w:val="center"/>
          </w:tcPr>
          <w:p w14:paraId="289879F6" w14:textId="77777777" w:rsidR="00E05411" w:rsidRPr="00B1381F" w:rsidRDefault="00E05411" w:rsidP="00E05411">
            <w:pPr>
              <w:spacing w:line="240" w:lineRule="auto"/>
            </w:pPr>
            <w:r w:rsidRPr="00B1381F">
              <w:t>Sharing road length with Top 3 (km, %)</w:t>
            </w:r>
          </w:p>
        </w:tc>
        <w:tc>
          <w:tcPr>
            <w:tcW w:w="647" w:type="pct"/>
            <w:vAlign w:val="center"/>
          </w:tcPr>
          <w:p w14:paraId="7C8B8983" w14:textId="77777777" w:rsidR="00E05411" w:rsidRPr="00B1381F" w:rsidRDefault="00E05411" w:rsidP="00E05411">
            <w:pPr>
              <w:spacing w:line="240" w:lineRule="auto"/>
            </w:pPr>
            <w:r w:rsidRPr="00B1381F">
              <w:t>94.56</w:t>
            </w:r>
          </w:p>
          <w:p w14:paraId="10275ACF" w14:textId="77777777" w:rsidR="00E05411" w:rsidRPr="00B1381F" w:rsidRDefault="00E05411" w:rsidP="00E05411">
            <w:pPr>
              <w:spacing w:line="240" w:lineRule="auto"/>
            </w:pPr>
            <w:r w:rsidRPr="00B1381F">
              <w:t>(68.50%)</w:t>
            </w:r>
          </w:p>
          <w:p w14:paraId="50D3602F" w14:textId="77777777" w:rsidR="00E05411" w:rsidRPr="00B1381F" w:rsidRDefault="00E05411" w:rsidP="00E05411">
            <w:pPr>
              <w:spacing w:line="240" w:lineRule="auto"/>
            </w:pPr>
          </w:p>
        </w:tc>
        <w:tc>
          <w:tcPr>
            <w:tcW w:w="647" w:type="pct"/>
            <w:vAlign w:val="center"/>
          </w:tcPr>
          <w:p w14:paraId="581DD2A0" w14:textId="77777777" w:rsidR="00E05411" w:rsidRPr="00B1381F" w:rsidRDefault="00E05411" w:rsidP="00E05411">
            <w:pPr>
              <w:spacing w:line="240" w:lineRule="auto"/>
            </w:pPr>
            <w:r w:rsidRPr="00B1381F">
              <w:t>96.24</w:t>
            </w:r>
          </w:p>
          <w:p w14:paraId="0B261F04" w14:textId="77777777" w:rsidR="00E05411" w:rsidRPr="00B1381F" w:rsidRDefault="00E05411" w:rsidP="00E05411">
            <w:pPr>
              <w:spacing w:line="240" w:lineRule="auto"/>
            </w:pPr>
            <w:r w:rsidRPr="00B1381F">
              <w:t>(78.35%)</w:t>
            </w:r>
          </w:p>
          <w:p w14:paraId="50809C97" w14:textId="77777777" w:rsidR="00E05411" w:rsidRPr="00B1381F" w:rsidRDefault="00E05411" w:rsidP="00E05411">
            <w:pPr>
              <w:spacing w:line="240" w:lineRule="auto"/>
            </w:pPr>
          </w:p>
        </w:tc>
        <w:tc>
          <w:tcPr>
            <w:tcW w:w="647" w:type="pct"/>
            <w:tcBorders>
              <w:tl2br w:val="single" w:sz="4" w:space="0" w:color="auto"/>
            </w:tcBorders>
            <w:vAlign w:val="center"/>
          </w:tcPr>
          <w:p w14:paraId="71043946" w14:textId="77777777" w:rsidR="00E05411" w:rsidRPr="00B1381F" w:rsidRDefault="00E05411" w:rsidP="00E05411">
            <w:pPr>
              <w:spacing w:line="240" w:lineRule="auto"/>
            </w:pPr>
          </w:p>
        </w:tc>
        <w:tc>
          <w:tcPr>
            <w:tcW w:w="647" w:type="pct"/>
            <w:tcBorders>
              <w:bottom w:val="single" w:sz="4" w:space="0" w:color="auto"/>
            </w:tcBorders>
            <w:vAlign w:val="center"/>
          </w:tcPr>
          <w:p w14:paraId="4A162C43" w14:textId="77777777" w:rsidR="00E05411" w:rsidRPr="00B1381F" w:rsidRDefault="00E05411" w:rsidP="00E05411">
            <w:pPr>
              <w:spacing w:line="240" w:lineRule="auto"/>
            </w:pPr>
            <w:r w:rsidRPr="00B1381F">
              <w:t>76.69</w:t>
            </w:r>
          </w:p>
          <w:p w14:paraId="4FACEDAA" w14:textId="77777777" w:rsidR="00E05411" w:rsidRPr="00B1381F" w:rsidRDefault="00E05411" w:rsidP="00E05411">
            <w:pPr>
              <w:spacing w:line="240" w:lineRule="auto"/>
            </w:pPr>
            <w:r w:rsidRPr="00B1381F">
              <w:t>(56.81%)</w:t>
            </w:r>
          </w:p>
          <w:p w14:paraId="38267F1B" w14:textId="77777777" w:rsidR="00E05411" w:rsidRPr="00B1381F" w:rsidRDefault="00E05411" w:rsidP="00E05411">
            <w:pPr>
              <w:spacing w:line="240" w:lineRule="auto"/>
            </w:pPr>
          </w:p>
        </w:tc>
      </w:tr>
      <w:tr w:rsidR="00E05411" w:rsidRPr="00B1381F" w14:paraId="25C995C6" w14:textId="77777777" w:rsidTr="00E05411">
        <w:trPr>
          <w:cantSplit/>
          <w:trHeight w:hRule="exact" w:val="824"/>
        </w:trPr>
        <w:tc>
          <w:tcPr>
            <w:tcW w:w="2411" w:type="pct"/>
            <w:vAlign w:val="center"/>
          </w:tcPr>
          <w:p w14:paraId="3343F0FF" w14:textId="77777777" w:rsidR="00E05411" w:rsidRPr="00B1381F" w:rsidRDefault="00E05411" w:rsidP="00E05411">
            <w:pPr>
              <w:spacing w:line="240" w:lineRule="auto"/>
            </w:pPr>
            <w:r w:rsidRPr="00B1381F">
              <w:t xml:space="preserve">Sharing road length with current solution </w:t>
            </w:r>
          </w:p>
          <w:p w14:paraId="508144AC" w14:textId="77777777" w:rsidR="00E05411" w:rsidRPr="00B1381F" w:rsidRDefault="00E05411" w:rsidP="00E05411">
            <w:pPr>
              <w:spacing w:line="240" w:lineRule="auto"/>
            </w:pPr>
            <w:r w:rsidRPr="00B1381F">
              <w:t>(</w:t>
            </w:r>
            <w:proofErr w:type="gramStart"/>
            <w:r w:rsidRPr="00B1381F">
              <w:t>km</w:t>
            </w:r>
            <w:proofErr w:type="gramEnd"/>
            <w:r w:rsidRPr="00B1381F">
              <w:t xml:space="preserve">, %) </w:t>
            </w:r>
          </w:p>
        </w:tc>
        <w:tc>
          <w:tcPr>
            <w:tcW w:w="647" w:type="pct"/>
            <w:vAlign w:val="center"/>
          </w:tcPr>
          <w:p w14:paraId="0A3452C1" w14:textId="77777777" w:rsidR="00E05411" w:rsidRPr="00B1381F" w:rsidRDefault="00E05411" w:rsidP="00E05411">
            <w:pPr>
              <w:spacing w:line="240" w:lineRule="auto"/>
            </w:pPr>
            <w:r w:rsidRPr="00B1381F">
              <w:t>80.02</w:t>
            </w:r>
          </w:p>
          <w:p w14:paraId="1457688B" w14:textId="77777777" w:rsidR="00E05411" w:rsidRPr="00B1381F" w:rsidRDefault="00E05411" w:rsidP="00E05411">
            <w:pPr>
              <w:spacing w:line="240" w:lineRule="auto"/>
            </w:pPr>
            <w:r w:rsidRPr="00B1381F">
              <w:t>(57.78%)</w:t>
            </w:r>
          </w:p>
        </w:tc>
        <w:tc>
          <w:tcPr>
            <w:tcW w:w="647" w:type="pct"/>
            <w:vAlign w:val="center"/>
          </w:tcPr>
          <w:p w14:paraId="78525956" w14:textId="77777777" w:rsidR="00E05411" w:rsidRPr="00B1381F" w:rsidRDefault="00E05411" w:rsidP="00E05411">
            <w:pPr>
              <w:spacing w:line="240" w:lineRule="auto"/>
            </w:pPr>
            <w:r w:rsidRPr="00B1381F">
              <w:t>76.98</w:t>
            </w:r>
          </w:p>
          <w:p w14:paraId="0A3A24F7" w14:textId="77777777" w:rsidR="00E05411" w:rsidRPr="00B1381F" w:rsidRDefault="00E05411" w:rsidP="00E05411">
            <w:pPr>
              <w:spacing w:line="240" w:lineRule="auto"/>
            </w:pPr>
            <w:r w:rsidRPr="00B1381F">
              <w:t>(62.67%)</w:t>
            </w:r>
          </w:p>
        </w:tc>
        <w:tc>
          <w:tcPr>
            <w:tcW w:w="647" w:type="pct"/>
            <w:vAlign w:val="center"/>
          </w:tcPr>
          <w:p w14:paraId="73A8E0C8" w14:textId="77777777" w:rsidR="00E05411" w:rsidRPr="00B1381F" w:rsidRDefault="00E05411" w:rsidP="00E05411">
            <w:pPr>
              <w:spacing w:line="240" w:lineRule="auto"/>
            </w:pPr>
            <w:r w:rsidRPr="00B1381F">
              <w:t>76.69</w:t>
            </w:r>
          </w:p>
          <w:p w14:paraId="30C45CAE" w14:textId="77777777" w:rsidR="00E05411" w:rsidRPr="00B1381F" w:rsidRDefault="00E05411" w:rsidP="00E05411">
            <w:pPr>
              <w:spacing w:line="240" w:lineRule="auto"/>
            </w:pPr>
            <w:r w:rsidRPr="00B1381F">
              <w:t>(59.11%)</w:t>
            </w:r>
          </w:p>
        </w:tc>
        <w:tc>
          <w:tcPr>
            <w:tcW w:w="647" w:type="pct"/>
            <w:tcBorders>
              <w:tl2br w:val="single" w:sz="4" w:space="0" w:color="auto"/>
            </w:tcBorders>
            <w:vAlign w:val="center"/>
          </w:tcPr>
          <w:p w14:paraId="78245B25" w14:textId="77777777" w:rsidR="00E05411" w:rsidRPr="00B1381F" w:rsidRDefault="00E05411" w:rsidP="00E05411">
            <w:pPr>
              <w:spacing w:line="240" w:lineRule="auto"/>
            </w:pPr>
          </w:p>
        </w:tc>
      </w:tr>
      <w:tr w:rsidR="00E05411" w:rsidRPr="00B1381F" w14:paraId="4DD91738" w14:textId="77777777" w:rsidTr="00E05411">
        <w:trPr>
          <w:cantSplit/>
          <w:trHeight w:hRule="exact" w:val="572"/>
        </w:trPr>
        <w:tc>
          <w:tcPr>
            <w:tcW w:w="2411" w:type="pct"/>
            <w:vAlign w:val="center"/>
          </w:tcPr>
          <w:p w14:paraId="4183A62B" w14:textId="77777777" w:rsidR="00E05411" w:rsidRPr="00B1381F" w:rsidRDefault="00E05411" w:rsidP="00E05411">
            <w:pPr>
              <w:spacing w:line="240" w:lineRule="auto"/>
            </w:pPr>
            <w:r>
              <w:t>Route overlap factor*</w:t>
            </w:r>
          </w:p>
        </w:tc>
        <w:tc>
          <w:tcPr>
            <w:tcW w:w="647" w:type="pct"/>
            <w:vAlign w:val="center"/>
          </w:tcPr>
          <w:p w14:paraId="728AA645" w14:textId="77777777" w:rsidR="00E05411" w:rsidRPr="00B1381F" w:rsidRDefault="00E05411" w:rsidP="00E05411">
            <w:pPr>
              <w:spacing w:line="240" w:lineRule="auto"/>
            </w:pPr>
            <w:r w:rsidRPr="00B1381F">
              <w:t>2.82</w:t>
            </w:r>
          </w:p>
          <w:p w14:paraId="4C199F6D" w14:textId="77777777" w:rsidR="00E05411" w:rsidRPr="00B1381F" w:rsidRDefault="00E05411" w:rsidP="00E05411">
            <w:pPr>
              <w:spacing w:line="240" w:lineRule="auto"/>
            </w:pPr>
          </w:p>
        </w:tc>
        <w:tc>
          <w:tcPr>
            <w:tcW w:w="647" w:type="pct"/>
            <w:vAlign w:val="center"/>
          </w:tcPr>
          <w:p w14:paraId="0E05E3E7" w14:textId="77777777" w:rsidR="00E05411" w:rsidRPr="00B1381F" w:rsidRDefault="00E05411" w:rsidP="00E05411">
            <w:pPr>
              <w:spacing w:line="240" w:lineRule="auto"/>
            </w:pPr>
            <w:r w:rsidRPr="00B1381F">
              <w:t>2.74</w:t>
            </w:r>
          </w:p>
          <w:p w14:paraId="1304DD74" w14:textId="77777777" w:rsidR="00E05411" w:rsidRPr="00B1381F" w:rsidRDefault="00E05411" w:rsidP="00E05411">
            <w:pPr>
              <w:spacing w:line="240" w:lineRule="auto"/>
            </w:pPr>
          </w:p>
        </w:tc>
        <w:tc>
          <w:tcPr>
            <w:tcW w:w="647" w:type="pct"/>
            <w:vAlign w:val="center"/>
          </w:tcPr>
          <w:p w14:paraId="3CB05806" w14:textId="77777777" w:rsidR="00E05411" w:rsidRPr="00B1381F" w:rsidRDefault="00E05411" w:rsidP="00E05411">
            <w:pPr>
              <w:spacing w:line="240" w:lineRule="auto"/>
            </w:pPr>
            <w:r w:rsidRPr="00B1381F">
              <w:t>2.66</w:t>
            </w:r>
          </w:p>
          <w:p w14:paraId="542DB073" w14:textId="77777777" w:rsidR="00E05411" w:rsidRPr="00B1381F" w:rsidRDefault="00E05411" w:rsidP="00E05411">
            <w:pPr>
              <w:spacing w:line="240" w:lineRule="auto"/>
            </w:pPr>
          </w:p>
        </w:tc>
        <w:tc>
          <w:tcPr>
            <w:tcW w:w="647" w:type="pct"/>
            <w:vAlign w:val="center"/>
          </w:tcPr>
          <w:p w14:paraId="77D7168C" w14:textId="77777777" w:rsidR="00E05411" w:rsidRPr="00B1381F" w:rsidRDefault="00E05411" w:rsidP="00E05411">
            <w:pPr>
              <w:spacing w:line="240" w:lineRule="auto"/>
            </w:pPr>
            <w:r w:rsidRPr="00B1381F">
              <w:t>2.67</w:t>
            </w:r>
          </w:p>
          <w:p w14:paraId="1188F2D9" w14:textId="77777777" w:rsidR="00E05411" w:rsidRPr="00B1381F" w:rsidRDefault="00E05411" w:rsidP="00E05411">
            <w:pPr>
              <w:spacing w:line="240" w:lineRule="auto"/>
            </w:pPr>
          </w:p>
        </w:tc>
      </w:tr>
    </w:tbl>
    <w:p w14:paraId="1C5C9584" w14:textId="77777777" w:rsidR="00E05411" w:rsidRPr="00067A90" w:rsidRDefault="00E05411" w:rsidP="00E05411">
      <m:oMathPara>
        <m:oMathParaPr>
          <m:jc m:val="left"/>
        </m:oMathParaPr>
        <m:oMath>
          <m:r>
            <w:rPr>
              <w:rFonts w:ascii="Cambria Math" w:hAnsi="Cambria Math"/>
            </w:rPr>
            <m:t xml:space="preserve">*route overlap factor= </m:t>
          </m:r>
          <m:f>
            <m:fPr>
              <m:ctrlPr>
                <w:rPr>
                  <w:rFonts w:ascii="Cambria Math" w:hAnsi="Cambria Math"/>
                  <w:i/>
                </w:rPr>
              </m:ctrlPr>
            </m:fPr>
            <m:num>
              <m:r>
                <w:rPr>
                  <w:rFonts w:ascii="Cambria Math" w:hAnsi="Cambria Math"/>
                </w:rPr>
                <m:t xml:space="preserve">total route length of the network </m:t>
              </m:r>
            </m:num>
            <m:den>
              <m:r>
                <w:rPr>
                  <w:rFonts w:ascii="Cambria Math" w:hAnsi="Cambria Math"/>
                </w:rPr>
                <m:t>total road leghth available in the network</m:t>
              </m:r>
            </m:den>
          </m:f>
        </m:oMath>
      </m:oMathPara>
    </w:p>
    <w:p w14:paraId="11845C70" w14:textId="77777777" w:rsidR="00EC6459" w:rsidRDefault="00EC6459" w:rsidP="00AE2D2F">
      <w:pPr>
        <w:pStyle w:val="Newparagraph"/>
        <w:ind w:firstLine="0"/>
      </w:pPr>
    </w:p>
    <w:p w14:paraId="56B63302" w14:textId="77777777" w:rsidR="00E05411" w:rsidRDefault="00E05411" w:rsidP="00AE2D2F">
      <w:pPr>
        <w:pStyle w:val="Newparagraph"/>
        <w:ind w:firstLine="0"/>
      </w:pPr>
    </w:p>
    <w:p w14:paraId="0EA8A4EE" w14:textId="77777777" w:rsidR="00DE39F9" w:rsidRPr="00EC6459" w:rsidRDefault="00DE39F9" w:rsidP="00AE2D2F">
      <w:pPr>
        <w:pStyle w:val="Newparagraph"/>
        <w:ind w:firstLine="0"/>
      </w:pPr>
    </w:p>
    <w:p w14:paraId="0C705D11" w14:textId="4DAF171D" w:rsidR="00EC6459" w:rsidRPr="00EC6459" w:rsidRDefault="00EC6459" w:rsidP="00AE2D2F">
      <w:pPr>
        <w:pStyle w:val="Newparagraph"/>
        <w:ind w:firstLine="0"/>
        <w:rPr>
          <w:b/>
          <w:bCs/>
        </w:rPr>
      </w:pPr>
      <w:r w:rsidRPr="00EC6459">
        <w:rPr>
          <w:b/>
          <w:bCs/>
        </w:rPr>
        <w:t xml:space="preserve">Figures: </w:t>
      </w:r>
    </w:p>
    <w:p w14:paraId="141F8559" w14:textId="184B702A" w:rsidR="00EC6459" w:rsidRPr="0017370B" w:rsidRDefault="00EC6459" w:rsidP="0052141E">
      <w:pPr>
        <w:pStyle w:val="Figurecaption"/>
      </w:pPr>
      <w:r>
        <w:t>Figure 1. M</w:t>
      </w:r>
      <w:r w:rsidRPr="0017370B">
        <w:t xml:space="preserve">ethodology of the </w:t>
      </w:r>
      <w:r>
        <w:t>optimisation</w:t>
      </w:r>
      <w:r w:rsidRPr="0017370B">
        <w:t xml:space="preserve"> model </w:t>
      </w:r>
    </w:p>
    <w:p w14:paraId="730CB61C" w14:textId="211AC404" w:rsidR="00EC6459" w:rsidRPr="00EC6459" w:rsidRDefault="00EC6459" w:rsidP="0052141E">
      <w:pPr>
        <w:pStyle w:val="Figurecaption"/>
      </w:pPr>
      <w:r>
        <w:t>Figure 2. W</w:t>
      </w:r>
      <w:r w:rsidRPr="0017370B">
        <w:t xml:space="preserve">orkflow of the optimal solution search procedure </w:t>
      </w:r>
    </w:p>
    <w:p w14:paraId="49B34775" w14:textId="1ADE8F3E" w:rsidR="00EC6459" w:rsidRDefault="00EC6459" w:rsidP="0052141E">
      <w:pPr>
        <w:pStyle w:val="Figurecaption"/>
      </w:pPr>
      <w:r>
        <w:t>Figure 3.</w:t>
      </w:r>
      <w:r w:rsidRPr="00C517A4">
        <w:t xml:space="preserve"> Bus operators and services in current bus network in Southampton (during morning peak hour 08:00-09:00)</w:t>
      </w:r>
    </w:p>
    <w:p w14:paraId="3B9A3E2E" w14:textId="4065C3FE" w:rsidR="00EC6459" w:rsidRPr="00C62EA1" w:rsidRDefault="00EC6459" w:rsidP="0052141E">
      <w:pPr>
        <w:pStyle w:val="Figurecaption"/>
      </w:pPr>
      <w:r w:rsidRPr="00C62EA1">
        <w:t xml:space="preserve">Figure 4. Effect of </w:t>
      </w:r>
      <w:r w:rsidR="00C906D1">
        <w:t xml:space="preserve">varying the number of </w:t>
      </w:r>
      <w:r w:rsidRPr="00C62EA1">
        <w:t xml:space="preserve">generations </w:t>
      </w:r>
    </w:p>
    <w:p w14:paraId="56A33A8A" w14:textId="77777777" w:rsidR="00BF3C93" w:rsidRDefault="00BF3C93" w:rsidP="0052141E">
      <w:pPr>
        <w:pStyle w:val="Figurecaption"/>
      </w:pPr>
      <w:r>
        <w:t>Figure 5. Effect of weight set of the multi-objective function (in terms of TSC)</w:t>
      </w:r>
    </w:p>
    <w:p w14:paraId="71253809" w14:textId="5CB584BE" w:rsidR="00F1542B" w:rsidRDefault="00F1542B" w:rsidP="00F1542B">
      <w:pPr>
        <w:pStyle w:val="Figurecaption"/>
      </w:pPr>
      <w:r>
        <w:t xml:space="preserve">Figure 5(a). Weight of TEC = 0.1 </w:t>
      </w:r>
    </w:p>
    <w:p w14:paraId="0603D957" w14:textId="337292F8" w:rsidR="00F1542B" w:rsidRDefault="00F1542B" w:rsidP="00F1542B">
      <w:pPr>
        <w:pStyle w:val="Figurecaption"/>
      </w:pPr>
      <w:r>
        <w:t xml:space="preserve">Figure 5(b). Weight of TEC = 0.2 </w:t>
      </w:r>
    </w:p>
    <w:p w14:paraId="4CBAC0CD" w14:textId="7AD95812" w:rsidR="00F1542B" w:rsidRDefault="00F1542B" w:rsidP="00F1542B">
      <w:pPr>
        <w:pStyle w:val="Figurecaption"/>
      </w:pPr>
      <w:r>
        <w:t xml:space="preserve">Figure 5(c). Weight of TEC = 0.3 </w:t>
      </w:r>
    </w:p>
    <w:p w14:paraId="5A443721" w14:textId="55982775" w:rsidR="00F1542B" w:rsidRPr="00F1542B" w:rsidRDefault="00F1542B" w:rsidP="00F1542B">
      <w:pPr>
        <w:pStyle w:val="Figurecaption"/>
      </w:pPr>
      <w:r>
        <w:t xml:space="preserve">Figure 5(d). Weight of TEC = 0.4 </w:t>
      </w:r>
    </w:p>
    <w:p w14:paraId="79CF4D92" w14:textId="77777777" w:rsidR="00BF3C93" w:rsidRDefault="00BF3C93" w:rsidP="0052141E">
      <w:pPr>
        <w:pStyle w:val="Figurecaption"/>
      </w:pPr>
      <w:r>
        <w:t>Figure 6. Effect of weight set of the multi-objective function (In terms of TUC)</w:t>
      </w:r>
    </w:p>
    <w:p w14:paraId="41E6D7B9" w14:textId="77777777" w:rsidR="00BF3C93" w:rsidRDefault="00BF3C93" w:rsidP="0052141E">
      <w:pPr>
        <w:pStyle w:val="Figurecaption"/>
      </w:pPr>
      <w:r>
        <w:t>Figure 7. Effect of weight set of WKT and WTT (in terms of TSC (£))</w:t>
      </w:r>
    </w:p>
    <w:p w14:paraId="13CE4611" w14:textId="77777777" w:rsidR="00BF3C93" w:rsidRDefault="00BF3C93" w:rsidP="0052141E">
      <w:pPr>
        <w:pStyle w:val="Figurecaption"/>
      </w:pPr>
      <w:r>
        <w:t>Figure 8. Effect of weight set of WKT and WTT (in terms of TSC improvement (</w:t>
      </w:r>
      <w:proofErr w:type="gramStart"/>
      <w:r>
        <w:t>%</w:t>
      </w:r>
      <w:proofErr w:type="gramEnd"/>
      <w:r>
        <w:t>))</w:t>
      </w:r>
    </w:p>
    <w:p w14:paraId="5B63CE8F" w14:textId="77777777" w:rsidR="00BF3C93" w:rsidRDefault="00BF3C93" w:rsidP="0052141E">
      <w:pPr>
        <w:pStyle w:val="Figurecaption"/>
      </w:pPr>
      <w:r>
        <w:t>Figure 9. Effect of transfer penalty (in terms of TSC (£))</w:t>
      </w:r>
    </w:p>
    <w:p w14:paraId="05E8A0AA" w14:textId="2B29E4CA" w:rsidR="00EC6459" w:rsidRPr="00A43043" w:rsidRDefault="00BF3C93" w:rsidP="0052141E">
      <w:pPr>
        <w:pStyle w:val="Figurecaption"/>
      </w:pPr>
      <w:r>
        <w:t>Figure 10. Effect of transfer penalty (in terms of TSC improvement (</w:t>
      </w:r>
      <w:proofErr w:type="gramStart"/>
      <w:r>
        <w:t>%</w:t>
      </w:r>
      <w:proofErr w:type="gramEnd"/>
      <w:r>
        <w:t>))</w:t>
      </w:r>
    </w:p>
    <w:p w14:paraId="5A0255B8" w14:textId="77777777" w:rsidR="00BF3C93" w:rsidRDefault="00BF3C93" w:rsidP="0052141E">
      <w:pPr>
        <w:pStyle w:val="Figurecaption"/>
      </w:pPr>
      <w:r>
        <w:t>Figure 11</w:t>
      </w:r>
      <w:r w:rsidRPr="009E555C">
        <w:t xml:space="preserve">. </w:t>
      </w:r>
      <w:r w:rsidRPr="008D3F6C">
        <w:t xml:space="preserve">Comparison </w:t>
      </w:r>
      <w:r>
        <w:t xml:space="preserve">of network layout </w:t>
      </w:r>
      <w:r w:rsidRPr="008D3F6C">
        <w:t>between current and optimal network</w:t>
      </w:r>
    </w:p>
    <w:p w14:paraId="3D6FA300" w14:textId="4460654A" w:rsidR="0040547F" w:rsidRDefault="00F1542B" w:rsidP="00F1542B">
      <w:pPr>
        <w:pStyle w:val="Figurecaption"/>
      </w:pPr>
      <w:r>
        <w:t xml:space="preserve">Figure 11(a). Current network </w:t>
      </w:r>
    </w:p>
    <w:p w14:paraId="1AA844B4" w14:textId="562E1628" w:rsidR="00F1542B" w:rsidRDefault="00F1542B" w:rsidP="00F1542B">
      <w:pPr>
        <w:pStyle w:val="Figurecaption"/>
      </w:pPr>
      <w:r>
        <w:t>Figure 11(b). Top 1 (6.69%)</w:t>
      </w:r>
    </w:p>
    <w:p w14:paraId="73929684" w14:textId="19425F46" w:rsidR="00F1542B" w:rsidRDefault="00F1542B" w:rsidP="00F1542B">
      <w:pPr>
        <w:pStyle w:val="Figurecaption"/>
      </w:pPr>
      <w:r>
        <w:t>Figure 11(c). Top 2 (5.84%)</w:t>
      </w:r>
    </w:p>
    <w:p w14:paraId="338FC924" w14:textId="26CFBDC1" w:rsidR="00F1542B" w:rsidRPr="0040547F" w:rsidRDefault="00F1542B" w:rsidP="00E05411">
      <w:pPr>
        <w:pStyle w:val="Figurecaption"/>
      </w:pPr>
      <w:r>
        <w:t>Figure 11(d). Top 3 (5.68%)</w:t>
      </w:r>
    </w:p>
    <w:sectPr w:rsidR="00F1542B" w:rsidRPr="0040547F" w:rsidSect="00074B81">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375B24" w14:textId="77777777" w:rsidR="00E05411" w:rsidRDefault="00E05411" w:rsidP="00AF2C92">
      <w:r>
        <w:separator/>
      </w:r>
    </w:p>
  </w:endnote>
  <w:endnote w:type="continuationSeparator" w:id="0">
    <w:p w14:paraId="0B68EA15" w14:textId="77777777" w:rsidR="00E05411" w:rsidRDefault="00E05411"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D1C8B3" w14:textId="77777777" w:rsidR="00E05411" w:rsidRDefault="00E05411" w:rsidP="00AF2C92">
      <w:r>
        <w:separator/>
      </w:r>
    </w:p>
  </w:footnote>
  <w:footnote w:type="continuationSeparator" w:id="0">
    <w:p w14:paraId="0E6E0A7A" w14:textId="77777777" w:rsidR="00E05411" w:rsidRDefault="00E05411" w:rsidP="00AF2C92">
      <w:r>
        <w:continuationSeparator/>
      </w:r>
    </w:p>
  </w:footnote>
  <w:footnote w:id="1">
    <w:p w14:paraId="37600566" w14:textId="77777777" w:rsidR="00E05411" w:rsidRDefault="00E05411">
      <w:pPr>
        <w:pStyle w:val="FootnoteText"/>
      </w:pPr>
      <w:r>
        <w:rPr>
          <w:rStyle w:val="FootnoteReference"/>
        </w:rPr>
        <w:t>*</w:t>
      </w:r>
      <w:r>
        <w:t xml:space="preserve"> Corresponding author. Email: ys11g13@soton.ac.uk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4F8C"/>
    <w:multiLevelType w:val="hybridMultilevel"/>
    <w:tmpl w:val="B2B0862C"/>
    <w:lvl w:ilvl="0" w:tplc="08090003">
      <w:start w:val="1"/>
      <w:numFmt w:val="bullet"/>
      <w:lvlText w:val="o"/>
      <w:lvlJc w:val="left"/>
      <w:pPr>
        <w:ind w:left="927" w:hanging="360"/>
      </w:pPr>
      <w:rPr>
        <w:rFonts w:ascii="Courier New" w:hAnsi="Courier New" w:cs="Courier New"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066615CF"/>
    <w:multiLevelType w:val="hybridMultilevel"/>
    <w:tmpl w:val="A8462682"/>
    <w:lvl w:ilvl="0" w:tplc="08090003">
      <w:start w:val="1"/>
      <w:numFmt w:val="bullet"/>
      <w:lvlText w:val="o"/>
      <w:lvlJc w:val="left"/>
      <w:pPr>
        <w:ind w:left="927" w:hanging="360"/>
      </w:pPr>
      <w:rPr>
        <w:rFonts w:ascii="Courier New" w:hAnsi="Courier New" w:cs="Courier New"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163362E2"/>
    <w:multiLevelType w:val="hybridMultilevel"/>
    <w:tmpl w:val="8EE21DA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 w15:restartNumberingAfterBreak="0">
    <w:nsid w:val="236C285E"/>
    <w:multiLevelType w:val="hybridMultilevel"/>
    <w:tmpl w:val="CC4ABF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15367A8"/>
    <w:multiLevelType w:val="hybridMultilevel"/>
    <w:tmpl w:val="76DEB4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986193"/>
    <w:multiLevelType w:val="hybridMultilevel"/>
    <w:tmpl w:val="03B0D18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C5621A"/>
    <w:multiLevelType w:val="hybridMultilevel"/>
    <w:tmpl w:val="86062B3E"/>
    <w:lvl w:ilvl="0" w:tplc="08090003">
      <w:start w:val="1"/>
      <w:numFmt w:val="bullet"/>
      <w:lvlText w:val="o"/>
      <w:lvlJc w:val="left"/>
      <w:pPr>
        <w:ind w:left="927" w:hanging="360"/>
      </w:pPr>
      <w:rPr>
        <w:rFonts w:ascii="Courier New" w:hAnsi="Courier New" w:cs="Courier New"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532D2B82"/>
    <w:multiLevelType w:val="hybridMultilevel"/>
    <w:tmpl w:val="8F0072A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430F0E"/>
    <w:multiLevelType w:val="hybridMultilevel"/>
    <w:tmpl w:val="70B8AD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9"/>
  </w:num>
  <w:num w:numId="3">
    <w:abstractNumId w:val="7"/>
  </w:num>
  <w:num w:numId="4">
    <w:abstractNumId w:val="1"/>
  </w:num>
  <w:num w:numId="5">
    <w:abstractNumId w:val="5"/>
  </w:num>
  <w:num w:numId="6">
    <w:abstractNumId w:val="8"/>
  </w:num>
  <w:num w:numId="7">
    <w:abstractNumId w:val="0"/>
  </w:num>
  <w:num w:numId="8">
    <w:abstractNumId w:val="2"/>
  </w:num>
  <w:num w:numId="9">
    <w:abstractNumId w:val="10"/>
  </w:num>
  <w:num w:numId="10">
    <w:abstractNumId w:val="3"/>
  </w:num>
  <w:num w:numId="11">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0"/>
  <w:activeWritingStyle w:appName="MSWord" w:lang="fr-FR" w:vendorID="64" w:dllVersion="131078" w:nlCheck="1" w:checkStyle="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148"/>
    <w:rsid w:val="00001899"/>
    <w:rsid w:val="000049AD"/>
    <w:rsid w:val="0000681B"/>
    <w:rsid w:val="00007753"/>
    <w:rsid w:val="000133C0"/>
    <w:rsid w:val="00014C4E"/>
    <w:rsid w:val="00017107"/>
    <w:rsid w:val="00020105"/>
    <w:rsid w:val="000202E2"/>
    <w:rsid w:val="00022441"/>
    <w:rsid w:val="0002261E"/>
    <w:rsid w:val="00022B33"/>
    <w:rsid w:val="00022FF5"/>
    <w:rsid w:val="00024839"/>
    <w:rsid w:val="00026871"/>
    <w:rsid w:val="00037A98"/>
    <w:rsid w:val="00041D66"/>
    <w:rsid w:val="000427FB"/>
    <w:rsid w:val="00042959"/>
    <w:rsid w:val="0004455E"/>
    <w:rsid w:val="00047CB5"/>
    <w:rsid w:val="00051FAA"/>
    <w:rsid w:val="000572A9"/>
    <w:rsid w:val="00061325"/>
    <w:rsid w:val="00067A90"/>
    <w:rsid w:val="0007032D"/>
    <w:rsid w:val="000733AC"/>
    <w:rsid w:val="00074B81"/>
    <w:rsid w:val="00074D22"/>
    <w:rsid w:val="00075081"/>
    <w:rsid w:val="0007528A"/>
    <w:rsid w:val="000811AB"/>
    <w:rsid w:val="00083C5F"/>
    <w:rsid w:val="0009172C"/>
    <w:rsid w:val="000930EC"/>
    <w:rsid w:val="00093D12"/>
    <w:rsid w:val="00095E61"/>
    <w:rsid w:val="000966C1"/>
    <w:rsid w:val="000970AC"/>
    <w:rsid w:val="0009732B"/>
    <w:rsid w:val="000A0E62"/>
    <w:rsid w:val="000A1167"/>
    <w:rsid w:val="000A4428"/>
    <w:rsid w:val="000A6D40"/>
    <w:rsid w:val="000A7BC3"/>
    <w:rsid w:val="000B1661"/>
    <w:rsid w:val="000B2E88"/>
    <w:rsid w:val="000B4603"/>
    <w:rsid w:val="000C09BE"/>
    <w:rsid w:val="000C1380"/>
    <w:rsid w:val="000C554F"/>
    <w:rsid w:val="000D0DC5"/>
    <w:rsid w:val="000D104D"/>
    <w:rsid w:val="000D15FF"/>
    <w:rsid w:val="000D28DF"/>
    <w:rsid w:val="000D488B"/>
    <w:rsid w:val="000D68DF"/>
    <w:rsid w:val="000E138D"/>
    <w:rsid w:val="000E187A"/>
    <w:rsid w:val="000E2D61"/>
    <w:rsid w:val="000E450E"/>
    <w:rsid w:val="000E6259"/>
    <w:rsid w:val="000F4677"/>
    <w:rsid w:val="000F5BE0"/>
    <w:rsid w:val="000F6B1A"/>
    <w:rsid w:val="00100587"/>
    <w:rsid w:val="0010284E"/>
    <w:rsid w:val="00103122"/>
    <w:rsid w:val="0010336A"/>
    <w:rsid w:val="00105071"/>
    <w:rsid w:val="001050F1"/>
    <w:rsid w:val="00105AEA"/>
    <w:rsid w:val="00106DAF"/>
    <w:rsid w:val="00114ABE"/>
    <w:rsid w:val="00116023"/>
    <w:rsid w:val="00120785"/>
    <w:rsid w:val="00125A72"/>
    <w:rsid w:val="00134A51"/>
    <w:rsid w:val="00140727"/>
    <w:rsid w:val="00142129"/>
    <w:rsid w:val="00144FD4"/>
    <w:rsid w:val="001452B7"/>
    <w:rsid w:val="00146B77"/>
    <w:rsid w:val="00150F48"/>
    <w:rsid w:val="00160628"/>
    <w:rsid w:val="00161344"/>
    <w:rsid w:val="00162195"/>
    <w:rsid w:val="0016322A"/>
    <w:rsid w:val="00165A21"/>
    <w:rsid w:val="00165C81"/>
    <w:rsid w:val="001705CE"/>
    <w:rsid w:val="0017370B"/>
    <w:rsid w:val="0017547C"/>
    <w:rsid w:val="0017714B"/>
    <w:rsid w:val="001804DF"/>
    <w:rsid w:val="00181BDC"/>
    <w:rsid w:val="00181DB0"/>
    <w:rsid w:val="001829E3"/>
    <w:rsid w:val="00187037"/>
    <w:rsid w:val="001904A4"/>
    <w:rsid w:val="001924C0"/>
    <w:rsid w:val="0019731E"/>
    <w:rsid w:val="001A09FE"/>
    <w:rsid w:val="001A67C9"/>
    <w:rsid w:val="001A69DE"/>
    <w:rsid w:val="001A713C"/>
    <w:rsid w:val="001B1C7C"/>
    <w:rsid w:val="001B398F"/>
    <w:rsid w:val="001B46C6"/>
    <w:rsid w:val="001B4B48"/>
    <w:rsid w:val="001B4D1F"/>
    <w:rsid w:val="001B7681"/>
    <w:rsid w:val="001B7CAE"/>
    <w:rsid w:val="001C0772"/>
    <w:rsid w:val="001C0D4F"/>
    <w:rsid w:val="001C1BA3"/>
    <w:rsid w:val="001C1DEC"/>
    <w:rsid w:val="001C5736"/>
    <w:rsid w:val="001D647F"/>
    <w:rsid w:val="001D6857"/>
    <w:rsid w:val="001E0572"/>
    <w:rsid w:val="001E0A67"/>
    <w:rsid w:val="001E1028"/>
    <w:rsid w:val="001E14E2"/>
    <w:rsid w:val="001E6302"/>
    <w:rsid w:val="001E7DCB"/>
    <w:rsid w:val="001F3411"/>
    <w:rsid w:val="001F4287"/>
    <w:rsid w:val="001F4DBA"/>
    <w:rsid w:val="00200206"/>
    <w:rsid w:val="0020415E"/>
    <w:rsid w:val="00204FF4"/>
    <w:rsid w:val="0020754D"/>
    <w:rsid w:val="0021056E"/>
    <w:rsid w:val="0021075D"/>
    <w:rsid w:val="0021165A"/>
    <w:rsid w:val="00211BC9"/>
    <w:rsid w:val="0021620C"/>
    <w:rsid w:val="00216E78"/>
    <w:rsid w:val="00217275"/>
    <w:rsid w:val="00236F4B"/>
    <w:rsid w:val="00242B0D"/>
    <w:rsid w:val="00245DE5"/>
    <w:rsid w:val="002467C6"/>
    <w:rsid w:val="0024692A"/>
    <w:rsid w:val="00247764"/>
    <w:rsid w:val="00252BBA"/>
    <w:rsid w:val="00253123"/>
    <w:rsid w:val="00264001"/>
    <w:rsid w:val="00266354"/>
    <w:rsid w:val="00266462"/>
    <w:rsid w:val="00267A18"/>
    <w:rsid w:val="00273462"/>
    <w:rsid w:val="0027395B"/>
    <w:rsid w:val="0027472F"/>
    <w:rsid w:val="00275854"/>
    <w:rsid w:val="00283B41"/>
    <w:rsid w:val="00285F28"/>
    <w:rsid w:val="00286398"/>
    <w:rsid w:val="002873FC"/>
    <w:rsid w:val="002A1431"/>
    <w:rsid w:val="002A3C42"/>
    <w:rsid w:val="002A5D75"/>
    <w:rsid w:val="002B1B1A"/>
    <w:rsid w:val="002B7228"/>
    <w:rsid w:val="002C21E4"/>
    <w:rsid w:val="002C53EE"/>
    <w:rsid w:val="002D24F7"/>
    <w:rsid w:val="002D2799"/>
    <w:rsid w:val="002D2CD7"/>
    <w:rsid w:val="002D4DDC"/>
    <w:rsid w:val="002D4F75"/>
    <w:rsid w:val="002D6493"/>
    <w:rsid w:val="002D650A"/>
    <w:rsid w:val="002D7AB6"/>
    <w:rsid w:val="002E06D0"/>
    <w:rsid w:val="002E0A5E"/>
    <w:rsid w:val="002E2F64"/>
    <w:rsid w:val="002E3AF2"/>
    <w:rsid w:val="002E3C27"/>
    <w:rsid w:val="002E403A"/>
    <w:rsid w:val="002E7F3A"/>
    <w:rsid w:val="002F4BE4"/>
    <w:rsid w:val="002F4EDB"/>
    <w:rsid w:val="002F5643"/>
    <w:rsid w:val="002F6054"/>
    <w:rsid w:val="00315713"/>
    <w:rsid w:val="00316742"/>
    <w:rsid w:val="0031686C"/>
    <w:rsid w:val="00316FE0"/>
    <w:rsid w:val="003204D2"/>
    <w:rsid w:val="0032605E"/>
    <w:rsid w:val="003275D1"/>
    <w:rsid w:val="00330B2A"/>
    <w:rsid w:val="00331E17"/>
    <w:rsid w:val="00333063"/>
    <w:rsid w:val="0033799B"/>
    <w:rsid w:val="003408E3"/>
    <w:rsid w:val="00343480"/>
    <w:rsid w:val="00345E89"/>
    <w:rsid w:val="00347A7F"/>
    <w:rsid w:val="003522A1"/>
    <w:rsid w:val="0035254B"/>
    <w:rsid w:val="00353555"/>
    <w:rsid w:val="00355840"/>
    <w:rsid w:val="003565D4"/>
    <w:rsid w:val="003607FB"/>
    <w:rsid w:val="00360FD5"/>
    <w:rsid w:val="00361AB0"/>
    <w:rsid w:val="003621E3"/>
    <w:rsid w:val="0036340D"/>
    <w:rsid w:val="003634A5"/>
    <w:rsid w:val="003646ED"/>
    <w:rsid w:val="00366674"/>
    <w:rsid w:val="00366868"/>
    <w:rsid w:val="00367506"/>
    <w:rsid w:val="0037000E"/>
    <w:rsid w:val="00370085"/>
    <w:rsid w:val="003735C8"/>
    <w:rsid w:val="003744A7"/>
    <w:rsid w:val="00376235"/>
    <w:rsid w:val="00381FB6"/>
    <w:rsid w:val="003836D3"/>
    <w:rsid w:val="00383A52"/>
    <w:rsid w:val="00391652"/>
    <w:rsid w:val="0039507F"/>
    <w:rsid w:val="003975D6"/>
    <w:rsid w:val="003A051B"/>
    <w:rsid w:val="003A1260"/>
    <w:rsid w:val="003A295F"/>
    <w:rsid w:val="003A41DD"/>
    <w:rsid w:val="003A7033"/>
    <w:rsid w:val="003B47FE"/>
    <w:rsid w:val="003B5673"/>
    <w:rsid w:val="003B62C9"/>
    <w:rsid w:val="003B6ACE"/>
    <w:rsid w:val="003C236A"/>
    <w:rsid w:val="003C7176"/>
    <w:rsid w:val="003D0929"/>
    <w:rsid w:val="003D4729"/>
    <w:rsid w:val="003D6784"/>
    <w:rsid w:val="003D7DD6"/>
    <w:rsid w:val="003E5789"/>
    <w:rsid w:val="003E5AAF"/>
    <w:rsid w:val="003E5AF4"/>
    <w:rsid w:val="003E600D"/>
    <w:rsid w:val="003E64DF"/>
    <w:rsid w:val="003E6A5D"/>
    <w:rsid w:val="003F193A"/>
    <w:rsid w:val="003F4207"/>
    <w:rsid w:val="003F5C46"/>
    <w:rsid w:val="003F7BBC"/>
    <w:rsid w:val="003F7CBB"/>
    <w:rsid w:val="003F7D34"/>
    <w:rsid w:val="00401718"/>
    <w:rsid w:val="0040547F"/>
    <w:rsid w:val="00412C8E"/>
    <w:rsid w:val="00414731"/>
    <w:rsid w:val="0041518D"/>
    <w:rsid w:val="0042221D"/>
    <w:rsid w:val="00424DD3"/>
    <w:rsid w:val="004254F8"/>
    <w:rsid w:val="00425C98"/>
    <w:rsid w:val="004269C5"/>
    <w:rsid w:val="0043465D"/>
    <w:rsid w:val="00435939"/>
    <w:rsid w:val="00435B2B"/>
    <w:rsid w:val="00437CC7"/>
    <w:rsid w:val="00442B9C"/>
    <w:rsid w:val="00445EFA"/>
    <w:rsid w:val="0044738A"/>
    <w:rsid w:val="004473D3"/>
    <w:rsid w:val="00452231"/>
    <w:rsid w:val="00460C13"/>
    <w:rsid w:val="00460E3B"/>
    <w:rsid w:val="00461A01"/>
    <w:rsid w:val="00463228"/>
    <w:rsid w:val="00463782"/>
    <w:rsid w:val="00464BF8"/>
    <w:rsid w:val="004667E0"/>
    <w:rsid w:val="0046760E"/>
    <w:rsid w:val="00470E10"/>
    <w:rsid w:val="00474C83"/>
    <w:rsid w:val="00477A97"/>
    <w:rsid w:val="00481343"/>
    <w:rsid w:val="004848B2"/>
    <w:rsid w:val="0048549E"/>
    <w:rsid w:val="00493347"/>
    <w:rsid w:val="00496092"/>
    <w:rsid w:val="004A08DB"/>
    <w:rsid w:val="004A25D0"/>
    <w:rsid w:val="004A37E8"/>
    <w:rsid w:val="004A7549"/>
    <w:rsid w:val="004B09D4"/>
    <w:rsid w:val="004B309D"/>
    <w:rsid w:val="004B330A"/>
    <w:rsid w:val="004B7C8E"/>
    <w:rsid w:val="004C3D3C"/>
    <w:rsid w:val="004C58C7"/>
    <w:rsid w:val="004D0EDC"/>
    <w:rsid w:val="004D1220"/>
    <w:rsid w:val="004D1388"/>
    <w:rsid w:val="004D14B3"/>
    <w:rsid w:val="004D1529"/>
    <w:rsid w:val="004D2253"/>
    <w:rsid w:val="004D2D23"/>
    <w:rsid w:val="004D54B0"/>
    <w:rsid w:val="004D5514"/>
    <w:rsid w:val="004D56C3"/>
    <w:rsid w:val="004E0338"/>
    <w:rsid w:val="004E4FF3"/>
    <w:rsid w:val="004E56A8"/>
    <w:rsid w:val="004F13FC"/>
    <w:rsid w:val="004F3B55"/>
    <w:rsid w:val="004F4E46"/>
    <w:rsid w:val="004F6B7D"/>
    <w:rsid w:val="005015F6"/>
    <w:rsid w:val="005030C4"/>
    <w:rsid w:val="005031C5"/>
    <w:rsid w:val="00504FDC"/>
    <w:rsid w:val="005120CC"/>
    <w:rsid w:val="00512B7B"/>
    <w:rsid w:val="00514EA1"/>
    <w:rsid w:val="0051798B"/>
    <w:rsid w:val="00517AD7"/>
    <w:rsid w:val="0052141E"/>
    <w:rsid w:val="00521F5A"/>
    <w:rsid w:val="00525E06"/>
    <w:rsid w:val="00526454"/>
    <w:rsid w:val="00531823"/>
    <w:rsid w:val="00534ECC"/>
    <w:rsid w:val="0053720D"/>
    <w:rsid w:val="00540EF5"/>
    <w:rsid w:val="00541BF3"/>
    <w:rsid w:val="00541CD3"/>
    <w:rsid w:val="00543290"/>
    <w:rsid w:val="0054360D"/>
    <w:rsid w:val="005476FA"/>
    <w:rsid w:val="0055595E"/>
    <w:rsid w:val="00557988"/>
    <w:rsid w:val="0056190B"/>
    <w:rsid w:val="00562C49"/>
    <w:rsid w:val="00562DEF"/>
    <w:rsid w:val="0056321A"/>
    <w:rsid w:val="00563A35"/>
    <w:rsid w:val="0056616D"/>
    <w:rsid w:val="0056636C"/>
    <w:rsid w:val="00566596"/>
    <w:rsid w:val="0057385D"/>
    <w:rsid w:val="005741E9"/>
    <w:rsid w:val="005746F6"/>
    <w:rsid w:val="005748CF"/>
    <w:rsid w:val="005811CD"/>
    <w:rsid w:val="00583610"/>
    <w:rsid w:val="00584108"/>
    <w:rsid w:val="00584270"/>
    <w:rsid w:val="00584738"/>
    <w:rsid w:val="00584DC7"/>
    <w:rsid w:val="00591371"/>
    <w:rsid w:val="005920B0"/>
    <w:rsid w:val="00592C28"/>
    <w:rsid w:val="0059380D"/>
    <w:rsid w:val="00593BD3"/>
    <w:rsid w:val="00595A8F"/>
    <w:rsid w:val="005977C2"/>
    <w:rsid w:val="00597BF2"/>
    <w:rsid w:val="005A5CE3"/>
    <w:rsid w:val="005B134E"/>
    <w:rsid w:val="005B2039"/>
    <w:rsid w:val="005B344F"/>
    <w:rsid w:val="005B3FBA"/>
    <w:rsid w:val="005B4A1D"/>
    <w:rsid w:val="005B5B4A"/>
    <w:rsid w:val="005B674D"/>
    <w:rsid w:val="005C0CBE"/>
    <w:rsid w:val="005C1FCF"/>
    <w:rsid w:val="005D086C"/>
    <w:rsid w:val="005D1885"/>
    <w:rsid w:val="005D1D93"/>
    <w:rsid w:val="005D4A38"/>
    <w:rsid w:val="005E2EEA"/>
    <w:rsid w:val="005E3708"/>
    <w:rsid w:val="005E3CCD"/>
    <w:rsid w:val="005E3D6B"/>
    <w:rsid w:val="005E5B55"/>
    <w:rsid w:val="005E5E4A"/>
    <w:rsid w:val="005E693D"/>
    <w:rsid w:val="005E75BF"/>
    <w:rsid w:val="005F57BA"/>
    <w:rsid w:val="005F61E6"/>
    <w:rsid w:val="005F6C45"/>
    <w:rsid w:val="005F72F2"/>
    <w:rsid w:val="005F7BD0"/>
    <w:rsid w:val="00602692"/>
    <w:rsid w:val="00605A69"/>
    <w:rsid w:val="00605EF3"/>
    <w:rsid w:val="00606C54"/>
    <w:rsid w:val="00614375"/>
    <w:rsid w:val="00615B0A"/>
    <w:rsid w:val="006165E9"/>
    <w:rsid w:val="006168CF"/>
    <w:rsid w:val="0062011B"/>
    <w:rsid w:val="00623D8D"/>
    <w:rsid w:val="006248AA"/>
    <w:rsid w:val="00626DE0"/>
    <w:rsid w:val="00630901"/>
    <w:rsid w:val="00631F8E"/>
    <w:rsid w:val="006340DC"/>
    <w:rsid w:val="00636EE9"/>
    <w:rsid w:val="00640950"/>
    <w:rsid w:val="00641AE7"/>
    <w:rsid w:val="00642629"/>
    <w:rsid w:val="0065293D"/>
    <w:rsid w:val="00653EFC"/>
    <w:rsid w:val="00654021"/>
    <w:rsid w:val="00661045"/>
    <w:rsid w:val="00665C05"/>
    <w:rsid w:val="00666DA8"/>
    <w:rsid w:val="00671057"/>
    <w:rsid w:val="00675AAF"/>
    <w:rsid w:val="00677D3E"/>
    <w:rsid w:val="0068031A"/>
    <w:rsid w:val="00681B2F"/>
    <w:rsid w:val="00681BC9"/>
    <w:rsid w:val="006821E8"/>
    <w:rsid w:val="0068335F"/>
    <w:rsid w:val="00687217"/>
    <w:rsid w:val="00693302"/>
    <w:rsid w:val="006942D1"/>
    <w:rsid w:val="0069633B"/>
    <w:rsid w:val="0069640B"/>
    <w:rsid w:val="00697499"/>
    <w:rsid w:val="006A1B83"/>
    <w:rsid w:val="006A21CD"/>
    <w:rsid w:val="006A5918"/>
    <w:rsid w:val="006B21B2"/>
    <w:rsid w:val="006B4A4A"/>
    <w:rsid w:val="006C19B2"/>
    <w:rsid w:val="006C5BB8"/>
    <w:rsid w:val="006C6936"/>
    <w:rsid w:val="006C7B01"/>
    <w:rsid w:val="006D0FE8"/>
    <w:rsid w:val="006D4B2B"/>
    <w:rsid w:val="006D4F3C"/>
    <w:rsid w:val="006D5C66"/>
    <w:rsid w:val="006D6231"/>
    <w:rsid w:val="006E1B3C"/>
    <w:rsid w:val="006E23FB"/>
    <w:rsid w:val="006E325A"/>
    <w:rsid w:val="006E33EC"/>
    <w:rsid w:val="006E3802"/>
    <w:rsid w:val="006E4E44"/>
    <w:rsid w:val="006E6C02"/>
    <w:rsid w:val="006F231A"/>
    <w:rsid w:val="006F6B55"/>
    <w:rsid w:val="006F72A8"/>
    <w:rsid w:val="006F788D"/>
    <w:rsid w:val="006F78E1"/>
    <w:rsid w:val="00701072"/>
    <w:rsid w:val="00702054"/>
    <w:rsid w:val="007035A4"/>
    <w:rsid w:val="00711799"/>
    <w:rsid w:val="00712B78"/>
    <w:rsid w:val="00713896"/>
    <w:rsid w:val="0071393B"/>
    <w:rsid w:val="00713EE2"/>
    <w:rsid w:val="007177FC"/>
    <w:rsid w:val="00720C5E"/>
    <w:rsid w:val="00721701"/>
    <w:rsid w:val="00731835"/>
    <w:rsid w:val="00732885"/>
    <w:rsid w:val="007341F8"/>
    <w:rsid w:val="00734372"/>
    <w:rsid w:val="00734EB8"/>
    <w:rsid w:val="00735F8B"/>
    <w:rsid w:val="00742D1F"/>
    <w:rsid w:val="00743EBA"/>
    <w:rsid w:val="00744C8E"/>
    <w:rsid w:val="0074707E"/>
    <w:rsid w:val="007516DC"/>
    <w:rsid w:val="00754B80"/>
    <w:rsid w:val="00761918"/>
    <w:rsid w:val="00762F03"/>
    <w:rsid w:val="0076413B"/>
    <w:rsid w:val="007648AE"/>
    <w:rsid w:val="00764BF8"/>
    <w:rsid w:val="0076514D"/>
    <w:rsid w:val="00773D59"/>
    <w:rsid w:val="00781003"/>
    <w:rsid w:val="007911FD"/>
    <w:rsid w:val="007924B6"/>
    <w:rsid w:val="00792D34"/>
    <w:rsid w:val="00793930"/>
    <w:rsid w:val="00793DD1"/>
    <w:rsid w:val="00794FEC"/>
    <w:rsid w:val="007A003E"/>
    <w:rsid w:val="007A1965"/>
    <w:rsid w:val="007A2ED1"/>
    <w:rsid w:val="007A4BE6"/>
    <w:rsid w:val="007B0DC6"/>
    <w:rsid w:val="007B1094"/>
    <w:rsid w:val="007B1762"/>
    <w:rsid w:val="007B3320"/>
    <w:rsid w:val="007B36C0"/>
    <w:rsid w:val="007C301F"/>
    <w:rsid w:val="007C4540"/>
    <w:rsid w:val="007C4DA7"/>
    <w:rsid w:val="007C65AF"/>
    <w:rsid w:val="007C7548"/>
    <w:rsid w:val="007D135D"/>
    <w:rsid w:val="007D2A98"/>
    <w:rsid w:val="007D730F"/>
    <w:rsid w:val="007D7CD8"/>
    <w:rsid w:val="007E3AA7"/>
    <w:rsid w:val="007E3D21"/>
    <w:rsid w:val="007E7C27"/>
    <w:rsid w:val="007F737D"/>
    <w:rsid w:val="0080308E"/>
    <w:rsid w:val="00803D13"/>
    <w:rsid w:val="00805303"/>
    <w:rsid w:val="00806705"/>
    <w:rsid w:val="00806738"/>
    <w:rsid w:val="0080729C"/>
    <w:rsid w:val="00807B93"/>
    <w:rsid w:val="0081217F"/>
    <w:rsid w:val="00815F97"/>
    <w:rsid w:val="008216D5"/>
    <w:rsid w:val="008249CE"/>
    <w:rsid w:val="00831A50"/>
    <w:rsid w:val="00831B3C"/>
    <w:rsid w:val="00831C89"/>
    <w:rsid w:val="00832114"/>
    <w:rsid w:val="008326AE"/>
    <w:rsid w:val="00834C46"/>
    <w:rsid w:val="00835ACD"/>
    <w:rsid w:val="00837A11"/>
    <w:rsid w:val="0084093E"/>
    <w:rsid w:val="00841CE1"/>
    <w:rsid w:val="00844CA2"/>
    <w:rsid w:val="008473D8"/>
    <w:rsid w:val="008528DC"/>
    <w:rsid w:val="00852B8C"/>
    <w:rsid w:val="00854981"/>
    <w:rsid w:val="00864B2E"/>
    <w:rsid w:val="00865963"/>
    <w:rsid w:val="0086626B"/>
    <w:rsid w:val="00871C1D"/>
    <w:rsid w:val="0087450E"/>
    <w:rsid w:val="00875A82"/>
    <w:rsid w:val="00876CA3"/>
    <w:rsid w:val="008772FE"/>
    <w:rsid w:val="008775F1"/>
    <w:rsid w:val="008821AE"/>
    <w:rsid w:val="00882223"/>
    <w:rsid w:val="00883D3A"/>
    <w:rsid w:val="008854F7"/>
    <w:rsid w:val="00885A9D"/>
    <w:rsid w:val="0089150C"/>
    <w:rsid w:val="008929D2"/>
    <w:rsid w:val="00893636"/>
    <w:rsid w:val="00893B94"/>
    <w:rsid w:val="00896E9D"/>
    <w:rsid w:val="00896F11"/>
    <w:rsid w:val="008A1049"/>
    <w:rsid w:val="008A1C98"/>
    <w:rsid w:val="008A322D"/>
    <w:rsid w:val="008A4D72"/>
    <w:rsid w:val="008A6285"/>
    <w:rsid w:val="008A63B2"/>
    <w:rsid w:val="008B345D"/>
    <w:rsid w:val="008B3CFD"/>
    <w:rsid w:val="008C1FC2"/>
    <w:rsid w:val="008C2980"/>
    <w:rsid w:val="008C4CB6"/>
    <w:rsid w:val="008C4DD6"/>
    <w:rsid w:val="008C5AFB"/>
    <w:rsid w:val="008D07FB"/>
    <w:rsid w:val="008D0C02"/>
    <w:rsid w:val="008D357D"/>
    <w:rsid w:val="008D3F6C"/>
    <w:rsid w:val="008D435A"/>
    <w:rsid w:val="008E061B"/>
    <w:rsid w:val="008E2352"/>
    <w:rsid w:val="008E387B"/>
    <w:rsid w:val="008E6087"/>
    <w:rsid w:val="008E758D"/>
    <w:rsid w:val="008F0C07"/>
    <w:rsid w:val="008F10A7"/>
    <w:rsid w:val="008F755D"/>
    <w:rsid w:val="008F7A39"/>
    <w:rsid w:val="009021E8"/>
    <w:rsid w:val="00904677"/>
    <w:rsid w:val="00905EE2"/>
    <w:rsid w:val="009064B3"/>
    <w:rsid w:val="00911440"/>
    <w:rsid w:val="00911712"/>
    <w:rsid w:val="00911B27"/>
    <w:rsid w:val="009147BF"/>
    <w:rsid w:val="009170BE"/>
    <w:rsid w:val="00920B55"/>
    <w:rsid w:val="009262C9"/>
    <w:rsid w:val="00930EB9"/>
    <w:rsid w:val="00931C08"/>
    <w:rsid w:val="009320B2"/>
    <w:rsid w:val="00933148"/>
    <w:rsid w:val="00933DC7"/>
    <w:rsid w:val="00934742"/>
    <w:rsid w:val="00935F9B"/>
    <w:rsid w:val="009418F4"/>
    <w:rsid w:val="00942BBC"/>
    <w:rsid w:val="00944180"/>
    <w:rsid w:val="00944AA0"/>
    <w:rsid w:val="00946601"/>
    <w:rsid w:val="00947DA2"/>
    <w:rsid w:val="00951177"/>
    <w:rsid w:val="00953DBC"/>
    <w:rsid w:val="009673E8"/>
    <w:rsid w:val="00967EAD"/>
    <w:rsid w:val="00974DB8"/>
    <w:rsid w:val="00980661"/>
    <w:rsid w:val="0098093B"/>
    <w:rsid w:val="00983C84"/>
    <w:rsid w:val="009876D4"/>
    <w:rsid w:val="009877BD"/>
    <w:rsid w:val="009914A5"/>
    <w:rsid w:val="0099548E"/>
    <w:rsid w:val="00996456"/>
    <w:rsid w:val="00996A12"/>
    <w:rsid w:val="00997B0F"/>
    <w:rsid w:val="009A0D9B"/>
    <w:rsid w:val="009A1CAD"/>
    <w:rsid w:val="009A3440"/>
    <w:rsid w:val="009A49D0"/>
    <w:rsid w:val="009A5832"/>
    <w:rsid w:val="009A5D24"/>
    <w:rsid w:val="009A6838"/>
    <w:rsid w:val="009B24B5"/>
    <w:rsid w:val="009B4EBC"/>
    <w:rsid w:val="009B5ABB"/>
    <w:rsid w:val="009B68E7"/>
    <w:rsid w:val="009B73CE"/>
    <w:rsid w:val="009C2461"/>
    <w:rsid w:val="009C6FE2"/>
    <w:rsid w:val="009C7674"/>
    <w:rsid w:val="009D004A"/>
    <w:rsid w:val="009D1A4D"/>
    <w:rsid w:val="009D5880"/>
    <w:rsid w:val="009E1FD4"/>
    <w:rsid w:val="009E3B07"/>
    <w:rsid w:val="009E51D1"/>
    <w:rsid w:val="009E5531"/>
    <w:rsid w:val="009E555C"/>
    <w:rsid w:val="009F171E"/>
    <w:rsid w:val="009F1AF0"/>
    <w:rsid w:val="009F3D2F"/>
    <w:rsid w:val="009F54DD"/>
    <w:rsid w:val="009F593F"/>
    <w:rsid w:val="009F7052"/>
    <w:rsid w:val="00A02668"/>
    <w:rsid w:val="00A02801"/>
    <w:rsid w:val="00A04384"/>
    <w:rsid w:val="00A066CD"/>
    <w:rsid w:val="00A06A39"/>
    <w:rsid w:val="00A07F58"/>
    <w:rsid w:val="00A131CB"/>
    <w:rsid w:val="00A14847"/>
    <w:rsid w:val="00A16D6D"/>
    <w:rsid w:val="00A20C92"/>
    <w:rsid w:val="00A21383"/>
    <w:rsid w:val="00A2199F"/>
    <w:rsid w:val="00A21B31"/>
    <w:rsid w:val="00A2360E"/>
    <w:rsid w:val="00A255D1"/>
    <w:rsid w:val="00A26E0C"/>
    <w:rsid w:val="00A32FCB"/>
    <w:rsid w:val="00A34C25"/>
    <w:rsid w:val="00A3507D"/>
    <w:rsid w:val="00A36D2A"/>
    <w:rsid w:val="00A3717A"/>
    <w:rsid w:val="00A4088C"/>
    <w:rsid w:val="00A43043"/>
    <w:rsid w:val="00A439DC"/>
    <w:rsid w:val="00A4456B"/>
    <w:rsid w:val="00A448D4"/>
    <w:rsid w:val="00A451C1"/>
    <w:rsid w:val="00A452E0"/>
    <w:rsid w:val="00A51EA5"/>
    <w:rsid w:val="00A53742"/>
    <w:rsid w:val="00A557A1"/>
    <w:rsid w:val="00A5589D"/>
    <w:rsid w:val="00A614C9"/>
    <w:rsid w:val="00A63059"/>
    <w:rsid w:val="00A63AE3"/>
    <w:rsid w:val="00A651A4"/>
    <w:rsid w:val="00A71361"/>
    <w:rsid w:val="00A746E2"/>
    <w:rsid w:val="00A809A5"/>
    <w:rsid w:val="00A81FF2"/>
    <w:rsid w:val="00A83904"/>
    <w:rsid w:val="00A86DCC"/>
    <w:rsid w:val="00A90A79"/>
    <w:rsid w:val="00A96B30"/>
    <w:rsid w:val="00A97073"/>
    <w:rsid w:val="00AA59B5"/>
    <w:rsid w:val="00AA7777"/>
    <w:rsid w:val="00AA7B84"/>
    <w:rsid w:val="00AB1320"/>
    <w:rsid w:val="00AC016A"/>
    <w:rsid w:val="00AC0B4C"/>
    <w:rsid w:val="00AC0DFB"/>
    <w:rsid w:val="00AC1164"/>
    <w:rsid w:val="00AC2296"/>
    <w:rsid w:val="00AC2754"/>
    <w:rsid w:val="00AC48B0"/>
    <w:rsid w:val="00AC4ACD"/>
    <w:rsid w:val="00AC5DFB"/>
    <w:rsid w:val="00AD13DC"/>
    <w:rsid w:val="00AD6DE2"/>
    <w:rsid w:val="00AE0A40"/>
    <w:rsid w:val="00AE1ED4"/>
    <w:rsid w:val="00AE21E1"/>
    <w:rsid w:val="00AE2D2F"/>
    <w:rsid w:val="00AE2F8D"/>
    <w:rsid w:val="00AE3BAE"/>
    <w:rsid w:val="00AE6122"/>
    <w:rsid w:val="00AE6A21"/>
    <w:rsid w:val="00AF01A0"/>
    <w:rsid w:val="00AF1C8F"/>
    <w:rsid w:val="00AF2B68"/>
    <w:rsid w:val="00AF2C92"/>
    <w:rsid w:val="00AF3EC1"/>
    <w:rsid w:val="00AF5025"/>
    <w:rsid w:val="00AF519F"/>
    <w:rsid w:val="00AF5387"/>
    <w:rsid w:val="00AF55F5"/>
    <w:rsid w:val="00AF5EF1"/>
    <w:rsid w:val="00AF6EC8"/>
    <w:rsid w:val="00AF7E86"/>
    <w:rsid w:val="00B00FDC"/>
    <w:rsid w:val="00B024B9"/>
    <w:rsid w:val="00B02584"/>
    <w:rsid w:val="00B077FA"/>
    <w:rsid w:val="00B127D7"/>
    <w:rsid w:val="00B13B0C"/>
    <w:rsid w:val="00B140C5"/>
    <w:rsid w:val="00B1453A"/>
    <w:rsid w:val="00B14BDD"/>
    <w:rsid w:val="00B20F82"/>
    <w:rsid w:val="00B25BD5"/>
    <w:rsid w:val="00B26782"/>
    <w:rsid w:val="00B27385"/>
    <w:rsid w:val="00B34079"/>
    <w:rsid w:val="00B3793A"/>
    <w:rsid w:val="00B401BA"/>
    <w:rsid w:val="00B407E4"/>
    <w:rsid w:val="00B425B6"/>
    <w:rsid w:val="00B42A72"/>
    <w:rsid w:val="00B431B7"/>
    <w:rsid w:val="00B43D66"/>
    <w:rsid w:val="00B43F60"/>
    <w:rsid w:val="00B441AE"/>
    <w:rsid w:val="00B4597A"/>
    <w:rsid w:val="00B45A65"/>
    <w:rsid w:val="00B45F33"/>
    <w:rsid w:val="00B46D50"/>
    <w:rsid w:val="00B53170"/>
    <w:rsid w:val="00B548B9"/>
    <w:rsid w:val="00B56DBE"/>
    <w:rsid w:val="00B62999"/>
    <w:rsid w:val="00B63BE3"/>
    <w:rsid w:val="00B64885"/>
    <w:rsid w:val="00B66810"/>
    <w:rsid w:val="00B67213"/>
    <w:rsid w:val="00B72BE3"/>
    <w:rsid w:val="00B73B80"/>
    <w:rsid w:val="00B76ADB"/>
    <w:rsid w:val="00B770C7"/>
    <w:rsid w:val="00B80F26"/>
    <w:rsid w:val="00B822BD"/>
    <w:rsid w:val="00B83853"/>
    <w:rsid w:val="00B842F4"/>
    <w:rsid w:val="00B91A7B"/>
    <w:rsid w:val="00B929DD"/>
    <w:rsid w:val="00B93AF6"/>
    <w:rsid w:val="00B95405"/>
    <w:rsid w:val="00B963F1"/>
    <w:rsid w:val="00BA020A"/>
    <w:rsid w:val="00BA1459"/>
    <w:rsid w:val="00BA18E8"/>
    <w:rsid w:val="00BA4A4D"/>
    <w:rsid w:val="00BB02A4"/>
    <w:rsid w:val="00BB1270"/>
    <w:rsid w:val="00BB1E44"/>
    <w:rsid w:val="00BB1E92"/>
    <w:rsid w:val="00BB29B6"/>
    <w:rsid w:val="00BB3753"/>
    <w:rsid w:val="00BB5267"/>
    <w:rsid w:val="00BB52B8"/>
    <w:rsid w:val="00BB59D8"/>
    <w:rsid w:val="00BB7E69"/>
    <w:rsid w:val="00BC0E51"/>
    <w:rsid w:val="00BC1E13"/>
    <w:rsid w:val="00BC3C1F"/>
    <w:rsid w:val="00BC7CE7"/>
    <w:rsid w:val="00BD295E"/>
    <w:rsid w:val="00BD4664"/>
    <w:rsid w:val="00BE1193"/>
    <w:rsid w:val="00BF3C93"/>
    <w:rsid w:val="00BF4849"/>
    <w:rsid w:val="00BF4EA7"/>
    <w:rsid w:val="00BF5C7A"/>
    <w:rsid w:val="00C00EDB"/>
    <w:rsid w:val="00C0169C"/>
    <w:rsid w:val="00C02863"/>
    <w:rsid w:val="00C0383A"/>
    <w:rsid w:val="00C067FF"/>
    <w:rsid w:val="00C115AB"/>
    <w:rsid w:val="00C12862"/>
    <w:rsid w:val="00C13D28"/>
    <w:rsid w:val="00C14585"/>
    <w:rsid w:val="00C165A0"/>
    <w:rsid w:val="00C216CE"/>
    <w:rsid w:val="00C2184F"/>
    <w:rsid w:val="00C22A78"/>
    <w:rsid w:val="00C23C7E"/>
    <w:rsid w:val="00C246C5"/>
    <w:rsid w:val="00C25A82"/>
    <w:rsid w:val="00C30A2A"/>
    <w:rsid w:val="00C33993"/>
    <w:rsid w:val="00C35CE9"/>
    <w:rsid w:val="00C4069E"/>
    <w:rsid w:val="00C41ADC"/>
    <w:rsid w:val="00C44149"/>
    <w:rsid w:val="00C44410"/>
    <w:rsid w:val="00C44A15"/>
    <w:rsid w:val="00C4630A"/>
    <w:rsid w:val="00C523F0"/>
    <w:rsid w:val="00C526D2"/>
    <w:rsid w:val="00C53A05"/>
    <w:rsid w:val="00C53A91"/>
    <w:rsid w:val="00C54658"/>
    <w:rsid w:val="00C5794E"/>
    <w:rsid w:val="00C60968"/>
    <w:rsid w:val="00C62EA1"/>
    <w:rsid w:val="00C63D39"/>
    <w:rsid w:val="00C63EDD"/>
    <w:rsid w:val="00C65B36"/>
    <w:rsid w:val="00C66E1E"/>
    <w:rsid w:val="00C7292E"/>
    <w:rsid w:val="00C74E88"/>
    <w:rsid w:val="00C80924"/>
    <w:rsid w:val="00C80D5A"/>
    <w:rsid w:val="00C8286B"/>
    <w:rsid w:val="00C83002"/>
    <w:rsid w:val="00C906D1"/>
    <w:rsid w:val="00C947F8"/>
    <w:rsid w:val="00C9515F"/>
    <w:rsid w:val="00C963C5"/>
    <w:rsid w:val="00CA030C"/>
    <w:rsid w:val="00CA1F41"/>
    <w:rsid w:val="00CA32EE"/>
    <w:rsid w:val="00CA5771"/>
    <w:rsid w:val="00CA6A1A"/>
    <w:rsid w:val="00CC1E75"/>
    <w:rsid w:val="00CC2E0E"/>
    <w:rsid w:val="00CC361C"/>
    <w:rsid w:val="00CC474B"/>
    <w:rsid w:val="00CC658C"/>
    <w:rsid w:val="00CC67BF"/>
    <w:rsid w:val="00CD060E"/>
    <w:rsid w:val="00CD0843"/>
    <w:rsid w:val="00CD5A78"/>
    <w:rsid w:val="00CD7345"/>
    <w:rsid w:val="00CE1E1F"/>
    <w:rsid w:val="00CE372E"/>
    <w:rsid w:val="00CF0174"/>
    <w:rsid w:val="00CF0A1B"/>
    <w:rsid w:val="00CF19F6"/>
    <w:rsid w:val="00CF2F4F"/>
    <w:rsid w:val="00CF536D"/>
    <w:rsid w:val="00CF577D"/>
    <w:rsid w:val="00D02E9D"/>
    <w:rsid w:val="00D10037"/>
    <w:rsid w:val="00D10CB8"/>
    <w:rsid w:val="00D12806"/>
    <w:rsid w:val="00D12ABF"/>
    <w:rsid w:val="00D12D44"/>
    <w:rsid w:val="00D15018"/>
    <w:rsid w:val="00D158AC"/>
    <w:rsid w:val="00D1694C"/>
    <w:rsid w:val="00D16ED2"/>
    <w:rsid w:val="00D20F5E"/>
    <w:rsid w:val="00D23B76"/>
    <w:rsid w:val="00D24B4A"/>
    <w:rsid w:val="00D30A45"/>
    <w:rsid w:val="00D379A3"/>
    <w:rsid w:val="00D45FF3"/>
    <w:rsid w:val="00D512CF"/>
    <w:rsid w:val="00D528B9"/>
    <w:rsid w:val="00D53186"/>
    <w:rsid w:val="00D541AC"/>
    <w:rsid w:val="00D5487D"/>
    <w:rsid w:val="00D5511A"/>
    <w:rsid w:val="00D56396"/>
    <w:rsid w:val="00D60140"/>
    <w:rsid w:val="00D6024A"/>
    <w:rsid w:val="00D608B5"/>
    <w:rsid w:val="00D64739"/>
    <w:rsid w:val="00D71F99"/>
    <w:rsid w:val="00D73CA4"/>
    <w:rsid w:val="00D73D71"/>
    <w:rsid w:val="00D74396"/>
    <w:rsid w:val="00D80284"/>
    <w:rsid w:val="00D812CF"/>
    <w:rsid w:val="00D81F71"/>
    <w:rsid w:val="00D8642D"/>
    <w:rsid w:val="00D86A75"/>
    <w:rsid w:val="00D86EE6"/>
    <w:rsid w:val="00D90A5E"/>
    <w:rsid w:val="00D91A68"/>
    <w:rsid w:val="00D9205E"/>
    <w:rsid w:val="00D9212B"/>
    <w:rsid w:val="00D95A68"/>
    <w:rsid w:val="00DA04EC"/>
    <w:rsid w:val="00DA17C7"/>
    <w:rsid w:val="00DA305F"/>
    <w:rsid w:val="00DA5F4A"/>
    <w:rsid w:val="00DA6A9A"/>
    <w:rsid w:val="00DB107E"/>
    <w:rsid w:val="00DB1EFD"/>
    <w:rsid w:val="00DB238C"/>
    <w:rsid w:val="00DB3EAF"/>
    <w:rsid w:val="00DB46C6"/>
    <w:rsid w:val="00DC02CA"/>
    <w:rsid w:val="00DC1BEC"/>
    <w:rsid w:val="00DC3203"/>
    <w:rsid w:val="00DC3C99"/>
    <w:rsid w:val="00DC52F5"/>
    <w:rsid w:val="00DC5825"/>
    <w:rsid w:val="00DC5FD0"/>
    <w:rsid w:val="00DD0354"/>
    <w:rsid w:val="00DD27D7"/>
    <w:rsid w:val="00DD458C"/>
    <w:rsid w:val="00DD617C"/>
    <w:rsid w:val="00DD72E9"/>
    <w:rsid w:val="00DD7605"/>
    <w:rsid w:val="00DE2020"/>
    <w:rsid w:val="00DE3476"/>
    <w:rsid w:val="00DE39F9"/>
    <w:rsid w:val="00DE3F6F"/>
    <w:rsid w:val="00DE7BEA"/>
    <w:rsid w:val="00DF1D23"/>
    <w:rsid w:val="00DF1F9C"/>
    <w:rsid w:val="00DF4504"/>
    <w:rsid w:val="00DF5B84"/>
    <w:rsid w:val="00DF6D5B"/>
    <w:rsid w:val="00DF771B"/>
    <w:rsid w:val="00DF7EE2"/>
    <w:rsid w:val="00E01BAA"/>
    <w:rsid w:val="00E01DF1"/>
    <w:rsid w:val="00E0282A"/>
    <w:rsid w:val="00E02F9B"/>
    <w:rsid w:val="00E05411"/>
    <w:rsid w:val="00E07E14"/>
    <w:rsid w:val="00E124D9"/>
    <w:rsid w:val="00E14F94"/>
    <w:rsid w:val="00E17336"/>
    <w:rsid w:val="00E17D15"/>
    <w:rsid w:val="00E22B95"/>
    <w:rsid w:val="00E2789F"/>
    <w:rsid w:val="00E30331"/>
    <w:rsid w:val="00E30BB8"/>
    <w:rsid w:val="00E31F9C"/>
    <w:rsid w:val="00E40488"/>
    <w:rsid w:val="00E4213D"/>
    <w:rsid w:val="00E46210"/>
    <w:rsid w:val="00E50367"/>
    <w:rsid w:val="00E51ABA"/>
    <w:rsid w:val="00E524CB"/>
    <w:rsid w:val="00E55500"/>
    <w:rsid w:val="00E6324A"/>
    <w:rsid w:val="00E65456"/>
    <w:rsid w:val="00E65A91"/>
    <w:rsid w:val="00E66188"/>
    <w:rsid w:val="00E664FB"/>
    <w:rsid w:val="00E672F0"/>
    <w:rsid w:val="00E70373"/>
    <w:rsid w:val="00E705C3"/>
    <w:rsid w:val="00E72E40"/>
    <w:rsid w:val="00E73665"/>
    <w:rsid w:val="00E73999"/>
    <w:rsid w:val="00E73BDC"/>
    <w:rsid w:val="00E73E9E"/>
    <w:rsid w:val="00E81660"/>
    <w:rsid w:val="00E854FE"/>
    <w:rsid w:val="00E900AC"/>
    <w:rsid w:val="00E906CC"/>
    <w:rsid w:val="00E939A0"/>
    <w:rsid w:val="00E97E4E"/>
    <w:rsid w:val="00EA1CC2"/>
    <w:rsid w:val="00EA2D76"/>
    <w:rsid w:val="00EA4644"/>
    <w:rsid w:val="00EA758A"/>
    <w:rsid w:val="00EB096F"/>
    <w:rsid w:val="00EB199F"/>
    <w:rsid w:val="00EB27C4"/>
    <w:rsid w:val="00EB5387"/>
    <w:rsid w:val="00EB5BC7"/>
    <w:rsid w:val="00EB5C10"/>
    <w:rsid w:val="00EB5D4A"/>
    <w:rsid w:val="00EB7322"/>
    <w:rsid w:val="00EC0FE9"/>
    <w:rsid w:val="00EC198B"/>
    <w:rsid w:val="00EC426D"/>
    <w:rsid w:val="00EC571B"/>
    <w:rsid w:val="00EC57D7"/>
    <w:rsid w:val="00EC6385"/>
    <w:rsid w:val="00EC6459"/>
    <w:rsid w:val="00ED1DE9"/>
    <w:rsid w:val="00ED23D4"/>
    <w:rsid w:val="00ED5E0B"/>
    <w:rsid w:val="00ED7DCE"/>
    <w:rsid w:val="00EE1853"/>
    <w:rsid w:val="00EE37B6"/>
    <w:rsid w:val="00EF0F45"/>
    <w:rsid w:val="00EF41E4"/>
    <w:rsid w:val="00EF4B4E"/>
    <w:rsid w:val="00EF7463"/>
    <w:rsid w:val="00EF7971"/>
    <w:rsid w:val="00F002EF"/>
    <w:rsid w:val="00F01981"/>
    <w:rsid w:val="00F01EE9"/>
    <w:rsid w:val="00F04900"/>
    <w:rsid w:val="00F065A4"/>
    <w:rsid w:val="00F11B34"/>
    <w:rsid w:val="00F126B9"/>
    <w:rsid w:val="00F12715"/>
    <w:rsid w:val="00F144D5"/>
    <w:rsid w:val="00F146F0"/>
    <w:rsid w:val="00F15039"/>
    <w:rsid w:val="00F1542B"/>
    <w:rsid w:val="00F20FF3"/>
    <w:rsid w:val="00F2190B"/>
    <w:rsid w:val="00F228B5"/>
    <w:rsid w:val="00F2389C"/>
    <w:rsid w:val="00F25C67"/>
    <w:rsid w:val="00F27549"/>
    <w:rsid w:val="00F30DFF"/>
    <w:rsid w:val="00F30E8A"/>
    <w:rsid w:val="00F3281B"/>
    <w:rsid w:val="00F32B80"/>
    <w:rsid w:val="00F340EB"/>
    <w:rsid w:val="00F35285"/>
    <w:rsid w:val="00F43B9D"/>
    <w:rsid w:val="00F44D5E"/>
    <w:rsid w:val="00F53A35"/>
    <w:rsid w:val="00F55A3D"/>
    <w:rsid w:val="00F56CF1"/>
    <w:rsid w:val="00F5744B"/>
    <w:rsid w:val="00F61209"/>
    <w:rsid w:val="00F6259E"/>
    <w:rsid w:val="00F65DD4"/>
    <w:rsid w:val="00F672B2"/>
    <w:rsid w:val="00F70039"/>
    <w:rsid w:val="00F7028C"/>
    <w:rsid w:val="00F83973"/>
    <w:rsid w:val="00F87FA3"/>
    <w:rsid w:val="00F93D8C"/>
    <w:rsid w:val="00FA08C3"/>
    <w:rsid w:val="00FA2439"/>
    <w:rsid w:val="00FA3102"/>
    <w:rsid w:val="00FA48D4"/>
    <w:rsid w:val="00FA54FA"/>
    <w:rsid w:val="00FA6D39"/>
    <w:rsid w:val="00FB076E"/>
    <w:rsid w:val="00FB227E"/>
    <w:rsid w:val="00FB3D61"/>
    <w:rsid w:val="00FB425E"/>
    <w:rsid w:val="00FB44CE"/>
    <w:rsid w:val="00FB5009"/>
    <w:rsid w:val="00FB5EF8"/>
    <w:rsid w:val="00FB76AB"/>
    <w:rsid w:val="00FD03FE"/>
    <w:rsid w:val="00FD126E"/>
    <w:rsid w:val="00FD3C36"/>
    <w:rsid w:val="00FD4D81"/>
    <w:rsid w:val="00FD7498"/>
    <w:rsid w:val="00FD7FB3"/>
    <w:rsid w:val="00FE4713"/>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AA7A61"/>
  <w15:docId w15:val="{866B4E6D-EA0F-4F28-A43D-9221B64E8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96F"/>
    <w:pPr>
      <w:spacing w:line="480" w:lineRule="auto"/>
    </w:pPr>
    <w:rPr>
      <w:sz w:val="24"/>
      <w:szCs w:val="24"/>
      <w:lang w:eastAsia="en-GB"/>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1"/>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link w:val="Heading2"/>
    <w:rsid w:val="008D07FB"/>
    <w:rPr>
      <w:rFonts w:cs="Arial"/>
      <w:b/>
      <w:bCs/>
      <w:i/>
      <w:iCs/>
      <w:sz w:val="24"/>
      <w:szCs w:val="28"/>
    </w:rPr>
  </w:style>
  <w:style w:type="character" w:customStyle="1" w:styleId="Heading1Char">
    <w:name w:val="Heading 1 Char"/>
    <w:link w:val="Heading1"/>
    <w:rsid w:val="00AE1ED4"/>
    <w:rPr>
      <w:rFonts w:cs="Arial"/>
      <w:b/>
      <w:bCs/>
      <w:kern w:val="32"/>
      <w:sz w:val="24"/>
      <w:szCs w:val="32"/>
    </w:rPr>
  </w:style>
  <w:style w:type="character" w:customStyle="1" w:styleId="Heading3Char">
    <w:name w:val="Heading 3 Char"/>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link w:val="FootnoteText"/>
    <w:rsid w:val="006C19B2"/>
    <w:rPr>
      <w:sz w:val="22"/>
    </w:rPr>
  </w:style>
  <w:style w:type="character" w:styleId="FootnoteReference">
    <w:name w:val="footnote reference"/>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link w:val="EndnoteText"/>
    <w:rsid w:val="006C19B2"/>
    <w:rPr>
      <w:sz w:val="22"/>
    </w:rPr>
  </w:style>
  <w:style w:type="character" w:styleId="EndnoteReference">
    <w:name w:val="endnote reference"/>
    <w:rsid w:val="00EC571B"/>
    <w:rPr>
      <w:vertAlign w:val="superscript"/>
    </w:rPr>
  </w:style>
  <w:style w:type="character" w:customStyle="1" w:styleId="Heading4Char">
    <w:name w:val="Heading 4 Char"/>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link w:val="Header"/>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paragraph" w:styleId="BalloonText">
    <w:name w:val="Balloon Text"/>
    <w:basedOn w:val="Normal"/>
    <w:link w:val="BalloonTextChar"/>
    <w:rsid w:val="00967EAD"/>
    <w:pPr>
      <w:spacing w:line="240" w:lineRule="auto"/>
    </w:pPr>
    <w:rPr>
      <w:rFonts w:ascii="Tahoma" w:hAnsi="Tahoma" w:cs="Tahoma"/>
      <w:sz w:val="16"/>
      <w:szCs w:val="16"/>
    </w:rPr>
  </w:style>
  <w:style w:type="character" w:customStyle="1" w:styleId="BalloonTextChar">
    <w:name w:val="Balloon Text Char"/>
    <w:link w:val="BalloonText"/>
    <w:rsid w:val="00967EAD"/>
    <w:rPr>
      <w:rFonts w:ascii="Tahoma" w:hAnsi="Tahoma" w:cs="Tahoma"/>
      <w:sz w:val="16"/>
      <w:szCs w:val="16"/>
    </w:rPr>
  </w:style>
  <w:style w:type="paragraph" w:styleId="ListParagraph">
    <w:name w:val="List Paragraph"/>
    <w:basedOn w:val="Normal"/>
    <w:uiPriority w:val="34"/>
    <w:qFormat/>
    <w:rsid w:val="00B140C5"/>
    <w:pPr>
      <w:spacing w:after="200" w:line="276" w:lineRule="auto"/>
      <w:ind w:left="720"/>
      <w:contextualSpacing/>
    </w:pPr>
    <w:rPr>
      <w:rFonts w:asciiTheme="minorHAnsi" w:hAnsiTheme="minorHAnsi" w:cstheme="minorBidi"/>
      <w:sz w:val="22"/>
      <w:szCs w:val="22"/>
      <w:lang w:eastAsia="zh-CN"/>
    </w:rPr>
  </w:style>
  <w:style w:type="table" w:styleId="TableGrid">
    <w:name w:val="Table Grid"/>
    <w:basedOn w:val="TableNormal"/>
    <w:uiPriority w:val="59"/>
    <w:rsid w:val="0017370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7385D"/>
    <w:rPr>
      <w:color w:val="0000FF" w:themeColor="hyperlink"/>
      <w:u w:val="single"/>
    </w:rPr>
  </w:style>
  <w:style w:type="character" w:styleId="CommentReference">
    <w:name w:val="annotation reference"/>
    <w:basedOn w:val="DefaultParagraphFont"/>
    <w:uiPriority w:val="99"/>
    <w:rsid w:val="00DE3F6F"/>
    <w:rPr>
      <w:sz w:val="18"/>
      <w:szCs w:val="18"/>
    </w:rPr>
  </w:style>
  <w:style w:type="paragraph" w:styleId="CommentText">
    <w:name w:val="annotation text"/>
    <w:basedOn w:val="Normal"/>
    <w:link w:val="CommentTextChar"/>
    <w:uiPriority w:val="99"/>
    <w:rsid w:val="00DE3F6F"/>
    <w:pPr>
      <w:spacing w:line="240" w:lineRule="auto"/>
    </w:pPr>
  </w:style>
  <w:style w:type="character" w:customStyle="1" w:styleId="CommentTextChar">
    <w:name w:val="Comment Text Char"/>
    <w:basedOn w:val="DefaultParagraphFont"/>
    <w:link w:val="CommentText"/>
    <w:uiPriority w:val="99"/>
    <w:rsid w:val="00DE3F6F"/>
    <w:rPr>
      <w:sz w:val="24"/>
      <w:szCs w:val="24"/>
      <w:lang w:eastAsia="en-GB"/>
    </w:rPr>
  </w:style>
  <w:style w:type="paragraph" w:styleId="CommentSubject">
    <w:name w:val="annotation subject"/>
    <w:basedOn w:val="CommentText"/>
    <w:next w:val="CommentText"/>
    <w:link w:val="CommentSubjectChar"/>
    <w:rsid w:val="00DE3F6F"/>
    <w:rPr>
      <w:b/>
      <w:bCs/>
      <w:sz w:val="20"/>
      <w:szCs w:val="20"/>
    </w:rPr>
  </w:style>
  <w:style w:type="character" w:customStyle="1" w:styleId="CommentSubjectChar">
    <w:name w:val="Comment Subject Char"/>
    <w:basedOn w:val="CommentTextChar"/>
    <w:link w:val="CommentSubject"/>
    <w:rsid w:val="00DE3F6F"/>
    <w:rPr>
      <w:b/>
      <w:bCs/>
      <w:sz w:val="24"/>
      <w:szCs w:val="24"/>
      <w:lang w:eastAsia="en-GB"/>
    </w:rPr>
  </w:style>
  <w:style w:type="paragraph" w:styleId="NormalWeb">
    <w:name w:val="Normal (Web)"/>
    <w:basedOn w:val="Normal"/>
    <w:uiPriority w:val="99"/>
    <w:semiHidden/>
    <w:unhideWhenUsed/>
    <w:rsid w:val="009F54DD"/>
    <w:pPr>
      <w:spacing w:before="100" w:beforeAutospacing="1" w:after="100" w:afterAutospacing="1" w:line="240" w:lineRule="auto"/>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415400">
      <w:bodyDiv w:val="1"/>
      <w:marLeft w:val="0"/>
      <w:marRight w:val="0"/>
      <w:marTop w:val="0"/>
      <w:marBottom w:val="0"/>
      <w:divBdr>
        <w:top w:val="none" w:sz="0" w:space="0" w:color="auto"/>
        <w:left w:val="none" w:sz="0" w:space="0" w:color="auto"/>
        <w:bottom w:val="none" w:sz="0" w:space="0" w:color="auto"/>
        <w:right w:val="none" w:sz="0" w:space="0" w:color="auto"/>
      </w:divBdr>
      <w:divsChild>
        <w:div w:id="75515145">
          <w:marLeft w:val="0"/>
          <w:marRight w:val="0"/>
          <w:marTop w:val="0"/>
          <w:marBottom w:val="100"/>
          <w:divBdr>
            <w:top w:val="none" w:sz="0" w:space="0" w:color="auto"/>
            <w:left w:val="none" w:sz="0" w:space="0" w:color="auto"/>
            <w:bottom w:val="none" w:sz="0" w:space="0" w:color="auto"/>
            <w:right w:val="none" w:sz="0" w:space="0" w:color="auto"/>
          </w:divBdr>
          <w:divsChild>
            <w:div w:id="1730811378">
              <w:marLeft w:val="0"/>
              <w:marRight w:val="0"/>
              <w:marTop w:val="0"/>
              <w:marBottom w:val="0"/>
              <w:divBdr>
                <w:top w:val="none" w:sz="0" w:space="0" w:color="auto"/>
                <w:left w:val="none" w:sz="0" w:space="0" w:color="auto"/>
                <w:bottom w:val="none" w:sz="0" w:space="0" w:color="auto"/>
                <w:right w:val="none" w:sz="0" w:space="0" w:color="auto"/>
              </w:divBdr>
              <w:divsChild>
                <w:div w:id="1598783469">
                  <w:marLeft w:val="105"/>
                  <w:marRight w:val="105"/>
                  <w:marTop w:val="105"/>
                  <w:marBottom w:val="105"/>
                  <w:divBdr>
                    <w:top w:val="none" w:sz="0" w:space="0" w:color="auto"/>
                    <w:left w:val="none" w:sz="0" w:space="0" w:color="auto"/>
                    <w:bottom w:val="none" w:sz="0" w:space="0" w:color="auto"/>
                    <w:right w:val="none" w:sz="0" w:space="0" w:color="auto"/>
                  </w:divBdr>
                  <w:divsChild>
                    <w:div w:id="973102252">
                      <w:marLeft w:val="0"/>
                      <w:marRight w:val="0"/>
                      <w:marTop w:val="0"/>
                      <w:marBottom w:val="0"/>
                      <w:divBdr>
                        <w:top w:val="none" w:sz="0" w:space="0" w:color="auto"/>
                        <w:left w:val="none" w:sz="0" w:space="0" w:color="auto"/>
                        <w:bottom w:val="none" w:sz="0" w:space="0" w:color="auto"/>
                        <w:right w:val="none" w:sz="0" w:space="0" w:color="auto"/>
                      </w:divBdr>
                      <w:divsChild>
                        <w:div w:id="244651995">
                          <w:marLeft w:val="0"/>
                          <w:marRight w:val="0"/>
                          <w:marTop w:val="0"/>
                          <w:marBottom w:val="0"/>
                          <w:divBdr>
                            <w:top w:val="none" w:sz="0" w:space="0" w:color="auto"/>
                            <w:left w:val="none" w:sz="0" w:space="0" w:color="auto"/>
                            <w:bottom w:val="none" w:sz="0" w:space="0" w:color="auto"/>
                            <w:right w:val="none" w:sz="0" w:space="0" w:color="auto"/>
                          </w:divBdr>
                          <w:divsChild>
                            <w:div w:id="1562053726">
                              <w:marLeft w:val="0"/>
                              <w:marRight w:val="0"/>
                              <w:marTop w:val="0"/>
                              <w:marBottom w:val="0"/>
                              <w:divBdr>
                                <w:top w:val="none" w:sz="0" w:space="0" w:color="auto"/>
                                <w:left w:val="none" w:sz="0" w:space="0" w:color="auto"/>
                                <w:bottom w:val="none" w:sz="0" w:space="0" w:color="auto"/>
                                <w:right w:val="none" w:sz="0" w:space="0" w:color="auto"/>
                              </w:divBdr>
                              <w:divsChild>
                                <w:div w:id="1343781222">
                                  <w:marLeft w:val="0"/>
                                  <w:marRight w:val="0"/>
                                  <w:marTop w:val="0"/>
                                  <w:marBottom w:val="0"/>
                                  <w:divBdr>
                                    <w:top w:val="none" w:sz="0" w:space="0" w:color="auto"/>
                                    <w:left w:val="none" w:sz="0" w:space="0" w:color="auto"/>
                                    <w:bottom w:val="none" w:sz="0" w:space="0" w:color="auto"/>
                                    <w:right w:val="none" w:sz="0" w:space="0" w:color="auto"/>
                                  </w:divBdr>
                                  <w:divsChild>
                                    <w:div w:id="689263203">
                                      <w:marLeft w:val="105"/>
                                      <w:marRight w:val="105"/>
                                      <w:marTop w:val="105"/>
                                      <w:marBottom w:val="105"/>
                                      <w:divBdr>
                                        <w:top w:val="none" w:sz="0" w:space="0" w:color="auto"/>
                                        <w:left w:val="none" w:sz="0" w:space="0" w:color="auto"/>
                                        <w:bottom w:val="none" w:sz="0" w:space="0" w:color="auto"/>
                                        <w:right w:val="none" w:sz="0" w:space="0" w:color="auto"/>
                                      </w:divBdr>
                                      <w:divsChild>
                                        <w:div w:id="1651014279">
                                          <w:marLeft w:val="0"/>
                                          <w:marRight w:val="0"/>
                                          <w:marTop w:val="0"/>
                                          <w:marBottom w:val="0"/>
                                          <w:divBdr>
                                            <w:top w:val="none" w:sz="0" w:space="0" w:color="auto"/>
                                            <w:left w:val="none" w:sz="0" w:space="0" w:color="auto"/>
                                            <w:bottom w:val="none" w:sz="0" w:space="0" w:color="auto"/>
                                            <w:right w:val="none" w:sz="0" w:space="0" w:color="auto"/>
                                          </w:divBdr>
                                          <w:divsChild>
                                            <w:div w:id="193878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49A3D-1713-4CDC-B7D3-6DBF493B9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8391</Words>
  <Characters>47831</Characters>
  <Application>Microsoft Office Word</Application>
  <DocSecurity>4</DocSecurity>
  <Lines>398</Lines>
  <Paragraphs>112</Paragraphs>
  <ScaleCrop>false</ScaleCrop>
  <HeadingPairs>
    <vt:vector size="2" baseType="variant">
      <vt:variant>
        <vt:lpstr>Title</vt:lpstr>
      </vt:variant>
      <vt:variant>
        <vt:i4>1</vt:i4>
      </vt:variant>
    </vt:vector>
  </HeadingPairs>
  <TitlesOfParts>
    <vt:vector size="1" baseType="lpstr">
      <vt:lpstr>TF_Template_Word_Windows_2010</vt:lpstr>
    </vt:vector>
  </TitlesOfParts>
  <Company>Informa Plc</Company>
  <LinksUpToDate>false</LinksUpToDate>
  <CharactersWithSpaces>56110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TF_Template_Word_Windows_2010</dc:title>
  <dc:subject/>
  <dc:creator>Shi Y.</dc:creator>
  <cp:keywords/>
  <dc:description/>
  <cp:lastModifiedBy>Carter K.R.</cp:lastModifiedBy>
  <cp:revision>2</cp:revision>
  <cp:lastPrinted>2016-06-03T13:21:00Z</cp:lastPrinted>
  <dcterms:created xsi:type="dcterms:W3CDTF">2016-11-24T14:43:00Z</dcterms:created>
  <dcterms:modified xsi:type="dcterms:W3CDTF">2016-11-24T14:43:00Z</dcterms:modified>
</cp:coreProperties>
</file>